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header1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1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9.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21.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22.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932" w:val="left" w:leader="none"/>
        </w:tabs>
        <w:spacing w:line="240" w:lineRule="auto" w:before="36"/>
        <w:ind w:left="0" w:right="4"/>
        <w:jc w:val="center"/>
      </w:pPr>
      <w:r>
        <w:rPr>
          <w:spacing w:val="-1"/>
        </w:rPr>
        <w:t>公司代码：</w:t>
      </w:r>
      <w:r>
        <w:rPr>
          <w:rFonts w:ascii="Times New Roman" w:hAnsi="Times New Roman" w:cs="Times New Roman" w:eastAsia="Times New Roman" w:hint="default"/>
          <w:spacing w:val="-1"/>
        </w:rPr>
        <w:t>600590</w:t>
        <w:tab/>
      </w:r>
      <w:r>
        <w:rPr>
          <w:spacing w:val="-2"/>
        </w:rPr>
        <w:t>公司简称：泰豪科技</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437" w:right="24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泰豪科技股份有限公司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3972" w:right="402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142"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before="0"/>
        <w:ind w:right="142"/>
        <w:jc w:val="left"/>
        <w:rPr>
          <w:b w:val="0"/>
          <w:bCs w:val="0"/>
        </w:rPr>
      </w:pPr>
      <w:r>
        <w:rPr/>
        <w:t>二、</w:t>
      </w:r>
      <w:r>
        <w:rPr>
          <w:spacing w:val="-80"/>
        </w:rPr>
        <w:t> </w:t>
      </w:r>
      <w:r>
        <w:rPr/>
        <w:t>公司全体董事出席董事会会议。</w:t>
      </w:r>
      <w:r>
        <w:rPr>
          <w:b w:val="0"/>
          <w:bCs w:val="0"/>
        </w:rPr>
      </w:r>
    </w:p>
    <w:p>
      <w:pPr>
        <w:spacing w:line="240" w:lineRule="auto" w:before="9"/>
        <w:rPr>
          <w:rFonts w:ascii="宋体" w:hAnsi="宋体" w:cs="宋体" w:eastAsia="宋体" w:hint="default"/>
          <w:b/>
          <w:bCs/>
          <w:sz w:val="28"/>
          <w:szCs w:val="28"/>
        </w:rPr>
      </w:pPr>
    </w:p>
    <w:p>
      <w:pPr>
        <w:pStyle w:val="Heading2"/>
        <w:spacing w:line="240" w:lineRule="auto" w:before="0"/>
        <w:ind w:right="142"/>
        <w:jc w:val="left"/>
        <w:rPr>
          <w:b w:val="0"/>
          <w:bCs w:val="0"/>
        </w:rPr>
      </w:pPr>
      <w:r>
        <w:rPr/>
        <w:t>三、</w:t>
      </w:r>
      <w:r>
        <w:rPr>
          <w:spacing w:val="-14"/>
        </w:rPr>
        <w:t> </w:t>
      </w:r>
      <w:r>
        <w:rPr/>
        <w:t>大信会计师事务所（特殊普通合伙）为本公司出具了标准无保留意见的审计报告。</w:t>
      </w:r>
      <w:r>
        <w:rPr>
          <w:b w:val="0"/>
          <w:bCs w:val="0"/>
        </w:rPr>
      </w:r>
    </w:p>
    <w:p>
      <w:pPr>
        <w:pStyle w:val="Heading2"/>
        <w:spacing w:line="355" w:lineRule="auto" w:before="133"/>
        <w:ind w:left="505" w:right="142" w:hanging="368"/>
        <w:jc w:val="left"/>
        <w:rPr>
          <w:b w:val="0"/>
          <w:bCs w:val="0"/>
        </w:rPr>
      </w:pPr>
      <w:r>
        <w:rPr>
          <w:spacing w:val="-1"/>
        </w:rPr>
        <w:t>四、公司负责人杨剑、主管会计工作负责人朱宇华及会计机构负责人（会计主管人员）熊美福声</w:t>
      </w:r>
      <w:r>
        <w:rPr>
          <w:spacing w:val="-86"/>
        </w:rPr>
        <w:t> </w:t>
      </w:r>
      <w:r>
        <w:rPr>
          <w:spacing w:val="-86"/>
        </w:rPr>
      </w:r>
      <w:r>
        <w:rPr/>
        <w:t>明：保证年度报告中财务报告的真实、准确、完整。</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before="0"/>
        <w:ind w:right="142"/>
        <w:jc w:val="left"/>
        <w:rPr>
          <w:b w:val="0"/>
          <w:bCs w:val="0"/>
        </w:rPr>
      </w:pPr>
      <w:r>
        <w:rPr/>
        <w:t>五、</w:t>
      </w:r>
      <w:r>
        <w:rPr>
          <w:spacing w:val="-41"/>
        </w:rPr>
        <w:t> </w:t>
      </w:r>
      <w:r>
        <w:rPr/>
        <w:t>经董事会审议的报告期利润分配预案或公积金转增股本预案</w:t>
      </w:r>
      <w:r>
        <w:rPr>
          <w:b w:val="0"/>
          <w:bCs w:val="0"/>
        </w:rPr>
      </w:r>
    </w:p>
    <w:p>
      <w:pPr>
        <w:pStyle w:val="BodyText"/>
        <w:spacing w:line="237" w:lineRule="auto" w:before="135"/>
        <w:ind w:right="101" w:firstLine="419"/>
        <w:jc w:val="both"/>
      </w:pPr>
      <w:r>
        <w:rPr>
          <w:spacing w:val="4"/>
        </w:rPr>
        <w:t>公司拟以</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日总股本</w:t>
      </w:r>
      <w:r>
        <w:rPr>
          <w:rFonts w:ascii="宋体" w:hAnsi="宋体" w:cs="宋体" w:eastAsia="宋体" w:hint="default"/>
          <w:spacing w:val="4"/>
        </w:rPr>
        <w:t>666,960,584</w:t>
      </w:r>
      <w:r>
        <w:rPr>
          <w:spacing w:val="4"/>
        </w:rPr>
        <w:t>股，扣除回购实施股权激励尚未授予的股份</w:t>
      </w:r>
      <w:r>
        <w:rPr>
          <w:w w:val="100"/>
        </w:rPr>
        <w:t> </w:t>
      </w:r>
      <w:r>
        <w:rPr>
          <w:rFonts w:ascii="宋体" w:hAnsi="宋体" w:cs="宋体" w:eastAsia="宋体" w:hint="default"/>
          <w:spacing w:val="-3"/>
          <w:w w:val="100"/>
        </w:rPr>
        <w:t>2,499,918</w:t>
      </w:r>
      <w:r>
        <w:rPr>
          <w:spacing w:val="-3"/>
          <w:w w:val="100"/>
        </w:rPr>
        <w:t>股，即</w:t>
      </w:r>
      <w:r>
        <w:rPr>
          <w:rFonts w:ascii="宋体" w:hAnsi="宋体" w:cs="宋体" w:eastAsia="宋体" w:hint="default"/>
          <w:spacing w:val="-3"/>
          <w:w w:val="100"/>
        </w:rPr>
        <w:t>664,460,666</w:t>
      </w:r>
      <w:r>
        <w:rPr>
          <w:spacing w:val="-3"/>
          <w:w w:val="100"/>
        </w:rPr>
        <w:t>股为基数，向全体股东每</w:t>
      </w:r>
      <w:r>
        <w:rPr>
          <w:rFonts w:ascii="宋体" w:hAnsi="宋体" w:cs="宋体" w:eastAsia="宋体" w:hint="default"/>
          <w:spacing w:val="-3"/>
          <w:w w:val="100"/>
        </w:rPr>
        <w:t>10</w:t>
      </w:r>
      <w:r>
        <w:rPr>
          <w:spacing w:val="-3"/>
          <w:w w:val="100"/>
        </w:rPr>
        <w:t>股派发现金红利</w:t>
      </w:r>
      <w:r>
        <w:rPr>
          <w:rFonts w:ascii="宋体" w:hAnsi="宋体" w:cs="宋体" w:eastAsia="宋体" w:hint="default"/>
          <w:spacing w:val="-3"/>
          <w:w w:val="100"/>
        </w:rPr>
        <w:t>1.2</w:t>
      </w:r>
      <w:r>
        <w:rPr>
          <w:spacing w:val="-3"/>
          <w:w w:val="100"/>
        </w:rPr>
        <w:t>元（含税），共计派</w:t>
      </w:r>
      <w:r>
        <w:rPr>
          <w:spacing w:val="-96"/>
          <w:w w:val="100"/>
        </w:rPr>
        <w:t> </w:t>
      </w:r>
      <w:r>
        <w:rPr>
          <w:spacing w:val="-96"/>
          <w:w w:val="100"/>
        </w:rPr>
      </w:r>
      <w:r>
        <w:rPr>
          <w:spacing w:val="-2"/>
        </w:rPr>
        <w:t>发现金红利</w:t>
      </w:r>
      <w:r>
        <w:rPr>
          <w:rFonts w:ascii="宋体" w:hAnsi="宋体" w:cs="宋体" w:eastAsia="宋体" w:hint="default"/>
          <w:spacing w:val="-2"/>
        </w:rPr>
        <w:t>79,735,279.92</w:t>
      </w:r>
      <w:r>
        <w:rPr>
          <w:spacing w:val="-2"/>
        </w:rPr>
        <w:t>元；同时，以</w:t>
      </w:r>
      <w:r>
        <w:rPr>
          <w:rFonts w:ascii="宋体" w:hAnsi="宋体" w:cs="宋体" w:eastAsia="宋体" w:hint="default"/>
          <w:spacing w:val="-2"/>
        </w:rPr>
        <w:t>664,460,666</w:t>
      </w:r>
      <w:r>
        <w:rPr>
          <w:spacing w:val="-2"/>
        </w:rPr>
        <w:t>股为基数，向全体股东每</w:t>
      </w:r>
      <w:r>
        <w:rPr>
          <w:rFonts w:ascii="宋体" w:hAnsi="宋体" w:cs="宋体" w:eastAsia="宋体" w:hint="default"/>
          <w:spacing w:val="-2"/>
        </w:rPr>
        <w:t>10</w:t>
      </w:r>
      <w:r>
        <w:rPr>
          <w:spacing w:val="-2"/>
        </w:rPr>
        <w:t>股派送红股</w:t>
      </w:r>
      <w:r>
        <w:rPr>
          <w:rFonts w:ascii="宋体" w:hAnsi="宋体" w:cs="宋体" w:eastAsia="宋体" w:hint="default"/>
          <w:spacing w:val="-2"/>
        </w:rPr>
        <w:t>3</w:t>
      </w:r>
      <w:r>
        <w:rPr>
          <w:spacing w:val="-2"/>
        </w:rPr>
        <w:t>股。</w:t>
      </w:r>
      <w:r>
        <w:rPr/>
      </w:r>
    </w:p>
    <w:p>
      <w:pPr>
        <w:pStyle w:val="BodyText"/>
        <w:spacing w:line="271" w:lineRule="exact"/>
        <w:ind w:left="558" w:right="142"/>
        <w:jc w:val="left"/>
      </w:pPr>
      <w:r>
        <w:rPr/>
        <w:t>本次利润分配方案需经股东大会审议通过后实施。</w:t>
      </w:r>
    </w:p>
    <w:p>
      <w:pPr>
        <w:spacing w:line="240" w:lineRule="auto" w:before="5"/>
        <w:rPr>
          <w:rFonts w:ascii="宋体" w:hAnsi="宋体" w:cs="宋体" w:eastAsia="宋体" w:hint="default"/>
          <w:sz w:val="27"/>
          <w:szCs w:val="27"/>
        </w:rPr>
      </w:pPr>
    </w:p>
    <w:p>
      <w:pPr>
        <w:pStyle w:val="Heading2"/>
        <w:spacing w:line="240" w:lineRule="auto" w:before="0"/>
        <w:ind w:right="142"/>
        <w:jc w:val="left"/>
        <w:rPr>
          <w:b w:val="0"/>
          <w:bCs w:val="0"/>
        </w:rPr>
      </w:pPr>
      <w:r>
        <w:rPr/>
        <w:t>六、</w:t>
      </w:r>
      <w:r>
        <w:rPr>
          <w:spacing w:val="-24"/>
        </w:rPr>
        <w:t> </w:t>
      </w:r>
      <w:r>
        <w:rPr/>
        <w:t>前瞻性陈述的风险声明</w:t>
      </w:r>
      <w:r>
        <w:rPr>
          <w:b w:val="0"/>
          <w:bCs w:val="0"/>
        </w:rPr>
      </w:r>
    </w:p>
    <w:p>
      <w:pPr>
        <w:pStyle w:val="BodyText"/>
        <w:spacing w:line="282" w:lineRule="exact" w:before="133"/>
        <w:ind w:right="14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right="190" w:firstLine="419"/>
        <w:jc w:val="both"/>
      </w:pPr>
      <w:r>
        <w:rPr>
          <w:spacing w:val="-2"/>
        </w:rPr>
        <w:t>本年度报告中涉及未来计划等前瞻性陈述，不构成公司对投资者的实质承诺，请广大投资者</w:t>
      </w:r>
      <w:r>
        <w:rPr>
          <w:w w:val="100"/>
        </w:rPr>
        <w:t> </w:t>
      </w:r>
      <w:r>
        <w:rPr/>
        <w:t>注意投资风险。</w:t>
      </w:r>
    </w:p>
    <w:p>
      <w:pPr>
        <w:spacing w:line="240" w:lineRule="auto" w:before="7"/>
        <w:rPr>
          <w:rFonts w:ascii="宋体" w:hAnsi="宋体" w:cs="宋体" w:eastAsia="宋体" w:hint="default"/>
          <w:sz w:val="25"/>
          <w:szCs w:val="25"/>
        </w:rPr>
      </w:pPr>
    </w:p>
    <w:p>
      <w:pPr>
        <w:pStyle w:val="Heading2"/>
        <w:spacing w:line="422" w:lineRule="auto" w:before="0"/>
        <w:ind w:right="352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781" w:val="left" w:leader="none"/>
        </w:tabs>
        <w:spacing w:line="355" w:lineRule="auto" w:before="0"/>
        <w:ind w:right="374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00" w:lineRule="atLeast" w:before="13"/>
        <w:ind w:left="558" w:right="190"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公司已在本报告中详细描述可能存在的相关风险，敬请查阅第四节“三、关于公司未来发展</w:t>
      </w:r>
    </w:p>
    <w:p>
      <w:pPr>
        <w:pStyle w:val="BodyText"/>
        <w:spacing w:line="444" w:lineRule="auto"/>
        <w:ind w:right="4554"/>
        <w:jc w:val="left"/>
        <w:rPr>
          <w:rFonts w:ascii="宋体" w:hAnsi="宋体" w:cs="宋体" w:eastAsia="宋体" w:hint="default"/>
          <w:sz w:val="24"/>
          <w:szCs w:val="24"/>
        </w:rPr>
      </w:pPr>
      <w:r>
        <w:rPr>
          <w:spacing w:val="-12"/>
          <w:w w:val="100"/>
        </w:rPr>
        <w:t>的讨论与分析”中“（四）可能面对的风险”。</w:t>
      </w:r>
      <w:r>
        <w:rPr>
          <w:spacing w:val="-93"/>
          <w:w w:val="100"/>
        </w:rPr>
        <w:t> </w:t>
      </w:r>
      <w:r>
        <w:rPr>
          <w:spacing w:val="-93"/>
          <w:w w:val="100"/>
        </w:rPr>
      </w:r>
      <w:r>
        <w:rPr>
          <w:rFonts w:ascii="宋体" w:hAnsi="宋体" w:cs="宋体" w:eastAsia="宋体" w:hint="default"/>
          <w:b/>
          <w:bCs/>
        </w:rPr>
        <w:t>十、</w:t>
      </w:r>
      <w:r>
        <w:rPr>
          <w:rFonts w:ascii="宋体" w:hAnsi="宋体" w:cs="宋体" w:eastAsia="宋体" w:hint="default"/>
          <w:b/>
          <w:bCs/>
          <w:spacing w:val="6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4" w:lineRule="exact"/>
        <w:ind w:right="14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4" w:lineRule="exact"/>
        <w:jc w:val="left"/>
        <w:sectPr>
          <w:pgSz w:w="11910" w:h="16840"/>
          <w:pgMar w:header="880" w:footer="1195" w:top="1120" w:bottom="1380" w:left="1660" w:right="1080"/>
        </w:sectPr>
      </w:pPr>
    </w:p>
    <w:p>
      <w:pPr>
        <w:spacing w:line="240" w:lineRule="auto" w:before="0"/>
        <w:rPr>
          <w:rFonts w:ascii="宋体" w:hAnsi="宋体" w:cs="宋体" w:eastAsia="宋体" w:hint="default"/>
          <w:sz w:val="26"/>
          <w:szCs w:val="26"/>
        </w:rPr>
      </w:pPr>
    </w:p>
    <w:p>
      <w:pPr>
        <w:spacing w:before="14"/>
        <w:ind w:left="6" w:right="4"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1" w:val="left" w:leader="none"/>
        </w:tabs>
        <w:spacing w:line="240" w:lineRule="auto" w:before="412"/>
        <w:ind w:right="0"/>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3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38" w:type="dxa"/>
        <w:tblLayout w:type="fixed"/>
        <w:tblCellMar>
          <w:top w:w="0" w:type="dxa"/>
          <w:left w:w="0" w:type="dxa"/>
          <w:bottom w:w="0" w:type="dxa"/>
          <w:right w:w="0" w:type="dxa"/>
        </w:tblCellMar>
        <w:tblLook w:val="01E0"/>
      </w:tblPr>
      <w:tblGrid>
        <w:gridCol w:w="2691"/>
        <w:gridCol w:w="991"/>
        <w:gridCol w:w="5142"/>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公司、本公司、泰豪科技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海外控股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海德馨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博辕信息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赫甄合伙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上海赫甄企业发展中心（有限合伙）</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宁波杰赢投资管理合伙企业（有限合伙）</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宁波杰宝投资合伙企业（有限合伙）</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浙江赛盛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浙江赛盛投资合伙企业（有限合伙）</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浙江中赢资本投资合伙企业（有限合伙）</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宁波赛伯乐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宁波赛伯乐甬科股权投资合伙企业（有限合伙）</w:t>
            </w:r>
          </w:p>
        </w:tc>
      </w:tr>
      <w:tr>
        <w:trPr>
          <w:trHeight w:val="284"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杭州赛伯乐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杭州赛伯乐晨星投资合伙企业（有限合伙）</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宁波市科发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宁波市科发股权投资基金合伙企业（有限合伙）</w:t>
            </w:r>
          </w:p>
        </w:tc>
      </w:tr>
      <w:tr>
        <w:trPr>
          <w:trHeight w:val="283"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宁波市科发二号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宁波市科发二号股权投资基金合伙企业（有限合伙）</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杭州科发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杭州科发创业投资合伙企业（有限合伙）</w:t>
            </w:r>
          </w:p>
        </w:tc>
      </w:tr>
      <w:tr>
        <w:trPr>
          <w:trHeight w:val="557"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遵义新蒲新区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号路道路工程项目和高新快线（汇川</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段）道路工程项目</w:t>
            </w:r>
          </w:p>
        </w:tc>
      </w:tr>
      <w:tr>
        <w:trPr>
          <w:trHeight w:val="281" w:hRule="exact"/>
        </w:trPr>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pStyle w:val="Heading1"/>
        <w:tabs>
          <w:tab w:pos="3637" w:val="left" w:leader="none"/>
        </w:tabs>
        <w:spacing w:line="240" w:lineRule="auto" w:before="240"/>
        <w:ind w:left="2377"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ind w:right="0"/>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3829"/>
        <w:gridCol w:w="4998"/>
      </w:tblGrid>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泰豪科技</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TELLHOW SCI-TECH CO.,</w:t>
            </w:r>
            <w:r>
              <w:rPr>
                <w:rFonts w:ascii="Times New Roman"/>
                <w:spacing w:val="-12"/>
                <w:sz w:val="21"/>
              </w:rPr>
              <w:t> </w:t>
            </w:r>
            <w:r>
              <w:rPr>
                <w:rFonts w:ascii="Times New Roman"/>
                <w:spacing w:val="-6"/>
                <w:sz w:val="21"/>
              </w:rPr>
              <w:t>LTD.</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TELLHOW</w:t>
            </w:r>
          </w:p>
        </w:tc>
      </w:tr>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杨剑</w:t>
            </w:r>
          </w:p>
        </w:tc>
      </w:tr>
    </w:tbl>
    <w:p>
      <w:pPr>
        <w:spacing w:line="240" w:lineRule="auto" w:before="7"/>
        <w:rPr>
          <w:rFonts w:ascii="宋体" w:hAnsi="宋体" w:cs="宋体" w:eastAsia="宋体" w:hint="default"/>
          <w:b/>
          <w:bCs/>
          <w:sz w:val="17"/>
          <w:szCs w:val="17"/>
        </w:rPr>
      </w:pPr>
    </w:p>
    <w:p>
      <w:pPr>
        <w:pStyle w:val="Heading2"/>
        <w:spacing w:line="240" w:lineRule="auto"/>
        <w:ind w:right="0"/>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1272"/>
        <w:gridCol w:w="3829"/>
        <w:gridCol w:w="3725"/>
      </w:tblGrid>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6"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李结平</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刘立立</w:t>
            </w: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江西省南昌市高新开发区清华泰豪大楼</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上海市浦东新区张东路</w:t>
            </w:r>
            <w:r>
              <w:rPr>
                <w:rFonts w:ascii="Times New Roman" w:hAnsi="Times New Roman" w:cs="Times New Roman" w:eastAsia="Times New Roman" w:hint="default"/>
                <w:sz w:val="21"/>
                <w:szCs w:val="21"/>
              </w:rPr>
              <w:t>1387</w:t>
            </w:r>
            <w:r>
              <w:rPr>
                <w:rFonts w:ascii="宋体" w:hAnsi="宋体" w:cs="宋体" w:eastAsia="宋体" w:hint="default"/>
                <w:sz w:val="21"/>
                <w:szCs w:val="21"/>
              </w:rPr>
              <w:t>号</w:t>
            </w:r>
            <w:r>
              <w:rPr>
                <w:rFonts w:ascii="Times New Roman" w:hAnsi="Times New Roman" w:cs="Times New Roman" w:eastAsia="Times New Roman" w:hint="default"/>
                <w:sz w:val="21"/>
                <w:szCs w:val="21"/>
              </w:rPr>
              <w:t>19</w:t>
            </w:r>
            <w:r>
              <w:rPr>
                <w:rFonts w:ascii="宋体" w:hAnsi="宋体" w:cs="宋体" w:eastAsia="宋体" w:hint="default"/>
                <w:sz w:val="21"/>
                <w:szCs w:val="21"/>
              </w:rPr>
              <w:t>栋</w:t>
            </w:r>
            <w:r>
              <w:rPr>
                <w:rFonts w:ascii="Times New Roman" w:hAnsi="Times New Roman" w:cs="Times New Roman" w:eastAsia="Times New Roman" w:hint="default"/>
                <w:sz w:val="21"/>
                <w:szCs w:val="21"/>
              </w:rPr>
              <w:t>-01</w:t>
            </w: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0791-88110590</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021-68790276</w:t>
            </w:r>
          </w:p>
        </w:tc>
      </w:tr>
      <w:tr>
        <w:trPr>
          <w:trHeight w:val="281"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0791-88106688</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021-68790276</w:t>
            </w: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7">
              <w:r>
                <w:rPr>
                  <w:rFonts w:ascii="Times New Roman"/>
                  <w:sz w:val="21"/>
                </w:rPr>
                <w:t>stock@tellhow.com</w:t>
              </w:r>
            </w:hyperlink>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7">
              <w:r>
                <w:rPr>
                  <w:rFonts w:ascii="Times New Roman"/>
                  <w:sz w:val="21"/>
                </w:rPr>
                <w:t>stock@tellhow.com</w:t>
              </w:r>
            </w:hyperlink>
          </w:p>
        </w:tc>
      </w:tr>
    </w:tbl>
    <w:p>
      <w:pPr>
        <w:spacing w:after="0" w:line="235" w:lineRule="exact"/>
        <w:jc w:val="left"/>
        <w:rPr>
          <w:rFonts w:ascii="Times New Roman" w:hAnsi="Times New Roman" w:cs="Times New Roman" w:eastAsia="Times New Roman" w:hint="default"/>
          <w:sz w:val="21"/>
          <w:szCs w:val="21"/>
        </w:rPr>
        <w:sectPr>
          <w:pgSz w:w="11910" w:h="16840"/>
          <w:pgMar w:header="880" w:footer="1195" w:top="1120" w:bottom="1380" w:left="1660" w:right="1140"/>
        </w:sectPr>
      </w:pPr>
    </w:p>
    <w:p>
      <w:pPr>
        <w:spacing w:line="240" w:lineRule="auto" w:before="4"/>
        <w:rPr>
          <w:rFonts w:ascii="宋体" w:hAnsi="宋体" w:cs="宋体" w:eastAsia="宋体" w:hint="default"/>
          <w:b/>
          <w:bCs/>
          <w:sz w:val="25"/>
          <w:szCs w:val="25"/>
        </w:rPr>
      </w:pPr>
    </w:p>
    <w:p>
      <w:pPr>
        <w:pStyle w:val="Heading2"/>
        <w:spacing w:line="240" w:lineRule="auto"/>
        <w:ind w:right="0"/>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3829"/>
        <w:gridCol w:w="4998"/>
      </w:tblGrid>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江西省南昌市高新开发区清华泰豪大楼</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330096</w:t>
            </w:r>
          </w:p>
        </w:tc>
      </w:tr>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江西省南昌市高新开发区清华泰豪大楼</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330096</w:t>
            </w:r>
          </w:p>
        </w:tc>
      </w:tr>
      <w:tr>
        <w:trPr>
          <w:trHeight w:val="3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8">
              <w:r>
                <w:rPr>
                  <w:rFonts w:ascii="Times New Roman"/>
                  <w:spacing w:val="-3"/>
                  <w:sz w:val="21"/>
                </w:rPr>
                <w:t>http://www.tellhow.com</w:t>
              </w:r>
            </w:hyperlink>
          </w:p>
        </w:tc>
      </w:tr>
      <w:tr>
        <w:trPr>
          <w:trHeight w:val="30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7">
              <w:r>
                <w:rPr>
                  <w:rFonts w:ascii="Times New Roman"/>
                  <w:sz w:val="21"/>
                </w:rPr>
                <w:t>stock@tellhow.com</w:t>
              </w:r>
            </w:hyperlink>
          </w:p>
        </w:tc>
      </w:tr>
    </w:tbl>
    <w:p>
      <w:pPr>
        <w:spacing w:line="240" w:lineRule="auto" w:before="7"/>
        <w:rPr>
          <w:rFonts w:ascii="宋体" w:hAnsi="宋体" w:cs="宋体" w:eastAsia="宋体" w:hint="default"/>
          <w:b/>
          <w:bCs/>
          <w:sz w:val="17"/>
          <w:szCs w:val="17"/>
        </w:rPr>
      </w:pPr>
    </w:p>
    <w:p>
      <w:pPr>
        <w:pStyle w:val="Heading2"/>
        <w:spacing w:line="240" w:lineRule="auto"/>
        <w:ind w:right="0"/>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4109"/>
        <w:gridCol w:w="4717"/>
      </w:tblGrid>
      <w:tr>
        <w:trPr>
          <w:trHeight w:val="302"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p>
        </w:tc>
      </w:tr>
      <w:tr>
        <w:trPr>
          <w:trHeight w:val="303"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r>
      <w:tr>
        <w:trPr>
          <w:trHeight w:val="305" w:hRule="exact"/>
        </w:trPr>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7"/>
        <w:rPr>
          <w:rFonts w:ascii="宋体" w:hAnsi="宋体" w:cs="宋体" w:eastAsia="宋体" w:hint="default"/>
          <w:b/>
          <w:bCs/>
          <w:sz w:val="17"/>
          <w:szCs w:val="17"/>
        </w:rPr>
      </w:pPr>
    </w:p>
    <w:p>
      <w:pPr>
        <w:pStyle w:val="Heading2"/>
        <w:spacing w:line="240" w:lineRule="auto"/>
        <w:ind w:right="0"/>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1766"/>
        <w:gridCol w:w="1765"/>
        <w:gridCol w:w="1764"/>
        <w:gridCol w:w="1764"/>
        <w:gridCol w:w="1767"/>
      </w:tblGrid>
      <w:tr>
        <w:trPr>
          <w:trHeight w:val="302" w:hRule="exact"/>
        </w:trPr>
        <w:tc>
          <w:tcPr>
            <w:tcW w:w="88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4"/>
              <w:jc w:val="right"/>
              <w:rPr>
                <w:rFonts w:ascii="宋体" w:hAnsi="宋体" w:cs="宋体" w:eastAsia="宋体" w:hint="default"/>
                <w:sz w:val="21"/>
                <w:szCs w:val="21"/>
              </w:rPr>
            </w:pPr>
            <w:r>
              <w:rPr>
                <w:rFonts w:ascii="宋体" w:hAnsi="宋体" w:cs="宋体" w:eastAsia="宋体" w:hint="default"/>
                <w:spacing w:val="-1"/>
                <w:sz w:val="21"/>
                <w:szCs w:val="21"/>
              </w:rPr>
              <w:t>股票简称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4"/>
              <w:jc w:val="right"/>
              <w:rPr>
                <w:rFonts w:ascii="宋体" w:hAnsi="宋体" w:cs="宋体" w:eastAsia="宋体" w:hint="default"/>
                <w:sz w:val="21"/>
                <w:szCs w:val="21"/>
              </w:rPr>
            </w:pPr>
            <w:r>
              <w:rPr>
                <w:rFonts w:ascii="宋体" w:hAnsi="宋体" w:cs="宋体" w:eastAsia="宋体" w:hint="default"/>
                <w:spacing w:val="-1"/>
                <w:sz w:val="21"/>
                <w:szCs w:val="21"/>
              </w:rPr>
              <w:t>泰豪科技</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600590</w:t>
            </w:r>
          </w:p>
        </w:tc>
        <w:tc>
          <w:tcPr>
            <w:tcW w:w="17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7"/>
          <w:szCs w:val="17"/>
        </w:rPr>
      </w:pPr>
    </w:p>
    <w:p>
      <w:pPr>
        <w:pStyle w:val="Heading2"/>
        <w:spacing w:line="240" w:lineRule="auto"/>
        <w:ind w:right="0"/>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38" w:type="dxa"/>
        <w:tblLayout w:type="fixed"/>
        <w:tblCellMar>
          <w:top w:w="0" w:type="dxa"/>
          <w:left w:w="0" w:type="dxa"/>
          <w:bottom w:w="0" w:type="dxa"/>
          <w:right w:w="0" w:type="dxa"/>
        </w:tblCellMar>
        <w:tblLook w:val="01E0"/>
      </w:tblPr>
      <w:tblGrid>
        <w:gridCol w:w="1414"/>
        <w:gridCol w:w="2840"/>
        <w:gridCol w:w="4571"/>
      </w:tblGrid>
      <w:tr>
        <w:trPr>
          <w:trHeight w:val="281" w:hRule="exact"/>
        </w:trPr>
        <w:tc>
          <w:tcPr>
            <w:tcW w:w="1414" w:type="dxa"/>
            <w:vMerge w:val="restart"/>
            <w:tcBorders>
              <w:top w:val="single" w:sz="4" w:space="0" w:color="000000"/>
              <w:left w:val="single" w:sz="4" w:space="0" w:color="000000"/>
              <w:right w:val="single" w:sz="4" w:space="0" w:color="000000"/>
            </w:tcBorders>
          </w:tcPr>
          <w:p>
            <w:pPr>
              <w:pStyle w:val="TableParagraph"/>
              <w:spacing w:line="272" w:lineRule="exact" w:before="3"/>
              <w:ind w:left="23" w:right="17"/>
              <w:jc w:val="left"/>
              <w:rPr>
                <w:rFonts w:ascii="宋体" w:hAnsi="宋体" w:cs="宋体" w:eastAsia="宋体" w:hint="default"/>
                <w:sz w:val="21"/>
                <w:szCs w:val="21"/>
              </w:rPr>
            </w:pPr>
            <w:r>
              <w:rPr>
                <w:rFonts w:ascii="宋体" w:hAnsi="宋体" w:cs="宋体" w:eastAsia="宋体" w:hint="default"/>
                <w:spacing w:val="14"/>
                <w:sz w:val="21"/>
                <w:szCs w:val="21"/>
              </w:rPr>
              <w:t>公司聘请的会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计</w:t>
            </w:r>
            <w:r>
              <w:rPr>
                <w:rFonts w:ascii="宋体" w:hAnsi="宋体" w:cs="宋体" w:eastAsia="宋体" w:hint="default"/>
                <w:spacing w:val="-28"/>
                <w:sz w:val="21"/>
                <w:szCs w:val="21"/>
              </w:rPr>
              <w:t> </w:t>
            </w:r>
            <w:r>
              <w:rPr>
                <w:rFonts w:ascii="宋体" w:hAnsi="宋体" w:cs="宋体" w:eastAsia="宋体" w:hint="default"/>
                <w:sz w:val="21"/>
                <w:szCs w:val="21"/>
              </w:rPr>
              <w:t>师</w:t>
            </w:r>
            <w:r>
              <w:rPr>
                <w:rFonts w:ascii="宋体" w:hAnsi="宋体" w:cs="宋体" w:eastAsia="宋体" w:hint="default"/>
                <w:spacing w:val="-28"/>
                <w:sz w:val="21"/>
                <w:szCs w:val="21"/>
              </w:rPr>
              <w:t> </w:t>
            </w:r>
            <w:r>
              <w:rPr>
                <w:rFonts w:ascii="宋体" w:hAnsi="宋体" w:cs="宋体" w:eastAsia="宋体" w:hint="default"/>
                <w:sz w:val="21"/>
                <w:szCs w:val="21"/>
              </w:rPr>
              <w:t>事</w:t>
            </w:r>
            <w:r>
              <w:rPr>
                <w:rFonts w:ascii="宋体" w:hAnsi="宋体" w:cs="宋体" w:eastAsia="宋体" w:hint="default"/>
                <w:spacing w:val="-30"/>
                <w:sz w:val="21"/>
                <w:szCs w:val="21"/>
              </w:rPr>
              <w:t> </w:t>
            </w:r>
            <w:r>
              <w:rPr>
                <w:rFonts w:ascii="宋体" w:hAnsi="宋体" w:cs="宋体" w:eastAsia="宋体" w:hint="default"/>
                <w:sz w:val="21"/>
                <w:szCs w:val="21"/>
              </w:rPr>
              <w:t>务</w:t>
            </w:r>
            <w:r>
              <w:rPr>
                <w:rFonts w:ascii="宋体" w:hAnsi="宋体" w:cs="宋体" w:eastAsia="宋体" w:hint="default"/>
                <w:spacing w:val="-28"/>
                <w:sz w:val="21"/>
                <w:szCs w:val="21"/>
              </w:rPr>
              <w:t> </w:t>
            </w:r>
            <w:r>
              <w:rPr>
                <w:rFonts w:ascii="宋体" w:hAnsi="宋体" w:cs="宋体" w:eastAsia="宋体" w:hint="default"/>
                <w:sz w:val="21"/>
                <w:szCs w:val="21"/>
              </w:rPr>
              <w:t>所</w:t>
            </w:r>
          </w:p>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3" w:hRule="exact"/>
        </w:trPr>
        <w:tc>
          <w:tcPr>
            <w:tcW w:w="1414" w:type="dxa"/>
            <w:vMerge/>
            <w:tcBorders>
              <w:left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号学院国际大厦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室</w:t>
            </w:r>
          </w:p>
        </w:tc>
      </w:tr>
      <w:tr>
        <w:trPr>
          <w:trHeight w:val="284" w:hRule="exact"/>
        </w:trPr>
        <w:tc>
          <w:tcPr>
            <w:tcW w:w="1414" w:type="dxa"/>
            <w:vMerge/>
            <w:tcBorders>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李国平、汪鹏</w:t>
            </w:r>
          </w:p>
        </w:tc>
      </w:tr>
      <w:tr>
        <w:trPr>
          <w:trHeight w:val="281"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37" w:lineRule="auto"/>
              <w:ind w:left="23" w:right="18"/>
              <w:jc w:val="both"/>
              <w:rPr>
                <w:rFonts w:ascii="宋体" w:hAnsi="宋体" w:cs="宋体" w:eastAsia="宋体" w:hint="default"/>
                <w:sz w:val="21"/>
                <w:szCs w:val="21"/>
              </w:rPr>
            </w:pPr>
            <w:r>
              <w:rPr>
                <w:rFonts w:ascii="宋体" w:hAnsi="宋体" w:cs="宋体" w:eastAsia="宋体" w:hint="default"/>
                <w:spacing w:val="14"/>
                <w:sz w:val="21"/>
                <w:szCs w:val="21"/>
              </w:rPr>
              <w:t>报告期内履行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4"/>
                <w:sz w:val="21"/>
                <w:szCs w:val="21"/>
              </w:rPr>
              <w:t>持续督导职责</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的财务顾问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r>
      <w:tr>
        <w:trPr>
          <w:trHeight w:val="554" w:hRule="exact"/>
        </w:trPr>
        <w:tc>
          <w:tcPr>
            <w:tcW w:w="1414" w:type="dxa"/>
            <w:vMerge/>
            <w:tcBorders>
              <w:left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深圳市罗湖区红岭中路 </w:t>
            </w:r>
            <w:r>
              <w:rPr>
                <w:rFonts w:ascii="Times New Roman" w:hAnsi="Times New Roman" w:cs="Times New Roman" w:eastAsia="Times New Roman" w:hint="default"/>
                <w:sz w:val="21"/>
                <w:szCs w:val="21"/>
              </w:rPr>
              <w:t>1012  </w:t>
            </w:r>
            <w:r>
              <w:rPr>
                <w:rFonts w:ascii="宋体" w:hAnsi="宋体" w:cs="宋体" w:eastAsia="宋体" w:hint="default"/>
                <w:sz w:val="21"/>
                <w:szCs w:val="21"/>
              </w:rPr>
              <w:t>号国信证券大厦</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16</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层至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层</w:t>
            </w:r>
          </w:p>
        </w:tc>
      </w:tr>
      <w:tr>
        <w:trPr>
          <w:trHeight w:val="283" w:hRule="exact"/>
        </w:trPr>
        <w:tc>
          <w:tcPr>
            <w:tcW w:w="1414" w:type="dxa"/>
            <w:vMerge/>
            <w:tcBorders>
              <w:left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签字的财务顾问主办人姓名</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周兆伟、万俊</w:t>
            </w:r>
          </w:p>
        </w:tc>
      </w:tr>
      <w:tr>
        <w:trPr>
          <w:trHeight w:val="283" w:hRule="exact"/>
        </w:trPr>
        <w:tc>
          <w:tcPr>
            <w:tcW w:w="1414" w:type="dxa"/>
            <w:vMerge/>
            <w:tcBorders>
              <w:left w:val="single" w:sz="4" w:space="0" w:color="000000"/>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7"/>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660" w:right="1120"/>
        </w:sectPr>
      </w:pPr>
    </w:p>
    <w:p>
      <w:pPr>
        <w:pStyle w:val="Heading2"/>
        <w:spacing w:line="240" w:lineRule="auto"/>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587" w:space="2934"/>
            <w:col w:w="2609"/>
          </w:cols>
        </w:sectPr>
      </w:pPr>
    </w:p>
    <w:p>
      <w:pPr>
        <w:spacing w:line="240" w:lineRule="auto" w:before="11"/>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2876"/>
        <w:gridCol w:w="1630"/>
        <w:gridCol w:w="1527"/>
        <w:gridCol w:w="1333"/>
        <w:gridCol w:w="1526"/>
      </w:tblGrid>
      <w:tr>
        <w:trPr>
          <w:trHeight w:val="608"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0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9"/>
              <w:ind w:left="189" w:right="27"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9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5,100,618,164.65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3,901,935,660.39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30.72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3,488,096,410.81</w:t>
            </w:r>
          </w:p>
        </w:tc>
      </w:tr>
      <w:tr>
        <w:trPr>
          <w:trHeight w:val="29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251,934,744.63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center"/>
              <w:rPr>
                <w:rFonts w:ascii="Times New Roman" w:hAnsi="Times New Roman" w:cs="Times New Roman" w:eastAsia="Times New Roman" w:hint="default"/>
                <w:sz w:val="21"/>
                <w:szCs w:val="21"/>
              </w:rPr>
            </w:pPr>
            <w:r>
              <w:rPr>
                <w:rFonts w:ascii="Times New Roman"/>
                <w:sz w:val="21"/>
              </w:rPr>
              <w:t>123,829,229.30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103.45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86,000,978.61</w:t>
            </w:r>
          </w:p>
        </w:tc>
      </w:tr>
      <w:tr>
        <w:trPr>
          <w:trHeight w:val="55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归属于上市公司股东的扣除非</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151,376,547.79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center"/>
              <w:rPr>
                <w:rFonts w:ascii="Times New Roman" w:hAnsi="Times New Roman" w:cs="Times New Roman" w:eastAsia="Times New Roman" w:hint="default"/>
                <w:sz w:val="21"/>
                <w:szCs w:val="21"/>
              </w:rPr>
            </w:pPr>
            <w:r>
              <w:rPr>
                <w:rFonts w:ascii="Times New Roman"/>
                <w:sz w:val="21"/>
              </w:rPr>
              <w:t>102,933,061.59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47.06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77,448,799.66</w:t>
            </w:r>
          </w:p>
        </w:tc>
      </w:tr>
      <w:tr>
        <w:trPr>
          <w:trHeight w:val="29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-363,571,454.29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center"/>
              <w:rPr>
                <w:rFonts w:ascii="Times New Roman" w:hAnsi="Times New Roman" w:cs="Times New Roman" w:eastAsia="Times New Roman" w:hint="default"/>
                <w:sz w:val="21"/>
                <w:szCs w:val="21"/>
              </w:rPr>
            </w:pPr>
            <w:r>
              <w:rPr>
                <w:rFonts w:ascii="Times New Roman"/>
                <w:sz w:val="21"/>
              </w:rPr>
              <w:t>248,043,589.86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-246.58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279,055,848.27</w:t>
            </w:r>
          </w:p>
        </w:tc>
      </w:tr>
      <w:tr>
        <w:trPr>
          <w:trHeight w:val="826" w:hRule="exact"/>
        </w:trPr>
        <w:tc>
          <w:tcPr>
            <w:tcW w:w="287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同期末增减（</w:t>
            </w:r>
          </w:p>
          <w:p>
            <w:pPr>
              <w:pStyle w:val="TableParagraph"/>
              <w:spacing w:line="290"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r>
      <w:tr>
        <w:trPr>
          <w:trHeight w:val="29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3,730,376,086.18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sz w:val="21"/>
              </w:rPr>
              <w:t>3,807,972,185.12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-2.04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3,104,014,142.08</w:t>
            </w:r>
          </w:p>
        </w:tc>
      </w:tr>
      <w:tr>
        <w:trPr>
          <w:trHeight w:val="295"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10,513,954,247.14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sz w:val="21"/>
              </w:rPr>
              <w:t>8,587,708,279.05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22.43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7,157,698,223.97</w:t>
            </w:r>
          </w:p>
        </w:tc>
      </w:tr>
      <w:tr>
        <w:trPr>
          <w:trHeight w:val="29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666,960,584.00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center"/>
              <w:rPr>
                <w:rFonts w:ascii="Times New Roman" w:hAnsi="Times New Roman" w:cs="Times New Roman" w:eastAsia="Times New Roman" w:hint="default"/>
                <w:sz w:val="21"/>
                <w:szCs w:val="21"/>
              </w:rPr>
            </w:pPr>
            <w:r>
              <w:rPr>
                <w:rFonts w:ascii="Times New Roman"/>
                <w:sz w:val="21"/>
              </w:rPr>
              <w:t>666,960,584.00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619,245,072.00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60" w:right="1120"/>
        </w:sectPr>
      </w:pPr>
    </w:p>
    <w:p>
      <w:pPr>
        <w:spacing w:line="240" w:lineRule="auto" w:before="4"/>
        <w:rPr>
          <w:rFonts w:ascii="宋体" w:hAnsi="宋体" w:cs="宋体" w:eastAsia="宋体" w:hint="default"/>
          <w:sz w:val="25"/>
          <w:szCs w:val="25"/>
        </w:rPr>
      </w:pPr>
    </w:p>
    <w:p>
      <w:pPr>
        <w:pStyle w:val="Heading2"/>
        <w:tabs>
          <w:tab w:pos="1057" w:val="left" w:leader="none"/>
        </w:tabs>
        <w:spacing w:line="240" w:lineRule="auto"/>
        <w:ind w:left="218" w:right="331"/>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8"/>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957"/>
        <w:gridCol w:w="979"/>
        <w:gridCol w:w="1136"/>
        <w:gridCol w:w="2693"/>
        <w:gridCol w:w="1058"/>
      </w:tblGrid>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8"/>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本期比上年同期增减</w:t>
            </w:r>
            <w:r>
              <w:rPr>
                <w:rFonts w:ascii="Times New Roman" w:hAnsi="Times New Roman" w:cs="Times New Roman" w:eastAsia="Times New Roman" w:hint="default"/>
                <w:sz w:val="21"/>
                <w:szCs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0.38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0.19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0.16</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0.38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0.19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0.16</w:t>
            </w:r>
          </w:p>
        </w:tc>
      </w:tr>
      <w:tr>
        <w:trPr>
          <w:trHeight w:val="557"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0.16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43.75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0.14</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3.38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4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3.15</w:t>
            </w:r>
            <w:r>
              <w:rPr>
                <w:rFonts w:ascii="宋体" w:hAnsi="宋体" w:cs="宋体" w:eastAsia="宋体" w:hint="default"/>
                <w:sz w:val="21"/>
                <w:szCs w:val="21"/>
              </w:rPr>
              <w:t>个百分点</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3.33</w:t>
            </w:r>
          </w:p>
        </w:tc>
      </w:tr>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2.81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Times New Roman" w:hAnsi="Times New Roman" w:cs="Times New Roman" w:eastAsia="Times New Roman" w:hint="default"/>
                <w:spacing w:val="-2"/>
                <w:sz w:val="21"/>
                <w:szCs w:val="21"/>
              </w:rPr>
              <w:t>1.11</w:t>
            </w:r>
            <w:r>
              <w:rPr>
                <w:rFonts w:ascii="宋体" w:hAnsi="宋体" w:cs="宋体" w:eastAsia="宋体" w:hint="default"/>
                <w:spacing w:val="-2"/>
                <w:sz w:val="21"/>
                <w:szCs w:val="21"/>
              </w:rPr>
              <w:t>个百分点</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331"/>
        <w:jc w:val="left"/>
      </w:pPr>
      <w:r>
        <w:rPr/>
        <w:t>报告期末公司前三年主要会计数据和财务指标的说明</w:t>
      </w:r>
    </w:p>
    <w:p>
      <w:pPr>
        <w:pStyle w:val="BodyText"/>
        <w:spacing w:line="289" w:lineRule="exact"/>
        <w:ind w:left="218" w:right="33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2"/>
        <w:spacing w:line="240" w:lineRule="auto" w:before="0"/>
        <w:ind w:left="218" w:right="331"/>
        <w:jc w:val="left"/>
        <w:rPr>
          <w:b w:val="0"/>
          <w:bCs w:val="0"/>
        </w:rPr>
      </w:pPr>
      <w:r>
        <w:rPr/>
        <w:t>八、</w:t>
      </w:r>
      <w:r>
        <w:rPr>
          <w:spacing w:val="-32"/>
        </w:rPr>
        <w:t> </w:t>
      </w:r>
      <w:r>
        <w:rPr/>
        <w:t>境内外会计准则下会计数据差异</w:t>
      </w:r>
      <w:r>
        <w:rPr>
          <w:b w:val="0"/>
          <w:bCs w:val="0"/>
        </w:rPr>
      </w:r>
    </w:p>
    <w:p>
      <w:pPr>
        <w:pStyle w:val="Heading2"/>
        <w:spacing w:line="272" w:lineRule="exact" w:before="84"/>
        <w:ind w:left="638" w:right="331"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同时按照国际会计准则与按中国会计准则披露的财务报告中净利润和归属于上市公司股东</w:t>
      </w:r>
      <w:r>
        <w:rPr>
          <w:w w:val="100"/>
        </w:rPr>
        <w:t> </w:t>
      </w:r>
      <w:r>
        <w:rPr/>
        <w:t>的净资产差异情况</w:t>
      </w:r>
      <w:r>
        <w:rPr>
          <w:b w:val="0"/>
          <w:bCs w:val="0"/>
        </w:rPr>
      </w:r>
    </w:p>
    <w:p>
      <w:pPr>
        <w:pStyle w:val="BodyText"/>
        <w:spacing w:line="240" w:lineRule="auto" w:before="34"/>
        <w:ind w:left="218" w:right="331"/>
        <w:jc w:val="left"/>
      </w:pPr>
      <w:r>
        <w:rPr/>
        <w:t>□适用 √不适用</w:t>
      </w:r>
    </w:p>
    <w:p>
      <w:pPr>
        <w:pStyle w:val="Heading2"/>
        <w:spacing w:line="274" w:lineRule="exact" w:before="82"/>
        <w:ind w:left="585" w:right="173" w:hanging="3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同时按照境外会计准则与按中国会计准则披露的财务报告中净利润和归属于上市公司股东的</w:t>
      </w:r>
      <w:r>
        <w:rPr>
          <w:w w:val="100"/>
        </w:rPr>
        <w:t> </w:t>
      </w:r>
      <w:r>
        <w:rPr/>
        <w:t>净资产差异情况</w:t>
      </w:r>
      <w:r>
        <w:rPr>
          <w:b w:val="0"/>
          <w:bCs w:val="0"/>
        </w:rPr>
      </w:r>
    </w:p>
    <w:p>
      <w:pPr>
        <w:pStyle w:val="BodyText"/>
        <w:spacing w:line="240" w:lineRule="auto" w:before="31"/>
        <w:ind w:left="218" w:right="331"/>
        <w:jc w:val="left"/>
      </w:pPr>
      <w:r>
        <w:rPr/>
        <w:t>□适用 √不适用</w:t>
      </w:r>
    </w:p>
    <w:p>
      <w:pPr>
        <w:pStyle w:val="Heading2"/>
        <w:spacing w:line="240" w:lineRule="auto" w:before="58"/>
        <w:ind w:left="218" w:right="33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0"/>
        <w:ind w:left="218" w:right="331"/>
        <w:jc w:val="left"/>
      </w:pPr>
      <w:r>
        <w:rPr/>
        <w:t>□适用 √不适用</w:t>
      </w:r>
    </w:p>
    <w:p>
      <w:pPr>
        <w:spacing w:line="240" w:lineRule="auto" w:before="1"/>
        <w:rPr>
          <w:rFonts w:ascii="宋体" w:hAnsi="宋体" w:cs="宋体" w:eastAsia="宋体" w:hint="default"/>
          <w:sz w:val="20"/>
          <w:szCs w:val="20"/>
        </w:rPr>
      </w:pPr>
    </w:p>
    <w:p>
      <w:pPr>
        <w:pStyle w:val="Heading2"/>
        <w:spacing w:line="240" w:lineRule="auto"/>
        <w:ind w:left="218" w:right="331"/>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2"/>
        <w:gridCol w:w="1625"/>
        <w:gridCol w:w="1747"/>
        <w:gridCol w:w="1856"/>
      </w:tblGrid>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89"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89"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center"/>
              <w:rPr>
                <w:rFonts w:ascii="Times New Roman" w:hAnsi="Times New Roman" w:cs="Times New Roman" w:eastAsia="Times New Roman" w:hint="default"/>
                <w:sz w:val="21"/>
                <w:szCs w:val="21"/>
              </w:rPr>
            </w:pPr>
            <w:r>
              <w:rPr>
                <w:rFonts w:ascii="Times New Roman"/>
                <w:sz w:val="21"/>
              </w:rPr>
              <w:t>633,664,219.92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723,877,210.69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944,707,073.52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2,798,369,660.52</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1" w:right="0"/>
              <w:jc w:val="center"/>
              <w:rPr>
                <w:rFonts w:ascii="Times New Roman" w:hAnsi="Times New Roman" w:cs="Times New Roman" w:eastAsia="Times New Roman" w:hint="default"/>
                <w:sz w:val="21"/>
                <w:szCs w:val="21"/>
              </w:rPr>
            </w:pPr>
            <w:r>
              <w:rPr>
                <w:rFonts w:ascii="Times New Roman"/>
                <w:sz w:val="21"/>
              </w:rPr>
              <w:t>24,456,460.49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43,116,650.39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52,939,368.46</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131,422,265.29</w:t>
            </w:r>
          </w:p>
        </w:tc>
      </w:tr>
      <w:tr>
        <w:trPr>
          <w:trHeight w:val="82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1" w:right="0"/>
              <w:jc w:val="center"/>
              <w:rPr>
                <w:rFonts w:ascii="Times New Roman" w:hAnsi="Times New Roman" w:cs="Times New Roman" w:eastAsia="Times New Roman" w:hint="default"/>
                <w:sz w:val="21"/>
                <w:szCs w:val="21"/>
              </w:rPr>
            </w:pPr>
            <w:r>
              <w:rPr>
                <w:rFonts w:ascii="Times New Roman"/>
                <w:sz w:val="21"/>
              </w:rPr>
              <w:t>19,108,097.41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1,783,219.16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11,468,468.80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119,016,762.42</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6" w:right="0"/>
              <w:jc w:val="center"/>
              <w:rPr>
                <w:rFonts w:ascii="Times New Roman" w:hAnsi="Times New Roman" w:cs="Times New Roman" w:eastAsia="Times New Roman" w:hint="default"/>
                <w:sz w:val="21"/>
                <w:szCs w:val="21"/>
              </w:rPr>
            </w:pPr>
            <w:r>
              <w:rPr>
                <w:rFonts w:ascii="Times New Roman"/>
                <w:sz w:val="21"/>
              </w:rPr>
              <w:t>-369,541,422.63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-450,067,327.18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-200,770,513.03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656,807,808.55</w:t>
            </w:r>
          </w:p>
        </w:tc>
      </w:tr>
    </w:tbl>
    <w:p>
      <w:pPr>
        <w:spacing w:line="240" w:lineRule="auto" w:before="7"/>
        <w:rPr>
          <w:rFonts w:ascii="宋体" w:hAnsi="宋体" w:cs="宋体" w:eastAsia="宋体" w:hint="default"/>
          <w:sz w:val="15"/>
          <w:szCs w:val="15"/>
        </w:rPr>
      </w:pPr>
    </w:p>
    <w:p>
      <w:pPr>
        <w:pStyle w:val="BodyText"/>
        <w:spacing w:line="273" w:lineRule="exact" w:before="36"/>
        <w:ind w:left="218" w:right="331"/>
        <w:jc w:val="left"/>
      </w:pPr>
      <w:r>
        <w:rPr/>
        <w:t>季度数据与已披露定期报告数据差异说明</w:t>
      </w:r>
    </w:p>
    <w:p>
      <w:pPr>
        <w:pStyle w:val="BodyText"/>
        <w:tabs>
          <w:tab w:pos="1060" w:val="left" w:leader="none"/>
        </w:tabs>
        <w:spacing w:line="273" w:lineRule="exact"/>
        <w:ind w:left="218" w:right="331"/>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120"/>
        </w:sectPr>
      </w:pPr>
    </w:p>
    <w:p>
      <w:pPr>
        <w:pStyle w:val="Heading2"/>
        <w:spacing w:line="240" w:lineRule="auto"/>
        <w:ind w:left="218"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left="2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120"/>
          <w:cols w:num="2" w:equalWidth="0">
            <w:col w:w="3036" w:space="3790"/>
            <w:col w:w="2384"/>
          </w:cols>
        </w:sectPr>
      </w:pPr>
    </w:p>
    <w:tbl>
      <w:tblPr>
        <w:tblW w:w="0" w:type="auto"/>
        <w:jc w:val="left"/>
        <w:tblInd w:w="153" w:type="dxa"/>
        <w:tblLayout w:type="fixed"/>
        <w:tblCellMar>
          <w:top w:w="0" w:type="dxa"/>
          <w:left w:w="0" w:type="dxa"/>
          <w:bottom w:w="0" w:type="dxa"/>
          <w:right w:w="0" w:type="dxa"/>
        </w:tblCellMar>
        <w:tblLook w:val="01E0"/>
      </w:tblPr>
      <w:tblGrid>
        <w:gridCol w:w="4256"/>
        <w:gridCol w:w="1371"/>
        <w:gridCol w:w="698"/>
        <w:gridCol w:w="1333"/>
        <w:gridCol w:w="1265"/>
      </w:tblGrid>
      <w:tr>
        <w:trPr>
          <w:trHeight w:val="82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8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ind w:left="26" w:right="26"/>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89,949,560.87</w:t>
            </w: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 w:right="0"/>
              <w:jc w:val="left"/>
              <w:rPr>
                <w:rFonts w:ascii="Times New Roman" w:hAnsi="Times New Roman" w:cs="Times New Roman" w:eastAsia="Times New Roman" w:hint="default"/>
                <w:sz w:val="21"/>
                <w:szCs w:val="21"/>
              </w:rPr>
            </w:pPr>
            <w:r>
              <w:rPr>
                <w:rFonts w:ascii="Times New Roman"/>
                <w:sz w:val="21"/>
              </w:rPr>
              <w:t>28,934,962.17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-197,547.28</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越权审批，或无正式批准文件，或偶发性的税</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4256"/>
        <w:gridCol w:w="1371"/>
        <w:gridCol w:w="698"/>
        <w:gridCol w:w="1333"/>
        <w:gridCol w:w="1265"/>
      </w:tblGrid>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收返还、减免</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w:t>
            </w:r>
          </w:p>
          <w:p>
            <w:pPr>
              <w:pStyle w:val="TableParagraph"/>
              <w:spacing w:line="272" w:lineRule="exact" w:before="27"/>
              <w:ind w:left="21" w:right="17"/>
              <w:jc w:val="left"/>
              <w:rPr>
                <w:rFonts w:ascii="宋体" w:hAnsi="宋体" w:cs="宋体" w:eastAsia="宋体" w:hint="default"/>
                <w:sz w:val="21"/>
                <w:szCs w:val="21"/>
              </w:rPr>
            </w:pPr>
            <w:r>
              <w:rPr>
                <w:rFonts w:ascii="宋体" w:hAnsi="宋体" w:cs="宋体" w:eastAsia="宋体" w:hint="default"/>
                <w:spacing w:val="-2"/>
                <w:sz w:val="21"/>
                <w:szCs w:val="21"/>
              </w:rPr>
              <w:t>业务密切相关，符合国家政策规定、按照一定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标准定额或定量持续享受的政府补助除外</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20,223,778.87</w:t>
            </w: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20,213,969.39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13,106,262.64</w:t>
            </w:r>
          </w:p>
        </w:tc>
      </w:tr>
      <w:tr>
        <w:trPr>
          <w:trHeight w:val="55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计入当期损益的对非金融企业收取的资金占用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w:t>
            </w:r>
          </w:p>
          <w:p>
            <w:pPr>
              <w:pStyle w:val="TableParagraph"/>
              <w:spacing w:line="240" w:lineRule="auto"/>
              <w:ind w:left="21" w:right="17"/>
              <w:jc w:val="left"/>
              <w:rPr>
                <w:rFonts w:ascii="宋体" w:hAnsi="宋体" w:cs="宋体" w:eastAsia="宋体" w:hint="default"/>
                <w:sz w:val="21"/>
                <w:szCs w:val="21"/>
              </w:rPr>
            </w:pPr>
            <w:r>
              <w:rPr>
                <w:rFonts w:ascii="宋体" w:hAnsi="宋体" w:cs="宋体" w:eastAsia="宋体" w:hint="default"/>
                <w:spacing w:val="-2"/>
                <w:sz w:val="21"/>
                <w:szCs w:val="21"/>
              </w:rPr>
              <w:t>成本小于取得投资时应享有被投资单位可辨认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净资产公允价值产生的收益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因不可抗力因素，如遭受自然灾害而计提的各</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项资产减值准备</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-24,916,800.00</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企业重组费用，如安置职工的支出、整合费用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交易价格显失公允的交易产生的超过公允价值</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部分的损益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日的当期净损益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与公司正常经营业务无关的或有事项产生的损</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w:t>
            </w:r>
          </w:p>
          <w:p>
            <w:pPr>
              <w:pStyle w:val="TableParagraph"/>
              <w:spacing w:line="237" w:lineRule="auto" w:before="2"/>
              <w:ind w:left="21" w:right="17"/>
              <w:jc w:val="both"/>
              <w:rPr>
                <w:rFonts w:ascii="宋体" w:hAnsi="宋体" w:cs="宋体" w:eastAsia="宋体" w:hint="default"/>
                <w:sz w:val="21"/>
                <w:szCs w:val="21"/>
              </w:rPr>
            </w:pPr>
            <w:r>
              <w:rPr>
                <w:rFonts w:ascii="宋体" w:hAnsi="宋体" w:cs="宋体" w:eastAsia="宋体" w:hint="default"/>
                <w:spacing w:val="-2"/>
                <w:sz w:val="21"/>
                <w:szCs w:val="21"/>
              </w:rPr>
              <w:t>务外，持有交易性金融资产、交易性金融负债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产生的公允价值变动损益，以及处置交易性金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融资产、交易性金融负债和可供出售金融资产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取得的投资收益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9,756,289.31</w:t>
            </w: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9,928,962.26</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产公允价值变动产生的损益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益进行一次性调整对当期损益的影响</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-315,995.97</w:t>
            </w: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826,481.35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-941,545.31</w:t>
            </w: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3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
              <w:jc w:val="right"/>
              <w:rPr>
                <w:rFonts w:ascii="Times New Roman" w:hAnsi="Times New Roman" w:cs="Times New Roman" w:eastAsia="Times New Roman" w:hint="default"/>
                <w:sz w:val="21"/>
                <w:szCs w:val="21"/>
              </w:rPr>
            </w:pPr>
            <w:r>
              <w:rPr>
                <w:rFonts w:ascii="Times New Roman"/>
                <w:spacing w:val="-1"/>
                <w:sz w:val="21"/>
              </w:rPr>
              <w:t>-9,433,962.30</w:t>
            </w: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-648,954.44</w:t>
            </w: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-764,288.92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-1,529,529.47</w:t>
            </w:r>
          </w:p>
        </w:tc>
      </w:tr>
      <w:tr>
        <w:trPr>
          <w:trHeight w:val="281"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-18,406,481.80</w:t>
            </w: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-3,893,156.24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-1,885,461.63</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100,558,196.84</w:t>
            </w:r>
          </w:p>
        </w:tc>
        <w:tc>
          <w:tcPr>
            <w:tcW w:w="698"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20,896,167.71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8,552,178.95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tabs>
          <w:tab w:pos="1017" w:val="left" w:leader="none"/>
        </w:tabs>
        <w:spacing w:line="240" w:lineRule="auto"/>
        <w:ind w:left="178" w:right="142"/>
        <w:jc w:val="left"/>
        <w:rPr>
          <w:b w:val="0"/>
          <w:bCs w:val="0"/>
        </w:rPr>
      </w:pPr>
      <w:r>
        <w:rPr/>
        <w:t>十一、</w:t>
        <w:tab/>
        <w:t>采用公允价值计量的项目</w:t>
      </w:r>
      <w:r>
        <w:rPr>
          <w:b w:val="0"/>
          <w:bCs w:val="0"/>
        </w:rPr>
      </w:r>
    </w:p>
    <w:p>
      <w:pPr>
        <w:tabs>
          <w:tab w:pos="1017" w:val="left" w:leader="none"/>
        </w:tabs>
        <w:spacing w:line="290" w:lineRule="auto" w:before="58"/>
        <w:ind w:left="178" w:right="740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4"/>
        <w:ind w:left="178" w:right="14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20" w:right="112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100"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报告期内公司主要涉及军工装备、智慧能源两大产业。其中，军工装备产业围绕武器装备信</w:t>
      </w:r>
    </w:p>
    <w:p>
      <w:pPr>
        <w:pStyle w:val="BodyText"/>
        <w:spacing w:line="226" w:lineRule="exact"/>
        <w:ind w:right="0"/>
        <w:jc w:val="both"/>
      </w:pPr>
      <w:r>
        <w:rPr>
          <w:spacing w:val="-7"/>
        </w:rPr>
        <w:t>息化等方向开展业务，主要产品有车载通讯指挥系统、舰载作战辅助系统、军用电站和雷达产品；</w:t>
      </w:r>
    </w:p>
    <w:p>
      <w:pPr>
        <w:pStyle w:val="BodyText"/>
        <w:spacing w:line="237" w:lineRule="auto" w:before="2"/>
        <w:ind w:right="208"/>
        <w:jc w:val="both"/>
      </w:pPr>
      <w:r>
        <w:rPr>
          <w:spacing w:val="-1"/>
        </w:rPr>
        <w:t>智慧能源产业围绕能源互联网、电力信息化、智能电源等方向开展业务，主要产品有区域综合能</w:t>
      </w:r>
      <w:r>
        <w:rPr>
          <w:spacing w:val="-55"/>
        </w:rPr>
        <w:t> </w:t>
      </w:r>
      <w:r>
        <w:rPr>
          <w:spacing w:val="-55"/>
        </w:rPr>
      </w:r>
      <w:r>
        <w:rPr>
          <w:spacing w:val="-1"/>
        </w:rPr>
        <w:t>源服务平台、电力信息化相关软件、智能应急电源以及配电自动化产品。目前公司根据业务的不</w:t>
      </w:r>
      <w:r>
        <w:rPr>
          <w:spacing w:val="-55"/>
        </w:rPr>
        <w:t> </w:t>
      </w:r>
      <w:r>
        <w:rPr>
          <w:spacing w:val="-55"/>
        </w:rPr>
      </w:r>
      <w:r>
        <w:rPr/>
        <w:t>同特性，分别采取分销、直销、定制及</w:t>
      </w:r>
      <w:r>
        <w:rPr>
          <w:spacing w:val="-55"/>
        </w:rPr>
        <w:t> </w:t>
      </w:r>
      <w:r>
        <w:rPr>
          <w:rFonts w:ascii="Times New Roman" w:hAnsi="Times New Roman" w:cs="Times New Roman" w:eastAsia="Times New Roman" w:hint="default"/>
        </w:rPr>
        <w:t>EPC</w:t>
      </w:r>
      <w:r>
        <w:rPr>
          <w:rFonts w:ascii="Times New Roman" w:hAnsi="Times New Roman" w:cs="Times New Roman" w:eastAsia="Times New Roman" w:hint="default"/>
          <w:spacing w:val="1"/>
        </w:rPr>
        <w:t> </w:t>
      </w:r>
      <w:r>
        <w:rPr/>
        <w:t>等多种经营模式。</w:t>
      </w:r>
    </w:p>
    <w:p>
      <w:pPr>
        <w:pStyle w:val="BodyText"/>
        <w:spacing w:line="256" w:lineRule="exact"/>
        <w:ind w:left="558" w:right="100"/>
        <w:jc w:val="left"/>
      </w:pPr>
      <w:r>
        <w:rPr/>
        <w:t>公司业务所属行业情况详见本报告“关于公司未来发展的讨论与分析”相关内容。</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660" w:right="1060"/>
        </w:sectPr>
      </w:pPr>
    </w:p>
    <w:p>
      <w:pPr>
        <w:pStyle w:val="Heading2"/>
        <w:spacing w:line="240" w:lineRule="auto"/>
        <w:ind w:right="0"/>
        <w:jc w:val="left"/>
        <w:rPr>
          <w:b w:val="0"/>
          <w:bCs w:val="0"/>
        </w:rPr>
      </w:pPr>
      <w:r>
        <w:rPr>
          <w:spacing w:val="-1"/>
        </w:rPr>
        <w:t>二、报告期内公司主要资产发生重大变化情况的说明</w:t>
      </w:r>
      <w:r>
        <w:rPr>
          <w:b w:val="0"/>
          <w:bCs w:val="0"/>
          <w:spacing w:val="-1"/>
        </w:rPr>
      </w:r>
    </w:p>
    <w:p>
      <w:pPr>
        <w:pStyle w:val="BodyText"/>
        <w:spacing w:line="240" w:lineRule="auto" w:before="59"/>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060"/>
          <w:cols w:num="2" w:equalWidth="0">
            <w:col w:w="4994" w:space="1633"/>
            <w:col w:w="2563"/>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95"/>
        <w:gridCol w:w="1793"/>
        <w:gridCol w:w="1796"/>
        <w:gridCol w:w="1495"/>
        <w:gridCol w:w="1985"/>
      </w:tblGrid>
      <w:tr>
        <w:trPr>
          <w:trHeight w:val="1070"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10" w:right="110"/>
              <w:jc w:val="both"/>
              <w:rPr>
                <w:rFonts w:ascii="宋体" w:hAnsi="宋体" w:cs="宋体" w:eastAsia="宋体" w:hint="default"/>
                <w:sz w:val="21"/>
                <w:szCs w:val="21"/>
              </w:rPr>
            </w:pPr>
            <w:r>
              <w:rPr>
                <w:rFonts w:ascii="宋体" w:hAnsi="宋体" w:cs="宋体" w:eastAsia="宋体" w:hint="default"/>
                <w:sz w:val="21"/>
                <w:szCs w:val="21"/>
              </w:rPr>
              <w:t>本期期末金额</w:t>
            </w:r>
            <w:r>
              <w:rPr>
                <w:rFonts w:ascii="宋体" w:hAnsi="宋体" w:cs="宋体" w:eastAsia="宋体" w:hint="default"/>
                <w:w w:val="100"/>
                <w:sz w:val="21"/>
                <w:szCs w:val="21"/>
              </w:rPr>
              <w:t> </w:t>
            </w: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379"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8"/>
              <w:jc w:val="right"/>
              <w:rPr>
                <w:rFonts w:ascii="宋体" w:hAnsi="宋体" w:cs="宋体" w:eastAsia="宋体" w:hint="default"/>
                <w:sz w:val="21"/>
                <w:szCs w:val="21"/>
              </w:rPr>
            </w:pPr>
            <w:r>
              <w:rPr>
                <w:rFonts w:ascii="宋体"/>
                <w:spacing w:val="-1"/>
                <w:sz w:val="21"/>
              </w:rPr>
              <w:t>122,037,890.84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1"/>
              <w:jc w:val="right"/>
              <w:rPr>
                <w:rFonts w:ascii="宋体" w:hAnsi="宋体" w:cs="宋体" w:eastAsia="宋体" w:hint="default"/>
                <w:sz w:val="21"/>
                <w:szCs w:val="21"/>
              </w:rPr>
            </w:pPr>
            <w:r>
              <w:rPr>
                <w:rFonts w:ascii="宋体"/>
                <w:spacing w:val="-1"/>
                <w:sz w:val="21"/>
              </w:rPr>
              <w:t>83,044,926.00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0"/>
              <w:jc w:val="right"/>
              <w:rPr>
                <w:rFonts w:ascii="宋体" w:hAnsi="宋体" w:cs="宋体" w:eastAsia="宋体" w:hint="default"/>
                <w:sz w:val="21"/>
                <w:szCs w:val="21"/>
              </w:rPr>
            </w:pPr>
            <w:r>
              <w:rPr>
                <w:rFonts w:ascii="宋体"/>
                <w:sz w:val="21"/>
              </w:rPr>
              <w:t>46.95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 w:right="0"/>
              <w:jc w:val="center"/>
              <w:rPr>
                <w:rFonts w:ascii="宋体" w:hAnsi="宋体" w:cs="宋体" w:eastAsia="宋体" w:hint="default"/>
                <w:sz w:val="21"/>
                <w:szCs w:val="21"/>
              </w:rPr>
            </w:pPr>
            <w:r>
              <w:rPr>
                <w:rFonts w:ascii="宋体" w:hAnsi="宋体" w:cs="宋体" w:eastAsia="宋体" w:hint="default"/>
                <w:sz w:val="21"/>
                <w:szCs w:val="21"/>
              </w:rPr>
              <w:t>票据结算增加</w:t>
            </w:r>
          </w:p>
        </w:tc>
      </w:tr>
      <w:tr>
        <w:trPr>
          <w:trHeight w:val="55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spacing w:val="-1"/>
                <w:sz w:val="21"/>
              </w:rPr>
              <w:t>3,681,828,422.10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spacing w:val="-1"/>
                <w:sz w:val="21"/>
              </w:rPr>
              <w:t>2,409,710,286.50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sz w:val="21"/>
              </w:rPr>
              <w:t>52.79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产品验收结算周期</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延长及规模增长</w:t>
            </w:r>
          </w:p>
        </w:tc>
      </w:tr>
      <w:tr>
        <w:trPr>
          <w:trHeight w:val="355"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8"/>
              <w:jc w:val="right"/>
              <w:rPr>
                <w:rFonts w:ascii="宋体" w:hAnsi="宋体" w:cs="宋体" w:eastAsia="宋体" w:hint="default"/>
                <w:sz w:val="21"/>
                <w:szCs w:val="21"/>
              </w:rPr>
            </w:pPr>
            <w:r>
              <w:rPr>
                <w:rFonts w:ascii="宋体"/>
                <w:spacing w:val="-1"/>
                <w:sz w:val="21"/>
              </w:rPr>
              <w:t>319,700,666.20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8"/>
              <w:jc w:val="right"/>
              <w:rPr>
                <w:rFonts w:ascii="宋体" w:hAnsi="宋体" w:cs="宋体" w:eastAsia="宋体" w:hint="default"/>
                <w:sz w:val="21"/>
                <w:szCs w:val="21"/>
              </w:rPr>
            </w:pPr>
            <w:r>
              <w:rPr>
                <w:rFonts w:ascii="宋体"/>
                <w:spacing w:val="-1"/>
                <w:sz w:val="21"/>
              </w:rPr>
              <w:t>226,348,555.71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0"/>
              <w:jc w:val="right"/>
              <w:rPr>
                <w:rFonts w:ascii="宋体" w:hAnsi="宋体" w:cs="宋体" w:eastAsia="宋体" w:hint="default"/>
                <w:sz w:val="21"/>
                <w:szCs w:val="21"/>
              </w:rPr>
            </w:pPr>
            <w:r>
              <w:rPr>
                <w:rFonts w:ascii="宋体"/>
                <w:sz w:val="21"/>
              </w:rPr>
              <w:t>41.24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合同备货增加</w:t>
            </w:r>
          </w:p>
        </w:tc>
      </w:tr>
      <w:tr>
        <w:trPr>
          <w:trHeight w:val="555"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spacing w:val="-1"/>
                <w:sz w:val="21"/>
              </w:rPr>
              <w:t>424,717,086.61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spacing w:val="-1"/>
                <w:sz w:val="21"/>
              </w:rPr>
              <w:t>324,363,783.90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30.94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应收股权转让款及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合并范围变动</w:t>
            </w:r>
          </w:p>
        </w:tc>
      </w:tr>
      <w:tr>
        <w:trPr>
          <w:trHeight w:val="355"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0"/>
              <w:jc w:val="right"/>
              <w:rPr>
                <w:rFonts w:ascii="宋体" w:hAnsi="宋体" w:cs="宋体" w:eastAsia="宋体" w:hint="default"/>
                <w:sz w:val="21"/>
                <w:szCs w:val="21"/>
              </w:rPr>
            </w:pPr>
            <w:r>
              <w:rPr>
                <w:rFonts w:ascii="宋体"/>
                <w:spacing w:val="-1"/>
                <w:sz w:val="21"/>
              </w:rPr>
              <w:t>18,317,054.15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1"/>
              <w:jc w:val="right"/>
              <w:rPr>
                <w:rFonts w:ascii="宋体" w:hAnsi="宋体" w:cs="宋体" w:eastAsia="宋体" w:hint="default"/>
                <w:sz w:val="21"/>
                <w:szCs w:val="21"/>
              </w:rPr>
            </w:pPr>
            <w:r>
              <w:rPr>
                <w:rFonts w:ascii="宋体"/>
                <w:spacing w:val="-1"/>
                <w:sz w:val="21"/>
              </w:rPr>
              <w:t>66,931,381.83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0"/>
              <w:jc w:val="right"/>
              <w:rPr>
                <w:rFonts w:ascii="宋体" w:hAnsi="宋体" w:cs="宋体" w:eastAsia="宋体" w:hint="default"/>
                <w:sz w:val="21"/>
                <w:szCs w:val="21"/>
              </w:rPr>
            </w:pPr>
            <w:r>
              <w:rPr>
                <w:rFonts w:ascii="宋体"/>
                <w:spacing w:val="-1"/>
                <w:sz w:val="21"/>
              </w:rPr>
              <w:t>-72.63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理财产品到期收回</w:t>
            </w:r>
          </w:p>
        </w:tc>
      </w:tr>
      <w:tr>
        <w:trPr>
          <w:trHeight w:val="355"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8"/>
              <w:jc w:val="right"/>
              <w:rPr>
                <w:rFonts w:ascii="宋体" w:hAnsi="宋体" w:cs="宋体" w:eastAsia="宋体" w:hint="default"/>
                <w:sz w:val="21"/>
                <w:szCs w:val="21"/>
              </w:rPr>
            </w:pPr>
            <w:r>
              <w:rPr>
                <w:rFonts w:ascii="宋体"/>
                <w:spacing w:val="-1"/>
                <w:sz w:val="21"/>
              </w:rPr>
              <w:t>703,343,362.81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8"/>
              <w:jc w:val="right"/>
              <w:rPr>
                <w:rFonts w:ascii="宋体" w:hAnsi="宋体" w:cs="宋体" w:eastAsia="宋体" w:hint="default"/>
                <w:sz w:val="21"/>
                <w:szCs w:val="21"/>
              </w:rPr>
            </w:pPr>
            <w:r>
              <w:rPr>
                <w:rFonts w:ascii="宋体"/>
                <w:spacing w:val="-1"/>
                <w:sz w:val="21"/>
              </w:rPr>
              <w:t>436,360,333.08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0"/>
              <w:jc w:val="right"/>
              <w:rPr>
                <w:rFonts w:ascii="宋体" w:hAnsi="宋体" w:cs="宋体" w:eastAsia="宋体" w:hint="default"/>
                <w:sz w:val="21"/>
                <w:szCs w:val="21"/>
              </w:rPr>
            </w:pPr>
            <w:r>
              <w:rPr>
                <w:rFonts w:ascii="宋体"/>
                <w:spacing w:val="-1"/>
                <w:sz w:val="21"/>
              </w:rPr>
              <w:t>61.18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股权投资增加</w:t>
            </w:r>
          </w:p>
        </w:tc>
      </w:tr>
      <w:tr>
        <w:trPr>
          <w:trHeight w:val="355"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8"/>
              <w:jc w:val="right"/>
              <w:rPr>
                <w:rFonts w:ascii="宋体" w:hAnsi="宋体" w:cs="宋体" w:eastAsia="宋体" w:hint="default"/>
                <w:sz w:val="21"/>
                <w:szCs w:val="21"/>
              </w:rPr>
            </w:pPr>
            <w:r>
              <w:rPr>
                <w:rFonts w:ascii="宋体"/>
                <w:spacing w:val="-1"/>
                <w:sz w:val="21"/>
              </w:rPr>
              <w:t>1,229,216,836.64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8"/>
              <w:jc w:val="right"/>
              <w:rPr>
                <w:rFonts w:ascii="宋体" w:hAnsi="宋体" w:cs="宋体" w:eastAsia="宋体" w:hint="default"/>
                <w:sz w:val="21"/>
                <w:szCs w:val="21"/>
              </w:rPr>
            </w:pPr>
            <w:r>
              <w:rPr>
                <w:rFonts w:ascii="宋体"/>
                <w:spacing w:val="-1"/>
                <w:sz w:val="21"/>
              </w:rPr>
              <w:t>787,049,402.71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0"/>
              <w:jc w:val="right"/>
              <w:rPr>
                <w:rFonts w:ascii="宋体" w:hAnsi="宋体" w:cs="宋体" w:eastAsia="宋体" w:hint="default"/>
                <w:sz w:val="21"/>
                <w:szCs w:val="21"/>
              </w:rPr>
            </w:pPr>
            <w:r>
              <w:rPr>
                <w:rFonts w:ascii="宋体"/>
                <w:spacing w:val="-1"/>
                <w:sz w:val="21"/>
              </w:rPr>
              <w:t>56.18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并购上海红生所致</w:t>
            </w:r>
          </w:p>
        </w:tc>
      </w:tr>
      <w:tr>
        <w:trPr>
          <w:trHeight w:val="355"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0"/>
              <w:jc w:val="right"/>
              <w:rPr>
                <w:rFonts w:ascii="宋体" w:hAnsi="宋体" w:cs="宋体" w:eastAsia="宋体" w:hint="default"/>
                <w:sz w:val="21"/>
                <w:szCs w:val="21"/>
              </w:rPr>
            </w:pPr>
            <w:r>
              <w:rPr>
                <w:rFonts w:ascii="宋体"/>
                <w:spacing w:val="-1"/>
                <w:sz w:val="21"/>
              </w:rPr>
              <w:t>15,356,459.14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1"/>
              <w:jc w:val="right"/>
              <w:rPr>
                <w:rFonts w:ascii="宋体" w:hAnsi="宋体" w:cs="宋体" w:eastAsia="宋体" w:hint="default"/>
                <w:sz w:val="21"/>
                <w:szCs w:val="21"/>
              </w:rPr>
            </w:pPr>
            <w:r>
              <w:rPr>
                <w:rFonts w:ascii="宋体"/>
                <w:spacing w:val="-1"/>
                <w:sz w:val="21"/>
              </w:rPr>
              <w:t>5,959,378.87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0"/>
              <w:jc w:val="right"/>
              <w:rPr>
                <w:rFonts w:ascii="宋体" w:hAnsi="宋体" w:cs="宋体" w:eastAsia="宋体" w:hint="default"/>
                <w:sz w:val="21"/>
                <w:szCs w:val="21"/>
              </w:rPr>
            </w:pPr>
            <w:r>
              <w:rPr>
                <w:rFonts w:ascii="宋体"/>
                <w:spacing w:val="-1"/>
                <w:sz w:val="21"/>
              </w:rPr>
              <w:t>157.69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办公装修费用增加</w:t>
            </w:r>
          </w:p>
        </w:tc>
      </w:tr>
      <w:tr>
        <w:trPr>
          <w:trHeight w:val="55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25,372,342.89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1"/>
              <w:jc w:val="right"/>
              <w:rPr>
                <w:rFonts w:ascii="宋体" w:hAnsi="宋体" w:cs="宋体" w:eastAsia="宋体" w:hint="default"/>
                <w:sz w:val="21"/>
                <w:szCs w:val="21"/>
              </w:rPr>
            </w:pPr>
            <w:r>
              <w:rPr>
                <w:rFonts w:ascii="宋体"/>
                <w:spacing w:val="-1"/>
                <w:sz w:val="21"/>
              </w:rPr>
              <w:t>17,753,832.01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42.91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坏账准备对应的递</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延所得税资产增加</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4024" w:val="left" w:leader="none"/>
        </w:tabs>
        <w:spacing w:line="240" w:lineRule="auto" w:before="36"/>
        <w:ind w:right="100"/>
        <w:jc w:val="left"/>
      </w:pPr>
      <w:r>
        <w:rPr>
          <w:w w:val="100"/>
        </w:rPr>
        <w:t>其中</w:t>
      </w:r>
      <w:r>
        <w:rPr>
          <w:spacing w:val="-3"/>
          <w:w w:val="100"/>
        </w:rPr>
        <w:t>：</w:t>
      </w:r>
      <w:r>
        <w:rPr>
          <w:w w:val="100"/>
        </w:rPr>
        <w:t>境</w:t>
      </w:r>
      <w:r>
        <w:rPr>
          <w:spacing w:val="-3"/>
          <w:w w:val="100"/>
        </w:rPr>
        <w:t>外资</w:t>
      </w:r>
      <w:r>
        <w:rPr>
          <w:w w:val="100"/>
        </w:rPr>
        <w:t>产</w:t>
      </w:r>
      <w:r>
        <w:rPr>
          <w:spacing w:val="-53"/>
        </w:rPr>
        <w:t> </w:t>
      </w:r>
      <w:r>
        <w:rPr>
          <w:rFonts w:ascii="Times New Roman" w:hAnsi="Times New Roman" w:cs="Times New Roman" w:eastAsia="Times New Roman" w:hint="default"/>
          <w:w w:val="100"/>
        </w:rPr>
        <w:t>4,1</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89</w:t>
      </w:r>
      <w:r>
        <w:rPr>
          <w:w w:val="100"/>
        </w:rPr>
        <w:t>（</w:t>
      </w:r>
      <w:r>
        <w:rPr>
          <w:spacing w:val="-3"/>
          <w:w w:val="100"/>
        </w:rPr>
        <w:t>单</w:t>
      </w:r>
      <w:r>
        <w:rPr>
          <w:w w:val="100"/>
        </w:rPr>
        <w:t>位</w:t>
      </w:r>
      <w:r>
        <w:rPr>
          <w:spacing w:val="-3"/>
          <w:w w:val="100"/>
        </w:rPr>
        <w:t>：</w:t>
      </w:r>
      <w:r>
        <w:rPr>
          <w:w w:val="100"/>
        </w:rPr>
        <w:t>元</w:t>
      </w:r>
      <w:r>
        <w:rPr/>
        <w:tab/>
      </w:r>
      <w:r>
        <w:rPr>
          <w:w w:val="100"/>
        </w:rPr>
        <w:t>币</w:t>
      </w:r>
      <w:r>
        <w:rPr>
          <w:spacing w:val="-3"/>
          <w:w w:val="100"/>
        </w:rPr>
        <w:t>种</w:t>
      </w:r>
      <w:r>
        <w:rPr>
          <w:spacing w:val="-1"/>
          <w:w w:val="100"/>
        </w:rPr>
        <w:t>：</w:t>
      </w:r>
      <w:r>
        <w:rPr>
          <w:spacing w:val="-3"/>
          <w:w w:val="100"/>
        </w:rPr>
        <w:t>人</w:t>
      </w:r>
      <w:r>
        <w:rPr>
          <w:w w:val="100"/>
        </w:rPr>
        <w:t>民币</w:t>
      </w:r>
      <w:r>
        <w:rPr>
          <w:spacing w:val="-108"/>
          <w:w w:val="100"/>
        </w:rPr>
        <w:t>）</w:t>
      </w:r>
      <w:r>
        <w:rPr>
          <w:w w:val="100"/>
        </w:rPr>
        <w:t>，</w:t>
      </w:r>
      <w:r>
        <w:rPr>
          <w:spacing w:val="-3"/>
          <w:w w:val="100"/>
        </w:rPr>
        <w:t>占</w:t>
      </w:r>
      <w:r>
        <w:rPr>
          <w:w w:val="100"/>
        </w:rPr>
        <w:t>总</w:t>
      </w:r>
      <w:r>
        <w:rPr>
          <w:spacing w:val="-3"/>
          <w:w w:val="100"/>
        </w:rPr>
        <w:t>资</w:t>
      </w:r>
      <w:r>
        <w:rPr>
          <w:w w:val="100"/>
        </w:rPr>
        <w:t>产</w:t>
      </w:r>
      <w:r>
        <w:rPr>
          <w:spacing w:val="-3"/>
          <w:w w:val="100"/>
        </w:rPr>
        <w:t>的</w:t>
      </w:r>
      <w:r>
        <w:rPr>
          <w:w w:val="100"/>
        </w:rPr>
        <w:t>比</w:t>
      </w:r>
      <w:r>
        <w:rPr>
          <w:spacing w:val="-3"/>
          <w:w w:val="100"/>
        </w:rPr>
        <w:t>例</w:t>
      </w:r>
      <w:r>
        <w:rPr>
          <w:w w:val="100"/>
        </w:rPr>
        <w:t>为</w:t>
      </w:r>
      <w:r>
        <w:rPr>
          <w:spacing w:val="-52"/>
        </w:rPr>
        <w:t> </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spacing w:val="-1"/>
          <w:w w:val="100"/>
        </w:rPr>
        <w:t>%</w:t>
      </w:r>
      <w:r>
        <w:rPr>
          <w:w w:val="100"/>
        </w:rPr>
        <w:t>。</w:t>
      </w:r>
    </w:p>
    <w:p>
      <w:pPr>
        <w:spacing w:line="240" w:lineRule="auto" w:before="9"/>
        <w:rPr>
          <w:rFonts w:ascii="宋体" w:hAnsi="宋体" w:cs="宋体" w:eastAsia="宋体" w:hint="default"/>
          <w:sz w:val="21"/>
          <w:szCs w:val="21"/>
        </w:rPr>
      </w:pPr>
    </w:p>
    <w:p>
      <w:pPr>
        <w:pStyle w:val="Heading2"/>
        <w:spacing w:line="240" w:lineRule="auto" w:before="0"/>
        <w:ind w:right="100"/>
        <w:jc w:val="left"/>
        <w:rPr>
          <w:b w:val="0"/>
          <w:bCs w:val="0"/>
        </w:rPr>
      </w:pPr>
      <w:r>
        <w:rPr/>
        <w:t>三、报告期内核心竞争力分析</w:t>
      </w:r>
      <w:r>
        <w:rPr>
          <w:b w:val="0"/>
          <w:bCs w:val="0"/>
        </w:rPr>
      </w:r>
    </w:p>
    <w:p>
      <w:pPr>
        <w:pStyle w:val="BodyText"/>
        <w:spacing w:line="282" w:lineRule="exact" w:before="56"/>
        <w:ind w:right="1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558" w:right="100"/>
        <w:jc w:val="left"/>
      </w:pPr>
      <w:r>
        <w:rPr/>
        <w:t>（一）技术创新优势</w:t>
      </w:r>
    </w:p>
    <w:p>
      <w:pPr>
        <w:pStyle w:val="BodyText"/>
        <w:spacing w:line="237" w:lineRule="auto" w:before="135"/>
        <w:ind w:right="100" w:firstLine="419"/>
        <w:jc w:val="left"/>
      </w:pPr>
      <w:r>
        <w:rPr>
          <w:spacing w:val="-7"/>
          <w:w w:val="100"/>
        </w:rPr>
        <w:t>报告期内，公司以军工装备和智慧能源产业为核心，在“国家级企业技术中心”、“院士工作</w:t>
      </w:r>
      <w:r>
        <w:rPr>
          <w:w w:val="100"/>
        </w:rPr>
        <w:t> </w:t>
      </w:r>
      <w:r>
        <w:rPr>
          <w:spacing w:val="-4"/>
          <w:w w:val="100"/>
        </w:rPr>
        <w:t>站”、“博士后工作站”等高水平的研发平台基础上，建立了军工装备研究院和智慧能源研究院，</w:t>
      </w:r>
      <w:r>
        <w:rPr>
          <w:spacing w:val="-84"/>
          <w:w w:val="100"/>
        </w:rPr>
        <w:t> </w:t>
      </w:r>
      <w:r>
        <w:rPr>
          <w:spacing w:val="-84"/>
          <w:w w:val="100"/>
        </w:rPr>
      </w:r>
      <w:r>
        <w:rPr/>
        <w:t>重点开展战略性、前瞻性的重大研发项目课题攻关。与高校和科研院所进行了全面合作，聘请国</w:t>
      </w:r>
      <w:r>
        <w:rPr>
          <w:spacing w:val="-96"/>
        </w:rPr>
        <w:t> </w:t>
      </w:r>
      <w:r>
        <w:rPr>
          <w:spacing w:val="-96"/>
        </w:rPr>
      </w:r>
      <w:r>
        <w:rPr>
          <w:spacing w:val="-6"/>
        </w:rPr>
        <w:t>内外知名专家学者参与重大项目的研发工作，在公司内部开辟“人才特区”，采取“高知”、“优</w:t>
      </w:r>
      <w:r>
        <w:rPr>
          <w:spacing w:val="-54"/>
        </w:rPr>
        <w:t> </w:t>
      </w:r>
      <w:r>
        <w:rPr>
          <w:spacing w:val="-54"/>
        </w:rPr>
      </w:r>
      <w:r>
        <w:rPr/>
        <w:t>资”的方式集聚挖掘人才，推动产业发展和公司战略的实现。</w:t>
      </w:r>
    </w:p>
    <w:p>
      <w:pPr>
        <w:pStyle w:val="BodyText"/>
        <w:spacing w:line="274" w:lineRule="exact" w:before="22"/>
        <w:ind w:right="204" w:firstLine="419"/>
        <w:jc w:val="left"/>
      </w:pPr>
      <w:r>
        <w:rPr/>
        <w:t>目前，公司拥有研发人员</w:t>
      </w:r>
      <w:r>
        <w:rPr>
          <w:spacing w:val="-34"/>
        </w:rPr>
        <w:t> </w:t>
      </w:r>
      <w:r>
        <w:rPr>
          <w:rFonts w:ascii="宋体" w:hAnsi="宋体" w:cs="宋体" w:eastAsia="宋体" w:hint="default"/>
        </w:rPr>
        <w:t>1,260</w:t>
      </w:r>
      <w:r>
        <w:rPr>
          <w:rFonts w:ascii="宋体" w:hAnsi="宋体" w:cs="宋体" w:eastAsia="宋体" w:hint="default"/>
          <w:spacing w:val="-34"/>
        </w:rPr>
        <w:t> </w:t>
      </w:r>
      <w:r>
        <w:rPr/>
        <w:t>余人，占公司总人数的</w:t>
      </w:r>
      <w:r>
        <w:rPr>
          <w:spacing w:val="-32"/>
        </w:rPr>
        <w:t> </w:t>
      </w:r>
      <w:r>
        <w:rPr>
          <w:rFonts w:ascii="宋体" w:hAnsi="宋体" w:cs="宋体" w:eastAsia="宋体" w:hint="default"/>
        </w:rPr>
        <w:t>40%</w:t>
      </w:r>
      <w:r>
        <w:rPr/>
        <w:t>以上，拥有有效授权专利和著作</w:t>
      </w:r>
      <w:r>
        <w:rPr>
          <w:w w:val="100"/>
        </w:rPr>
        <w:t> </w:t>
      </w:r>
      <w:r>
        <w:rPr/>
        <w:t>权</w:t>
      </w:r>
      <w:r>
        <w:rPr>
          <w:spacing w:val="-51"/>
        </w:rPr>
        <w:t> </w:t>
      </w:r>
      <w:r>
        <w:rPr>
          <w:rFonts w:ascii="宋体" w:hAnsi="宋体" w:cs="宋体" w:eastAsia="宋体" w:hint="default"/>
        </w:rPr>
        <w:t>1,600</w:t>
      </w:r>
      <w:r>
        <w:rPr>
          <w:rFonts w:ascii="宋体" w:hAnsi="宋体" w:cs="宋体" w:eastAsia="宋体" w:hint="default"/>
          <w:spacing w:val="-54"/>
        </w:rPr>
        <w:t> </w:t>
      </w:r>
      <w:r>
        <w:rPr/>
        <w:t>余项。报告期内公司完成开发新产品、新工艺、新技术</w:t>
      </w:r>
      <w:r>
        <w:rPr>
          <w:spacing w:val="-51"/>
        </w:rPr>
        <w:t> </w:t>
      </w:r>
      <w:r>
        <w:rPr>
          <w:rFonts w:ascii="宋体" w:hAnsi="宋体" w:cs="宋体" w:eastAsia="宋体" w:hint="default"/>
        </w:rPr>
        <w:t>76</w:t>
      </w:r>
      <w:r>
        <w:rPr>
          <w:rFonts w:ascii="宋体" w:hAnsi="宋体" w:cs="宋体" w:eastAsia="宋体" w:hint="default"/>
          <w:spacing w:val="-51"/>
        </w:rPr>
        <w:t> </w:t>
      </w:r>
      <w:r>
        <w:rPr/>
        <w:t>项；参与</w:t>
      </w:r>
      <w:r>
        <w:rPr>
          <w:spacing w:val="-51"/>
        </w:rPr>
        <w:t> </w:t>
      </w:r>
      <w:r>
        <w:rPr>
          <w:rFonts w:ascii="宋体" w:hAnsi="宋体" w:cs="宋体" w:eastAsia="宋体" w:hint="default"/>
        </w:rPr>
        <w:t>15</w:t>
      </w:r>
      <w:r>
        <w:rPr>
          <w:rFonts w:ascii="宋体" w:hAnsi="宋体" w:cs="宋体" w:eastAsia="宋体" w:hint="default"/>
          <w:spacing w:val="-54"/>
        </w:rPr>
        <w:t> </w:t>
      </w:r>
      <w:r>
        <w:rPr/>
        <w:t>项国家及行业标</w:t>
      </w:r>
    </w:p>
    <w:p>
      <w:pPr>
        <w:pStyle w:val="BodyText"/>
        <w:spacing w:line="246" w:lineRule="exact"/>
        <w:ind w:right="100"/>
        <w:jc w:val="left"/>
      </w:pPr>
      <w:r>
        <w:rPr>
          <w:spacing w:val="-4"/>
        </w:rPr>
        <w:t>准制修订；完成</w:t>
      </w:r>
      <w:r>
        <w:rPr>
          <w:spacing w:val="-37"/>
        </w:rPr>
        <w:t> </w:t>
      </w:r>
      <w:r>
        <w:rPr>
          <w:rFonts w:ascii="宋体" w:hAnsi="宋体" w:cs="宋体" w:eastAsia="宋体" w:hint="default"/>
        </w:rPr>
        <w:t>25</w:t>
      </w:r>
      <w:r>
        <w:rPr>
          <w:rFonts w:ascii="宋体" w:hAnsi="宋体" w:cs="宋体" w:eastAsia="宋体" w:hint="default"/>
          <w:spacing w:val="-37"/>
        </w:rPr>
        <w:t> </w:t>
      </w:r>
      <w:r>
        <w:rPr>
          <w:spacing w:val="-4"/>
        </w:rPr>
        <w:t>项新产品、新技术、新工艺省级及以上鉴定验收，其中国际先进</w:t>
      </w:r>
      <w:r>
        <w:rPr>
          <w:spacing w:val="-35"/>
        </w:rPr>
        <w:t> </w:t>
      </w:r>
      <w:r>
        <w:rPr>
          <w:rFonts w:ascii="宋体" w:hAnsi="宋体" w:cs="宋体" w:eastAsia="宋体" w:hint="default"/>
        </w:rPr>
        <w:t>1</w:t>
      </w:r>
      <w:r>
        <w:rPr>
          <w:rFonts w:ascii="宋体" w:hAnsi="宋体" w:cs="宋体" w:eastAsia="宋体" w:hint="default"/>
          <w:spacing w:val="-37"/>
        </w:rPr>
        <w:t> </w:t>
      </w:r>
      <w:r>
        <w:rPr>
          <w:spacing w:val="-6"/>
        </w:rPr>
        <w:t>项、国内领</w:t>
      </w:r>
    </w:p>
    <w:p>
      <w:pPr>
        <w:pStyle w:val="BodyText"/>
        <w:spacing w:line="273" w:lineRule="exact"/>
        <w:ind w:right="100"/>
        <w:jc w:val="left"/>
      </w:pPr>
      <w:r>
        <w:rPr/>
        <w:t>先</w:t>
      </w:r>
      <w:r>
        <w:rPr>
          <w:spacing w:val="-53"/>
        </w:rPr>
        <w:t> </w:t>
      </w:r>
      <w:r>
        <w:rPr>
          <w:rFonts w:ascii="宋体" w:hAnsi="宋体" w:cs="宋体" w:eastAsia="宋体" w:hint="default"/>
        </w:rPr>
        <w:t>18</w:t>
      </w:r>
      <w:r>
        <w:rPr>
          <w:rFonts w:ascii="宋体" w:hAnsi="宋体" w:cs="宋体" w:eastAsia="宋体" w:hint="default"/>
          <w:spacing w:val="-53"/>
        </w:rPr>
        <w:t> </w:t>
      </w:r>
      <w:r>
        <w:rPr/>
        <w:t>项、国内先进</w:t>
      </w:r>
      <w:r>
        <w:rPr>
          <w:spacing w:val="-53"/>
        </w:rPr>
        <w:t> </w:t>
      </w:r>
      <w:r>
        <w:rPr>
          <w:rFonts w:ascii="宋体" w:hAnsi="宋体" w:cs="宋体" w:eastAsia="宋体" w:hint="default"/>
        </w:rPr>
        <w:t>6</w:t>
      </w:r>
      <w:r>
        <w:rPr>
          <w:rFonts w:ascii="宋体" w:hAnsi="宋体" w:cs="宋体" w:eastAsia="宋体" w:hint="default"/>
          <w:spacing w:val="-53"/>
        </w:rPr>
        <w:t> </w:t>
      </w:r>
      <w:r>
        <w:rPr/>
        <w:t>项；公司专利受理</w:t>
      </w:r>
      <w:r>
        <w:rPr>
          <w:spacing w:val="-52"/>
        </w:rPr>
        <w:t> </w:t>
      </w:r>
      <w:r>
        <w:rPr>
          <w:rFonts w:ascii="宋体" w:hAnsi="宋体" w:cs="宋体" w:eastAsia="宋体" w:hint="default"/>
        </w:rPr>
        <w:t>404</w:t>
      </w:r>
      <w:r>
        <w:rPr>
          <w:rFonts w:ascii="宋体" w:hAnsi="宋体" w:cs="宋体" w:eastAsia="宋体" w:hint="default"/>
          <w:spacing w:val="-53"/>
        </w:rPr>
        <w:t> </w:t>
      </w:r>
      <w:r>
        <w:rPr/>
        <w:t>件，授权</w:t>
      </w:r>
      <w:r>
        <w:rPr>
          <w:spacing w:val="-52"/>
        </w:rPr>
        <w:t> </w:t>
      </w:r>
      <w:r>
        <w:rPr>
          <w:rFonts w:ascii="宋体" w:hAnsi="宋体" w:cs="宋体" w:eastAsia="宋体" w:hint="default"/>
        </w:rPr>
        <w:t>269</w:t>
      </w:r>
      <w:r>
        <w:rPr>
          <w:rFonts w:ascii="宋体" w:hAnsi="宋体" w:cs="宋体" w:eastAsia="宋体" w:hint="default"/>
          <w:spacing w:val="-53"/>
        </w:rPr>
        <w:t> </w:t>
      </w:r>
      <w:r>
        <w:rPr/>
        <w:t>件，其中发明专利授权</w:t>
      </w:r>
      <w:r>
        <w:rPr>
          <w:spacing w:val="-52"/>
        </w:rPr>
        <w:t> </w:t>
      </w:r>
      <w:r>
        <w:rPr>
          <w:rFonts w:ascii="宋体" w:hAnsi="宋体" w:cs="宋体" w:eastAsia="宋体" w:hint="default"/>
        </w:rPr>
        <w:t>19</w:t>
      </w:r>
      <w:r>
        <w:rPr>
          <w:rFonts w:ascii="宋体" w:hAnsi="宋体" w:cs="宋体" w:eastAsia="宋体" w:hint="default"/>
          <w:spacing w:val="-53"/>
        </w:rPr>
        <w:t> </w:t>
      </w:r>
      <w:r>
        <w:rPr/>
        <w:t>件，获得软</w:t>
      </w:r>
    </w:p>
    <w:p>
      <w:pPr>
        <w:pStyle w:val="BodyText"/>
        <w:spacing w:line="272" w:lineRule="exact"/>
        <w:ind w:right="100"/>
        <w:jc w:val="left"/>
      </w:pPr>
      <w:r>
        <w:rPr/>
        <w:t>件著作权</w:t>
      </w:r>
      <w:r>
        <w:rPr>
          <w:spacing w:val="-47"/>
        </w:rPr>
        <w:t> </w:t>
      </w:r>
      <w:r>
        <w:rPr>
          <w:rFonts w:ascii="宋体" w:hAnsi="宋体" w:cs="宋体" w:eastAsia="宋体" w:hint="default"/>
        </w:rPr>
        <w:t>70</w:t>
      </w:r>
      <w:r>
        <w:rPr>
          <w:rFonts w:ascii="宋体" w:hAnsi="宋体" w:cs="宋体" w:eastAsia="宋体" w:hint="default"/>
          <w:spacing w:val="-47"/>
        </w:rPr>
        <w:t> </w:t>
      </w:r>
      <w:r>
        <w:rPr>
          <w:spacing w:val="-5"/>
        </w:rPr>
        <w:t>项，荣获省科技进步奖</w:t>
      </w:r>
      <w:r>
        <w:rPr>
          <w:spacing w:val="-46"/>
        </w:rPr>
        <w:t> </w:t>
      </w:r>
      <w:r>
        <w:rPr>
          <w:rFonts w:ascii="宋体" w:hAnsi="宋体" w:cs="宋体" w:eastAsia="宋体" w:hint="default"/>
        </w:rPr>
        <w:t>1</w:t>
      </w:r>
      <w:r>
        <w:rPr>
          <w:rFonts w:ascii="宋体" w:hAnsi="宋体" w:cs="宋体" w:eastAsia="宋体" w:hint="default"/>
          <w:spacing w:val="-50"/>
        </w:rPr>
        <w:t> </w:t>
      </w:r>
      <w:r>
        <w:rPr>
          <w:spacing w:val="-5"/>
        </w:rPr>
        <w:t>项、省国防科技进步奖</w:t>
      </w:r>
      <w:r>
        <w:rPr>
          <w:spacing w:val="-47"/>
        </w:rPr>
        <w:t> </w:t>
      </w:r>
      <w:r>
        <w:rPr>
          <w:rFonts w:ascii="宋体" w:hAnsi="宋体" w:cs="宋体" w:eastAsia="宋体" w:hint="default"/>
        </w:rPr>
        <w:t>2</w:t>
      </w:r>
      <w:r>
        <w:rPr>
          <w:rFonts w:ascii="宋体" w:hAnsi="宋体" w:cs="宋体" w:eastAsia="宋体" w:hint="default"/>
          <w:spacing w:val="-50"/>
        </w:rPr>
        <w:t> </w:t>
      </w:r>
      <w:r>
        <w:rPr>
          <w:spacing w:val="-5"/>
        </w:rPr>
        <w:t>项、市科技进步奖</w:t>
      </w:r>
      <w:r>
        <w:rPr>
          <w:spacing w:val="-46"/>
        </w:rPr>
        <w:t> </w:t>
      </w:r>
      <w:r>
        <w:rPr>
          <w:rFonts w:ascii="宋体" w:hAnsi="宋体" w:cs="宋体" w:eastAsia="宋体" w:hint="default"/>
        </w:rPr>
        <w:t>2</w:t>
      </w:r>
      <w:r>
        <w:rPr>
          <w:rFonts w:ascii="宋体" w:hAnsi="宋体" w:cs="宋体" w:eastAsia="宋体" w:hint="default"/>
          <w:spacing w:val="-50"/>
        </w:rPr>
        <w:t> </w:t>
      </w:r>
      <w:r>
        <w:rPr/>
        <w:t>项及技术发明</w:t>
      </w:r>
    </w:p>
    <w:p>
      <w:pPr>
        <w:pStyle w:val="BodyText"/>
        <w:spacing w:line="274" w:lineRule="exact"/>
        <w:ind w:right="100"/>
        <w:jc w:val="left"/>
      </w:pPr>
      <w:r>
        <w:rPr/>
        <w:t>奖</w:t>
      </w:r>
      <w:r>
        <w:rPr>
          <w:spacing w:val="-53"/>
        </w:rPr>
        <w:t> </w:t>
      </w:r>
      <w:r>
        <w:rPr>
          <w:rFonts w:ascii="宋体" w:hAnsi="宋体" w:cs="宋体" w:eastAsia="宋体" w:hint="default"/>
        </w:rPr>
        <w:t>1</w:t>
      </w:r>
      <w:r>
        <w:rPr>
          <w:rFonts w:ascii="宋体" w:hAnsi="宋体" w:cs="宋体" w:eastAsia="宋体" w:hint="default"/>
          <w:spacing w:val="-53"/>
        </w:rPr>
        <w:t> </w:t>
      </w:r>
      <w:r>
        <w:rPr>
          <w:spacing w:val="-13"/>
        </w:rPr>
        <w:t>项；入选</w:t>
      </w:r>
      <w:r>
        <w:rPr>
          <w:spacing w:val="-53"/>
        </w:rPr>
        <w:t> </w:t>
      </w:r>
      <w:r>
        <w:rPr>
          <w:rFonts w:ascii="宋体" w:hAnsi="宋体" w:cs="宋体" w:eastAsia="宋体" w:hint="default"/>
        </w:rPr>
        <w:t>2017</w:t>
      </w:r>
      <w:r>
        <w:rPr>
          <w:rFonts w:ascii="宋体" w:hAnsi="宋体" w:cs="宋体" w:eastAsia="宋体" w:hint="default"/>
          <w:spacing w:val="-55"/>
        </w:rPr>
        <w:t> </w:t>
      </w:r>
      <w:r>
        <w:rPr/>
        <w:t>全球新能源企业</w:t>
      </w:r>
      <w:r>
        <w:rPr>
          <w:spacing w:val="-52"/>
        </w:rPr>
        <w:t> </w:t>
      </w:r>
      <w:r>
        <w:rPr>
          <w:rFonts w:ascii="宋体" w:hAnsi="宋体" w:cs="宋体" w:eastAsia="宋体" w:hint="default"/>
        </w:rPr>
        <w:t>500</w:t>
      </w:r>
      <w:r>
        <w:rPr>
          <w:rFonts w:ascii="宋体" w:hAnsi="宋体" w:cs="宋体" w:eastAsia="宋体" w:hint="default"/>
          <w:spacing w:val="-53"/>
        </w:rPr>
        <w:t> </w:t>
      </w:r>
      <w:r>
        <w:rPr/>
        <w:t>强榜单第</w:t>
      </w:r>
      <w:r>
        <w:rPr>
          <w:spacing w:val="-53"/>
        </w:rPr>
        <w:t> </w:t>
      </w:r>
      <w:r>
        <w:rPr>
          <w:rFonts w:ascii="宋体" w:hAnsi="宋体" w:cs="宋体" w:eastAsia="宋体" w:hint="default"/>
        </w:rPr>
        <w:t>252</w:t>
      </w:r>
      <w:r>
        <w:rPr>
          <w:rFonts w:ascii="宋体" w:hAnsi="宋体" w:cs="宋体" w:eastAsia="宋体" w:hint="default"/>
          <w:spacing w:val="-52"/>
        </w:rPr>
        <w:t> </w:t>
      </w:r>
      <w:r>
        <w:rPr>
          <w:spacing w:val="-8"/>
        </w:rPr>
        <w:t>位；公司及下属</w:t>
      </w:r>
      <w:r>
        <w:rPr>
          <w:spacing w:val="-53"/>
        </w:rPr>
        <w:t> </w:t>
      </w:r>
      <w:r>
        <w:rPr>
          <w:rFonts w:ascii="宋体" w:hAnsi="宋体" w:cs="宋体" w:eastAsia="宋体" w:hint="default"/>
        </w:rPr>
        <w:t>6</w:t>
      </w:r>
      <w:r>
        <w:rPr>
          <w:rFonts w:ascii="宋体" w:hAnsi="宋体" w:cs="宋体" w:eastAsia="宋体" w:hint="default"/>
          <w:spacing w:val="-55"/>
        </w:rPr>
        <w:t> </w:t>
      </w:r>
      <w:r>
        <w:rPr/>
        <w:t>家子公司被认定为“国家</w:t>
      </w:r>
    </w:p>
    <w:p>
      <w:pPr>
        <w:spacing w:after="0" w:line="274" w:lineRule="exact"/>
        <w:jc w:val="left"/>
        <w:sectPr>
          <w:type w:val="continuous"/>
          <w:pgSz w:w="11910" w:h="16840"/>
          <w:pgMar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right="307"/>
        <w:jc w:val="both"/>
      </w:pPr>
      <w:r>
        <w:rPr>
          <w:spacing w:val="-1"/>
        </w:rPr>
        <w:t>级高新技术企业”；在人才培养方面，公司通过与东南大学、华中科技大学等多所高校形成校企</w:t>
      </w:r>
      <w:r>
        <w:rPr>
          <w:spacing w:val="-55"/>
        </w:rPr>
        <w:t> </w:t>
      </w:r>
      <w:r>
        <w:rPr>
          <w:spacing w:val="-55"/>
        </w:rPr>
      </w:r>
      <w:r>
        <w:rPr/>
        <w:t>合作，推进人才培养、实践教学、产学研一体化模式。</w:t>
      </w:r>
    </w:p>
    <w:p>
      <w:pPr>
        <w:pStyle w:val="BodyText"/>
        <w:spacing w:line="274" w:lineRule="exact" w:before="22"/>
        <w:ind w:right="0" w:firstLine="419"/>
        <w:jc w:val="left"/>
      </w:pPr>
      <w:r>
        <w:rPr>
          <w:spacing w:val="-2"/>
        </w:rPr>
        <w:t>在军工装备领域，公司专注于部队、武警、公安及人防、应急保障等军工市场，装备的研制</w:t>
      </w:r>
      <w:r>
        <w:rPr>
          <w:w w:val="100"/>
        </w:rPr>
        <w:t> </w:t>
      </w:r>
      <w:r>
        <w:rPr/>
        <w:t>围绕体系化、模块化、高机动、高效信息处理等适应未来联合作战需求的目标发展。</w:t>
      </w:r>
    </w:p>
    <w:p>
      <w:pPr>
        <w:pStyle w:val="BodyText"/>
        <w:spacing w:line="245" w:lineRule="exact"/>
        <w:ind w:right="0" w:firstLine="419"/>
        <w:jc w:val="left"/>
      </w:pPr>
      <w:r>
        <w:rPr/>
        <w:t>报告期内，公司以高机动通信指挥平台、多体系通信组网系统、高精度雷达、野外综合保障</w:t>
      </w:r>
    </w:p>
    <w:p>
      <w:pPr>
        <w:pStyle w:val="BodyText"/>
        <w:spacing w:line="237" w:lineRule="auto" w:before="2"/>
        <w:ind w:right="307"/>
        <w:jc w:val="both"/>
      </w:pPr>
      <w:r>
        <w:rPr>
          <w:spacing w:val="-1"/>
        </w:rPr>
        <w:t>发电技术和电机特种应用技术为重点研发方向，多项科研项目列入军队预研和型研计划；公司首</w:t>
      </w:r>
      <w:r>
        <w:rPr>
          <w:spacing w:val="-55"/>
        </w:rPr>
        <w:t> </w:t>
      </w:r>
      <w:r>
        <w:rPr>
          <w:spacing w:val="-55"/>
        </w:rPr>
      </w:r>
      <w:r>
        <w:rPr>
          <w:spacing w:val="-1"/>
        </w:rPr>
        <w:t>次成功中标中国商飞公司机载电机控制器项目，标志公司正式进入飞机机载行业领域；在中国人</w:t>
      </w:r>
      <w:r>
        <w:rPr>
          <w:spacing w:val="-55"/>
        </w:rPr>
        <w:t> </w:t>
      </w:r>
      <w:r>
        <w:rPr>
          <w:spacing w:val="-55"/>
        </w:rPr>
      </w:r>
      <w:r>
        <w:rPr>
          <w:spacing w:val="-1"/>
          <w:w w:val="100"/>
        </w:rPr>
        <w:t>民解放军建军</w:t>
      </w:r>
      <w:r>
        <w:rPr>
          <w:spacing w:val="-40"/>
          <w:w w:val="100"/>
        </w:rPr>
        <w:t> </w:t>
      </w:r>
      <w:r>
        <w:rPr>
          <w:rFonts w:ascii="宋体" w:hAnsi="宋体" w:cs="宋体" w:eastAsia="宋体" w:hint="default"/>
          <w:spacing w:val="-2"/>
          <w:w w:val="100"/>
        </w:rPr>
        <w:t>90</w:t>
      </w:r>
      <w:r>
        <w:rPr>
          <w:rFonts w:ascii="宋体" w:hAnsi="宋体" w:cs="宋体" w:eastAsia="宋体" w:hint="default"/>
          <w:spacing w:val="-40"/>
          <w:w w:val="100"/>
        </w:rPr>
        <w:t> </w:t>
      </w:r>
      <w:r>
        <w:rPr>
          <w:spacing w:val="-5"/>
          <w:w w:val="100"/>
        </w:rPr>
        <w:t>周年朱日和阅兵仪式上，公司自主研发的某型接入节点车和某型干线节点车作为</w:t>
      </w:r>
      <w:r>
        <w:rPr>
          <w:spacing w:val="-100"/>
          <w:w w:val="100"/>
        </w:rPr>
        <w:t> </w:t>
      </w:r>
      <w:r>
        <w:rPr>
          <w:spacing w:val="-100"/>
          <w:w w:val="100"/>
        </w:rPr>
      </w:r>
      <w:r>
        <w:rPr>
          <w:spacing w:val="-1"/>
        </w:rPr>
        <w:t>主要地面装备列入综合保障群的信息通信保障方队、信息作战群的电子对抗方队接受检阅；多型</w:t>
      </w:r>
      <w:r>
        <w:rPr>
          <w:spacing w:val="-55"/>
        </w:rPr>
        <w:t> </w:t>
      </w:r>
      <w:r>
        <w:rPr>
          <w:spacing w:val="-55"/>
        </w:rPr>
      </w:r>
      <w:r>
        <w:rPr>
          <w:spacing w:val="-1"/>
        </w:rPr>
        <w:t>电源产品装备于地空导弹方队、海军导弹方队、核常兼备导弹方队参与检阅，参与研制配套生产</w:t>
      </w:r>
      <w:r>
        <w:rPr>
          <w:spacing w:val="-55"/>
        </w:rPr>
        <w:t> </w:t>
      </w:r>
      <w:r>
        <w:rPr>
          <w:spacing w:val="-55"/>
        </w:rPr>
      </w:r>
      <w:r>
        <w:rPr/>
        <w:t>的某型通信车、侦察车等均亮相沙场。</w:t>
      </w:r>
    </w:p>
    <w:p>
      <w:pPr>
        <w:pStyle w:val="BodyText"/>
        <w:spacing w:line="237" w:lineRule="auto" w:before="1"/>
        <w:ind w:right="308" w:firstLine="419"/>
        <w:jc w:val="both"/>
      </w:pPr>
      <w:r>
        <w:rPr>
          <w:spacing w:val="-2"/>
        </w:rPr>
        <w:t>在智慧能源领域，公司专注于能源互联网系统解决方案、电力信息化及运维、配电设备及自</w:t>
      </w:r>
      <w:r>
        <w:rPr>
          <w:w w:val="100"/>
        </w:rPr>
        <w:t> </w:t>
      </w:r>
      <w:r>
        <w:rPr>
          <w:spacing w:val="-1"/>
        </w:rPr>
        <w:t>动化系统、智能应急电源、国际电力工程建设等市场，成为国家电网、南方电网电力调度系统信</w:t>
      </w:r>
      <w:r>
        <w:rPr>
          <w:spacing w:val="-56"/>
        </w:rPr>
        <w:t> </w:t>
      </w:r>
      <w:r>
        <w:rPr>
          <w:spacing w:val="-56"/>
        </w:rPr>
      </w:r>
      <w:r>
        <w:rPr/>
        <w:t>息化业务主流供应商，并积极围绕国家“一带一路”战略，拓展国际电力工程总包业务。</w:t>
      </w:r>
    </w:p>
    <w:p>
      <w:pPr>
        <w:pStyle w:val="BodyText"/>
        <w:spacing w:line="237" w:lineRule="auto"/>
        <w:ind w:right="310" w:firstLine="419"/>
        <w:jc w:val="both"/>
      </w:pPr>
      <w:r>
        <w:rPr>
          <w:spacing w:val="-2"/>
        </w:rPr>
        <w:t>报告期内，公司以能源互联网解决方案、电力运维服务、电网大数据智能配电运维管控、智</w:t>
      </w:r>
      <w:r>
        <w:rPr>
          <w:w w:val="100"/>
        </w:rPr>
        <w:t> </w:t>
      </w:r>
      <w:r>
        <w:rPr/>
        <w:t>能电力调度、配电一体化、燃气电站为重点研发方向，注重将产品和服务与“互联网+”及客户</w:t>
      </w:r>
      <w:r>
        <w:rPr>
          <w:spacing w:val="9"/>
        </w:rPr>
        <w:t> </w:t>
      </w:r>
      <w:r>
        <w:rPr>
          <w:spacing w:val="9"/>
        </w:rPr>
      </w:r>
      <w:r>
        <w:rPr>
          <w:rFonts w:ascii="宋体" w:hAnsi="宋体" w:cs="宋体" w:eastAsia="宋体" w:hint="default"/>
        </w:rPr>
        <w:t>APP</w:t>
      </w:r>
      <w:r>
        <w:rPr>
          <w:rFonts w:ascii="宋体" w:hAnsi="宋体" w:cs="宋体" w:eastAsia="宋体" w:hint="default"/>
          <w:spacing w:val="-53"/>
        </w:rPr>
        <w:t> </w:t>
      </w:r>
      <w:r>
        <w:rPr/>
        <w:t>终端交互结合应用。</w:t>
      </w:r>
    </w:p>
    <w:p>
      <w:pPr>
        <w:pStyle w:val="BodyText"/>
        <w:spacing w:line="237" w:lineRule="auto" w:before="1"/>
        <w:ind w:right="0" w:firstLine="419"/>
        <w:jc w:val="left"/>
      </w:pPr>
      <w:r>
        <w:rPr/>
        <w:t>在智慧能源领域方面，公司承接的四川省工业领域电力需求侧管理工作创新性地结合历史运</w:t>
      </w:r>
      <w:r>
        <w:rPr>
          <w:w w:val="100"/>
        </w:rPr>
        <w:t> </w:t>
      </w:r>
      <w:r>
        <w:rPr>
          <w:spacing w:val="-2"/>
        </w:rPr>
        <w:t>行数据展示了工业能源消费大数据平台的作用；公司承建的“江西省工业能耗在线监测信息平台”</w:t>
      </w:r>
      <w:r>
        <w:rPr>
          <w:spacing w:val="-13"/>
        </w:rPr>
        <w:t> </w:t>
      </w:r>
      <w:r>
        <w:rPr>
          <w:spacing w:val="-13"/>
        </w:rPr>
      </w:r>
      <w:r>
        <w:rPr/>
        <w:t>项目既是全国第一个省级多能源能耗在线监测平台，也是全国首个省市企三级联动用能平台；智</w:t>
      </w:r>
      <w:r>
        <w:rPr>
          <w:spacing w:val="-97"/>
        </w:rPr>
        <w:t> </w:t>
      </w:r>
      <w:r>
        <w:rPr>
          <w:spacing w:val="-97"/>
        </w:rPr>
      </w:r>
      <w:r>
        <w:rPr/>
        <w:t>能化供电服务指挥系统利用</w:t>
      </w:r>
      <w:r>
        <w:rPr>
          <w:spacing w:val="-32"/>
        </w:rPr>
        <w:t> </w:t>
      </w:r>
      <w:r>
        <w:rPr>
          <w:rFonts w:ascii="宋体" w:hAnsi="宋体" w:cs="宋体" w:eastAsia="宋体" w:hint="default"/>
        </w:rPr>
        <w:t>GPS</w:t>
      </w:r>
      <w:r>
        <w:rPr>
          <w:rFonts w:ascii="宋体" w:hAnsi="宋体" w:cs="宋体" w:eastAsia="宋体" w:hint="default"/>
          <w:spacing w:val="-34"/>
        </w:rPr>
        <w:t> </w:t>
      </w:r>
      <w:r>
        <w:rPr/>
        <w:t>定位及导航、</w:t>
      </w:r>
      <w:r>
        <w:rPr>
          <w:rFonts w:ascii="宋体" w:hAnsi="宋体" w:cs="宋体" w:eastAsia="宋体" w:hint="default"/>
        </w:rPr>
        <w:t>GIS</w:t>
      </w:r>
      <w:r>
        <w:rPr>
          <w:rFonts w:ascii="宋体" w:hAnsi="宋体" w:cs="宋体" w:eastAsia="宋体" w:hint="default"/>
          <w:spacing w:val="-34"/>
        </w:rPr>
        <w:t> </w:t>
      </w:r>
      <w:r>
        <w:rPr/>
        <w:t>图形展示、大数据平台以及移动应用等技术，</w:t>
      </w:r>
      <w:r>
        <w:rPr>
          <w:w w:val="100"/>
        </w:rPr>
        <w:t> </w:t>
      </w:r>
      <w:r>
        <w:rPr/>
        <w:t>为配网的高效运维、精准投资、精益管理提供了决策支撑，拓展了公司产品的新市场领域；基于</w:t>
      </w:r>
      <w:r>
        <w:rPr>
          <w:spacing w:val="-97"/>
        </w:rPr>
        <w:t> </w:t>
      </w:r>
      <w:r>
        <w:rPr>
          <w:spacing w:val="-97"/>
        </w:rPr>
      </w:r>
      <w:r>
        <w:rPr/>
        <w:t>优化区间过零换相技术的系列换相终端及三相负荷不平衡自动调节产品通过了入网测试，得到业</w:t>
      </w:r>
      <w:r>
        <w:rPr>
          <w:spacing w:val="-97"/>
        </w:rPr>
        <w:t> </w:t>
      </w:r>
      <w:r>
        <w:rPr>
          <w:spacing w:val="-97"/>
        </w:rPr>
      </w:r>
      <w:r>
        <w:rPr/>
        <w:t>内高度认可和推荐，已与多个企业达成</w:t>
      </w:r>
      <w:r>
        <w:rPr>
          <w:spacing w:val="-50"/>
        </w:rPr>
        <w:t> </w:t>
      </w:r>
      <w:r>
        <w:rPr>
          <w:rFonts w:ascii="宋体" w:hAnsi="宋体" w:cs="宋体" w:eastAsia="宋体" w:hint="default"/>
        </w:rPr>
        <w:t>OEM</w:t>
      </w:r>
      <w:r>
        <w:rPr>
          <w:rFonts w:ascii="宋体" w:hAnsi="宋体" w:cs="宋体" w:eastAsia="宋体" w:hint="default"/>
          <w:spacing w:val="-48"/>
        </w:rPr>
        <w:t> </w:t>
      </w:r>
      <w:r>
        <w:rPr/>
        <w:t>合作意向；智能化交流金属封闭开关设备、集装箱式</w:t>
      </w:r>
      <w:r>
        <w:rPr>
          <w:w w:val="100"/>
        </w:rPr>
        <w:t> </w:t>
      </w:r>
      <w:r>
        <w:rPr/>
        <w:t>微电网系统、基于数据挖掘技术的智能配电网信息化管理系统已列入政府专项科技计划；多机并</w:t>
      </w:r>
      <w:r>
        <w:rPr>
          <w:spacing w:val="-97"/>
        </w:rPr>
        <w:t> </w:t>
      </w:r>
      <w:r>
        <w:rPr>
          <w:spacing w:val="-97"/>
        </w:rPr>
      </w:r>
      <w:r>
        <w:rPr/>
        <w:t>联环保型黑启动集装箱电站解决了大功率柴油发电机组尾气排放处理问题，并通过测试已投入试</w:t>
      </w:r>
      <w:r>
        <w:rPr>
          <w:spacing w:val="-97"/>
        </w:rPr>
        <w:t> </w:t>
      </w:r>
      <w:r>
        <w:rPr>
          <w:spacing w:val="-97"/>
        </w:rPr>
      </w:r>
      <w:r>
        <w:rPr/>
        <w:t>用；多并联模式智能云服务防护型电站采用多项国际创新技术经鉴定达到国际先进水平，并已列</w:t>
      </w:r>
      <w:r>
        <w:rPr>
          <w:spacing w:val="-96"/>
        </w:rPr>
        <w:t> </w:t>
      </w:r>
      <w:r>
        <w:rPr>
          <w:spacing w:val="-96"/>
        </w:rPr>
      </w:r>
      <w:r>
        <w:rPr/>
        <w:t>入省级技术示范项目；首次运用</w:t>
      </w:r>
      <w:r>
        <w:rPr>
          <w:spacing w:val="-47"/>
        </w:rPr>
        <w:t> </w:t>
      </w:r>
      <w:r>
        <w:rPr>
          <w:rFonts w:ascii="宋体" w:hAnsi="宋体" w:cs="宋体" w:eastAsia="宋体" w:hint="default"/>
        </w:rPr>
        <w:t>10kV</w:t>
      </w:r>
      <w:r>
        <w:rPr>
          <w:rFonts w:ascii="宋体" w:hAnsi="宋体" w:cs="宋体" w:eastAsia="宋体" w:hint="default"/>
          <w:spacing w:val="-49"/>
        </w:rPr>
        <w:t> </w:t>
      </w:r>
      <w:r>
        <w:rPr/>
        <w:t>中压发电车旁路并网作业检修架空线路</w:t>
      </w:r>
      <w:r>
        <w:rPr>
          <w:rFonts w:ascii="宋体" w:hAnsi="宋体" w:cs="宋体" w:eastAsia="宋体" w:hint="default"/>
        </w:rPr>
        <w:t>,</w:t>
      </w:r>
      <w:r>
        <w:rPr/>
        <w:t>成功实现不停电作</w:t>
      </w:r>
      <w:r>
        <w:rPr>
          <w:w w:val="100"/>
        </w:rPr>
        <w:t> </w:t>
      </w:r>
      <w:r>
        <w:rPr/>
        <w:t>业，为国家电网、南方电网不停电作业提供了一种新模式。</w:t>
      </w:r>
    </w:p>
    <w:p>
      <w:pPr>
        <w:pStyle w:val="BodyText"/>
        <w:spacing w:line="274" w:lineRule="exact" w:before="22"/>
        <w:ind w:left="558" w:right="0"/>
        <w:jc w:val="left"/>
      </w:pPr>
      <w:r>
        <w:rPr/>
        <w:t>（二）品牌平台优势</w:t>
      </w:r>
      <w:r>
        <w:rPr>
          <w:w w:val="100"/>
        </w:rPr>
        <w:t> </w:t>
      </w:r>
      <w:r>
        <w:rPr>
          <w:spacing w:val="-1"/>
        </w:rPr>
        <w:t>公司荣获江西省第二届“井冈”质量奖提名奖、子公司泰豪科技</w:t>
      </w:r>
      <w:r>
        <w:rPr>
          <w:rFonts w:ascii="宋体" w:hAnsi="宋体" w:cs="宋体" w:eastAsia="宋体" w:hint="default"/>
          <w:spacing w:val="-1"/>
        </w:rPr>
        <w:t>(</w:t>
      </w:r>
      <w:r>
        <w:rPr>
          <w:spacing w:val="-1"/>
        </w:rPr>
        <w:t>深圳</w:t>
      </w:r>
      <w:r>
        <w:rPr>
          <w:rFonts w:ascii="宋体" w:hAnsi="宋体" w:cs="宋体" w:eastAsia="宋体" w:hint="default"/>
          <w:spacing w:val="-1"/>
        </w:rPr>
        <w:t>)</w:t>
      </w:r>
      <w:r>
        <w:rPr>
          <w:spacing w:val="-1"/>
        </w:rPr>
        <w:t>电力技术有限公司获</w:t>
      </w:r>
    </w:p>
    <w:p>
      <w:pPr>
        <w:pStyle w:val="BodyText"/>
        <w:spacing w:line="245" w:lineRule="exact"/>
        <w:ind w:right="0"/>
        <w:jc w:val="both"/>
      </w:pPr>
      <w:r>
        <w:rPr/>
        <w:t>深圳市“2017 年度质量冠军企业奖”、</w:t>
      </w:r>
      <w:r>
        <w:rPr>
          <w:spacing w:val="9"/>
        </w:rPr>
        <w:t> </w:t>
      </w:r>
      <w:r>
        <w:rPr/>
        <w:t>衡阳泰豪通信车辆有限公司获“衡阳市市长质量奖”称</w:t>
      </w:r>
    </w:p>
    <w:p>
      <w:pPr>
        <w:pStyle w:val="BodyText"/>
        <w:spacing w:line="237" w:lineRule="auto" w:before="2"/>
        <w:ind w:right="307"/>
        <w:jc w:val="both"/>
      </w:pPr>
      <w:r>
        <w:rPr>
          <w:spacing w:val="-1"/>
        </w:rPr>
        <w:t>号，公司质量改进活动还取得了全国优秀质量管理小组和全国质量信得过班组的称号。此外，公</w:t>
      </w:r>
      <w:r>
        <w:rPr>
          <w:spacing w:val="-55"/>
        </w:rPr>
        <w:t> </w:t>
      </w:r>
      <w:r>
        <w:rPr>
          <w:spacing w:val="-55"/>
        </w:rPr>
      </w:r>
      <w:r>
        <w:rPr>
          <w:spacing w:val="-1"/>
        </w:rPr>
        <w:t>司还延续“国家火炬计划软件产业基地骨干企业”、“全国质量管理先进企业”、“全国用户满</w:t>
      </w:r>
      <w:r>
        <w:rPr>
          <w:spacing w:val="-54"/>
        </w:rPr>
        <w:t> </w:t>
      </w:r>
      <w:r>
        <w:rPr>
          <w:spacing w:val="-54"/>
        </w:rPr>
      </w:r>
      <w:r>
        <w:rPr/>
        <w:t>意企业”等称号。</w:t>
      </w:r>
    </w:p>
    <w:p>
      <w:pPr>
        <w:pStyle w:val="BodyText"/>
        <w:spacing w:line="237" w:lineRule="auto"/>
        <w:ind w:right="0" w:firstLine="419"/>
        <w:jc w:val="left"/>
      </w:pPr>
      <w:r>
        <w:rPr/>
        <w:t>在军工装备领域，公司以江西泰豪军工集团有限公司为平台，设立在北京的研发中心和营销</w:t>
      </w:r>
      <w:r>
        <w:rPr>
          <w:w w:val="100"/>
        </w:rPr>
        <w:t> </w:t>
      </w:r>
      <w:r>
        <w:rPr/>
        <w:t>中心联合清华泰豪联合装备研究院，紧贴政策中心，密切跟踪市场变化，为公司军工产业的扩张</w:t>
      </w:r>
      <w:r>
        <w:rPr>
          <w:spacing w:val="-97"/>
        </w:rPr>
        <w:t> </w:t>
      </w:r>
      <w:r>
        <w:rPr>
          <w:spacing w:val="-97"/>
        </w:rPr>
      </w:r>
      <w:r>
        <w:rPr>
          <w:spacing w:val="-7"/>
          <w:w w:val="100"/>
        </w:rPr>
        <w:t>提供机构保障。公司多型军工产品亮相建军</w:t>
      </w:r>
      <w:r>
        <w:rPr>
          <w:spacing w:val="-43"/>
          <w:w w:val="100"/>
        </w:rPr>
        <w:t> </w:t>
      </w:r>
      <w:r>
        <w:rPr>
          <w:rFonts w:ascii="宋体" w:hAnsi="宋体" w:cs="宋体" w:eastAsia="宋体" w:hint="default"/>
          <w:w w:val="100"/>
        </w:rPr>
        <w:t>90</w:t>
      </w:r>
      <w:r>
        <w:rPr>
          <w:rFonts w:ascii="宋体" w:hAnsi="宋体" w:cs="宋体" w:eastAsia="宋体" w:hint="default"/>
          <w:spacing w:val="-45"/>
          <w:w w:val="100"/>
        </w:rPr>
        <w:t> </w:t>
      </w:r>
      <w:r>
        <w:rPr>
          <w:spacing w:val="-2"/>
          <w:w w:val="100"/>
        </w:rPr>
        <w:t>周年朱日和沙场大阅兵并获“装备服务优质单位”、</w:t>
      </w:r>
      <w:r>
        <w:rPr>
          <w:spacing w:val="-101"/>
          <w:w w:val="100"/>
        </w:rPr>
        <w:t> </w:t>
      </w:r>
      <w:r>
        <w:rPr>
          <w:spacing w:val="-101"/>
          <w:w w:val="100"/>
        </w:rPr>
      </w:r>
      <w:r>
        <w:rPr>
          <w:spacing w:val="-5"/>
        </w:rPr>
        <w:t>“阅兵保障标兵”、“保障先进个人”等称号，公司军工产品事业部荣获</w:t>
      </w:r>
      <w:r>
        <w:rPr>
          <w:spacing w:val="-46"/>
        </w:rPr>
        <w:t> </w:t>
      </w:r>
      <w:r>
        <w:rPr>
          <w:rFonts w:ascii="宋体" w:hAnsi="宋体" w:cs="宋体" w:eastAsia="宋体" w:hint="default"/>
        </w:rPr>
        <w:t>HT</w:t>
      </w:r>
      <w:r>
        <w:rPr>
          <w:rFonts w:ascii="宋体" w:hAnsi="宋体" w:cs="宋体" w:eastAsia="宋体" w:hint="default"/>
          <w:spacing w:val="-49"/>
        </w:rPr>
        <w:t> </w:t>
      </w:r>
      <w:r>
        <w:rPr/>
        <w:t>二院</w:t>
      </w:r>
      <w:r>
        <w:rPr>
          <w:spacing w:val="-45"/>
        </w:rPr>
        <w:t> </w:t>
      </w:r>
      <w:r>
        <w:rPr>
          <w:rFonts w:ascii="宋体" w:hAnsi="宋体" w:cs="宋体" w:eastAsia="宋体" w:hint="default"/>
        </w:rPr>
        <w:t>X06</w:t>
      </w:r>
      <w:r>
        <w:rPr>
          <w:rFonts w:ascii="宋体" w:hAnsi="宋体" w:cs="宋体" w:eastAsia="宋体" w:hint="default"/>
          <w:spacing w:val="-46"/>
        </w:rPr>
        <w:t> </w:t>
      </w:r>
      <w:r>
        <w:rPr/>
        <w:t>所“优秀供</w:t>
      </w:r>
      <w:r>
        <w:rPr>
          <w:spacing w:val="-74"/>
        </w:rPr>
        <w:t> </w:t>
      </w:r>
      <w:r>
        <w:rPr>
          <w:spacing w:val="-74"/>
        </w:rPr>
      </w:r>
      <w:r>
        <w:rPr>
          <w:spacing w:val="-6"/>
        </w:rPr>
        <w:t>应商”称号。此外，公司作为军民融合深度推进的代表，军工产品出现在央视大型记录片《强军》</w:t>
      </w:r>
    </w:p>
    <w:p>
      <w:pPr>
        <w:pStyle w:val="BodyText"/>
        <w:spacing w:line="237" w:lineRule="auto"/>
        <w:ind w:right="307"/>
        <w:jc w:val="both"/>
      </w:pPr>
      <w:r>
        <w:rPr>
          <w:spacing w:val="10"/>
        </w:rPr>
        <w:t>中，再一次彰显了公司军工领域的雄厚实力；在智能电力领域，公司通过</w:t>
      </w:r>
      <w:r>
        <w:rPr>
          <w:spacing w:val="105"/>
        </w:rPr>
        <w:t> </w:t>
      </w:r>
      <w:r>
        <w:rPr>
          <w:rFonts w:ascii="宋体" w:hAnsi="宋体" w:cs="宋体" w:eastAsia="宋体" w:hint="default"/>
        </w:rPr>
        <w:t>ISO19001:2015</w:t>
      </w:r>
      <w:r>
        <w:rPr/>
        <w:t>、</w:t>
      </w:r>
      <w:r>
        <w:rPr>
          <w:spacing w:val="-97"/>
        </w:rPr>
        <w:t> </w:t>
      </w:r>
      <w:r>
        <w:rPr>
          <w:rFonts w:ascii="宋体" w:hAnsi="宋体" w:cs="宋体" w:eastAsia="宋体" w:hint="default"/>
        </w:rPr>
        <w:t>ISO14001:2015</w:t>
      </w:r>
      <w:r>
        <w:rPr/>
        <w:t>、</w:t>
      </w:r>
      <w:r>
        <w:rPr>
          <w:rFonts w:ascii="宋体" w:hAnsi="宋体" w:cs="宋体" w:eastAsia="宋体" w:hint="default"/>
        </w:rPr>
        <w:t>OHSAS18001:2007</w:t>
      </w:r>
      <w:r>
        <w:rPr>
          <w:rFonts w:ascii="宋体" w:hAnsi="宋体" w:cs="宋体" w:eastAsia="宋体" w:hint="default"/>
          <w:spacing w:val="-32"/>
        </w:rPr>
        <w:t> </w:t>
      </w:r>
      <w:r>
        <w:rPr/>
        <w:t>三体系认证，新增和扩大了</w:t>
      </w:r>
      <w:r>
        <w:rPr>
          <w:spacing w:val="-34"/>
        </w:rPr>
        <w:t> </w:t>
      </w:r>
      <w:r>
        <w:rPr>
          <w:rFonts w:ascii="宋体" w:hAnsi="宋体" w:cs="宋体" w:eastAsia="宋体" w:hint="default"/>
        </w:rPr>
        <w:t>3C</w:t>
      </w:r>
      <w:r>
        <w:rPr>
          <w:rFonts w:ascii="宋体" w:hAnsi="宋体" w:cs="宋体" w:eastAsia="宋体" w:hint="default"/>
          <w:spacing w:val="-34"/>
        </w:rPr>
        <w:t> </w:t>
      </w:r>
      <w:r>
        <w:rPr/>
        <w:t>产品认证、泰尔认证等产品认</w:t>
      </w:r>
      <w:r>
        <w:rPr>
          <w:w w:val="100"/>
        </w:rPr>
        <w:t> </w:t>
      </w:r>
      <w:r>
        <w:rPr>
          <w:spacing w:val="2"/>
        </w:rPr>
        <w:t>证范围；在软件及信息安全服务方面，公司获得了</w:t>
      </w:r>
      <w:r>
        <w:rPr>
          <w:spacing w:val="54"/>
        </w:rPr>
        <w:t> </w:t>
      </w:r>
      <w:r>
        <w:rPr>
          <w:rFonts w:ascii="宋体" w:hAnsi="宋体" w:cs="宋体" w:eastAsia="宋体" w:hint="default"/>
        </w:rPr>
        <w:t>ISO/IEC27001:2013</w:t>
      </w:r>
      <w:r>
        <w:rPr/>
        <w:t>、</w:t>
      </w:r>
      <w:r>
        <w:rPr>
          <w:rFonts w:ascii="宋体" w:hAnsi="宋体" w:cs="宋体" w:eastAsia="宋体" w:hint="default"/>
        </w:rPr>
        <w:t>ISO/IEC20000-1:2011</w:t>
      </w:r>
      <w:r>
        <w:rPr>
          <w:rFonts w:ascii="宋体" w:hAnsi="宋体" w:cs="宋体" w:eastAsia="宋体" w:hint="default"/>
          <w:spacing w:val="-96"/>
        </w:rPr>
        <w:t> </w:t>
      </w:r>
      <w:r>
        <w:rPr>
          <w:rFonts w:ascii="宋体" w:hAnsi="宋体" w:cs="宋体" w:eastAsia="宋体" w:hint="default"/>
          <w:spacing w:val="-96"/>
        </w:rPr>
      </w:r>
      <w:r>
        <w:rPr>
          <w:spacing w:val="-3"/>
          <w:w w:val="100"/>
        </w:rPr>
        <w:t>体系的认证，取得</w:t>
      </w:r>
      <w:r>
        <w:rPr>
          <w:spacing w:val="-27"/>
          <w:w w:val="100"/>
        </w:rPr>
        <w:t> </w:t>
      </w:r>
      <w:r>
        <w:rPr>
          <w:rFonts w:ascii="宋体" w:hAnsi="宋体" w:cs="宋体" w:eastAsia="宋体" w:hint="default"/>
          <w:spacing w:val="-6"/>
          <w:w w:val="100"/>
        </w:rPr>
        <w:t>CMMI5</w:t>
      </w:r>
      <w:r>
        <w:rPr>
          <w:spacing w:val="-6"/>
          <w:w w:val="100"/>
        </w:rPr>
        <w:t>（最高等级）、涉密信息系统集成甲级资质、信息系统集成及服务一级资</w:t>
      </w:r>
      <w:r>
        <w:rPr>
          <w:spacing w:val="-94"/>
          <w:w w:val="100"/>
        </w:rPr>
        <w:t> </w:t>
      </w:r>
      <w:r>
        <w:rPr>
          <w:spacing w:val="-94"/>
          <w:w w:val="100"/>
        </w:rPr>
      </w:r>
      <w:r>
        <w:rPr/>
        <w:t>质等认证、电气安装工程三级资质等资质。</w:t>
      </w:r>
    </w:p>
    <w:p>
      <w:pPr>
        <w:pStyle w:val="BodyText"/>
        <w:spacing w:line="272" w:lineRule="exact" w:before="26"/>
        <w:ind w:left="558" w:right="0"/>
        <w:jc w:val="left"/>
      </w:pPr>
      <w:r>
        <w:rPr/>
        <w:t>（三）质量管理优势</w:t>
      </w:r>
      <w:r>
        <w:rPr>
          <w:w w:val="100"/>
        </w:rPr>
        <w:t> </w:t>
      </w:r>
      <w:r>
        <w:rPr>
          <w:spacing w:val="-2"/>
        </w:rPr>
        <w:t>公司一直坚持推行卓越绩效管理模式，通过申报井冈质量奖的契机，重新评审并明确公司的</w:t>
      </w:r>
    </w:p>
    <w:p>
      <w:pPr>
        <w:pStyle w:val="BodyText"/>
        <w:spacing w:line="272" w:lineRule="exact" w:before="1"/>
        <w:ind w:right="308"/>
        <w:jc w:val="both"/>
      </w:pPr>
      <w:r>
        <w:rPr>
          <w:spacing w:val="-1"/>
        </w:rPr>
        <w:t>战略目标和战略规划，通过实施卓越绩效管理模式，引导公司以系统的方法进行经营管理，这种</w:t>
      </w:r>
      <w:r>
        <w:rPr>
          <w:spacing w:val="-55"/>
        </w:rPr>
        <w:t> </w:t>
      </w:r>
      <w:r>
        <w:rPr>
          <w:spacing w:val="-55"/>
        </w:rPr>
      </w:r>
      <w:r>
        <w:rPr>
          <w:spacing w:val="-1"/>
        </w:rPr>
        <w:t>管理是基于竞争环境和面向未来的，由评价到改进、创新再到评价的循环将持续地推动公司核心</w:t>
      </w:r>
    </w:p>
    <w:p>
      <w:pPr>
        <w:pStyle w:val="BodyText"/>
        <w:spacing w:line="249" w:lineRule="exact"/>
        <w:ind w:right="0"/>
        <w:jc w:val="both"/>
      </w:pPr>
      <w:r>
        <w:rPr/>
        <w:t>竞争力的提升。</w:t>
      </w:r>
    </w:p>
    <w:p>
      <w:pPr>
        <w:spacing w:after="0" w:line="249" w:lineRule="exact"/>
        <w:jc w:val="both"/>
        <w:sectPr>
          <w:pgSz w:w="11910" w:h="16840"/>
          <w:pgMar w:header="880" w:footer="1195" w:top="1120" w:bottom="1380" w:left="1660" w:right="960"/>
        </w:sectPr>
      </w:pPr>
    </w:p>
    <w:p>
      <w:pPr>
        <w:spacing w:line="240" w:lineRule="auto" w:before="4"/>
        <w:rPr>
          <w:rFonts w:ascii="宋体" w:hAnsi="宋体" w:cs="宋体" w:eastAsia="宋体" w:hint="default"/>
          <w:sz w:val="25"/>
          <w:szCs w:val="25"/>
        </w:rPr>
      </w:pPr>
    </w:p>
    <w:p>
      <w:pPr>
        <w:pStyle w:val="BodyText"/>
        <w:spacing w:line="237" w:lineRule="auto" w:before="38"/>
        <w:ind w:left="218" w:right="207" w:firstLine="419"/>
        <w:jc w:val="both"/>
      </w:pPr>
      <w:r>
        <w:rPr>
          <w:spacing w:val="-2"/>
        </w:rPr>
        <w:t>通过第三方测评，顾客满意度、品牌认知度、产品性价比、产品使用方便性、经销商稳定程</w:t>
      </w:r>
      <w:r>
        <w:rPr>
          <w:w w:val="100"/>
        </w:rPr>
        <w:t> </w:t>
      </w:r>
      <w:r>
        <w:rPr>
          <w:spacing w:val="-1"/>
        </w:rPr>
        <w:t>度和顾客忠诚度、产品使用安全性评价、交货及时准确率等指标结果呈现上升趋势，产品质量水</w:t>
      </w:r>
      <w:r>
        <w:rPr>
          <w:spacing w:val="-55"/>
        </w:rPr>
        <w:t> </w:t>
      </w:r>
      <w:r>
        <w:rPr>
          <w:spacing w:val="-55"/>
        </w:rPr>
      </w:r>
      <w:r>
        <w:rPr>
          <w:spacing w:val="-1"/>
        </w:rPr>
        <w:t>平、市场占有率、盈利能力、投资收益和流动资金周转率等大大提高，人力资源开发与管理得到</w:t>
      </w:r>
      <w:r>
        <w:rPr>
          <w:spacing w:val="-55"/>
        </w:rPr>
        <w:t> </w:t>
      </w:r>
      <w:r>
        <w:rPr>
          <w:spacing w:val="-55"/>
        </w:rPr>
      </w:r>
      <w:r>
        <w:rPr>
          <w:spacing w:val="-1"/>
        </w:rPr>
        <w:t>持续改善，员工满意度不断上升，固定资产的保值增值幅度较大，战略合作伙伴数量不断递增，</w:t>
      </w:r>
      <w:r>
        <w:rPr>
          <w:spacing w:val="-54"/>
        </w:rPr>
        <w:t> </w:t>
      </w:r>
      <w:r>
        <w:rPr>
          <w:spacing w:val="-54"/>
        </w:rPr>
      </w:r>
      <w:r>
        <w:rPr/>
        <w:t>综合管理水平得到显得提升，卓越绩效模式为公司发展带来了新的活力。</w:t>
      </w:r>
    </w:p>
    <w:p>
      <w:pPr>
        <w:pStyle w:val="BodyText"/>
        <w:spacing w:line="237" w:lineRule="auto" w:before="1"/>
        <w:ind w:left="218" w:right="208" w:firstLine="419"/>
        <w:jc w:val="both"/>
      </w:pPr>
      <w:r>
        <w:rPr>
          <w:spacing w:val="-2"/>
        </w:rPr>
        <w:t>公司还通过实施供应链管理战略，与优质供应商建立长期战略合作关系，实现高质和高效的</w:t>
      </w:r>
      <w:r>
        <w:rPr>
          <w:w w:val="100"/>
        </w:rPr>
        <w:t> </w:t>
      </w:r>
      <w:r>
        <w:rPr>
          <w:spacing w:val="-1"/>
        </w:rPr>
        <w:t>信息共享，从而取得双赢合作模式。随着近年来公司产业和产能不断增加，公司凭借大客户资源</w:t>
      </w:r>
      <w:r>
        <w:rPr>
          <w:spacing w:val="-55"/>
        </w:rPr>
        <w:t> </w:t>
      </w:r>
      <w:r>
        <w:rPr>
          <w:spacing w:val="-55"/>
        </w:rPr>
      </w:r>
      <w:r>
        <w:rPr>
          <w:spacing w:val="-1"/>
        </w:rPr>
        <w:t>优势、产品设计及工艺技术优势、产品质量优势、快速响应客户需求能力以及成本控制能力等优</w:t>
      </w:r>
      <w:r>
        <w:rPr>
          <w:spacing w:val="-55"/>
        </w:rPr>
        <w:t> </w:t>
      </w:r>
      <w:r>
        <w:rPr>
          <w:spacing w:val="-55"/>
        </w:rPr>
      </w:r>
      <w:r>
        <w:rPr/>
        <w:t>势</w:t>
      </w:r>
      <w:r>
        <w:rPr>
          <w:rFonts w:ascii="Times New Roman" w:hAnsi="Times New Roman" w:cs="Times New Roman" w:eastAsia="Times New Roman" w:hint="default"/>
        </w:rPr>
        <w:t>,</w:t>
      </w:r>
      <w:r>
        <w:rPr/>
        <w:t>使公司核心竞争力与行业地位持续提升。</w:t>
      </w:r>
    </w:p>
    <w:p>
      <w:pPr>
        <w:pStyle w:val="Heading1"/>
        <w:tabs>
          <w:tab w:pos="1260" w:val="left" w:leader="none"/>
        </w:tabs>
        <w:spacing w:line="240" w:lineRule="auto" w:before="28"/>
        <w:ind w:right="0"/>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7"/>
          <w:w w:val="100"/>
          <w:sz w:val="21"/>
          <w:szCs w:val="21"/>
        </w:rPr>
        <w:t>报告期内，我国“军改”、“电改”已取得了阶段性成效，在此背景下，公司的军工装备和智</w:t>
      </w:r>
    </w:p>
    <w:p>
      <w:pPr>
        <w:pStyle w:val="BodyText"/>
        <w:spacing w:line="228" w:lineRule="exact"/>
        <w:ind w:left="218" w:right="0"/>
        <w:jc w:val="left"/>
      </w:pPr>
      <w:r>
        <w:rPr/>
        <w:t>慧能源两大产业较上一年度取得了长足进步，军工装备产业积极拓展新兴领域，定单恢复增长，</w:t>
      </w:r>
    </w:p>
    <w:p>
      <w:pPr>
        <w:pStyle w:val="BodyText"/>
        <w:spacing w:line="240" w:lineRule="auto"/>
        <w:ind w:left="218" w:right="0"/>
        <w:jc w:val="left"/>
      </w:pPr>
      <w:r>
        <w:rPr>
          <w:spacing w:val="-7"/>
        </w:rPr>
        <w:t>智慧能源产业初步完成产业链布局，实现稳定快速增长。在“内生外延、创新发展”工作思路下，</w:t>
      </w:r>
      <w:r>
        <w:rPr>
          <w:spacing w:val="-12"/>
        </w:rPr>
        <w:t> </w:t>
      </w:r>
      <w:r>
        <w:rPr>
          <w:spacing w:val="-12"/>
        </w:rPr>
      </w:r>
      <w:r>
        <w:rPr/>
        <w:t>主要做了如下工作：</w:t>
      </w:r>
    </w:p>
    <w:p>
      <w:pPr>
        <w:pStyle w:val="BodyText"/>
        <w:spacing w:line="235" w:lineRule="auto" w:before="1"/>
        <w:ind w:left="218" w:right="208" w:firstLine="419"/>
        <w:jc w:val="right"/>
      </w:pPr>
      <w:r>
        <w:rPr>
          <w:spacing w:val="-7"/>
        </w:rPr>
        <w:t>军工装备产业，公司依托清华泰豪联合装备研究院、清华长三角研究院平台，引进专业人才、</w:t>
      </w:r>
      <w:r>
        <w:rPr>
          <w:w w:val="100"/>
        </w:rPr>
        <w:t> </w:t>
      </w:r>
      <w:r>
        <w:rPr>
          <w:spacing w:val="-1"/>
        </w:rPr>
        <w:t>加大研发力度，在武器装备信息技术化领域开展高机动通信指挥、多体系通信组网、高精度雷达</w:t>
      </w:r>
      <w:r>
        <w:rPr>
          <w:spacing w:val="-70"/>
        </w:rPr>
        <w:t> </w:t>
      </w:r>
      <w:r>
        <w:rPr>
          <w:spacing w:val="-70"/>
        </w:rPr>
      </w:r>
      <w:r>
        <w:rPr>
          <w:spacing w:val="-1"/>
        </w:rPr>
        <w:t>等关键技术攻关，为公司军工业务的拓展提供技术保障；借军民融合契机，深度整合市场资源，</w:t>
      </w:r>
      <w:r>
        <w:rPr>
          <w:spacing w:val="-70"/>
        </w:rPr>
        <w:t> </w:t>
      </w:r>
      <w:r>
        <w:rPr>
          <w:spacing w:val="-70"/>
        </w:rPr>
      </w:r>
      <w:r>
        <w:rPr>
          <w:spacing w:val="-3"/>
        </w:rPr>
        <w:t>优化军工装备北京营销中心运营模式，实现军工业务的恢复性增长；</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3"/>
        </w:rPr>
        <w:t> </w:t>
      </w:r>
      <w:r>
        <w:rPr>
          <w:spacing w:val="-3"/>
        </w:rPr>
        <w:t>年，公司并购上海红生</w:t>
      </w:r>
      <w:r>
        <w:rPr>
          <w:w w:val="100"/>
        </w:rPr>
        <w:t> </w:t>
      </w:r>
      <w:r>
        <w:rPr>
          <w:spacing w:val="-2"/>
        </w:rPr>
        <w:t>系统工程有限公司，拓宽了在海军市场的产品覆盖范围，有效提升了军工装备产品的盈利能力。</w:t>
      </w:r>
      <w:r>
        <w:rPr>
          <w:spacing w:val="-52"/>
        </w:rPr>
        <w:t> </w:t>
      </w:r>
      <w:r>
        <w:rPr>
          <w:spacing w:val="-52"/>
        </w:rPr>
      </w:r>
      <w:r>
        <w:rPr>
          <w:spacing w:val="-1"/>
        </w:rPr>
        <w:t>智慧能源产业，公司依托清华海峡研究院、德国、美国研究中心等平台，以能源互联网解决</w:t>
      </w:r>
      <w:r>
        <w:rPr>
          <w:w w:val="100"/>
        </w:rPr>
        <w:t> </w:t>
      </w:r>
      <w:r>
        <w:rPr>
          <w:spacing w:val="-1"/>
        </w:rPr>
        <w:t>方案、电网大数据智能配电运维管控为重点研发方向，初步完成了售电云、能效云等产品开发；</w:t>
      </w:r>
      <w:r>
        <w:rPr>
          <w:spacing w:val="-70"/>
        </w:rPr>
        <w:t> </w:t>
      </w:r>
      <w:r>
        <w:rPr>
          <w:spacing w:val="-70"/>
        </w:rPr>
      </w:r>
      <w:r>
        <w:rPr>
          <w:spacing w:val="-1"/>
        </w:rPr>
        <w:t>公司在广州、江西、重庆、贵州等地设立配售电和碳资产管理公司，基本完成公司在智慧能源的</w:t>
      </w:r>
      <w:r>
        <w:rPr>
          <w:spacing w:val="-70"/>
        </w:rPr>
        <w:t> </w:t>
      </w:r>
      <w:r>
        <w:rPr>
          <w:spacing w:val="-70"/>
        </w:rPr>
      </w:r>
      <w:r>
        <w:rPr>
          <w:spacing w:val="-1"/>
        </w:rPr>
        <w:t>产业布局；智能应急电源在原有的分销模式基础上，借助资本手段，整合区域优质产业资源，实</w:t>
      </w:r>
    </w:p>
    <w:p>
      <w:pPr>
        <w:pStyle w:val="BodyText"/>
        <w:spacing w:line="272" w:lineRule="exact"/>
        <w:ind w:left="218" w:right="0"/>
        <w:jc w:val="left"/>
      </w:pPr>
      <w:r>
        <w:rPr/>
        <w:t>现产业规模的迅速提升。</w:t>
      </w:r>
    </w:p>
    <w:p>
      <w:pPr>
        <w:spacing w:line="240" w:lineRule="auto" w:before="3"/>
        <w:rPr>
          <w:rFonts w:ascii="宋体" w:hAnsi="宋体" w:cs="宋体" w:eastAsia="宋体" w:hint="default"/>
          <w:sz w:val="25"/>
          <w:szCs w:val="25"/>
        </w:rPr>
      </w:pPr>
    </w:p>
    <w:p>
      <w:pPr>
        <w:pStyle w:val="Heading2"/>
        <w:spacing w:line="240" w:lineRule="auto" w:before="0"/>
        <w:ind w:left="218" w:right="0"/>
        <w:jc w:val="left"/>
        <w:rPr>
          <w:b w:val="0"/>
          <w:bCs w:val="0"/>
        </w:rPr>
      </w:pPr>
      <w:r>
        <w:rPr/>
        <w:t>二、报告期内主要经营情况</w:t>
      </w:r>
      <w:r>
        <w:rPr>
          <w:b w:val="0"/>
          <w:bCs w:val="0"/>
        </w:rPr>
      </w:r>
    </w:p>
    <w:p>
      <w:pPr>
        <w:pStyle w:val="BodyText"/>
        <w:spacing w:line="281" w:lineRule="exact" w:before="58"/>
        <w:ind w:left="0" w:right="207"/>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年公司实现营业总收入</w:t>
      </w:r>
      <w:r>
        <w:rPr>
          <w:spacing w:val="-55"/>
        </w:rPr>
        <w:t> </w:t>
      </w:r>
      <w:r>
        <w:rPr>
          <w:rFonts w:ascii="Times New Roman" w:hAnsi="Times New Roman" w:cs="Times New Roman" w:eastAsia="Times New Roman" w:hint="default"/>
        </w:rPr>
        <w:t>510,062</w:t>
      </w:r>
      <w:r>
        <w:rPr>
          <w:rFonts w:ascii="Times New Roman" w:hAnsi="Times New Roman" w:cs="Times New Roman" w:eastAsia="Times New Roman" w:hint="default"/>
          <w:spacing w:val="-3"/>
        </w:rPr>
        <w:t> </w:t>
      </w:r>
      <w:r>
        <w:rPr/>
        <w:t>万元，较上年增加</w:t>
      </w:r>
      <w:r>
        <w:rPr>
          <w:spacing w:val="-56"/>
        </w:rPr>
        <w:t> </w:t>
      </w:r>
      <w:r>
        <w:rPr>
          <w:rFonts w:ascii="Times New Roman" w:hAnsi="Times New Roman" w:cs="Times New Roman" w:eastAsia="Times New Roman" w:hint="default"/>
        </w:rPr>
        <w:t>119,868</w:t>
      </w:r>
      <w:r>
        <w:rPr>
          <w:rFonts w:ascii="Times New Roman" w:hAnsi="Times New Roman" w:cs="Times New Roman" w:eastAsia="Times New Roman" w:hint="default"/>
          <w:spacing w:val="-3"/>
        </w:rPr>
        <w:t> </w:t>
      </w:r>
      <w:r>
        <w:rPr/>
        <w:t>万元，增幅</w:t>
      </w:r>
      <w:r>
        <w:rPr>
          <w:spacing w:val="-55"/>
        </w:rPr>
        <w:t> </w:t>
      </w:r>
      <w:r>
        <w:rPr>
          <w:rFonts w:ascii="Times New Roman" w:hAnsi="Times New Roman" w:cs="Times New Roman" w:eastAsia="Times New Roman" w:hint="default"/>
        </w:rPr>
        <w:t>30.72%</w:t>
      </w:r>
      <w:r>
        <w:rPr/>
        <w:t>。实现净</w:t>
      </w:r>
    </w:p>
    <w:p>
      <w:pPr>
        <w:pStyle w:val="BodyText"/>
        <w:spacing w:line="274" w:lineRule="exact" w:before="16"/>
        <w:ind w:left="218" w:right="0"/>
        <w:jc w:val="left"/>
      </w:pPr>
      <w:r>
        <w:rPr/>
        <w:t>利润</w:t>
      </w:r>
      <w:r>
        <w:rPr>
          <w:spacing w:val="-47"/>
        </w:rPr>
        <w:t> </w:t>
      </w:r>
      <w:r>
        <w:rPr>
          <w:rFonts w:ascii="Times New Roman" w:hAnsi="Times New Roman" w:cs="Times New Roman" w:eastAsia="Times New Roman" w:hint="default"/>
        </w:rPr>
        <w:t>25,933</w:t>
      </w:r>
      <w:r>
        <w:rPr>
          <w:rFonts w:ascii="Times New Roman" w:hAnsi="Times New Roman" w:cs="Times New Roman" w:eastAsia="Times New Roman" w:hint="default"/>
          <w:spacing w:val="7"/>
        </w:rPr>
        <w:t> </w:t>
      </w:r>
      <w:r>
        <w:rPr>
          <w:spacing w:val="-11"/>
        </w:rPr>
        <w:t>万元，比上年增加</w:t>
      </w:r>
      <w:r>
        <w:rPr>
          <w:spacing w:val="-45"/>
        </w:rPr>
        <w:t> </w:t>
      </w:r>
      <w:r>
        <w:rPr>
          <w:rFonts w:ascii="Times New Roman" w:hAnsi="Times New Roman" w:cs="Times New Roman" w:eastAsia="Times New Roman" w:hint="default"/>
        </w:rPr>
        <w:t>12,197</w:t>
      </w:r>
      <w:r>
        <w:rPr>
          <w:rFonts w:ascii="Times New Roman" w:hAnsi="Times New Roman" w:cs="Times New Roman" w:eastAsia="Times New Roman" w:hint="default"/>
          <w:spacing w:val="7"/>
        </w:rPr>
        <w:t> </w:t>
      </w:r>
      <w:r>
        <w:rPr>
          <w:spacing w:val="-16"/>
        </w:rPr>
        <w:t>万元，增幅</w:t>
      </w:r>
      <w:r>
        <w:rPr>
          <w:spacing w:val="-47"/>
        </w:rPr>
        <w:t> </w:t>
      </w:r>
      <w:r>
        <w:rPr>
          <w:rFonts w:ascii="Times New Roman" w:hAnsi="Times New Roman" w:cs="Times New Roman" w:eastAsia="Times New Roman" w:hint="default"/>
          <w:spacing w:val="-6"/>
        </w:rPr>
        <w:t>88.79%</w:t>
      </w:r>
      <w:r>
        <w:rPr>
          <w:spacing w:val="-6"/>
        </w:rPr>
        <w:t>，其中归属于母公司净利润</w:t>
      </w:r>
      <w:r>
        <w:rPr>
          <w:spacing w:val="-45"/>
        </w:rPr>
        <w:t> </w:t>
      </w:r>
      <w:r>
        <w:rPr>
          <w:rFonts w:ascii="Times New Roman" w:hAnsi="Times New Roman" w:cs="Times New Roman" w:eastAsia="Times New Roman" w:hint="default"/>
        </w:rPr>
        <w:t>25,193</w:t>
      </w:r>
      <w:r>
        <w:rPr>
          <w:rFonts w:ascii="Times New Roman" w:hAnsi="Times New Roman" w:cs="Times New Roman" w:eastAsia="Times New Roman" w:hint="default"/>
          <w:spacing w:val="7"/>
        </w:rPr>
        <w:t> </w:t>
      </w:r>
      <w:r>
        <w:rPr/>
        <w:t>万元，</w:t>
      </w:r>
      <w:r>
        <w:rPr>
          <w:spacing w:val="-103"/>
        </w:rPr>
        <w:t> </w:t>
      </w:r>
      <w:r>
        <w:rPr>
          <w:spacing w:val="-103"/>
        </w:rPr>
      </w:r>
      <w:r>
        <w:rPr/>
        <w:t>比上年增加</w:t>
      </w:r>
      <w:r>
        <w:rPr>
          <w:spacing w:val="-57"/>
        </w:rPr>
        <w:t> </w:t>
      </w:r>
      <w:r>
        <w:rPr>
          <w:rFonts w:ascii="Times New Roman" w:hAnsi="Times New Roman" w:cs="Times New Roman" w:eastAsia="Times New Roman" w:hint="default"/>
        </w:rPr>
        <w:t>12,811</w:t>
      </w:r>
      <w:r>
        <w:rPr>
          <w:rFonts w:ascii="Times New Roman" w:hAnsi="Times New Roman" w:cs="Times New Roman" w:eastAsia="Times New Roman" w:hint="default"/>
          <w:spacing w:val="-6"/>
        </w:rPr>
        <w:t> </w:t>
      </w:r>
      <w:r>
        <w:rPr/>
        <w:t>万元，增幅</w:t>
      </w:r>
      <w:r>
        <w:rPr>
          <w:spacing w:val="-57"/>
        </w:rPr>
        <w:t> </w:t>
      </w:r>
      <w:r>
        <w:rPr>
          <w:rFonts w:ascii="Times New Roman" w:hAnsi="Times New Roman" w:cs="Times New Roman" w:eastAsia="Times New Roman" w:hint="default"/>
        </w:rPr>
        <w:t>103.45%</w:t>
      </w:r>
      <w:r>
        <w:rPr/>
        <w:t>。</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0"/>
          <w:pgSz w:w="11910" w:h="16840"/>
          <w:pgMar w:footer="1195" w:header="880" w:top="1120" w:bottom="1380" w:left="1580" w:right="1060"/>
        </w:sectPr>
      </w:pPr>
    </w:p>
    <w:p>
      <w:pPr>
        <w:pStyle w:val="Heading2"/>
        <w:tabs>
          <w:tab w:pos="1057" w:val="left" w:leader="none"/>
        </w:tabs>
        <w:spacing w:line="240" w:lineRule="auto"/>
        <w:ind w:left="218"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2"/>
        <w:spacing w:line="240" w:lineRule="auto" w:before="0"/>
        <w:ind w:left="21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8"/>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60"/>
          <w:cols w:num="3" w:equalWidth="0">
            <w:col w:w="2326" w:space="377"/>
            <w:col w:w="4016" w:space="40"/>
            <w:col w:w="251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6"/>
        <w:gridCol w:w="1896"/>
        <w:gridCol w:w="1896"/>
        <w:gridCol w:w="1805"/>
      </w:tblGrid>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5,100,618,164.65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3,901,935,660.39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30.72</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4,249,334,312.89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3,221,342,827.18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31.91</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177,005,089.98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154,335,278.86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14.69</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296,751,000.12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272,283,874.22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8.99</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111,099,161.36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69,523,822.56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59.80</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-363,571,454.29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248,043,589.86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-246.58</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-678,703,319.23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-325,442,508.94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-108.55</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763,962,226.34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463,720,209.61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64.75</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293,257,924.17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168,386,043.07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74.16</w:t>
            </w:r>
          </w:p>
        </w:tc>
      </w:tr>
    </w:tbl>
    <w:p>
      <w:pPr>
        <w:spacing w:line="240" w:lineRule="auto" w:before="5"/>
        <w:rPr>
          <w:rFonts w:ascii="宋体" w:hAnsi="宋体" w:cs="宋体" w:eastAsia="宋体" w:hint="default"/>
          <w:sz w:val="15"/>
          <w:szCs w:val="15"/>
        </w:rPr>
      </w:pPr>
    </w:p>
    <w:p>
      <w:pPr>
        <w:pStyle w:val="BodyText"/>
        <w:spacing w:line="274" w:lineRule="exact" w:before="62"/>
        <w:ind w:left="218" w:right="0"/>
        <w:jc w:val="left"/>
      </w:pPr>
      <w:r>
        <w:rPr/>
        <w:t>营业收入变动原因说明</w:t>
      </w:r>
      <w:r>
        <w:rPr>
          <w:rFonts w:ascii="Calibri" w:hAnsi="Calibri" w:cs="Calibri" w:eastAsia="Calibri" w:hint="default"/>
        </w:rPr>
        <w:t>:</w:t>
      </w:r>
      <w:r>
        <w:rPr/>
        <w:t>营业收入增长原因主要是智慧能源业务的市场拓展，销售规模扩大所致；</w:t>
      </w:r>
      <w:r>
        <w:rPr>
          <w:spacing w:val="-52"/>
        </w:rPr>
        <w:t> </w:t>
      </w:r>
      <w:r>
        <w:rPr>
          <w:spacing w:val="-52"/>
        </w:rPr>
      </w:r>
      <w:r>
        <w:rPr/>
        <w:t>营业成本变动原因说明</w:t>
      </w:r>
      <w:r>
        <w:rPr>
          <w:rFonts w:ascii="Calibri" w:hAnsi="Calibri" w:cs="Calibri" w:eastAsia="Calibri" w:hint="default"/>
        </w:rPr>
        <w:t>:</w:t>
      </w:r>
      <w:r>
        <w:rPr/>
        <w:t>营业成本增长原因同营业收入；</w:t>
      </w:r>
    </w:p>
    <w:p>
      <w:pPr>
        <w:spacing w:after="0" w:line="274" w:lineRule="exact"/>
        <w:jc w:val="left"/>
        <w:sectPr>
          <w:type w:val="continuous"/>
          <w:pgSz w:w="11910" w:h="16840"/>
          <w:pgMar w:top="1120" w:bottom="1380" w:left="1580" w:right="1060"/>
        </w:sectPr>
      </w:pPr>
    </w:p>
    <w:p>
      <w:pPr>
        <w:spacing w:line="240" w:lineRule="auto" w:before="4"/>
        <w:rPr>
          <w:rFonts w:ascii="宋体" w:hAnsi="宋体" w:cs="宋体" w:eastAsia="宋体" w:hint="default"/>
          <w:sz w:val="25"/>
          <w:szCs w:val="25"/>
        </w:rPr>
      </w:pPr>
    </w:p>
    <w:p>
      <w:pPr>
        <w:pStyle w:val="BodyText"/>
        <w:spacing w:line="230" w:lineRule="auto" w:before="46"/>
        <w:ind w:left="218" w:right="0"/>
        <w:jc w:val="left"/>
      </w:pPr>
      <w:r>
        <w:rPr/>
        <w:t>销售费用变动原因说明</w:t>
      </w:r>
      <w:r>
        <w:rPr>
          <w:rFonts w:ascii="Calibri" w:hAnsi="Calibri" w:cs="Calibri" w:eastAsia="Calibri" w:hint="default"/>
        </w:rPr>
        <w:t>:</w:t>
      </w:r>
      <w:r>
        <w:rPr/>
        <w:t>销售费用增加系销售规模扩大及市场开发投入增加所致；</w:t>
      </w:r>
      <w:r>
        <w:rPr>
          <w:w w:val="100"/>
        </w:rPr>
        <w:t> </w:t>
      </w:r>
      <w:r>
        <w:rPr/>
        <w:t>管理费用变动原因说明</w:t>
      </w:r>
      <w:r>
        <w:rPr>
          <w:rFonts w:ascii="Calibri" w:hAnsi="Calibri" w:cs="Calibri" w:eastAsia="Calibri" w:hint="default"/>
        </w:rPr>
        <w:t>:</w:t>
      </w:r>
      <w:r>
        <w:rPr/>
        <w:t>管理费用增加系合并范围增加及技术开发费投入增加所致；</w:t>
      </w:r>
      <w:r>
        <w:rPr>
          <w:w w:val="100"/>
        </w:rPr>
        <w:t> </w:t>
      </w:r>
      <w:r>
        <w:rPr/>
        <w:t>财务费用变动原因说明</w:t>
      </w:r>
      <w:r>
        <w:rPr>
          <w:rFonts w:ascii="Calibri" w:hAnsi="Calibri" w:cs="Calibri" w:eastAsia="Calibri" w:hint="default"/>
        </w:rPr>
        <w:t>:</w:t>
      </w:r>
      <w:r>
        <w:rPr/>
        <w:t>财务费用增加系公司债、中票及银行贷款利息增加所致；</w:t>
      </w:r>
      <w:r>
        <w:rPr>
          <w:w w:val="100"/>
        </w:rPr>
        <w:t> </w:t>
      </w:r>
      <w:r>
        <w:rPr>
          <w:spacing w:val="-2"/>
        </w:rPr>
        <w:t>经营活动产生的现金流量净额变动原因说明</w:t>
      </w:r>
      <w:r>
        <w:rPr>
          <w:rFonts w:ascii="宋体" w:hAnsi="宋体" w:cs="宋体" w:eastAsia="宋体" w:hint="default"/>
          <w:spacing w:val="-2"/>
        </w:rPr>
        <w:t>:</w:t>
      </w:r>
      <w:r>
        <w:rPr>
          <w:spacing w:val="-2"/>
        </w:rPr>
        <w:t>经营活动产生的现金流量净额变动主要是产品验收</w:t>
      </w:r>
      <w:r>
        <w:rPr>
          <w:spacing w:val="-29"/>
        </w:rPr>
        <w:t> </w:t>
      </w:r>
      <w:r>
        <w:rPr>
          <w:spacing w:val="-29"/>
        </w:rPr>
      </w:r>
      <w:r>
        <w:rPr/>
        <w:t>结算周期延长、货款回笼滞后所致；</w:t>
      </w:r>
      <w:r>
        <w:rPr>
          <w:w w:val="100"/>
        </w:rPr>
        <w:t> </w:t>
      </w:r>
      <w:r>
        <w:rPr>
          <w:spacing w:val="-2"/>
        </w:rPr>
        <w:t>投资活动产生的现金流量净额变动原因说明</w:t>
      </w:r>
      <w:r>
        <w:rPr>
          <w:rFonts w:ascii="宋体" w:hAnsi="宋体" w:cs="宋体" w:eastAsia="宋体" w:hint="default"/>
          <w:spacing w:val="-2"/>
        </w:rPr>
        <w:t>:</w:t>
      </w:r>
      <w:r>
        <w:rPr>
          <w:spacing w:val="-2"/>
        </w:rPr>
        <w:t>投资活动产生的现金流量净额变动主要是现金收购</w:t>
      </w:r>
      <w:r>
        <w:rPr>
          <w:spacing w:val="-29"/>
        </w:rPr>
        <w:t> </w:t>
      </w:r>
      <w:r>
        <w:rPr>
          <w:spacing w:val="-29"/>
        </w:rPr>
      </w:r>
      <w:r>
        <w:rPr/>
        <w:t>上海红生所致；</w:t>
      </w:r>
      <w:r>
        <w:rPr>
          <w:spacing w:val="-103"/>
        </w:rPr>
        <w:t> </w:t>
      </w:r>
      <w:r>
        <w:rPr>
          <w:spacing w:val="-103"/>
        </w:rPr>
      </w:r>
      <w:r>
        <w:rPr>
          <w:spacing w:val="-2"/>
        </w:rPr>
        <w:t>筹资活动产生的现金流量净额变动原因说明</w:t>
      </w:r>
      <w:r>
        <w:rPr>
          <w:rFonts w:ascii="宋体" w:hAnsi="宋体" w:cs="宋体" w:eastAsia="宋体" w:hint="default"/>
          <w:spacing w:val="-2"/>
        </w:rPr>
        <w:t>:</w:t>
      </w:r>
      <w:r>
        <w:rPr>
          <w:spacing w:val="-2"/>
        </w:rPr>
        <w:t>筹资活动产生的现金流量净额变动主要是银行贷款</w:t>
      </w:r>
      <w:r>
        <w:rPr>
          <w:spacing w:val="-29"/>
        </w:rPr>
        <w:t> </w:t>
      </w:r>
      <w:r>
        <w:rPr>
          <w:spacing w:val="-29"/>
        </w:rPr>
      </w:r>
      <w:r>
        <w:rPr/>
        <w:t>增加所致；</w:t>
      </w:r>
    </w:p>
    <w:p>
      <w:pPr>
        <w:pStyle w:val="BodyText"/>
        <w:spacing w:line="240" w:lineRule="auto"/>
        <w:ind w:left="218" w:right="0"/>
        <w:jc w:val="left"/>
      </w:pPr>
      <w:r>
        <w:rPr/>
        <w:t>研发支出变动原因说明</w:t>
      </w:r>
      <w:r>
        <w:rPr>
          <w:rFonts w:ascii="Times New Roman" w:hAnsi="Times New Roman" w:cs="Times New Roman" w:eastAsia="Times New Roman" w:hint="default"/>
        </w:rPr>
        <w:t>:</w:t>
      </w:r>
      <w:r>
        <w:rPr/>
        <w:t>研发支出增长主要是公司主营产品的研发投入增加所致。</w:t>
      </w:r>
    </w:p>
    <w:p>
      <w:pPr>
        <w:spacing w:line="240" w:lineRule="auto" w:before="9"/>
        <w:rPr>
          <w:rFonts w:ascii="宋体" w:hAnsi="宋体" w:cs="宋体" w:eastAsia="宋体" w:hint="default"/>
          <w:sz w:val="22"/>
          <w:szCs w:val="22"/>
        </w:rPr>
      </w:pPr>
    </w:p>
    <w:p>
      <w:pPr>
        <w:pStyle w:val="Heading2"/>
        <w:tabs>
          <w:tab w:pos="637" w:val="left" w:leader="none"/>
        </w:tabs>
        <w:spacing w:line="240" w:lineRule="auto" w:before="0"/>
        <w:ind w:left="218" w:right="0"/>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57"/>
        <w:ind w:left="218" w:right="0"/>
        <w:jc w:val="left"/>
      </w:pPr>
      <w:r>
        <w:rPr/>
        <w:t>□适用 √不适用</w:t>
      </w:r>
    </w:p>
    <w:p>
      <w:pPr>
        <w:spacing w:line="240" w:lineRule="auto" w:before="3"/>
        <w:rPr>
          <w:rFonts w:ascii="宋体" w:hAnsi="宋体" w:cs="宋体" w:eastAsia="宋体" w:hint="default"/>
          <w:sz w:val="20"/>
          <w:szCs w:val="20"/>
        </w:rPr>
      </w:pPr>
    </w:p>
    <w:p>
      <w:pPr>
        <w:pStyle w:val="Heading2"/>
        <w:spacing w:line="240" w:lineRule="auto"/>
        <w:ind w:left="218"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00" w:val="left" w:leader="none"/>
        </w:tabs>
        <w:spacing w:line="240" w:lineRule="auto" w:before="56"/>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55" w:type="dxa"/>
        <w:tblLayout w:type="fixed"/>
        <w:tblCellMar>
          <w:top w:w="0" w:type="dxa"/>
          <w:left w:w="0" w:type="dxa"/>
          <w:bottom w:w="0" w:type="dxa"/>
          <w:right w:w="0" w:type="dxa"/>
        </w:tblCellMar>
        <w:tblLook w:val="01E0"/>
      </w:tblPr>
      <w:tblGrid>
        <w:gridCol w:w="1027"/>
        <w:gridCol w:w="132"/>
        <w:gridCol w:w="1719"/>
        <w:gridCol w:w="166"/>
        <w:gridCol w:w="1688"/>
        <w:gridCol w:w="168"/>
        <w:gridCol w:w="857"/>
        <w:gridCol w:w="1025"/>
        <w:gridCol w:w="1025"/>
        <w:gridCol w:w="1020"/>
      </w:tblGrid>
      <w:tr>
        <w:trPr>
          <w:trHeight w:val="281" w:hRule="exact"/>
        </w:trPr>
        <w:tc>
          <w:tcPr>
            <w:tcW w:w="882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05" w:right="81"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05" w:right="82"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智慧能源</w:t>
            </w:r>
          </w:p>
        </w:tc>
        <w:tc>
          <w:tcPr>
            <w:tcW w:w="1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0" w:right="0"/>
              <w:jc w:val="left"/>
              <w:rPr>
                <w:rFonts w:ascii="Times New Roman" w:hAnsi="Times New Roman" w:cs="Times New Roman" w:eastAsia="Times New Roman" w:hint="default"/>
                <w:sz w:val="21"/>
                <w:szCs w:val="21"/>
              </w:rPr>
            </w:pPr>
            <w:r>
              <w:rPr>
                <w:rFonts w:ascii="Times New Roman"/>
                <w:sz w:val="21"/>
              </w:rPr>
              <w:t>4,350,457,331.13</w:t>
            </w:r>
          </w:p>
        </w:tc>
        <w:tc>
          <w:tcPr>
            <w:tcW w:w="1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9" w:right="0"/>
              <w:jc w:val="left"/>
              <w:rPr>
                <w:rFonts w:ascii="Times New Roman" w:hAnsi="Times New Roman" w:cs="Times New Roman" w:eastAsia="Times New Roman" w:hint="default"/>
                <w:sz w:val="21"/>
                <w:szCs w:val="21"/>
              </w:rPr>
            </w:pPr>
            <w:r>
              <w:rPr>
                <w:rFonts w:ascii="Times New Roman"/>
                <w:sz w:val="21"/>
              </w:rPr>
              <w:t>3,695,745,542.40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z w:val="21"/>
              </w:rPr>
              <w:t>15.05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7"/>
              <w:jc w:val="right"/>
              <w:rPr>
                <w:rFonts w:ascii="Times New Roman" w:hAnsi="Times New Roman" w:cs="Times New Roman" w:eastAsia="Times New Roman" w:hint="default"/>
                <w:sz w:val="21"/>
                <w:szCs w:val="21"/>
              </w:rPr>
            </w:pPr>
            <w:r>
              <w:rPr>
                <w:rFonts w:ascii="Times New Roman"/>
                <w:sz w:val="21"/>
              </w:rPr>
              <w:t>35.85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7"/>
              <w:jc w:val="right"/>
              <w:rPr>
                <w:rFonts w:ascii="Times New Roman" w:hAnsi="Times New Roman" w:cs="Times New Roman" w:eastAsia="Times New Roman" w:hint="default"/>
                <w:sz w:val="21"/>
                <w:szCs w:val="21"/>
              </w:rPr>
            </w:pPr>
            <w:r>
              <w:rPr>
                <w:rFonts w:ascii="Times New Roman"/>
                <w:sz w:val="21"/>
              </w:rPr>
              <w:t>38.48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8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1.62</w:t>
            </w:r>
          </w:p>
          <w:p>
            <w:pPr>
              <w:pStyle w:val="TableParagraph"/>
              <w:spacing w:line="265" w:lineRule="exact"/>
              <w:ind w:left="8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军工装备</w:t>
            </w:r>
          </w:p>
        </w:tc>
        <w:tc>
          <w:tcPr>
            <w:tcW w:w="1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08" w:right="0"/>
              <w:jc w:val="left"/>
              <w:rPr>
                <w:rFonts w:ascii="Times New Roman" w:hAnsi="Times New Roman" w:cs="Times New Roman" w:eastAsia="Times New Roman" w:hint="default"/>
                <w:sz w:val="21"/>
                <w:szCs w:val="21"/>
              </w:rPr>
            </w:pPr>
            <w:r>
              <w:rPr>
                <w:rFonts w:ascii="Times New Roman"/>
                <w:sz w:val="21"/>
              </w:rPr>
              <w:t>683,618,363.50</w:t>
            </w:r>
          </w:p>
        </w:tc>
        <w:tc>
          <w:tcPr>
            <w:tcW w:w="1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77" w:right="0"/>
              <w:jc w:val="left"/>
              <w:rPr>
                <w:rFonts w:ascii="Times New Roman" w:hAnsi="Times New Roman" w:cs="Times New Roman" w:eastAsia="Times New Roman" w:hint="default"/>
                <w:sz w:val="21"/>
                <w:szCs w:val="21"/>
              </w:rPr>
            </w:pPr>
            <w:r>
              <w:rPr>
                <w:rFonts w:ascii="Times New Roman"/>
                <w:sz w:val="21"/>
              </w:rPr>
              <w:t>536,967,108.70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z w:val="21"/>
              </w:rPr>
              <w:t>21.45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7"/>
              <w:jc w:val="right"/>
              <w:rPr>
                <w:rFonts w:ascii="Times New Roman" w:hAnsi="Times New Roman" w:cs="Times New Roman" w:eastAsia="Times New Roman" w:hint="default"/>
                <w:sz w:val="21"/>
                <w:szCs w:val="21"/>
              </w:rPr>
            </w:pPr>
            <w:r>
              <w:rPr>
                <w:rFonts w:ascii="Times New Roman"/>
                <w:sz w:val="21"/>
              </w:rPr>
              <w:t>8.62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7"/>
              <w:jc w:val="right"/>
              <w:rPr>
                <w:rFonts w:ascii="Times New Roman" w:hAnsi="Times New Roman" w:cs="Times New Roman" w:eastAsia="Times New Roman" w:hint="default"/>
                <w:sz w:val="21"/>
                <w:szCs w:val="21"/>
              </w:rPr>
            </w:pPr>
            <w:r>
              <w:rPr>
                <w:rFonts w:ascii="Times New Roman"/>
                <w:sz w:val="21"/>
              </w:rPr>
              <w:t>1.73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5.32</w:t>
            </w:r>
          </w:p>
          <w:p>
            <w:pPr>
              <w:pStyle w:val="TableParagraph"/>
              <w:spacing w:line="266" w:lineRule="exact"/>
              <w:ind w:left="8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882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8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05" w:right="81"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05" w:right="82"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9" w:right="0"/>
              <w:jc w:val="left"/>
              <w:rPr>
                <w:rFonts w:ascii="Times New Roman" w:hAnsi="Times New Roman" w:cs="Times New Roman" w:eastAsia="Times New Roman" w:hint="default"/>
                <w:sz w:val="21"/>
                <w:szCs w:val="21"/>
              </w:rPr>
            </w:pPr>
            <w:r>
              <w:rPr>
                <w:rFonts w:ascii="Times New Roman"/>
                <w:sz w:val="21"/>
              </w:rPr>
              <w:t>3,837,365,671.61</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9" w:right="0"/>
              <w:jc w:val="left"/>
              <w:rPr>
                <w:rFonts w:ascii="Times New Roman" w:hAnsi="Times New Roman" w:cs="Times New Roman" w:eastAsia="Times New Roman" w:hint="default"/>
                <w:sz w:val="21"/>
                <w:szCs w:val="21"/>
              </w:rPr>
            </w:pPr>
            <w:r>
              <w:rPr>
                <w:rFonts w:ascii="Times New Roman"/>
                <w:sz w:val="21"/>
              </w:rPr>
              <w:t>3,072,478,470.06</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9" w:right="0"/>
              <w:jc w:val="left"/>
              <w:rPr>
                <w:rFonts w:ascii="Times New Roman" w:hAnsi="Times New Roman" w:cs="Times New Roman" w:eastAsia="Times New Roman" w:hint="default"/>
                <w:sz w:val="21"/>
                <w:szCs w:val="21"/>
              </w:rPr>
            </w:pPr>
            <w:r>
              <w:rPr>
                <w:rFonts w:ascii="Times New Roman"/>
                <w:sz w:val="21"/>
              </w:rPr>
              <w:t>19.93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7"/>
              <w:jc w:val="right"/>
              <w:rPr>
                <w:rFonts w:ascii="Times New Roman" w:hAnsi="Times New Roman" w:cs="Times New Roman" w:eastAsia="Times New Roman" w:hint="default"/>
                <w:sz w:val="21"/>
                <w:szCs w:val="21"/>
              </w:rPr>
            </w:pPr>
            <w:r>
              <w:rPr>
                <w:rFonts w:ascii="Times New Roman"/>
                <w:sz w:val="21"/>
              </w:rPr>
              <w:t>19.05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7"/>
              <w:jc w:val="right"/>
              <w:rPr>
                <w:rFonts w:ascii="Times New Roman" w:hAnsi="Times New Roman" w:cs="Times New Roman" w:eastAsia="Times New Roman" w:hint="default"/>
                <w:sz w:val="21"/>
                <w:szCs w:val="21"/>
              </w:rPr>
            </w:pPr>
            <w:r>
              <w:rPr>
                <w:rFonts w:ascii="Times New Roman"/>
                <w:sz w:val="21"/>
              </w:rPr>
              <w:t>17.63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0.96</w:t>
            </w:r>
          </w:p>
          <w:p>
            <w:pPr>
              <w:pStyle w:val="TableParagraph"/>
              <w:spacing w:line="266" w:lineRule="exact"/>
              <w:ind w:left="11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19" w:right="0"/>
              <w:jc w:val="left"/>
              <w:rPr>
                <w:rFonts w:ascii="Times New Roman" w:hAnsi="Times New Roman" w:cs="Times New Roman" w:eastAsia="Times New Roman" w:hint="default"/>
                <w:sz w:val="21"/>
                <w:szCs w:val="21"/>
              </w:rPr>
            </w:pPr>
            <w:r>
              <w:rPr>
                <w:rFonts w:ascii="Times New Roman"/>
                <w:sz w:val="21"/>
              </w:rPr>
              <w:t>1,196,710,023.02</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19" w:right="0"/>
              <w:jc w:val="left"/>
              <w:rPr>
                <w:rFonts w:ascii="Times New Roman" w:hAnsi="Times New Roman" w:cs="Times New Roman" w:eastAsia="Times New Roman" w:hint="default"/>
                <w:sz w:val="21"/>
                <w:szCs w:val="21"/>
              </w:rPr>
            </w:pPr>
            <w:r>
              <w:rPr>
                <w:rFonts w:ascii="Times New Roman"/>
                <w:sz w:val="21"/>
              </w:rPr>
              <w:t>1,160,234,181.04</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95" w:right="0"/>
              <w:jc w:val="left"/>
              <w:rPr>
                <w:rFonts w:ascii="Times New Roman" w:hAnsi="Times New Roman" w:cs="Times New Roman" w:eastAsia="Times New Roman" w:hint="default"/>
                <w:sz w:val="21"/>
                <w:szCs w:val="21"/>
              </w:rPr>
            </w:pPr>
            <w:r>
              <w:rPr>
                <w:rFonts w:ascii="Times New Roman"/>
                <w:sz w:val="21"/>
              </w:rPr>
              <w:t>3.05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7"/>
              <w:jc w:val="right"/>
              <w:rPr>
                <w:rFonts w:ascii="Times New Roman" w:hAnsi="Times New Roman" w:cs="Times New Roman" w:eastAsia="Times New Roman" w:hint="default"/>
                <w:sz w:val="21"/>
                <w:szCs w:val="21"/>
              </w:rPr>
            </w:pPr>
            <w:r>
              <w:rPr>
                <w:rFonts w:ascii="Times New Roman"/>
                <w:sz w:val="21"/>
              </w:rPr>
              <w:t>96.63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7"/>
              <w:jc w:val="right"/>
              <w:rPr>
                <w:rFonts w:ascii="Times New Roman" w:hAnsi="Times New Roman" w:cs="Times New Roman" w:eastAsia="Times New Roman" w:hint="default"/>
                <w:sz w:val="21"/>
                <w:szCs w:val="21"/>
              </w:rPr>
            </w:pPr>
            <w:r>
              <w:rPr>
                <w:rFonts w:ascii="Times New Roman"/>
                <w:sz w:val="21"/>
              </w:rPr>
              <w:t>98.43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0.88</w:t>
            </w:r>
          </w:p>
          <w:p>
            <w:pPr>
              <w:pStyle w:val="TableParagraph"/>
              <w:spacing w:line="265" w:lineRule="exact"/>
              <w:ind w:left="117"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3"/>
        <w:rPr>
          <w:rFonts w:ascii="宋体" w:hAnsi="宋体" w:cs="宋体" w:eastAsia="宋体" w:hint="default"/>
          <w:sz w:val="14"/>
          <w:szCs w:val="14"/>
        </w:rPr>
      </w:pPr>
    </w:p>
    <w:p>
      <w:pPr>
        <w:pStyle w:val="BodyText"/>
        <w:spacing w:line="274" w:lineRule="exact" w:before="36"/>
        <w:ind w:left="218" w:right="0"/>
        <w:jc w:val="left"/>
      </w:pPr>
      <w:r>
        <w:rPr/>
        <w:t>主营业务分行业、分产品、分地区情况的说明</w:t>
      </w:r>
    </w:p>
    <w:p>
      <w:pPr>
        <w:pStyle w:val="BodyText"/>
        <w:spacing w:line="281" w:lineRule="exact"/>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3" w:lineRule="exact"/>
        <w:ind w:left="638" w:right="0"/>
        <w:jc w:val="left"/>
        <w:rPr>
          <w:rFonts w:ascii="Times New Roman" w:hAnsi="Times New Roman" w:cs="Times New Roman" w:eastAsia="Times New Roman" w:hint="default"/>
        </w:rPr>
      </w:pPr>
      <w:r>
        <w:rPr>
          <w:rFonts w:ascii="Times New Roman" w:hAnsi="Times New Roman" w:cs="Times New Roman" w:eastAsia="Times New Roman" w:hint="default"/>
        </w:rPr>
        <w:t>2017 </w:t>
      </w:r>
      <w:r>
        <w:rPr/>
        <w:t>年公司主营业务收入同比增长</w:t>
      </w:r>
      <w:r>
        <w:rPr>
          <w:spacing w:val="-60"/>
        </w:rPr>
        <w:t> </w:t>
      </w:r>
      <w:r>
        <w:rPr>
          <w:rFonts w:ascii="Times New Roman" w:hAnsi="Times New Roman" w:cs="Times New Roman" w:eastAsia="Times New Roman" w:hint="default"/>
        </w:rPr>
        <w:t>31.37%</w:t>
      </w:r>
      <w:r>
        <w:rPr/>
        <w:t>，其中</w:t>
      </w:r>
      <w:r>
        <w:rPr>
          <w:rFonts w:ascii="Times New Roman" w:hAnsi="Times New Roman" w:cs="Times New Roman" w:eastAsia="Times New Roman" w:hint="default"/>
        </w:rPr>
        <w:t>:</w:t>
      </w:r>
    </w:p>
    <w:p>
      <w:pPr>
        <w:pStyle w:val="BodyText"/>
        <w:spacing w:line="272" w:lineRule="exact" w:before="19"/>
        <w:ind w:left="218" w:right="0" w:firstLine="419"/>
        <w:jc w:val="left"/>
      </w:pPr>
      <w:r>
        <w:rPr>
          <w:rFonts w:ascii="Times New Roman" w:hAnsi="Times New Roman" w:cs="Times New Roman" w:eastAsia="Times New Roman" w:hint="default"/>
        </w:rPr>
        <w:t>1)</w:t>
      </w:r>
      <w:r>
        <w:rPr/>
        <w:t>智慧能源业务较去年同期增长</w:t>
      </w:r>
      <w:r>
        <w:rPr>
          <w:spacing w:val="-15"/>
        </w:rPr>
        <w:t> </w:t>
      </w:r>
      <w:r>
        <w:rPr>
          <w:rFonts w:ascii="Times New Roman" w:hAnsi="Times New Roman" w:cs="Times New Roman" w:eastAsia="Times New Roman" w:hint="default"/>
          <w:spacing w:val="-3"/>
        </w:rPr>
        <w:t>35.85%</w:t>
      </w:r>
      <w:r>
        <w:rPr>
          <w:spacing w:val="-3"/>
        </w:rPr>
        <w:t>，主要是由于电源产品业务及电力总包工程业务的增</w:t>
      </w:r>
      <w:r>
        <w:rPr>
          <w:spacing w:val="-3"/>
          <w:w w:val="100"/>
        </w:rPr>
        <w:t> </w:t>
      </w:r>
      <w:r>
        <w:rPr/>
        <w:t>长；</w:t>
      </w:r>
    </w:p>
    <w:p>
      <w:pPr>
        <w:pStyle w:val="BodyText"/>
        <w:spacing w:line="255" w:lineRule="exact"/>
        <w:ind w:left="638" w:right="0"/>
        <w:jc w:val="left"/>
      </w:pP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w:t>
      </w:r>
      <w:r>
        <w:rPr>
          <w:w w:val="100"/>
        </w:rPr>
        <w:t>军</w:t>
      </w:r>
      <w:r>
        <w:rPr>
          <w:spacing w:val="-3"/>
          <w:w w:val="100"/>
        </w:rPr>
        <w:t>工</w:t>
      </w:r>
      <w:r>
        <w:rPr>
          <w:w w:val="100"/>
        </w:rPr>
        <w:t>装</w:t>
      </w:r>
      <w:r>
        <w:rPr>
          <w:spacing w:val="-3"/>
          <w:w w:val="100"/>
        </w:rPr>
        <w:t>备</w:t>
      </w:r>
      <w:r>
        <w:rPr>
          <w:w w:val="100"/>
        </w:rPr>
        <w:t>业</w:t>
      </w:r>
      <w:r>
        <w:rPr>
          <w:spacing w:val="-3"/>
          <w:w w:val="100"/>
        </w:rPr>
        <w:t>务</w:t>
      </w:r>
      <w:r>
        <w:rPr>
          <w:w w:val="100"/>
        </w:rPr>
        <w:t>较</w:t>
      </w:r>
      <w:r>
        <w:rPr>
          <w:spacing w:val="-3"/>
          <w:w w:val="100"/>
        </w:rPr>
        <w:t>去</w:t>
      </w:r>
      <w:r>
        <w:rPr>
          <w:w w:val="100"/>
        </w:rPr>
        <w:t>年</w:t>
      </w:r>
      <w:r>
        <w:rPr>
          <w:spacing w:val="-3"/>
          <w:w w:val="100"/>
        </w:rPr>
        <w:t>同</w:t>
      </w:r>
      <w:r>
        <w:rPr>
          <w:w w:val="100"/>
        </w:rPr>
        <w:t>期</w:t>
      </w:r>
      <w:r>
        <w:rPr>
          <w:spacing w:val="-3"/>
          <w:w w:val="100"/>
        </w:rPr>
        <w:t>增</w:t>
      </w:r>
      <w:r>
        <w:rPr>
          <w:w w:val="100"/>
        </w:rPr>
        <w:t>长</w:t>
      </w:r>
      <w:r>
        <w:rPr>
          <w:spacing w:val="-74"/>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spacing w:val="-1"/>
          <w:w w:val="100"/>
        </w:rPr>
        <w:t>2%</w:t>
      </w:r>
      <w:r>
        <w:rPr>
          <w:spacing w:val="-106"/>
          <w:w w:val="100"/>
        </w:rPr>
        <w:t>，</w:t>
      </w:r>
      <w:r>
        <w:rPr>
          <w:spacing w:val="-3"/>
          <w:w w:val="100"/>
        </w:rPr>
        <w:t>主</w:t>
      </w:r>
      <w:r>
        <w:rPr>
          <w:w w:val="100"/>
        </w:rPr>
        <w:t>要</w:t>
      </w:r>
      <w:r>
        <w:rPr>
          <w:spacing w:val="-3"/>
          <w:w w:val="100"/>
        </w:rPr>
        <w:t>是</w:t>
      </w:r>
      <w:r>
        <w:rPr>
          <w:w w:val="100"/>
        </w:rPr>
        <w:t>由</w:t>
      </w:r>
      <w:r>
        <w:rPr>
          <w:spacing w:val="-3"/>
          <w:w w:val="100"/>
        </w:rPr>
        <w:t>于</w:t>
      </w:r>
      <w:r>
        <w:rPr>
          <w:w w:val="100"/>
        </w:rPr>
        <w:t>上海</w:t>
      </w:r>
      <w:r>
        <w:rPr>
          <w:spacing w:val="-3"/>
          <w:w w:val="100"/>
        </w:rPr>
        <w:t>红</w:t>
      </w:r>
      <w:r>
        <w:rPr>
          <w:w w:val="100"/>
        </w:rPr>
        <w:t>生</w:t>
      </w:r>
      <w:r>
        <w:rPr>
          <w:spacing w:val="-3"/>
          <w:w w:val="100"/>
        </w:rPr>
        <w:t>的</w:t>
      </w:r>
      <w:r>
        <w:rPr>
          <w:w w:val="100"/>
        </w:rPr>
        <w:t>并</w:t>
      </w:r>
      <w:r>
        <w:rPr>
          <w:spacing w:val="-3"/>
          <w:w w:val="100"/>
        </w:rPr>
        <w:t>入</w:t>
      </w:r>
      <w:r>
        <w:rPr>
          <w:spacing w:val="-1"/>
          <w:w w:val="100"/>
        </w:rPr>
        <w:t>及</w:t>
      </w:r>
      <w:r>
        <w:rPr>
          <w:spacing w:val="-3"/>
          <w:w w:val="100"/>
        </w:rPr>
        <w:t>军</w:t>
      </w:r>
      <w:r>
        <w:rPr>
          <w:w w:val="100"/>
        </w:rPr>
        <w:t>工</w:t>
      </w:r>
      <w:r>
        <w:rPr>
          <w:spacing w:val="-3"/>
          <w:w w:val="100"/>
        </w:rPr>
        <w:t>装</w:t>
      </w:r>
      <w:r>
        <w:rPr>
          <w:w w:val="100"/>
        </w:rPr>
        <w:t>备业</w:t>
      </w:r>
      <w:r>
        <w:rPr>
          <w:spacing w:val="-3"/>
          <w:w w:val="100"/>
        </w:rPr>
        <w:t>务的恢复</w:t>
      </w:r>
      <w:r>
        <w:rPr>
          <w:w w:val="100"/>
        </w:rPr>
        <w:t>。</w:t>
      </w:r>
    </w:p>
    <w:p>
      <w:pPr>
        <w:pStyle w:val="BodyText"/>
        <w:spacing w:line="272" w:lineRule="exact"/>
        <w:ind w:left="63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年公司主营业务毛利率同比下降</w:t>
      </w:r>
      <w:r>
        <w:rPr>
          <w:spacing w:val="-55"/>
        </w:rPr>
        <w:t> </w:t>
      </w:r>
      <w:r>
        <w:rPr>
          <w:rFonts w:ascii="Times New Roman" w:hAnsi="Times New Roman" w:cs="Times New Roman" w:eastAsia="Times New Roman" w:hint="default"/>
        </w:rPr>
        <w:t>0.66</w:t>
      </w:r>
      <w:r>
        <w:rPr>
          <w:rFonts w:ascii="Times New Roman" w:hAnsi="Times New Roman" w:cs="Times New Roman" w:eastAsia="Times New Roman" w:hint="default"/>
          <w:spacing w:val="-2"/>
        </w:rPr>
        <w:t> </w:t>
      </w:r>
      <w:r>
        <w:rPr/>
        <w:t>个百分点，其中：</w:t>
      </w:r>
    </w:p>
    <w:p>
      <w:pPr>
        <w:pStyle w:val="BodyText"/>
        <w:spacing w:line="272" w:lineRule="exact" w:before="19"/>
        <w:ind w:left="218" w:right="223" w:firstLine="419"/>
        <w:jc w:val="left"/>
      </w:pPr>
      <w:r>
        <w:rPr>
          <w:rFonts w:ascii="Times New Roman" w:hAnsi="Times New Roman" w:cs="Times New Roman" w:eastAsia="Times New Roman" w:hint="default"/>
        </w:rPr>
        <w:t>1</w:t>
      </w:r>
      <w:r>
        <w:rPr/>
        <w:t>）智慧能源业务毛利率较去年同期下降 </w:t>
      </w:r>
      <w:r>
        <w:rPr>
          <w:rFonts w:ascii="Times New Roman" w:hAnsi="Times New Roman" w:cs="Times New Roman" w:eastAsia="Times New Roman" w:hint="default"/>
        </w:rPr>
        <w:t>1.62</w:t>
      </w:r>
      <w:r>
        <w:rPr>
          <w:rFonts w:ascii="Times New Roman" w:hAnsi="Times New Roman" w:cs="Times New Roman" w:eastAsia="Times New Roman" w:hint="default"/>
          <w:spacing w:val="6"/>
        </w:rPr>
        <w:t> </w:t>
      </w:r>
      <w:r>
        <w:rPr/>
        <w:t>个百分点，主要是电源产品分销业务占比增加</w:t>
      </w:r>
      <w:r>
        <w:rPr>
          <w:w w:val="100"/>
        </w:rPr>
        <w:t> </w:t>
      </w:r>
      <w:r>
        <w:rPr/>
        <w:t>所致；</w:t>
      </w:r>
    </w:p>
    <w:p>
      <w:pPr>
        <w:pStyle w:val="BodyText"/>
        <w:spacing w:line="272" w:lineRule="exact" w:before="1"/>
        <w:ind w:left="218" w:right="224" w:firstLine="419"/>
        <w:jc w:val="left"/>
      </w:pPr>
      <w:r>
        <w:rPr>
          <w:rFonts w:ascii="Times New Roman" w:hAnsi="Times New Roman" w:cs="Times New Roman" w:eastAsia="Times New Roman" w:hint="default"/>
        </w:rPr>
        <w:t>2</w:t>
      </w:r>
      <w:r>
        <w:rPr/>
        <w:t>）军工装备业务毛利率较去年同期增加 </w:t>
      </w:r>
      <w:r>
        <w:rPr>
          <w:rFonts w:ascii="Times New Roman" w:hAnsi="Times New Roman" w:cs="Times New Roman" w:eastAsia="Times New Roman" w:hint="default"/>
        </w:rPr>
        <w:t>5.32</w:t>
      </w:r>
      <w:r>
        <w:rPr>
          <w:rFonts w:ascii="Times New Roman" w:hAnsi="Times New Roman" w:cs="Times New Roman" w:eastAsia="Times New Roman" w:hint="default"/>
          <w:spacing w:val="5"/>
        </w:rPr>
        <w:t> </w:t>
      </w:r>
      <w:r>
        <w:rPr/>
        <w:t>个百分点，主要是由于上海红生业务并入提高</w:t>
      </w:r>
      <w:r>
        <w:rPr>
          <w:w w:val="100"/>
        </w:rPr>
        <w:t> </w:t>
      </w:r>
      <w:r>
        <w:rPr/>
        <w:t>了整体毛利水平。</w:t>
      </w:r>
    </w:p>
    <w:p>
      <w:pPr>
        <w:spacing w:line="240" w:lineRule="auto" w:before="12"/>
        <w:rPr>
          <w:rFonts w:ascii="宋体" w:hAnsi="宋体" w:cs="宋体" w:eastAsia="宋体" w:hint="default"/>
          <w:sz w:val="20"/>
          <w:szCs w:val="20"/>
        </w:rPr>
      </w:pPr>
    </w:p>
    <w:p>
      <w:pPr>
        <w:pStyle w:val="Heading2"/>
        <w:spacing w:line="240" w:lineRule="auto" w:before="0"/>
        <w:ind w:left="21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547"/>
        <w:gridCol w:w="1135"/>
        <w:gridCol w:w="1246"/>
        <w:gridCol w:w="1226"/>
        <w:gridCol w:w="970"/>
        <w:gridCol w:w="949"/>
        <w:gridCol w:w="977"/>
      </w:tblGrid>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主要产品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0"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生产量</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比上年</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销售量</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比上年</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库存量</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比上年</w:t>
            </w:r>
          </w:p>
        </w:tc>
      </w:tr>
    </w:tbl>
    <w:p>
      <w:pPr>
        <w:spacing w:after="0" w:line="274" w:lineRule="exact"/>
        <w:jc w:val="left"/>
        <w:rPr>
          <w:rFonts w:ascii="宋体" w:hAnsi="宋体" w:cs="宋体" w:eastAsia="宋体" w:hint="default"/>
          <w:sz w:val="21"/>
          <w:szCs w:val="21"/>
        </w:rPr>
        <w:sectPr>
          <w:footerReference w:type="default" r:id="rId11"/>
          <w:pgSz w:w="11910" w:h="16840"/>
          <w:pgMar w:footer="1195" w:header="880" w:top="1120" w:bottom="1380" w:left="1580" w:right="104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47"/>
        <w:gridCol w:w="1135"/>
        <w:gridCol w:w="1246"/>
        <w:gridCol w:w="1226"/>
        <w:gridCol w:w="970"/>
        <w:gridCol w:w="949"/>
        <w:gridCol w:w="977"/>
      </w:tblGrid>
      <w:tr>
        <w:trPr>
          <w:trHeight w:val="557" w:hRule="exact"/>
        </w:trPr>
        <w:tc>
          <w:tcPr>
            <w:tcW w:w="25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8" w:right="0"/>
              <w:jc w:val="left"/>
              <w:rPr>
                <w:rFonts w:ascii="宋体" w:hAnsi="宋体" w:cs="宋体" w:eastAsia="宋体" w:hint="default"/>
                <w:sz w:val="21"/>
                <w:szCs w:val="21"/>
              </w:rPr>
            </w:pPr>
            <w:r>
              <w:rPr>
                <w:rFonts w:ascii="宋体" w:hAnsi="宋体" w:cs="宋体" w:eastAsia="宋体" w:hint="default"/>
                <w:sz w:val="21"/>
                <w:szCs w:val="21"/>
              </w:rPr>
              <w:t>增减</w:t>
            </w:r>
          </w:p>
          <w:p>
            <w:pPr>
              <w:pStyle w:val="TableParagraph"/>
              <w:spacing w:line="289" w:lineRule="exact"/>
              <w:ind w:left="1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57" w:right="0"/>
              <w:jc w:val="left"/>
              <w:rPr>
                <w:rFonts w:ascii="宋体" w:hAnsi="宋体" w:cs="宋体" w:eastAsia="宋体" w:hint="default"/>
                <w:sz w:val="21"/>
                <w:szCs w:val="21"/>
              </w:rPr>
            </w:pPr>
            <w:r>
              <w:rPr>
                <w:rFonts w:ascii="宋体" w:hAnsi="宋体" w:cs="宋体" w:eastAsia="宋体" w:hint="default"/>
                <w:sz w:val="21"/>
                <w:szCs w:val="21"/>
              </w:rPr>
              <w:t>增减</w:t>
            </w:r>
          </w:p>
          <w:p>
            <w:pPr>
              <w:pStyle w:val="TableParagraph"/>
              <w:spacing w:line="289" w:lineRule="exact"/>
              <w:ind w:left="17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73" w:right="0"/>
              <w:jc w:val="left"/>
              <w:rPr>
                <w:rFonts w:ascii="宋体" w:hAnsi="宋体" w:cs="宋体" w:eastAsia="宋体" w:hint="default"/>
                <w:sz w:val="21"/>
                <w:szCs w:val="21"/>
              </w:rPr>
            </w:pPr>
            <w:r>
              <w:rPr>
                <w:rFonts w:ascii="宋体" w:hAnsi="宋体" w:cs="宋体" w:eastAsia="宋体" w:hint="default"/>
                <w:sz w:val="21"/>
                <w:szCs w:val="21"/>
              </w:rPr>
              <w:t>增减</w:t>
            </w:r>
          </w:p>
          <w:p>
            <w:pPr>
              <w:pStyle w:val="TableParagraph"/>
              <w:spacing w:line="289" w:lineRule="exact"/>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电源产品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226Mw</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7"/>
              <w:jc w:val="right"/>
              <w:rPr>
                <w:rFonts w:ascii="Times New Roman" w:hAnsi="Times New Roman" w:cs="Times New Roman" w:eastAsia="Times New Roman" w:hint="default"/>
                <w:sz w:val="21"/>
                <w:szCs w:val="21"/>
              </w:rPr>
            </w:pPr>
            <w:r>
              <w:rPr>
                <w:rFonts w:ascii="Times New Roman"/>
                <w:spacing w:val="-1"/>
                <w:sz w:val="21"/>
              </w:rPr>
              <w:t>224Mw</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18Mw</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23.44</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Times New Roman" w:hAnsi="Times New Roman" w:cs="Times New Roman" w:eastAsia="Times New Roman" w:hint="default"/>
                <w:sz w:val="21"/>
                <w:szCs w:val="21"/>
              </w:rPr>
            </w:pPr>
            <w:r>
              <w:rPr>
                <w:rFonts w:ascii="Times New Roman"/>
                <w:sz w:val="21"/>
              </w:rPr>
              <w:t>18.99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10.66</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电网软件及系统集成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452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444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项</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55.86</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Times New Roman" w:hAnsi="Times New Roman" w:cs="Times New Roman" w:eastAsia="Times New Roman" w:hint="default"/>
                <w:sz w:val="21"/>
                <w:szCs w:val="21"/>
              </w:rPr>
            </w:pPr>
            <w:r>
              <w:rPr>
                <w:rFonts w:ascii="Times New Roman"/>
                <w:sz w:val="21"/>
              </w:rPr>
              <w:t>55.24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33.33</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配电设备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38,641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台</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37,775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2,846 </w:t>
            </w:r>
            <w:r>
              <w:rPr>
                <w:rFonts w:ascii="宋体" w:hAnsi="宋体" w:cs="宋体" w:eastAsia="宋体" w:hint="default"/>
                <w:sz w:val="21"/>
                <w:szCs w:val="21"/>
              </w:rPr>
              <w:t>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19.95</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Times New Roman" w:hAnsi="Times New Roman" w:cs="Times New Roman" w:eastAsia="Times New Roman" w:hint="default"/>
                <w:sz w:val="21"/>
                <w:szCs w:val="21"/>
              </w:rPr>
            </w:pPr>
            <w:r>
              <w:rPr>
                <w:rFonts w:ascii="Times New Roman"/>
                <w:sz w:val="21"/>
              </w:rPr>
              <w:t>18.14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43.74</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军用电站</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9,616kw</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7"/>
              <w:jc w:val="right"/>
              <w:rPr>
                <w:rFonts w:ascii="Times New Roman" w:hAnsi="Times New Roman" w:cs="Times New Roman" w:eastAsia="Times New Roman" w:hint="default"/>
                <w:sz w:val="21"/>
                <w:szCs w:val="21"/>
              </w:rPr>
            </w:pPr>
            <w:r>
              <w:rPr>
                <w:rFonts w:ascii="Times New Roman"/>
                <w:sz w:val="21"/>
              </w:rPr>
              <w:t>9,192kw</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7"/>
              <w:jc w:val="right"/>
              <w:rPr>
                <w:rFonts w:ascii="Times New Roman" w:hAnsi="Times New Roman" w:cs="Times New Roman" w:eastAsia="Times New Roman" w:hint="default"/>
                <w:sz w:val="21"/>
                <w:szCs w:val="21"/>
              </w:rPr>
            </w:pPr>
            <w:r>
              <w:rPr>
                <w:rFonts w:ascii="Times New Roman"/>
                <w:sz w:val="21"/>
              </w:rPr>
              <w:t>2,697kw</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37.90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1" w:right="0"/>
              <w:jc w:val="left"/>
              <w:rPr>
                <w:rFonts w:ascii="Times New Roman" w:hAnsi="Times New Roman" w:cs="Times New Roman" w:eastAsia="Times New Roman" w:hint="default"/>
                <w:sz w:val="21"/>
                <w:szCs w:val="21"/>
              </w:rPr>
            </w:pPr>
            <w:r>
              <w:rPr>
                <w:rFonts w:ascii="Times New Roman"/>
                <w:sz w:val="21"/>
              </w:rPr>
              <w:t>42.38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18.65</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通讯指挥系统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524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套</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9"/>
              <w:jc w:val="right"/>
              <w:rPr>
                <w:rFonts w:ascii="宋体" w:hAnsi="宋体" w:cs="宋体" w:eastAsia="宋体" w:hint="default"/>
                <w:sz w:val="21"/>
                <w:szCs w:val="21"/>
              </w:rPr>
            </w:pPr>
            <w:r>
              <w:rPr>
                <w:rFonts w:ascii="Times New Roman" w:hAnsi="Times New Roman" w:cs="Times New Roman" w:eastAsia="Times New Roman" w:hint="default"/>
                <w:sz w:val="21"/>
                <w:szCs w:val="21"/>
              </w:rPr>
              <w:t>557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套</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套</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108.76</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 w:right="0"/>
              <w:jc w:val="left"/>
              <w:rPr>
                <w:rFonts w:ascii="Times New Roman" w:hAnsi="Times New Roman" w:cs="Times New Roman" w:eastAsia="Times New Roman" w:hint="default"/>
                <w:sz w:val="21"/>
                <w:szCs w:val="21"/>
              </w:rPr>
            </w:pPr>
            <w:r>
              <w:rPr>
                <w:rFonts w:ascii="Times New Roman"/>
                <w:sz w:val="21"/>
              </w:rPr>
              <w:t>94.08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-25.38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21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55" w:type="dxa"/>
        <w:tblLayout w:type="fixed"/>
        <w:tblCellMar>
          <w:top w:w="0" w:type="dxa"/>
          <w:left w:w="0" w:type="dxa"/>
          <w:bottom w:w="0" w:type="dxa"/>
          <w:right w:w="0" w:type="dxa"/>
        </w:tblCellMar>
        <w:tblLook w:val="01E0"/>
      </w:tblPr>
      <w:tblGrid>
        <w:gridCol w:w="1046"/>
        <w:gridCol w:w="1076"/>
        <w:gridCol w:w="1702"/>
        <w:gridCol w:w="850"/>
        <w:gridCol w:w="1702"/>
        <w:gridCol w:w="829"/>
        <w:gridCol w:w="1015"/>
        <w:gridCol w:w="607"/>
      </w:tblGrid>
      <w:tr>
        <w:trPr>
          <w:trHeight w:val="284" w:hRule="exact"/>
        </w:trPr>
        <w:tc>
          <w:tcPr>
            <w:tcW w:w="88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099"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4" w:right="108"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2" w:right="48"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3" w:right="0"/>
              <w:jc w:val="both"/>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37" w:lineRule="auto"/>
              <w:ind w:left="93" w:right="89"/>
              <w:jc w:val="both"/>
              <w:rPr>
                <w:rFonts w:ascii="Times New Roman" w:hAnsi="Times New Roman" w:cs="Times New Roman" w:eastAsia="Times New Roman"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37" w:lineRule="auto"/>
              <w:ind w:left="81" w:right="79"/>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8" w:right="8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智慧能源</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材料成本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3,437,407,939.73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z w:val="21"/>
              </w:rPr>
              <w:t>81.21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2,479,688,601.87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sz w:val="21"/>
              </w:rPr>
              <w:t>77.57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38.62</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智慧能源</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81,240,987.24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z w:val="21"/>
              </w:rPr>
              <w:t>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57,188,193.70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sz w:val="21"/>
              </w:rPr>
              <w:t>1.79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42.06</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智慧能源</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燃料动力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5,913,516.62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z w:val="21"/>
              </w:rPr>
              <w:t>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4,246,242.29</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sz w:val="21"/>
              </w:rPr>
              <w:t>0.13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39.26</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智慧能源</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171,183,098.82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z w:val="21"/>
              </w:rPr>
              <w:t>4.04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127,621,661.00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sz w:val="21"/>
              </w:rPr>
              <w:t>3.99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34.13</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军工装备</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材料成本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481,113,170.06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2"/>
                <w:sz w:val="21"/>
              </w:rPr>
              <w:t>11.37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470,323,928.48</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sz w:val="21"/>
              </w:rPr>
              <w:t>14.71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2.29</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军工装备</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8"/>
              <w:jc w:val="right"/>
              <w:rPr>
                <w:rFonts w:ascii="Times New Roman" w:hAnsi="Times New Roman" w:cs="Times New Roman" w:eastAsia="Times New Roman" w:hint="default"/>
                <w:sz w:val="21"/>
                <w:szCs w:val="21"/>
              </w:rPr>
            </w:pPr>
            <w:r>
              <w:rPr>
                <w:rFonts w:ascii="Times New Roman"/>
                <w:spacing w:val="-1"/>
                <w:sz w:val="21"/>
              </w:rPr>
              <w:t>14,517,297.77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6"/>
              <w:jc w:val="right"/>
              <w:rPr>
                <w:rFonts w:ascii="Times New Roman" w:hAnsi="Times New Roman" w:cs="Times New Roman" w:eastAsia="Times New Roman" w:hint="default"/>
                <w:sz w:val="21"/>
                <w:szCs w:val="21"/>
              </w:rPr>
            </w:pPr>
            <w:r>
              <w:rPr>
                <w:rFonts w:ascii="Times New Roman"/>
                <w:sz w:val="21"/>
              </w:rPr>
              <w:t>0.34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8"/>
              <w:jc w:val="right"/>
              <w:rPr>
                <w:rFonts w:ascii="Times New Roman" w:hAnsi="Times New Roman" w:cs="Times New Roman" w:eastAsia="Times New Roman" w:hint="default"/>
                <w:sz w:val="21"/>
                <w:szCs w:val="21"/>
              </w:rPr>
            </w:pPr>
            <w:r>
              <w:rPr>
                <w:rFonts w:ascii="Times New Roman"/>
                <w:spacing w:val="-1"/>
                <w:sz w:val="21"/>
              </w:rPr>
              <w:t>13,950,191.81</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
              <w:jc w:val="right"/>
              <w:rPr>
                <w:rFonts w:ascii="Times New Roman" w:hAnsi="Times New Roman" w:cs="Times New Roman" w:eastAsia="Times New Roman" w:hint="default"/>
                <w:sz w:val="21"/>
                <w:szCs w:val="21"/>
              </w:rPr>
            </w:pPr>
            <w:r>
              <w:rPr>
                <w:rFonts w:ascii="Times New Roman"/>
                <w:sz w:val="21"/>
              </w:rPr>
              <w:t>0.44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8"/>
              <w:jc w:val="right"/>
              <w:rPr>
                <w:rFonts w:ascii="Times New Roman" w:hAnsi="Times New Roman" w:cs="Times New Roman" w:eastAsia="Times New Roman" w:hint="default"/>
                <w:sz w:val="21"/>
                <w:szCs w:val="21"/>
              </w:rPr>
            </w:pPr>
            <w:r>
              <w:rPr>
                <w:rFonts w:ascii="Times New Roman"/>
                <w:sz w:val="21"/>
              </w:rPr>
              <w:t>4.07</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军工装备</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燃料动力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1,329,071.77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z w:val="21"/>
              </w:rPr>
              <w:t>0.03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1,287,404.30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sz w:val="21"/>
              </w:rPr>
              <w:t>0.04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3.24</w:t>
            </w: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军工装备</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40,007,569.10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z w:val="21"/>
              </w:rPr>
              <w:t>0.95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42,274,365.47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sz w:val="21"/>
              </w:rPr>
              <w:t>1.32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spacing w:val="-1"/>
                <w:sz w:val="21"/>
              </w:rPr>
              <w:t>-5.36</w:t>
            </w:r>
          </w:p>
        </w:tc>
        <w:tc>
          <w:tcPr>
            <w:tcW w:w="6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left="218" w:right="0"/>
        <w:jc w:val="left"/>
      </w:pPr>
      <w:r>
        <w:rPr/>
        <w:t>成本分析其他情况说明</w:t>
      </w:r>
    </w:p>
    <w:p>
      <w:pPr>
        <w:pStyle w:val="BodyText"/>
        <w:spacing w:line="273" w:lineRule="exact"/>
        <w:ind w:left="218" w:right="0"/>
        <w:jc w:val="left"/>
      </w:pPr>
      <w:r>
        <w:rPr/>
        <w:t>□适用 √不适用</w:t>
      </w:r>
    </w:p>
    <w:p>
      <w:pPr>
        <w:spacing w:line="240" w:lineRule="auto" w:before="12"/>
        <w:rPr>
          <w:rFonts w:ascii="宋体" w:hAnsi="宋体" w:cs="宋体" w:eastAsia="宋体" w:hint="default"/>
          <w:sz w:val="22"/>
          <w:szCs w:val="22"/>
        </w:rPr>
      </w:pPr>
    </w:p>
    <w:p>
      <w:pPr>
        <w:pStyle w:val="Heading2"/>
        <w:spacing w:line="240" w:lineRule="auto" w:before="0"/>
        <w:ind w:left="218"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81" w:lineRule="exact" w:before="58"/>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left="218" w:right="0" w:firstLine="419"/>
        <w:jc w:val="left"/>
      </w:pPr>
      <w:r>
        <w:rPr/>
        <w:t>前五名客户销售额 </w:t>
      </w:r>
      <w:r>
        <w:rPr>
          <w:rFonts w:ascii="Times New Roman" w:hAnsi="Times New Roman" w:cs="Times New Roman" w:eastAsia="Times New Roman" w:hint="default"/>
        </w:rPr>
        <w:t>118,388.32 </w:t>
      </w:r>
      <w:r>
        <w:rPr>
          <w:spacing w:val="-4"/>
        </w:rPr>
        <w:t>万元，占年度销售总额</w:t>
      </w:r>
      <w:r>
        <w:rPr>
          <w:spacing w:val="-77"/>
        </w:rPr>
        <w:t> </w:t>
      </w:r>
      <w:r>
        <w:rPr>
          <w:rFonts w:ascii="Times New Roman" w:hAnsi="Times New Roman" w:cs="Times New Roman" w:eastAsia="Times New Roman" w:hint="default"/>
          <w:spacing w:val="-3"/>
        </w:rPr>
        <w:t>23.21%</w:t>
      </w:r>
      <w:r>
        <w:rPr>
          <w:spacing w:val="-3"/>
        </w:rPr>
        <w:t>；其中前五名客户销售额中关联</w:t>
      </w:r>
      <w:r>
        <w:rPr>
          <w:w w:val="100"/>
        </w:rPr>
        <w:t> </w:t>
      </w:r>
      <w:r>
        <w:rPr/>
        <w:t>方销售额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万元，占年度销售总额</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p>
    <w:p>
      <w:pPr>
        <w:pStyle w:val="BodyText"/>
        <w:spacing w:line="253" w:lineRule="exact"/>
        <w:ind w:left="638" w:right="0"/>
        <w:jc w:val="left"/>
      </w:pPr>
      <w:r>
        <w:rPr/>
        <w:t>前五名供应商采购额 </w:t>
      </w:r>
      <w:r>
        <w:rPr>
          <w:rFonts w:ascii="Times New Roman" w:hAnsi="Times New Roman" w:cs="Times New Roman" w:eastAsia="Times New Roman" w:hint="default"/>
        </w:rPr>
        <w:t>140,298.70 </w:t>
      </w:r>
      <w:r>
        <w:rPr>
          <w:spacing w:val="-5"/>
        </w:rPr>
        <w:t>万元，占年度采购总额</w:t>
      </w:r>
      <w:r>
        <w:rPr>
          <w:spacing w:val="-68"/>
        </w:rPr>
        <w:t> </w:t>
      </w:r>
      <w:r>
        <w:rPr>
          <w:rFonts w:ascii="Times New Roman" w:hAnsi="Times New Roman" w:cs="Times New Roman" w:eastAsia="Times New Roman" w:hint="default"/>
          <w:spacing w:val="-3"/>
        </w:rPr>
        <w:t>33.02%</w:t>
      </w:r>
      <w:r>
        <w:rPr>
          <w:spacing w:val="-3"/>
        </w:rPr>
        <w:t>；其中前五名供应商采购额中</w:t>
      </w:r>
    </w:p>
    <w:p>
      <w:pPr>
        <w:pStyle w:val="BodyText"/>
        <w:tabs>
          <w:tab w:pos="637" w:val="left" w:leader="none"/>
        </w:tabs>
        <w:spacing w:line="273" w:lineRule="auto"/>
        <w:ind w:left="218" w:right="4949"/>
        <w:jc w:val="left"/>
        <w:rPr>
          <w:rFonts w:ascii="宋体" w:hAnsi="宋体" w:cs="宋体" w:eastAsia="宋体" w:hint="default"/>
        </w:rPr>
      </w:pPr>
      <w:r>
        <w:rPr/>
        <w:t>关联方采购额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万元，占年度采购总额</w:t>
      </w:r>
      <w:r>
        <w:rPr>
          <w:spacing w:val="-52"/>
        </w:rPr>
        <w:t> </w:t>
      </w:r>
      <w:r>
        <w:rPr>
          <w:rFonts w:ascii="Times New Roman" w:hAnsi="Times New Roman" w:cs="Times New Roman" w:eastAsia="Times New Roman" w:hint="default"/>
        </w:rPr>
        <w:t>0%</w:t>
      </w:r>
      <w:r>
        <w:rPr/>
        <w:t>。</w:t>
      </w:r>
      <w:r>
        <w:rPr>
          <w:w w:val="100"/>
        </w:rPr>
        <w:t> </w:t>
      </w:r>
      <w:r>
        <w:rPr>
          <w:rFonts w:ascii="宋体" w:hAnsi="宋体" w:cs="宋体" w:eastAsia="宋体" w:hint="default"/>
          <w:b/>
          <w:bCs/>
          <w:w w:val="95"/>
        </w:rPr>
        <w:t>2.</w:t>
        <w:tab/>
      </w:r>
      <w:r>
        <w:rPr>
          <w:rFonts w:ascii="宋体" w:hAnsi="宋体" w:cs="宋体" w:eastAsia="宋体" w:hint="default"/>
          <w:b/>
          <w:bCs/>
        </w:rPr>
        <w:t>费用</w:t>
      </w:r>
      <w:r>
        <w:rPr>
          <w:rFonts w:ascii="宋体" w:hAnsi="宋体" w:cs="宋体" w:eastAsia="宋体" w:hint="default"/>
        </w:rPr>
      </w:r>
    </w:p>
    <w:p>
      <w:pPr>
        <w:pStyle w:val="BodyText"/>
        <w:spacing w:line="282" w:lineRule="exact" w:before="27"/>
        <w:ind w:left="218" w:right="0"/>
        <w:jc w:val="left"/>
      </w:pPr>
      <w:r>
        <w:rPr/>
        <w:t>√适用</w:t>
      </w:r>
      <w:r>
        <w:rPr>
          <w:rFonts w:ascii="Times New Roman" w:hAnsi="Times New Roman" w:cs="Times New Roman" w:eastAsia="Times New Roman" w:hint="default"/>
        </w:rPr>
        <w:t>□</w:t>
      </w:r>
      <w:r>
        <w:rPr/>
        <w:t>不适用</w:t>
      </w:r>
    </w:p>
    <w:p>
      <w:pPr>
        <w:pStyle w:val="BodyText"/>
        <w:spacing w:line="272" w:lineRule="exact" w:before="19"/>
        <w:ind w:left="218" w:right="0" w:firstLine="419"/>
        <w:jc w:val="left"/>
      </w:pPr>
      <w:r>
        <w:rPr>
          <w:w w:val="100"/>
        </w:rPr>
        <w:t>公司</w:t>
      </w:r>
      <w:r>
        <w:rPr>
          <w:spacing w:val="-76"/>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0"/>
          <w:w w:val="100"/>
        </w:rPr>
        <w:t> </w:t>
      </w:r>
      <w:r>
        <w:rPr>
          <w:spacing w:val="-2"/>
          <w:w w:val="100"/>
        </w:rPr>
        <w:t>年累计发生财务费用</w:t>
      </w:r>
      <w:r>
        <w:rPr>
          <w:spacing w:val="-75"/>
          <w:w w:val="100"/>
        </w:rPr>
        <w:t> </w:t>
      </w:r>
      <w:r>
        <w:rPr>
          <w:rFonts w:ascii="Times New Roman" w:hAnsi="Times New Roman" w:cs="Times New Roman" w:eastAsia="Times New Roman" w:hint="default"/>
          <w:spacing w:val="-14"/>
          <w:w w:val="100"/>
        </w:rPr>
        <w:t>11</w:t>
      </w:r>
      <w:r>
        <w:rPr>
          <w:spacing w:val="-14"/>
          <w:w w:val="100"/>
        </w:rPr>
        <w:t>，</w:t>
      </w:r>
      <w:r>
        <w:rPr>
          <w:rFonts w:ascii="Times New Roman" w:hAnsi="Times New Roman" w:cs="Times New Roman" w:eastAsia="Times New Roman" w:hint="default"/>
          <w:spacing w:val="-14"/>
          <w:w w:val="100"/>
        </w:rPr>
        <w:t>109.91</w:t>
      </w:r>
      <w:r>
        <w:rPr>
          <w:rFonts w:ascii="Times New Roman" w:hAnsi="Times New Roman" w:cs="Times New Roman" w:eastAsia="Times New Roman" w:hint="default"/>
          <w:spacing w:val="-20"/>
          <w:w w:val="100"/>
        </w:rPr>
        <w:t> </w:t>
      </w:r>
      <w:r>
        <w:rPr>
          <w:spacing w:val="-1"/>
          <w:w w:val="100"/>
        </w:rPr>
        <w:t>万元</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6"/>
          <w:w w:val="100"/>
        </w:rPr>
        <w:t> </w:t>
      </w:r>
      <w:r>
        <w:rPr>
          <w:spacing w:val="-2"/>
          <w:w w:val="100"/>
        </w:rPr>
        <w:t>较去年同期增加</w:t>
      </w:r>
      <w:r>
        <w:rPr>
          <w:spacing w:val="-74"/>
          <w:w w:val="100"/>
        </w:rPr>
        <w:t> </w:t>
      </w:r>
      <w:r>
        <w:rPr>
          <w:rFonts w:ascii="Times New Roman" w:hAnsi="Times New Roman" w:cs="Times New Roman" w:eastAsia="Times New Roman" w:hint="default"/>
          <w:spacing w:val="-1"/>
          <w:w w:val="100"/>
        </w:rPr>
        <w:t>4,157.53</w:t>
      </w:r>
      <w:r>
        <w:rPr>
          <w:rFonts w:ascii="Times New Roman" w:hAnsi="Times New Roman" w:cs="Times New Roman" w:eastAsia="Times New Roman" w:hint="default"/>
          <w:spacing w:val="-20"/>
          <w:w w:val="100"/>
        </w:rPr>
        <w:t> </w:t>
      </w:r>
      <w:r>
        <w:rPr>
          <w:spacing w:val="-23"/>
          <w:w w:val="100"/>
        </w:rPr>
        <w:t>万元，增幅</w:t>
      </w:r>
      <w:r>
        <w:rPr>
          <w:spacing w:val="-75"/>
          <w:w w:val="100"/>
        </w:rPr>
        <w:t> </w:t>
      </w:r>
      <w:r>
        <w:rPr>
          <w:rFonts w:ascii="Times New Roman" w:hAnsi="Times New Roman" w:cs="Times New Roman" w:eastAsia="Times New Roman" w:hint="default"/>
          <w:spacing w:val="-1"/>
          <w:w w:val="100"/>
        </w:rPr>
        <w:t>59.80%</w:t>
      </w:r>
      <w:r>
        <w:rPr>
          <w:spacing w:val="-1"/>
          <w:w w:val="100"/>
        </w:rPr>
        <w:t>，</w:t>
      </w:r>
      <w:r>
        <w:rPr>
          <w:w w:val="100"/>
        </w:rPr>
        <w:t> </w:t>
      </w:r>
      <w:r>
        <w:rPr/>
        <w:t>主要原因是公司债、中票及银行贷款利息增加所致。</w:t>
      </w:r>
    </w:p>
    <w:p>
      <w:pPr>
        <w:spacing w:line="240" w:lineRule="auto" w:before="2"/>
        <w:rPr>
          <w:rFonts w:ascii="宋体" w:hAnsi="宋体" w:cs="宋体" w:eastAsia="宋体" w:hint="default"/>
          <w:sz w:val="21"/>
          <w:szCs w:val="21"/>
        </w:rPr>
      </w:pPr>
    </w:p>
    <w:p>
      <w:pPr>
        <w:pStyle w:val="Heading2"/>
        <w:tabs>
          <w:tab w:pos="637" w:val="left" w:leader="none"/>
        </w:tabs>
        <w:spacing w:line="290" w:lineRule="auto" w:before="0"/>
        <w:ind w:left="218" w:right="7588"/>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after="0" w:line="290" w:lineRule="auto"/>
        <w:jc w:val="left"/>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BodyText"/>
        <w:tabs>
          <w:tab w:pos="964" w:val="left" w:leader="none"/>
        </w:tabs>
        <w:spacing w:line="282" w:lineRule="exact" w:before="36"/>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6" w:lineRule="exact"/>
        <w:ind w:left="0" w:right="21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90"/>
        <w:gridCol w:w="4434"/>
      </w:tblGrid>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230,632,717.69</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62,625,206.48</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293,257,924.17</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5.75</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1,260</w:t>
            </w: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41.02</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21.35</w:t>
            </w:r>
          </w:p>
        </w:tc>
      </w:tr>
    </w:tbl>
    <w:p>
      <w:pPr>
        <w:spacing w:line="240" w:lineRule="auto" w:before="10"/>
        <w:rPr>
          <w:rFonts w:ascii="宋体" w:hAnsi="宋体" w:cs="宋体" w:eastAsia="宋体" w:hint="default"/>
          <w:sz w:val="17"/>
          <w:szCs w:val="17"/>
        </w:rPr>
      </w:pPr>
    </w:p>
    <w:p>
      <w:pPr>
        <w:pStyle w:val="Heading2"/>
        <w:spacing w:line="240" w:lineRule="auto"/>
        <w:ind w:left="218" w:right="0"/>
        <w:jc w:val="left"/>
        <w:rPr>
          <w:b w:val="0"/>
          <w:bCs w:val="0"/>
        </w:rPr>
      </w:pPr>
      <w:r>
        <w:rPr/>
        <w:t>情况说明</w:t>
      </w:r>
      <w:r>
        <w:rPr>
          <w:b w:val="0"/>
          <w:bCs w:val="0"/>
        </w:rPr>
      </w:r>
    </w:p>
    <w:p>
      <w:pPr>
        <w:pStyle w:val="BodyText"/>
        <w:spacing w:line="276" w:lineRule="auto" w:before="57"/>
        <w:ind w:left="218" w:right="0"/>
        <w:jc w:val="left"/>
      </w:pPr>
      <w:r>
        <w:rPr/>
        <w:t>√适用 </w:t>
      </w:r>
      <w:r>
        <w:rPr>
          <w:rFonts w:ascii="Times New Roman" w:hAnsi="Times New Roman" w:cs="Times New Roman" w:eastAsia="Times New Roman" w:hint="default"/>
        </w:rPr>
        <w:t>□</w:t>
      </w:r>
      <w:r>
        <w:rPr/>
        <w:t>不适用</w:t>
      </w:r>
      <w:r>
        <w:rPr>
          <w:spacing w:val="-104"/>
        </w:rPr>
        <w:t> </w:t>
      </w:r>
      <w:r>
        <w:rPr>
          <w:spacing w:val="-104"/>
        </w:rPr>
      </w:r>
      <w:r>
        <w:rPr>
          <w:spacing w:val="-2"/>
        </w:rPr>
        <w:t>本年度公司加大了主营产品的研发投入，预计对公司产品升级及销售增长产生积极的影响。</w:t>
      </w: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80" w:right="1060"/>
        </w:sectPr>
      </w:pPr>
    </w:p>
    <w:p>
      <w:pPr>
        <w:pStyle w:val="Heading2"/>
        <w:tabs>
          <w:tab w:pos="637" w:val="left" w:leader="none"/>
        </w:tabs>
        <w:spacing w:line="240" w:lineRule="auto"/>
        <w:ind w:left="218" w:right="-11"/>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6"/>
        <w:ind w:left="218" w:right="-11"/>
        <w:jc w:val="left"/>
      </w:pPr>
      <w:r>
        <w:rPr>
          <w:spacing w:val="-1"/>
        </w:rPr>
        <w:t>√适用</w:t>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60"/>
          <w:cols w:num="2" w:equalWidth="0">
            <w:col w:w="1608" w:space="4390"/>
            <w:col w:w="3272"/>
          </w:cols>
        </w:sectPr>
      </w:pPr>
    </w:p>
    <w:p>
      <w:pPr>
        <w:spacing w:line="240" w:lineRule="auto" w:before="4"/>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2969"/>
        <w:gridCol w:w="1700"/>
        <w:gridCol w:w="1721"/>
        <w:gridCol w:w="1277"/>
        <w:gridCol w:w="991"/>
      </w:tblGrid>
      <w:tr>
        <w:trPr>
          <w:trHeight w:val="715"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tabs>
                <w:tab w:pos="1790" w:val="left" w:leader="none"/>
              </w:tabs>
              <w:spacing w:line="240" w:lineRule="auto" w:before="179"/>
              <w:ind w:left="94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9"/>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9"/>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before="42"/>
              <w:ind w:left="1" w:right="0"/>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9"/>
              <w:ind w:left="275"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389" w:hRule="exact"/>
        </w:trPr>
        <w:tc>
          <w:tcPr>
            <w:tcW w:w="8658"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48"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r>
      <w:tr>
        <w:trPr>
          <w:trHeight w:val="482"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43"/>
              <w:jc w:val="right"/>
              <w:rPr>
                <w:rFonts w:ascii="Times New Roman" w:hAnsi="Times New Roman" w:cs="Times New Roman" w:eastAsia="Times New Roman" w:hint="default"/>
                <w:sz w:val="21"/>
                <w:szCs w:val="21"/>
              </w:rPr>
            </w:pPr>
            <w:r>
              <w:rPr>
                <w:rFonts w:ascii="Times New Roman"/>
                <w:spacing w:val="-2"/>
                <w:sz w:val="21"/>
              </w:rPr>
              <w:t>4,892,064,311.29</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41"/>
              <w:jc w:val="right"/>
              <w:rPr>
                <w:rFonts w:ascii="Times New Roman" w:hAnsi="Times New Roman" w:cs="Times New Roman" w:eastAsia="Times New Roman" w:hint="default"/>
                <w:sz w:val="21"/>
                <w:szCs w:val="21"/>
              </w:rPr>
            </w:pPr>
            <w:r>
              <w:rPr>
                <w:rFonts w:ascii="Times New Roman"/>
                <w:spacing w:val="-1"/>
                <w:sz w:val="21"/>
              </w:rPr>
              <w:t>4,298,825,026.65</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44"/>
              <w:jc w:val="right"/>
              <w:rPr>
                <w:rFonts w:ascii="Times New Roman" w:hAnsi="Times New Roman" w:cs="Times New Roman" w:eastAsia="Times New Roman" w:hint="default"/>
                <w:sz w:val="21"/>
                <w:szCs w:val="21"/>
              </w:rPr>
            </w:pPr>
            <w:r>
              <w:rPr>
                <w:rFonts w:ascii="Times New Roman"/>
                <w:sz w:val="21"/>
              </w:rPr>
              <w:t>13.80</w:t>
            </w:r>
          </w:p>
        </w:tc>
        <w:tc>
          <w:tcPr>
            <w:tcW w:w="991" w:type="dxa"/>
            <w:vMerge w:val="restart"/>
            <w:tcBorders>
              <w:top w:val="single" w:sz="8" w:space="0" w:color="000000"/>
              <w:left w:val="single" w:sz="8" w:space="0" w:color="000000"/>
              <w:right w:val="single" w:sz="8" w:space="0" w:color="000000"/>
            </w:tcBorders>
          </w:tcPr>
          <w:p>
            <w:pPr>
              <w:pStyle w:val="TableParagraph"/>
              <w:spacing w:line="240" w:lineRule="exact"/>
              <w:ind w:left="47" w:right="0"/>
              <w:jc w:val="both"/>
              <w:rPr>
                <w:rFonts w:ascii="宋体" w:hAnsi="宋体" w:cs="宋体" w:eastAsia="宋体" w:hint="default"/>
                <w:sz w:val="21"/>
                <w:szCs w:val="21"/>
              </w:rPr>
            </w:pPr>
            <w:r>
              <w:rPr>
                <w:rFonts w:ascii="宋体" w:hAnsi="宋体" w:cs="宋体" w:eastAsia="宋体" w:hint="default"/>
                <w:spacing w:val="11"/>
                <w:sz w:val="21"/>
                <w:szCs w:val="21"/>
              </w:rPr>
              <w:t>产品验收</w:t>
            </w:r>
            <w:r>
              <w:rPr>
                <w:rFonts w:ascii="宋体" w:hAnsi="宋体" w:cs="宋体" w:eastAsia="宋体" w:hint="default"/>
                <w:sz w:val="21"/>
                <w:szCs w:val="21"/>
              </w:rPr>
            </w:r>
          </w:p>
          <w:p>
            <w:pPr>
              <w:pStyle w:val="TableParagraph"/>
              <w:spacing w:line="237" w:lineRule="auto" w:before="2"/>
              <w:ind w:left="47" w:right="29"/>
              <w:jc w:val="both"/>
              <w:rPr>
                <w:rFonts w:ascii="宋体" w:hAnsi="宋体" w:cs="宋体" w:eastAsia="宋体" w:hint="default"/>
                <w:sz w:val="21"/>
                <w:szCs w:val="21"/>
              </w:rPr>
            </w:pPr>
            <w:r>
              <w:rPr>
                <w:rFonts w:ascii="宋体" w:hAnsi="宋体" w:cs="宋体" w:eastAsia="宋体" w:hint="default"/>
                <w:spacing w:val="11"/>
                <w:sz w:val="21"/>
                <w:szCs w:val="21"/>
              </w:rPr>
              <w:t>结算周期</w:t>
            </w:r>
            <w:r>
              <w:rPr>
                <w:rFonts w:ascii="宋体" w:hAnsi="宋体" w:cs="宋体" w:eastAsia="宋体" w:hint="default"/>
                <w:spacing w:val="-97"/>
                <w:sz w:val="21"/>
                <w:szCs w:val="21"/>
              </w:rPr>
              <w:t> </w:t>
            </w:r>
            <w:r>
              <w:rPr>
                <w:rFonts w:ascii="宋体" w:hAnsi="宋体" w:cs="宋体" w:eastAsia="宋体" w:hint="default"/>
                <w:spacing w:val="11"/>
                <w:sz w:val="21"/>
                <w:szCs w:val="21"/>
              </w:rPr>
              <w:t>延长、货</w:t>
            </w:r>
            <w:r>
              <w:rPr>
                <w:rFonts w:ascii="宋体" w:hAnsi="宋体" w:cs="宋体" w:eastAsia="宋体" w:hint="default"/>
                <w:spacing w:val="-97"/>
                <w:sz w:val="21"/>
                <w:szCs w:val="21"/>
              </w:rPr>
              <w:t> </w:t>
            </w:r>
            <w:r>
              <w:rPr>
                <w:rFonts w:ascii="宋体" w:hAnsi="宋体" w:cs="宋体" w:eastAsia="宋体" w:hint="default"/>
                <w:spacing w:val="11"/>
                <w:sz w:val="21"/>
                <w:szCs w:val="21"/>
              </w:rPr>
              <w:t>款回笼滞</w:t>
            </w:r>
            <w:r>
              <w:rPr>
                <w:rFonts w:ascii="宋体" w:hAnsi="宋体" w:cs="宋体" w:eastAsia="宋体" w:hint="default"/>
                <w:spacing w:val="-97"/>
                <w:sz w:val="21"/>
                <w:szCs w:val="21"/>
              </w:rPr>
              <w:t> </w:t>
            </w:r>
            <w:r>
              <w:rPr>
                <w:rFonts w:ascii="宋体" w:hAnsi="宋体" w:cs="宋体" w:eastAsia="宋体" w:hint="default"/>
                <w:sz w:val="21"/>
                <w:szCs w:val="21"/>
              </w:rPr>
              <w:t>后</w:t>
            </w:r>
          </w:p>
        </w:tc>
      </w:tr>
      <w:tr>
        <w:trPr>
          <w:trHeight w:val="435"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48"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43"/>
              <w:jc w:val="right"/>
              <w:rPr>
                <w:rFonts w:ascii="Times New Roman" w:hAnsi="Times New Roman" w:cs="Times New Roman" w:eastAsia="Times New Roman" w:hint="default"/>
                <w:sz w:val="21"/>
                <w:szCs w:val="21"/>
              </w:rPr>
            </w:pPr>
            <w:r>
              <w:rPr>
                <w:rFonts w:ascii="Times New Roman"/>
                <w:spacing w:val="-1"/>
                <w:sz w:val="21"/>
              </w:rPr>
              <w:t>5,255,635,765.58</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41"/>
              <w:jc w:val="right"/>
              <w:rPr>
                <w:rFonts w:ascii="Times New Roman" w:hAnsi="Times New Roman" w:cs="Times New Roman" w:eastAsia="Times New Roman" w:hint="default"/>
                <w:sz w:val="21"/>
                <w:szCs w:val="21"/>
              </w:rPr>
            </w:pPr>
            <w:r>
              <w:rPr>
                <w:rFonts w:ascii="Times New Roman"/>
                <w:spacing w:val="-1"/>
                <w:sz w:val="21"/>
              </w:rPr>
              <w:t>4,050,781,436.79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44"/>
              <w:jc w:val="right"/>
              <w:rPr>
                <w:rFonts w:ascii="Times New Roman" w:hAnsi="Times New Roman" w:cs="Times New Roman" w:eastAsia="Times New Roman" w:hint="default"/>
                <w:sz w:val="21"/>
                <w:szCs w:val="21"/>
              </w:rPr>
            </w:pPr>
            <w:r>
              <w:rPr>
                <w:rFonts w:ascii="Times New Roman"/>
                <w:sz w:val="21"/>
              </w:rPr>
              <w:t>29.74</w:t>
            </w:r>
          </w:p>
        </w:tc>
        <w:tc>
          <w:tcPr>
            <w:tcW w:w="991" w:type="dxa"/>
            <w:vMerge/>
            <w:tcBorders>
              <w:left w:val="single" w:sz="8" w:space="0" w:color="000000"/>
              <w:right w:val="single" w:sz="8" w:space="0" w:color="000000"/>
            </w:tcBorders>
          </w:tcPr>
          <w:p>
            <w:pPr/>
          </w:p>
        </w:tc>
      </w:tr>
      <w:tr>
        <w:trPr>
          <w:trHeight w:val="466"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4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43"/>
              <w:jc w:val="right"/>
              <w:rPr>
                <w:rFonts w:ascii="Times New Roman" w:hAnsi="Times New Roman" w:cs="Times New Roman" w:eastAsia="Times New Roman" w:hint="default"/>
                <w:sz w:val="21"/>
                <w:szCs w:val="21"/>
              </w:rPr>
            </w:pPr>
            <w:r>
              <w:rPr>
                <w:rFonts w:ascii="Times New Roman"/>
                <w:spacing w:val="-1"/>
                <w:sz w:val="21"/>
              </w:rPr>
              <w:t>-363,571,454.29</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41"/>
              <w:jc w:val="right"/>
              <w:rPr>
                <w:rFonts w:ascii="Times New Roman" w:hAnsi="Times New Roman" w:cs="Times New Roman" w:eastAsia="Times New Roman" w:hint="default"/>
                <w:sz w:val="21"/>
                <w:szCs w:val="21"/>
              </w:rPr>
            </w:pPr>
            <w:r>
              <w:rPr>
                <w:rFonts w:ascii="Times New Roman"/>
                <w:spacing w:val="-1"/>
                <w:sz w:val="21"/>
              </w:rPr>
              <w:t>248,043,589.86</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46"/>
              <w:jc w:val="right"/>
              <w:rPr>
                <w:rFonts w:ascii="Times New Roman" w:hAnsi="Times New Roman" w:cs="Times New Roman" w:eastAsia="Times New Roman" w:hint="default"/>
                <w:sz w:val="21"/>
                <w:szCs w:val="21"/>
              </w:rPr>
            </w:pPr>
            <w:r>
              <w:rPr>
                <w:rFonts w:ascii="Times New Roman"/>
                <w:spacing w:val="-1"/>
                <w:sz w:val="21"/>
              </w:rPr>
              <w:t>-246.58</w:t>
            </w:r>
          </w:p>
        </w:tc>
        <w:tc>
          <w:tcPr>
            <w:tcW w:w="991" w:type="dxa"/>
            <w:vMerge/>
            <w:tcBorders>
              <w:left w:val="single" w:sz="8" w:space="0" w:color="000000"/>
              <w:bottom w:val="single" w:sz="8" w:space="0" w:color="000000"/>
              <w:right w:val="single" w:sz="8" w:space="0" w:color="000000"/>
            </w:tcBorders>
          </w:tcPr>
          <w:p>
            <w:pPr/>
          </w:p>
        </w:tc>
      </w:tr>
      <w:tr>
        <w:trPr>
          <w:trHeight w:val="420" w:hRule="exact"/>
        </w:trPr>
        <w:tc>
          <w:tcPr>
            <w:tcW w:w="8658"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48"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r>
      <w:tr>
        <w:trPr>
          <w:trHeight w:val="382"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8"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43"/>
              <w:jc w:val="right"/>
              <w:rPr>
                <w:rFonts w:ascii="Times New Roman" w:hAnsi="Times New Roman" w:cs="Times New Roman" w:eastAsia="Times New Roman" w:hint="default"/>
                <w:sz w:val="21"/>
                <w:szCs w:val="21"/>
              </w:rPr>
            </w:pPr>
            <w:r>
              <w:rPr>
                <w:rFonts w:ascii="Times New Roman"/>
                <w:spacing w:val="-1"/>
                <w:sz w:val="21"/>
              </w:rPr>
              <w:t>363,995,566.59</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41"/>
              <w:jc w:val="right"/>
              <w:rPr>
                <w:rFonts w:ascii="Times New Roman" w:hAnsi="Times New Roman" w:cs="Times New Roman" w:eastAsia="Times New Roman" w:hint="default"/>
                <w:sz w:val="21"/>
                <w:szCs w:val="21"/>
              </w:rPr>
            </w:pPr>
            <w:r>
              <w:rPr>
                <w:rFonts w:ascii="Times New Roman"/>
                <w:spacing w:val="-1"/>
                <w:sz w:val="21"/>
              </w:rPr>
              <w:t>256,479,919.88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44"/>
              <w:jc w:val="right"/>
              <w:rPr>
                <w:rFonts w:ascii="Times New Roman" w:hAnsi="Times New Roman" w:cs="Times New Roman" w:eastAsia="Times New Roman" w:hint="default"/>
                <w:sz w:val="21"/>
                <w:szCs w:val="21"/>
              </w:rPr>
            </w:pPr>
            <w:r>
              <w:rPr>
                <w:rFonts w:ascii="Times New Roman"/>
                <w:sz w:val="21"/>
              </w:rPr>
              <w:t>41.92</w:t>
            </w:r>
          </w:p>
        </w:tc>
        <w:tc>
          <w:tcPr>
            <w:tcW w:w="991"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 w:right="29"/>
              <w:jc w:val="left"/>
              <w:rPr>
                <w:rFonts w:ascii="宋体" w:hAnsi="宋体" w:cs="宋体" w:eastAsia="宋体" w:hint="default"/>
                <w:sz w:val="21"/>
                <w:szCs w:val="21"/>
              </w:rPr>
            </w:pPr>
            <w:r>
              <w:rPr>
                <w:rFonts w:ascii="宋体" w:hAnsi="宋体" w:cs="宋体" w:eastAsia="宋体" w:hint="default"/>
                <w:spacing w:val="11"/>
                <w:sz w:val="21"/>
                <w:szCs w:val="21"/>
              </w:rPr>
              <w:t>现金收购</w:t>
            </w:r>
            <w:r>
              <w:rPr>
                <w:rFonts w:ascii="宋体" w:hAnsi="宋体" w:cs="宋体" w:eastAsia="宋体" w:hint="default"/>
                <w:spacing w:val="-97"/>
                <w:sz w:val="21"/>
                <w:szCs w:val="21"/>
              </w:rPr>
              <w:t> </w:t>
            </w:r>
            <w:r>
              <w:rPr>
                <w:rFonts w:ascii="宋体" w:hAnsi="宋体" w:cs="宋体" w:eastAsia="宋体" w:hint="default"/>
                <w:sz w:val="21"/>
                <w:szCs w:val="21"/>
              </w:rPr>
              <w:t>上海红生</w:t>
            </w:r>
          </w:p>
        </w:tc>
      </w:tr>
      <w:tr>
        <w:trPr>
          <w:trHeight w:val="427"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8"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43"/>
              <w:jc w:val="right"/>
              <w:rPr>
                <w:rFonts w:ascii="Times New Roman" w:hAnsi="Times New Roman" w:cs="Times New Roman" w:eastAsia="Times New Roman" w:hint="default"/>
                <w:sz w:val="21"/>
                <w:szCs w:val="21"/>
              </w:rPr>
            </w:pPr>
            <w:r>
              <w:rPr>
                <w:rFonts w:ascii="Times New Roman"/>
                <w:spacing w:val="-1"/>
                <w:sz w:val="21"/>
              </w:rPr>
              <w:t>1,042,698,885.82</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41"/>
              <w:jc w:val="right"/>
              <w:rPr>
                <w:rFonts w:ascii="Times New Roman" w:hAnsi="Times New Roman" w:cs="Times New Roman" w:eastAsia="Times New Roman" w:hint="default"/>
                <w:sz w:val="21"/>
                <w:szCs w:val="21"/>
              </w:rPr>
            </w:pPr>
            <w:r>
              <w:rPr>
                <w:rFonts w:ascii="Times New Roman"/>
                <w:spacing w:val="-1"/>
                <w:sz w:val="21"/>
              </w:rPr>
              <w:t>581,922,428.82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44"/>
              <w:jc w:val="right"/>
              <w:rPr>
                <w:rFonts w:ascii="Times New Roman" w:hAnsi="Times New Roman" w:cs="Times New Roman" w:eastAsia="Times New Roman" w:hint="default"/>
                <w:sz w:val="21"/>
                <w:szCs w:val="21"/>
              </w:rPr>
            </w:pPr>
            <w:r>
              <w:rPr>
                <w:rFonts w:ascii="Times New Roman"/>
                <w:sz w:val="21"/>
              </w:rPr>
              <w:t>79.18</w:t>
            </w:r>
          </w:p>
        </w:tc>
        <w:tc>
          <w:tcPr>
            <w:tcW w:w="991" w:type="dxa"/>
            <w:vMerge/>
            <w:tcBorders>
              <w:left w:val="single" w:sz="8" w:space="0" w:color="000000"/>
              <w:right w:val="single" w:sz="8" w:space="0" w:color="000000"/>
            </w:tcBorders>
          </w:tcPr>
          <w:p>
            <w:pPr/>
          </w:p>
        </w:tc>
      </w:tr>
      <w:tr>
        <w:trPr>
          <w:trHeight w:val="422"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43"/>
              <w:jc w:val="right"/>
              <w:rPr>
                <w:rFonts w:ascii="Times New Roman" w:hAnsi="Times New Roman" w:cs="Times New Roman" w:eastAsia="Times New Roman" w:hint="default"/>
                <w:sz w:val="21"/>
                <w:szCs w:val="21"/>
              </w:rPr>
            </w:pPr>
            <w:r>
              <w:rPr>
                <w:rFonts w:ascii="Times New Roman"/>
                <w:spacing w:val="-1"/>
                <w:sz w:val="21"/>
              </w:rPr>
              <w:t>-678,703,319.23</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41"/>
              <w:jc w:val="right"/>
              <w:rPr>
                <w:rFonts w:ascii="Times New Roman" w:hAnsi="Times New Roman" w:cs="Times New Roman" w:eastAsia="Times New Roman" w:hint="default"/>
                <w:sz w:val="21"/>
                <w:szCs w:val="21"/>
              </w:rPr>
            </w:pPr>
            <w:r>
              <w:rPr>
                <w:rFonts w:ascii="Times New Roman"/>
                <w:spacing w:val="-1"/>
                <w:sz w:val="21"/>
              </w:rPr>
              <w:t>-325,442,508.94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44"/>
              <w:jc w:val="right"/>
              <w:rPr>
                <w:rFonts w:ascii="宋体" w:hAnsi="宋体" w:cs="宋体" w:eastAsia="宋体" w:hint="default"/>
                <w:sz w:val="21"/>
                <w:szCs w:val="21"/>
              </w:rPr>
            </w:pPr>
            <w:r>
              <w:rPr>
                <w:rFonts w:ascii="宋体" w:hAnsi="宋体" w:cs="宋体" w:eastAsia="宋体" w:hint="default"/>
                <w:sz w:val="21"/>
                <w:szCs w:val="21"/>
              </w:rPr>
              <w:t>不适用</w:t>
            </w:r>
          </w:p>
        </w:tc>
        <w:tc>
          <w:tcPr>
            <w:tcW w:w="991" w:type="dxa"/>
            <w:vMerge/>
            <w:tcBorders>
              <w:left w:val="single" w:sz="8" w:space="0" w:color="000000"/>
              <w:bottom w:val="single" w:sz="8" w:space="0" w:color="000000"/>
              <w:right w:val="single" w:sz="8" w:space="0" w:color="000000"/>
            </w:tcBorders>
          </w:tcPr>
          <w:p>
            <w:pPr/>
          </w:p>
        </w:tc>
      </w:tr>
      <w:tr>
        <w:trPr>
          <w:trHeight w:val="427" w:hRule="exact"/>
        </w:trPr>
        <w:tc>
          <w:tcPr>
            <w:tcW w:w="8658"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48"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r>
      <w:tr>
        <w:trPr>
          <w:trHeight w:val="421"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48"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43"/>
              <w:jc w:val="right"/>
              <w:rPr>
                <w:rFonts w:ascii="Times New Roman" w:hAnsi="Times New Roman" w:cs="Times New Roman" w:eastAsia="Times New Roman" w:hint="default"/>
                <w:sz w:val="21"/>
                <w:szCs w:val="21"/>
              </w:rPr>
            </w:pPr>
            <w:r>
              <w:rPr>
                <w:rFonts w:ascii="Times New Roman"/>
                <w:spacing w:val="-1"/>
                <w:sz w:val="21"/>
              </w:rPr>
              <w:t>1,828,912,028.00</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41"/>
              <w:jc w:val="right"/>
              <w:rPr>
                <w:rFonts w:ascii="Times New Roman" w:hAnsi="Times New Roman" w:cs="Times New Roman" w:eastAsia="Times New Roman" w:hint="default"/>
                <w:sz w:val="21"/>
                <w:szCs w:val="21"/>
              </w:rPr>
            </w:pPr>
            <w:r>
              <w:rPr>
                <w:rFonts w:ascii="Times New Roman"/>
                <w:spacing w:val="-1"/>
                <w:sz w:val="21"/>
              </w:rPr>
              <w:t>1,826,168,206.01</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43"/>
              <w:jc w:val="right"/>
              <w:rPr>
                <w:rFonts w:ascii="Times New Roman" w:hAnsi="Times New Roman" w:cs="Times New Roman" w:eastAsia="Times New Roman" w:hint="default"/>
                <w:sz w:val="21"/>
                <w:szCs w:val="21"/>
              </w:rPr>
            </w:pPr>
            <w:r>
              <w:rPr>
                <w:rFonts w:ascii="Times New Roman"/>
                <w:sz w:val="21"/>
              </w:rPr>
              <w:t>0.15</w:t>
            </w:r>
          </w:p>
        </w:tc>
        <w:tc>
          <w:tcPr>
            <w:tcW w:w="991"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72" w:lineRule="exact"/>
              <w:ind w:left="47" w:right="29"/>
              <w:jc w:val="left"/>
              <w:rPr>
                <w:rFonts w:ascii="宋体" w:hAnsi="宋体" w:cs="宋体" w:eastAsia="宋体" w:hint="default"/>
                <w:sz w:val="21"/>
                <w:szCs w:val="21"/>
              </w:rPr>
            </w:pPr>
            <w:r>
              <w:rPr>
                <w:rFonts w:ascii="宋体" w:hAnsi="宋体" w:cs="宋体" w:eastAsia="宋体" w:hint="default"/>
                <w:spacing w:val="11"/>
                <w:sz w:val="21"/>
                <w:szCs w:val="21"/>
              </w:rPr>
              <w:t>银行贷款</w:t>
            </w:r>
            <w:r>
              <w:rPr>
                <w:rFonts w:ascii="宋体" w:hAnsi="宋体" w:cs="宋体" w:eastAsia="宋体" w:hint="default"/>
                <w:spacing w:val="-97"/>
                <w:sz w:val="21"/>
                <w:szCs w:val="21"/>
              </w:rPr>
              <w:t> </w:t>
            </w:r>
            <w:r>
              <w:rPr>
                <w:rFonts w:ascii="宋体" w:hAnsi="宋体" w:cs="宋体" w:eastAsia="宋体" w:hint="default"/>
                <w:sz w:val="21"/>
                <w:szCs w:val="21"/>
              </w:rPr>
              <w:t>增加</w:t>
            </w:r>
          </w:p>
        </w:tc>
      </w:tr>
      <w:tr>
        <w:trPr>
          <w:trHeight w:val="425"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8"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43"/>
              <w:jc w:val="right"/>
              <w:rPr>
                <w:rFonts w:ascii="Times New Roman" w:hAnsi="Times New Roman" w:cs="Times New Roman" w:eastAsia="Times New Roman" w:hint="default"/>
                <w:sz w:val="21"/>
                <w:szCs w:val="21"/>
              </w:rPr>
            </w:pPr>
            <w:r>
              <w:rPr>
                <w:rFonts w:ascii="Times New Roman"/>
                <w:spacing w:val="-1"/>
                <w:sz w:val="21"/>
              </w:rPr>
              <w:t>1,064,949,801.66</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41"/>
              <w:jc w:val="right"/>
              <w:rPr>
                <w:rFonts w:ascii="Times New Roman" w:hAnsi="Times New Roman" w:cs="Times New Roman" w:eastAsia="Times New Roman" w:hint="default"/>
                <w:sz w:val="21"/>
                <w:szCs w:val="21"/>
              </w:rPr>
            </w:pPr>
            <w:r>
              <w:rPr>
                <w:rFonts w:ascii="Times New Roman"/>
                <w:spacing w:val="-1"/>
                <w:sz w:val="21"/>
              </w:rPr>
              <w:t>1,362,447,996.40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46"/>
              <w:jc w:val="right"/>
              <w:rPr>
                <w:rFonts w:ascii="Times New Roman" w:hAnsi="Times New Roman" w:cs="Times New Roman" w:eastAsia="Times New Roman" w:hint="default"/>
                <w:sz w:val="21"/>
                <w:szCs w:val="21"/>
              </w:rPr>
            </w:pPr>
            <w:r>
              <w:rPr>
                <w:rFonts w:ascii="Times New Roman"/>
                <w:spacing w:val="-1"/>
                <w:sz w:val="21"/>
              </w:rPr>
              <w:t>-21.84</w:t>
            </w:r>
          </w:p>
        </w:tc>
        <w:tc>
          <w:tcPr>
            <w:tcW w:w="991" w:type="dxa"/>
            <w:vMerge/>
            <w:tcBorders>
              <w:left w:val="single" w:sz="8" w:space="0" w:color="000000"/>
              <w:right w:val="single" w:sz="8" w:space="0" w:color="000000"/>
            </w:tcBorders>
          </w:tcPr>
          <w:p>
            <w:pPr/>
          </w:p>
        </w:tc>
      </w:tr>
      <w:tr>
        <w:trPr>
          <w:trHeight w:val="422" w:hRule="exact"/>
        </w:trPr>
        <w:tc>
          <w:tcPr>
            <w:tcW w:w="29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4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43"/>
              <w:jc w:val="right"/>
              <w:rPr>
                <w:rFonts w:ascii="Times New Roman" w:hAnsi="Times New Roman" w:cs="Times New Roman" w:eastAsia="Times New Roman" w:hint="default"/>
                <w:sz w:val="21"/>
                <w:szCs w:val="21"/>
              </w:rPr>
            </w:pPr>
            <w:r>
              <w:rPr>
                <w:rFonts w:ascii="Times New Roman"/>
                <w:spacing w:val="-1"/>
                <w:sz w:val="21"/>
              </w:rPr>
              <w:t>763,962,226.34</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41"/>
              <w:jc w:val="right"/>
              <w:rPr>
                <w:rFonts w:ascii="Times New Roman" w:hAnsi="Times New Roman" w:cs="Times New Roman" w:eastAsia="Times New Roman" w:hint="default"/>
                <w:sz w:val="21"/>
                <w:szCs w:val="21"/>
              </w:rPr>
            </w:pPr>
            <w:r>
              <w:rPr>
                <w:rFonts w:ascii="Times New Roman"/>
                <w:spacing w:val="-1"/>
                <w:sz w:val="21"/>
              </w:rPr>
              <w:t>463,720,209.61</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5"/>
              <w:ind w:right="44"/>
              <w:jc w:val="right"/>
              <w:rPr>
                <w:rFonts w:ascii="Times New Roman" w:hAnsi="Times New Roman" w:cs="Times New Roman" w:eastAsia="Times New Roman" w:hint="default"/>
                <w:sz w:val="21"/>
                <w:szCs w:val="21"/>
              </w:rPr>
            </w:pPr>
            <w:r>
              <w:rPr>
                <w:rFonts w:ascii="Times New Roman"/>
                <w:sz w:val="21"/>
              </w:rPr>
              <w:t>64.75</w:t>
            </w:r>
          </w:p>
        </w:tc>
        <w:tc>
          <w:tcPr>
            <w:tcW w:w="991" w:type="dxa"/>
            <w:vMerge/>
            <w:tcBorders>
              <w:left w:val="single" w:sz="8" w:space="0" w:color="000000"/>
              <w:bottom w:val="single" w:sz="8" w:space="0" w:color="000000"/>
              <w:right w:val="single" w:sz="8" w:space="0" w:color="000000"/>
            </w:tcBorders>
          </w:tcPr>
          <w:p>
            <w:pPr/>
          </w:p>
        </w:tc>
      </w:tr>
    </w:tbl>
    <w:p>
      <w:pPr>
        <w:spacing w:line="240" w:lineRule="auto" w:before="10"/>
        <w:rPr>
          <w:rFonts w:ascii="宋体" w:hAnsi="宋体" w:cs="宋体" w:eastAsia="宋体" w:hint="default"/>
          <w:sz w:val="17"/>
          <w:szCs w:val="17"/>
        </w:rPr>
      </w:pPr>
    </w:p>
    <w:p>
      <w:pPr>
        <w:pStyle w:val="Heading2"/>
        <w:tabs>
          <w:tab w:pos="1057" w:val="left" w:leader="none"/>
        </w:tabs>
        <w:spacing w:line="240" w:lineRule="auto"/>
        <w:ind w:left="2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60"/>
        </w:sectPr>
      </w:pPr>
    </w:p>
    <w:p>
      <w:pPr>
        <w:pStyle w:val="Heading2"/>
        <w:tabs>
          <w:tab w:pos="1057" w:val="left" w:leader="none"/>
        </w:tabs>
        <w:spacing w:line="240" w:lineRule="auto"/>
        <w:ind w:left="21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964" w:val="left" w:leader="none"/>
        </w:tabs>
        <w:spacing w:line="240" w:lineRule="auto" w:before="56"/>
        <w:ind w:left="218"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642" w:val="left" w:leader="none"/>
        </w:tabs>
        <w:spacing w:line="240" w:lineRule="auto" w:before="40"/>
        <w:ind w:left="21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60"/>
          <w:cols w:num="2" w:equalWidth="0">
            <w:col w:w="2959" w:space="5034"/>
            <w:col w:w="1277"/>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073"/>
        <w:gridCol w:w="1760"/>
        <w:gridCol w:w="1008"/>
        <w:gridCol w:w="1796"/>
        <w:gridCol w:w="830"/>
        <w:gridCol w:w="1076"/>
        <w:gridCol w:w="1418"/>
      </w:tblGrid>
      <w:tr>
        <w:trPr>
          <w:trHeight w:val="557"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3" w:lineRule="exact"/>
              <w:ind w:left="76" w:right="0"/>
              <w:jc w:val="left"/>
              <w:rPr>
                <w:rFonts w:ascii="宋体" w:hAnsi="宋体" w:cs="宋体" w:eastAsia="宋体" w:hint="default"/>
                <w:sz w:val="21"/>
                <w:szCs w:val="21"/>
              </w:rPr>
            </w:pPr>
            <w:r>
              <w:rPr>
                <w:rFonts w:ascii="宋体" w:hAnsi="宋体" w:cs="宋体" w:eastAsia="宋体" w:hint="default"/>
                <w:sz w:val="21"/>
                <w:szCs w:val="21"/>
              </w:rPr>
              <w:t>数占总资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末数占</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金额较上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情况说明</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073"/>
        <w:gridCol w:w="1760"/>
        <w:gridCol w:w="1008"/>
        <w:gridCol w:w="1796"/>
        <w:gridCol w:w="830"/>
        <w:gridCol w:w="1076"/>
        <w:gridCol w:w="1418"/>
      </w:tblGrid>
      <w:tr>
        <w:trPr>
          <w:trHeight w:val="828" w:hRule="exact"/>
        </w:trPr>
        <w:tc>
          <w:tcPr>
            <w:tcW w:w="107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产的比例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96"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总资产</w:t>
            </w:r>
          </w:p>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z w:val="21"/>
                <w:szCs w:val="21"/>
              </w:rPr>
              <w:t>的比例</w:t>
            </w:r>
          </w:p>
          <w:p>
            <w:pPr>
              <w:pStyle w:val="TableParagraph"/>
              <w:spacing w:line="290" w:lineRule="exact"/>
              <w:ind w:left="1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 w:right="0" w:firstLine="88"/>
              <w:jc w:val="left"/>
              <w:rPr>
                <w:rFonts w:ascii="宋体" w:hAnsi="宋体" w:cs="宋体" w:eastAsia="宋体" w:hint="default"/>
                <w:sz w:val="21"/>
                <w:szCs w:val="21"/>
              </w:rPr>
            </w:pPr>
            <w:r>
              <w:rPr>
                <w:rFonts w:ascii="宋体" w:hAnsi="宋体" w:cs="宋体" w:eastAsia="宋体" w:hint="default"/>
                <w:sz w:val="21"/>
                <w:szCs w:val="21"/>
              </w:rPr>
              <w:t>期期末变</w:t>
            </w:r>
          </w:p>
          <w:p>
            <w:pPr>
              <w:pStyle w:val="TableParagraph"/>
              <w:spacing w:line="289"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动比</w:t>
            </w:r>
            <w:r>
              <w:rPr>
                <w:rFonts w:ascii="宋体" w:hAnsi="宋体" w:cs="宋体" w:eastAsia="宋体" w:hint="default"/>
                <w:spacing w:val="-101"/>
                <w:w w:val="100"/>
                <w:sz w:val="21"/>
                <w:szCs w:val="21"/>
              </w:rPr>
              <w:t>例</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828"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10,513,954,247.14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100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8,587,708,279.05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22.43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经营规模增长</w:t>
            </w:r>
          </w:p>
          <w:p>
            <w:pPr>
              <w:pStyle w:val="TableParagraph"/>
              <w:spacing w:line="272" w:lineRule="exact" w:before="27"/>
              <w:ind w:left="23" w:right="18"/>
              <w:jc w:val="left"/>
              <w:rPr>
                <w:rFonts w:ascii="宋体" w:hAnsi="宋体" w:cs="宋体" w:eastAsia="宋体" w:hint="default"/>
                <w:sz w:val="21"/>
                <w:szCs w:val="21"/>
              </w:rPr>
            </w:pPr>
            <w:r>
              <w:rPr>
                <w:rFonts w:ascii="宋体" w:hAnsi="宋体" w:cs="宋体" w:eastAsia="宋体" w:hint="default"/>
                <w:spacing w:val="15"/>
                <w:sz w:val="21"/>
                <w:szCs w:val="21"/>
              </w:rPr>
              <w:t>及合并范围增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加</w:t>
            </w:r>
          </w:p>
        </w:tc>
      </w:tr>
      <w:tr>
        <w:trPr>
          <w:trHeight w:val="281"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122,037,890.84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1.16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83,044,926.00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0.97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46.95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票据结算增加</w:t>
            </w:r>
          </w:p>
        </w:tc>
      </w:tr>
      <w:tr>
        <w:trPr>
          <w:trHeight w:val="828"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3,681,828,422.10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35.02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2,409,710,286.50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28.06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52.79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产品验收结算</w:t>
            </w:r>
          </w:p>
          <w:p>
            <w:pPr>
              <w:pStyle w:val="TableParagraph"/>
              <w:spacing w:line="272" w:lineRule="exact" w:before="27"/>
              <w:ind w:left="23" w:right="18"/>
              <w:jc w:val="left"/>
              <w:rPr>
                <w:rFonts w:ascii="宋体" w:hAnsi="宋体" w:cs="宋体" w:eastAsia="宋体" w:hint="default"/>
                <w:sz w:val="21"/>
                <w:szCs w:val="21"/>
              </w:rPr>
            </w:pPr>
            <w:r>
              <w:rPr>
                <w:rFonts w:ascii="宋体" w:hAnsi="宋体" w:cs="宋体" w:eastAsia="宋体" w:hint="default"/>
                <w:spacing w:val="15"/>
                <w:sz w:val="21"/>
                <w:szCs w:val="21"/>
              </w:rPr>
              <w:t>周期延长及规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模增长</w:t>
            </w:r>
          </w:p>
        </w:tc>
      </w:tr>
      <w:tr>
        <w:trPr>
          <w:trHeight w:val="281"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319,700,666.20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3.04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226,348,555.71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2.64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41.24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合同备货增加</w:t>
            </w:r>
          </w:p>
        </w:tc>
      </w:tr>
      <w:tr>
        <w:trPr>
          <w:trHeight w:val="829"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37"/>
              <w:jc w:val="left"/>
              <w:rPr>
                <w:rFonts w:ascii="宋体" w:hAnsi="宋体" w:cs="宋体" w:eastAsia="宋体" w:hint="default"/>
                <w:sz w:val="21"/>
                <w:szCs w:val="21"/>
              </w:rPr>
            </w:pPr>
            <w:r>
              <w:rPr>
                <w:rFonts w:ascii="宋体" w:hAnsi="宋体" w:cs="宋体" w:eastAsia="宋体" w:hint="default"/>
                <w:spacing w:val="42"/>
                <w:sz w:val="21"/>
                <w:szCs w:val="21"/>
              </w:rPr>
              <w:t>其他应收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424,717,086.61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4.04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324,363,783.9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3.78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30.94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应收股权转让</w:t>
            </w:r>
          </w:p>
          <w:p>
            <w:pPr>
              <w:pStyle w:val="TableParagraph"/>
              <w:spacing w:line="240" w:lineRule="auto"/>
              <w:ind w:left="23" w:right="18"/>
              <w:jc w:val="left"/>
              <w:rPr>
                <w:rFonts w:ascii="宋体" w:hAnsi="宋体" w:cs="宋体" w:eastAsia="宋体" w:hint="default"/>
                <w:sz w:val="21"/>
                <w:szCs w:val="21"/>
              </w:rPr>
            </w:pPr>
            <w:r>
              <w:rPr>
                <w:rFonts w:ascii="宋体" w:hAnsi="宋体" w:cs="宋体" w:eastAsia="宋体" w:hint="default"/>
                <w:spacing w:val="15"/>
                <w:sz w:val="21"/>
                <w:szCs w:val="21"/>
              </w:rPr>
              <w:t>款及合并范围</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变动</w:t>
            </w:r>
          </w:p>
        </w:tc>
      </w:tr>
      <w:tr>
        <w:trPr>
          <w:trHeight w:val="55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7"/>
              <w:jc w:val="left"/>
              <w:rPr>
                <w:rFonts w:ascii="宋体" w:hAnsi="宋体" w:cs="宋体" w:eastAsia="宋体" w:hint="default"/>
                <w:sz w:val="21"/>
                <w:szCs w:val="21"/>
              </w:rPr>
            </w:pPr>
            <w:r>
              <w:rPr>
                <w:rFonts w:ascii="宋体" w:hAnsi="宋体" w:cs="宋体" w:eastAsia="宋体" w:hint="default"/>
                <w:spacing w:val="42"/>
                <w:sz w:val="21"/>
                <w:szCs w:val="21"/>
              </w:rPr>
              <w:t>其他流动</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18,317,054.15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0.17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66,931,381.83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0.78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-72.63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理财产品到期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收回</w:t>
            </w:r>
          </w:p>
        </w:tc>
      </w:tr>
      <w:tr>
        <w:trPr>
          <w:trHeight w:val="55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7"/>
              <w:jc w:val="left"/>
              <w:rPr>
                <w:rFonts w:ascii="宋体" w:hAnsi="宋体" w:cs="宋体" w:eastAsia="宋体" w:hint="default"/>
                <w:sz w:val="21"/>
                <w:szCs w:val="21"/>
              </w:rPr>
            </w:pPr>
            <w:r>
              <w:rPr>
                <w:rFonts w:ascii="宋体" w:hAnsi="宋体" w:cs="宋体" w:eastAsia="宋体" w:hint="default"/>
                <w:spacing w:val="42"/>
                <w:sz w:val="21"/>
                <w:szCs w:val="21"/>
              </w:rPr>
              <w:t>可供出售</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703,343,362.81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6.69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436,360,333.08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5.08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61.18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股权投资增加</w:t>
            </w:r>
          </w:p>
        </w:tc>
      </w:tr>
      <w:tr>
        <w:trPr>
          <w:trHeight w:val="55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1,229,216,836.64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11.69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787,049,402.71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9.16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56.18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并购上海红生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7"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37"/>
              <w:jc w:val="left"/>
              <w:rPr>
                <w:rFonts w:ascii="宋体" w:hAnsi="宋体" w:cs="宋体" w:eastAsia="宋体" w:hint="default"/>
                <w:sz w:val="21"/>
                <w:szCs w:val="21"/>
              </w:rPr>
            </w:pPr>
            <w:r>
              <w:rPr>
                <w:rFonts w:ascii="宋体" w:hAnsi="宋体" w:cs="宋体" w:eastAsia="宋体" w:hint="default"/>
                <w:spacing w:val="42"/>
                <w:sz w:val="21"/>
                <w:szCs w:val="21"/>
              </w:rPr>
              <w:t>长期待摊</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15,356,459.14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0.15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5,959,378.87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0.07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z w:val="21"/>
              </w:rPr>
              <w:t>157.69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办公装修费用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826"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37"/>
              <w:jc w:val="left"/>
              <w:rPr>
                <w:rFonts w:ascii="宋体" w:hAnsi="宋体" w:cs="宋体" w:eastAsia="宋体" w:hint="default"/>
                <w:sz w:val="21"/>
                <w:szCs w:val="21"/>
              </w:rPr>
            </w:pPr>
            <w:r>
              <w:rPr>
                <w:rFonts w:ascii="宋体" w:hAnsi="宋体" w:cs="宋体" w:eastAsia="宋体" w:hint="default"/>
                <w:spacing w:val="42"/>
                <w:sz w:val="21"/>
                <w:szCs w:val="21"/>
              </w:rPr>
              <w:t>递延所得</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税资产</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25,372,342.89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0.24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17,753,832.01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0.21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42.91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坏账准备对应</w:t>
            </w:r>
          </w:p>
          <w:p>
            <w:pPr>
              <w:pStyle w:val="TableParagraph"/>
              <w:spacing w:line="240" w:lineRule="auto"/>
              <w:ind w:left="23" w:right="18"/>
              <w:jc w:val="left"/>
              <w:rPr>
                <w:rFonts w:ascii="宋体" w:hAnsi="宋体" w:cs="宋体" w:eastAsia="宋体" w:hint="default"/>
                <w:sz w:val="21"/>
                <w:szCs w:val="21"/>
              </w:rPr>
            </w:pPr>
            <w:r>
              <w:rPr>
                <w:rFonts w:ascii="宋体" w:hAnsi="宋体" w:cs="宋体" w:eastAsia="宋体" w:hint="default"/>
                <w:spacing w:val="15"/>
                <w:sz w:val="21"/>
                <w:szCs w:val="21"/>
              </w:rPr>
              <w:t>的递延所得税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资产增加</w:t>
            </w:r>
          </w:p>
        </w:tc>
      </w:tr>
      <w:tr>
        <w:trPr>
          <w:trHeight w:val="283"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1,184,622,138.00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11.27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484,000,000.00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5.64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144.76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银行贷款增加</w:t>
            </w:r>
          </w:p>
        </w:tc>
      </w:tr>
      <w:tr>
        <w:trPr>
          <w:trHeight w:val="55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1,906,855,248.91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18.14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1,367,570,725.04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15.92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39.43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商业信用采购</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283"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179,775,374.37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1.71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122,657,705.90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1.43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46.57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2"/>
                <w:sz w:val="21"/>
                <w:szCs w:val="21"/>
              </w:rPr>
              <w:t>收入规模增加</w:t>
            </w:r>
            <w:r>
              <w:rPr>
                <w:rFonts w:ascii="宋体" w:hAnsi="宋体" w:cs="宋体" w:eastAsia="宋体" w:hint="default"/>
                <w:sz w:val="21"/>
                <w:szCs w:val="21"/>
              </w:rPr>
            </w:r>
          </w:p>
        </w:tc>
      </w:tr>
      <w:tr>
        <w:trPr>
          <w:trHeight w:val="55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37"/>
              <w:jc w:val="left"/>
              <w:rPr>
                <w:rFonts w:ascii="宋体" w:hAnsi="宋体" w:cs="宋体" w:eastAsia="宋体" w:hint="default"/>
                <w:sz w:val="21"/>
                <w:szCs w:val="21"/>
              </w:rPr>
            </w:pPr>
            <w:r>
              <w:rPr>
                <w:rFonts w:ascii="宋体" w:hAnsi="宋体" w:cs="宋体" w:eastAsia="宋体" w:hint="default"/>
                <w:spacing w:val="42"/>
                <w:sz w:val="21"/>
                <w:szCs w:val="21"/>
              </w:rPr>
              <w:t>其他应付</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253,425,104.79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2.41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145,891,814.42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1.70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73.71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限制性股权款</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826"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37"/>
              <w:jc w:val="left"/>
              <w:rPr>
                <w:rFonts w:ascii="宋体" w:hAnsi="宋体" w:cs="宋体" w:eastAsia="宋体" w:hint="default"/>
                <w:sz w:val="21"/>
                <w:szCs w:val="21"/>
              </w:rPr>
            </w:pPr>
            <w:r>
              <w:rPr>
                <w:rFonts w:ascii="宋体" w:hAnsi="宋体" w:cs="宋体" w:eastAsia="宋体" w:hint="default"/>
                <w:spacing w:val="42"/>
                <w:sz w:val="21"/>
                <w:szCs w:val="21"/>
              </w:rPr>
              <w:t>一年内到</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40" w:lineRule="auto"/>
              <w:ind w:left="23" w:right="-37"/>
              <w:jc w:val="left"/>
              <w:rPr>
                <w:rFonts w:ascii="宋体" w:hAnsi="宋体" w:cs="宋体" w:eastAsia="宋体" w:hint="default"/>
                <w:sz w:val="21"/>
                <w:szCs w:val="21"/>
              </w:rPr>
            </w:pPr>
            <w:r>
              <w:rPr>
                <w:rFonts w:ascii="宋体" w:hAnsi="宋体" w:cs="宋体" w:eastAsia="宋体" w:hint="default"/>
                <w:spacing w:val="42"/>
                <w:sz w:val="21"/>
                <w:szCs w:val="21"/>
              </w:rPr>
              <w:t>期的非流</w:t>
            </w:r>
            <w:r>
              <w:rPr>
                <w:rFonts w:ascii="宋体" w:hAnsi="宋体" w:cs="宋体" w:eastAsia="宋体" w:hint="default"/>
                <w:spacing w:val="-98"/>
                <w:sz w:val="21"/>
                <w:szCs w:val="21"/>
              </w:rPr>
              <w:t> </w:t>
            </w:r>
            <w:r>
              <w:rPr>
                <w:rFonts w:ascii="宋体" w:hAnsi="宋体" w:cs="宋体" w:eastAsia="宋体" w:hint="default"/>
                <w:sz w:val="21"/>
                <w:szCs w:val="21"/>
              </w:rPr>
              <w:t>动负债</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61,190,000.00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0.58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27,190,000.00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0.32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125.05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一年内到期的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长期借款转入</w:t>
            </w:r>
          </w:p>
        </w:tc>
      </w:tr>
      <w:tr>
        <w:trPr>
          <w:trHeight w:val="283"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401,019,089.00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3.81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48,356,362.00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0.56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z w:val="21"/>
              </w:rPr>
              <w:t>729.30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项目贷款增加</w:t>
            </w:r>
          </w:p>
        </w:tc>
      </w:tr>
      <w:tr>
        <w:trPr>
          <w:trHeight w:val="555"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268,960,699.04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z w:val="21"/>
              </w:rPr>
              <w:t>2.56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2,240,000.00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z w:val="21"/>
              </w:rPr>
              <w:t>0.03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
              <w:jc w:val="right"/>
              <w:rPr>
                <w:rFonts w:ascii="Times New Roman" w:hAnsi="Times New Roman" w:cs="Times New Roman" w:eastAsia="Times New Roman" w:hint="default"/>
                <w:sz w:val="21"/>
                <w:szCs w:val="21"/>
              </w:rPr>
            </w:pPr>
            <w:r>
              <w:rPr>
                <w:rFonts w:ascii="Times New Roman"/>
                <w:spacing w:val="-2"/>
                <w:sz w:val="21"/>
              </w:rPr>
              <w:t>11,907.17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限制性股权的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回购</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660" w:right="1060"/>
        </w:sectPr>
      </w:pPr>
    </w:p>
    <w:p>
      <w:pPr>
        <w:pStyle w:val="Heading2"/>
        <w:tabs>
          <w:tab w:pos="562" w:val="left" w:leader="none"/>
        </w:tabs>
        <w:spacing w:line="240" w:lineRule="auto"/>
        <w:ind w:right="-5"/>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tabs>
          <w:tab w:pos="884" w:val="left" w:leader="none"/>
        </w:tabs>
        <w:spacing w:line="240" w:lineRule="auto" w:before="58"/>
        <w:ind w:right="-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95"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3516" w:space="2903"/>
            <w:col w:w="2771"/>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22"/>
        <w:gridCol w:w="1812"/>
        <w:gridCol w:w="4112"/>
      </w:tblGrid>
      <w:tr>
        <w:trPr>
          <w:trHeight w:val="458"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6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6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106,842,238.69</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为票据及信用证保证金</w:t>
            </w:r>
          </w:p>
        </w:tc>
      </w:tr>
      <w:tr>
        <w:trPr>
          <w:trHeight w:val="442"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固定资产—房屋建筑物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9,454,641.00</w:t>
            </w:r>
          </w:p>
        </w:tc>
        <w:tc>
          <w:tcPr>
            <w:tcW w:w="4112" w:type="dxa"/>
            <w:vMerge w:val="restart"/>
            <w:tcBorders>
              <w:top w:val="single" w:sz="4" w:space="0" w:color="000000"/>
              <w:left w:val="single" w:sz="4" w:space="0" w:color="000000"/>
              <w:right w:val="single" w:sz="4" w:space="0" w:color="000000"/>
            </w:tcBorders>
          </w:tcPr>
          <w:p>
            <w:pPr>
              <w:pStyle w:val="TableParagraph"/>
              <w:spacing w:line="272" w:lineRule="exact" w:before="168"/>
              <w:ind w:left="103" w:right="98"/>
              <w:jc w:val="left"/>
              <w:rPr>
                <w:rFonts w:ascii="宋体" w:hAnsi="宋体" w:cs="宋体" w:eastAsia="宋体" w:hint="default"/>
                <w:sz w:val="21"/>
                <w:szCs w:val="21"/>
              </w:rPr>
            </w:pPr>
            <w:r>
              <w:rPr>
                <w:rFonts w:ascii="宋体" w:hAnsi="宋体" w:cs="宋体" w:eastAsia="宋体" w:hint="default"/>
                <w:sz w:val="21"/>
                <w:szCs w:val="21"/>
              </w:rPr>
              <w:t>中国银行福建龙岩支行 </w:t>
            </w:r>
            <w:r>
              <w:rPr>
                <w:rFonts w:ascii="宋体" w:hAnsi="宋体" w:cs="宋体" w:eastAsia="宋体" w:hint="default"/>
                <w:sz w:val="21"/>
                <w:szCs w:val="21"/>
              </w:rPr>
              <w:t>3,400</w:t>
            </w:r>
            <w:r>
              <w:rPr>
                <w:rFonts w:ascii="宋体" w:hAnsi="宋体" w:cs="宋体" w:eastAsia="宋体" w:hint="default"/>
                <w:spacing w:val="9"/>
                <w:sz w:val="21"/>
                <w:szCs w:val="21"/>
              </w:rPr>
              <w:t> </w:t>
            </w:r>
            <w:r>
              <w:rPr>
                <w:rFonts w:ascii="宋体" w:hAnsi="宋体" w:cs="宋体" w:eastAsia="宋体" w:hint="default"/>
                <w:sz w:val="21"/>
                <w:szCs w:val="21"/>
              </w:rPr>
              <w:t>万短期借款</w:t>
            </w:r>
            <w:r>
              <w:rPr>
                <w:rFonts w:ascii="宋体" w:hAnsi="宋体" w:cs="宋体" w:eastAsia="宋体" w:hint="default"/>
                <w:w w:val="100"/>
                <w:sz w:val="21"/>
                <w:szCs w:val="21"/>
              </w:rPr>
              <w:t> </w:t>
            </w:r>
            <w:r>
              <w:rPr>
                <w:rFonts w:ascii="宋体" w:hAnsi="宋体" w:cs="宋体" w:eastAsia="宋体" w:hint="default"/>
                <w:sz w:val="21"/>
                <w:szCs w:val="21"/>
              </w:rPr>
              <w:t>抵押</w:t>
            </w:r>
          </w:p>
        </w:tc>
      </w:tr>
      <w:tr>
        <w:trPr>
          <w:trHeight w:val="461"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1"/>
                <w:szCs w:val="21"/>
              </w:rPr>
            </w:pPr>
            <w:r>
              <w:rPr>
                <w:rFonts w:ascii="宋体" w:hAnsi="宋体" w:cs="宋体" w:eastAsia="宋体" w:hint="default"/>
                <w:sz w:val="21"/>
                <w:szCs w:val="21"/>
              </w:rPr>
              <w:t>无形资产—土地使用权</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宋体" w:hAnsi="宋体" w:cs="宋体" w:eastAsia="宋体" w:hint="default"/>
                <w:sz w:val="21"/>
                <w:szCs w:val="21"/>
              </w:rPr>
            </w:pPr>
            <w:r>
              <w:rPr>
                <w:rFonts w:ascii="宋体"/>
                <w:spacing w:val="-1"/>
                <w:sz w:val="21"/>
              </w:rPr>
              <w:t>25,227,646.84</w:t>
            </w:r>
          </w:p>
        </w:tc>
        <w:tc>
          <w:tcPr>
            <w:tcW w:w="411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58" w:type="dxa"/>
        <w:tblLayout w:type="fixed"/>
        <w:tblCellMar>
          <w:top w:w="0" w:type="dxa"/>
          <w:left w:w="0" w:type="dxa"/>
          <w:bottom w:w="0" w:type="dxa"/>
          <w:right w:w="0" w:type="dxa"/>
        </w:tblCellMar>
        <w:tblLook w:val="01E0"/>
      </w:tblPr>
      <w:tblGrid>
        <w:gridCol w:w="3022"/>
        <w:gridCol w:w="1812"/>
        <w:gridCol w:w="4112"/>
      </w:tblGrid>
      <w:tr>
        <w:trPr>
          <w:trHeight w:val="399"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房屋建筑物</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21"/>
                <w:szCs w:val="21"/>
              </w:rPr>
            </w:pPr>
            <w:r>
              <w:rPr>
                <w:rFonts w:ascii="宋体"/>
                <w:spacing w:val="-1"/>
                <w:sz w:val="21"/>
              </w:rPr>
              <w:t>57,167,496.36</w:t>
            </w:r>
          </w:p>
        </w:tc>
        <w:tc>
          <w:tcPr>
            <w:tcW w:w="4112" w:type="dxa"/>
            <w:vMerge w:val="restart"/>
            <w:tcBorders>
              <w:top w:val="single" w:sz="4" w:space="0" w:color="000000"/>
              <w:left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为泰豪沈阳电机有限公司在中国进出口银</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行上海分行、大连分行</w:t>
            </w:r>
            <w:r>
              <w:rPr>
                <w:rFonts w:ascii="宋体" w:hAnsi="宋体" w:cs="宋体" w:eastAsia="宋体" w:hint="default"/>
                <w:spacing w:val="-47"/>
                <w:sz w:val="21"/>
                <w:szCs w:val="21"/>
              </w:rPr>
              <w:t> </w:t>
            </w:r>
            <w:r>
              <w:rPr>
                <w:rFonts w:ascii="宋体" w:hAnsi="宋体" w:cs="宋体" w:eastAsia="宋体" w:hint="default"/>
                <w:sz w:val="21"/>
                <w:szCs w:val="21"/>
              </w:rPr>
              <w:t>23,000</w:t>
            </w:r>
            <w:r>
              <w:rPr>
                <w:rFonts w:ascii="宋体" w:hAnsi="宋体" w:cs="宋体" w:eastAsia="宋体" w:hint="default"/>
                <w:spacing w:val="-49"/>
                <w:sz w:val="21"/>
                <w:szCs w:val="21"/>
              </w:rPr>
              <w:t> </w:t>
            </w:r>
            <w:r>
              <w:rPr>
                <w:rFonts w:ascii="宋体" w:hAnsi="宋体" w:cs="宋体" w:eastAsia="宋体" w:hint="default"/>
                <w:sz w:val="21"/>
                <w:szCs w:val="21"/>
              </w:rPr>
              <w:t>万元长期借</w:t>
            </w:r>
            <w:r>
              <w:rPr>
                <w:rFonts w:ascii="宋体" w:hAnsi="宋体" w:cs="宋体" w:eastAsia="宋体" w:hint="default"/>
                <w:w w:val="100"/>
                <w:sz w:val="21"/>
                <w:szCs w:val="21"/>
              </w:rPr>
              <w:t> </w:t>
            </w:r>
            <w:r>
              <w:rPr>
                <w:rFonts w:ascii="宋体" w:hAnsi="宋体" w:cs="宋体" w:eastAsia="宋体" w:hint="default"/>
                <w:sz w:val="21"/>
                <w:szCs w:val="21"/>
              </w:rPr>
              <w:t>款抵押</w:t>
            </w:r>
          </w:p>
        </w:tc>
      </w:tr>
      <w:tr>
        <w:trPr>
          <w:trHeight w:val="43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w:t>
            </w:r>
            <w:r>
              <w:rPr>
                <w:rFonts w:ascii="宋体" w:hAnsi="宋体" w:cs="宋体" w:eastAsia="宋体" w:hint="default"/>
                <w:sz w:val="21"/>
                <w:szCs w:val="21"/>
              </w:rPr>
              <w:t>土地使用权</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宋体" w:hAnsi="宋体" w:cs="宋体" w:eastAsia="宋体" w:hint="default"/>
                <w:sz w:val="21"/>
                <w:szCs w:val="21"/>
              </w:rPr>
            </w:pPr>
            <w:r>
              <w:rPr>
                <w:rFonts w:ascii="宋体"/>
                <w:spacing w:val="-1"/>
                <w:sz w:val="21"/>
              </w:rPr>
              <w:t>56,804,833.10</w:t>
            </w:r>
          </w:p>
        </w:tc>
        <w:tc>
          <w:tcPr>
            <w:tcW w:w="4112" w:type="dxa"/>
            <w:vMerge/>
            <w:tcBorders>
              <w:left w:val="single" w:sz="4" w:space="0" w:color="000000"/>
              <w:bottom w:val="single" w:sz="4" w:space="0" w:color="000000"/>
              <w:right w:val="single" w:sz="4" w:space="0" w:color="000000"/>
            </w:tcBorders>
          </w:tcPr>
          <w:p>
            <w:pPr/>
          </w:p>
        </w:tc>
      </w:tr>
      <w:tr>
        <w:trPr>
          <w:trHeight w:val="55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长期股权投资</w:t>
            </w:r>
            <w:r>
              <w:rPr>
                <w:rFonts w:ascii="宋体" w:hAnsi="宋体" w:cs="宋体" w:eastAsia="宋体" w:hint="default"/>
                <w:spacing w:val="11"/>
                <w:sz w:val="21"/>
                <w:szCs w:val="21"/>
              </w:rPr>
              <w:t>-</w:t>
            </w:r>
            <w:r>
              <w:rPr>
                <w:rFonts w:ascii="宋体" w:hAnsi="宋体" w:cs="宋体" w:eastAsia="宋体" w:hint="default"/>
                <w:spacing w:val="11"/>
                <w:sz w:val="21"/>
                <w:szCs w:val="21"/>
              </w:rPr>
              <w:t>龙岩市海德馨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汽车有限公司</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132,600,000.00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 </w:t>
            </w:r>
            <w:r>
              <w:rPr>
                <w:rFonts w:ascii="宋体" w:hAnsi="宋体" w:cs="宋体" w:eastAsia="宋体" w:hint="default"/>
                <w:sz w:val="21"/>
                <w:szCs w:val="21"/>
              </w:rPr>
              <w:t>4,762</w:t>
            </w:r>
            <w:r>
              <w:rPr>
                <w:rFonts w:ascii="宋体" w:hAnsi="宋体" w:cs="宋体" w:eastAsia="宋体" w:hint="default"/>
                <w:spacing w:val="10"/>
                <w:sz w:val="21"/>
                <w:szCs w:val="21"/>
              </w:rPr>
              <w:t> </w:t>
            </w:r>
            <w:r>
              <w:rPr>
                <w:rFonts w:ascii="宋体" w:hAnsi="宋体" w:cs="宋体" w:eastAsia="宋体" w:hint="default"/>
                <w:sz w:val="21"/>
                <w:szCs w:val="21"/>
              </w:rPr>
              <w:t>万长期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借款质押</w:t>
            </w:r>
          </w:p>
        </w:tc>
      </w:tr>
      <w:tr>
        <w:trPr>
          <w:trHeight w:val="554"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长期股权投资</w:t>
            </w:r>
            <w:r>
              <w:rPr>
                <w:rFonts w:ascii="宋体" w:hAnsi="宋体" w:cs="宋体" w:eastAsia="宋体" w:hint="default"/>
                <w:spacing w:val="11"/>
                <w:sz w:val="21"/>
                <w:szCs w:val="21"/>
              </w:rPr>
              <w:t>-</w:t>
            </w:r>
            <w:r>
              <w:rPr>
                <w:rFonts w:ascii="宋体" w:hAnsi="宋体" w:cs="宋体" w:eastAsia="宋体" w:hint="default"/>
                <w:spacing w:val="11"/>
                <w:sz w:val="21"/>
                <w:szCs w:val="21"/>
              </w:rPr>
              <w:t>上海红生系统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490,000,000.00</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w:t>
            </w:r>
            <w:r>
              <w:rPr>
                <w:rFonts w:ascii="宋体" w:hAnsi="宋体" w:cs="宋体" w:eastAsia="宋体" w:hint="default"/>
                <w:spacing w:val="-48"/>
                <w:sz w:val="21"/>
                <w:szCs w:val="21"/>
              </w:rPr>
              <w:t> </w:t>
            </w:r>
            <w:r>
              <w:rPr>
                <w:rFonts w:ascii="宋体" w:hAnsi="宋体" w:cs="宋体" w:eastAsia="宋体" w:hint="default"/>
                <w:sz w:val="21"/>
                <w:szCs w:val="21"/>
              </w:rPr>
              <w:t>29,400</w:t>
            </w:r>
            <w:r>
              <w:rPr>
                <w:rFonts w:ascii="宋体" w:hAnsi="宋体" w:cs="宋体" w:eastAsia="宋体" w:hint="default"/>
                <w:spacing w:val="-50"/>
                <w:sz w:val="21"/>
                <w:szCs w:val="21"/>
              </w:rPr>
              <w:t> </w:t>
            </w:r>
            <w:r>
              <w:rPr>
                <w:rFonts w:ascii="宋体" w:hAnsi="宋体" w:cs="宋体" w:eastAsia="宋体" w:hint="default"/>
                <w:sz w:val="21"/>
                <w:szCs w:val="21"/>
              </w:rPr>
              <w:t>万长期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借款质押</w:t>
            </w:r>
          </w:p>
        </w:tc>
      </w:tr>
      <w:tr>
        <w:trPr>
          <w:trHeight w:val="420" w:hRule="exact"/>
        </w:trPr>
        <w:tc>
          <w:tcPr>
            <w:tcW w:w="302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878,056,855.99</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tabs>
          <w:tab w:pos="602" w:val="left" w:leader="none"/>
        </w:tabs>
        <w:spacing w:line="240" w:lineRule="auto"/>
        <w:ind w:left="178" w:right="0"/>
        <w:jc w:val="left"/>
        <w:rPr>
          <w:b w:val="0"/>
          <w:bCs w:val="0"/>
        </w:rPr>
      </w:pPr>
      <w:r>
        <w:rPr>
          <w:rFonts w:ascii="宋体" w:hAnsi="宋体" w:cs="宋体" w:eastAsia="宋体" w:hint="default"/>
          <w:w w:val="95"/>
        </w:rPr>
        <w:t>3.</w:t>
        <w:tab/>
      </w:r>
      <w:r>
        <w:rPr/>
        <w:t>其他说明</w:t>
      </w:r>
      <w:r>
        <w:rPr>
          <w:b w:val="0"/>
          <w:bCs w:val="0"/>
        </w:rPr>
      </w:r>
    </w:p>
    <w:p>
      <w:pPr>
        <w:pStyle w:val="BodyText"/>
        <w:tabs>
          <w:tab w:pos="924" w:val="left" w:leader="none"/>
        </w:tabs>
        <w:spacing w:line="240" w:lineRule="auto" w:before="57"/>
        <w:ind w:left="17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3"/>
        <w:rPr>
          <w:rFonts w:ascii="宋体" w:hAnsi="宋体" w:cs="宋体" w:eastAsia="宋体" w:hint="default"/>
          <w:sz w:val="14"/>
          <w:szCs w:val="14"/>
        </w:rPr>
      </w:pPr>
    </w:p>
    <w:p>
      <w:pPr>
        <w:pStyle w:val="BodyText"/>
        <w:spacing w:line="274" w:lineRule="exact" w:before="36"/>
        <w:ind w:left="139" w:right="0"/>
        <w:jc w:val="left"/>
      </w:pPr>
      <w:r>
        <w:rPr/>
        <w:t>报告期内，公司主要财务数据同比发生重大变动的原因：</w:t>
      </w:r>
    </w:p>
    <w:p>
      <w:pPr>
        <w:pStyle w:val="BodyText"/>
        <w:tabs>
          <w:tab w:pos="6862" w:val="left" w:leader="none"/>
        </w:tabs>
        <w:spacing w:line="274" w:lineRule="exact"/>
        <w:ind w:left="5811" w:right="0"/>
        <w:jc w:val="lef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10"/>
        <w:gridCol w:w="1897"/>
        <w:gridCol w:w="2180"/>
        <w:gridCol w:w="1327"/>
        <w:gridCol w:w="1954"/>
      </w:tblGrid>
      <w:tr>
        <w:trPr>
          <w:trHeight w:val="29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tabs>
                <w:tab w:pos="1010" w:val="left" w:leader="none"/>
              </w:tabs>
              <w:spacing w:line="248" w:lineRule="exact"/>
              <w:ind w:left="37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9" w:right="0"/>
              <w:jc w:val="left"/>
              <w:rPr>
                <w:rFonts w:ascii="宋体" w:hAnsi="宋体" w:cs="宋体" w:eastAsia="宋体" w:hint="default"/>
                <w:sz w:val="21"/>
                <w:szCs w:val="21"/>
              </w:rPr>
            </w:pPr>
            <w:r>
              <w:rPr>
                <w:rFonts w:ascii="宋体" w:hAnsi="宋体" w:cs="宋体" w:eastAsia="宋体" w:hint="default"/>
                <w:sz w:val="21"/>
                <w:szCs w:val="21"/>
              </w:rPr>
              <w:t>增减幅度</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16.69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17.44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下降 </w:t>
            </w:r>
            <w:r>
              <w:rPr>
                <w:rFonts w:ascii="宋体" w:hAnsi="宋体" w:cs="宋体" w:eastAsia="宋体" w:hint="default"/>
                <w:sz w:val="21"/>
                <w:szCs w:val="21"/>
              </w:rPr>
              <w:t>0.75</w:t>
            </w:r>
            <w:r>
              <w:rPr>
                <w:rFonts w:ascii="宋体" w:hAnsi="宋体" w:cs="宋体" w:eastAsia="宋体" w:hint="default"/>
                <w:spacing w:val="11"/>
                <w:sz w:val="21"/>
                <w:szCs w:val="21"/>
              </w:rPr>
              <w:t> </w:t>
            </w:r>
            <w:r>
              <w:rPr>
                <w:rFonts w:ascii="宋体" w:hAnsi="宋体" w:cs="宋体" w:eastAsia="宋体" w:hint="default"/>
                <w:sz w:val="21"/>
                <w:szCs w:val="21"/>
              </w:rPr>
              <w:t>个</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电源产品分销业务占</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比增加</w:t>
            </w:r>
          </w:p>
        </w:tc>
      </w:tr>
      <w:tr>
        <w:trPr>
          <w:trHeight w:val="55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5,100,618,164.65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3,901,935,660.39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30.72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智慧能源业务的市场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拓展，销售规模扩大</w:t>
            </w:r>
          </w:p>
        </w:tc>
      </w:tr>
      <w:tr>
        <w:trPr>
          <w:trHeight w:val="35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pacing w:val="-1"/>
                <w:sz w:val="21"/>
              </w:rPr>
              <w:t>4,249,334,312.89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pacing w:val="-1"/>
                <w:sz w:val="21"/>
              </w:rPr>
              <w:t>3,221,342,827.18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z w:val="21"/>
              </w:rPr>
              <w:t>31.91</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同营业收入</w:t>
            </w:r>
          </w:p>
        </w:tc>
      </w:tr>
      <w:tr>
        <w:trPr>
          <w:trHeight w:val="55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31,055,789.25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19,995,308.30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55.32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房产税、土地使用税</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核算科目调整</w:t>
            </w:r>
          </w:p>
        </w:tc>
      </w:tr>
      <w:tr>
        <w:trPr>
          <w:trHeight w:val="55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111,099,161.36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69,523,822.56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59.80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公司债、中票及银行</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贷款利息增加</w:t>
            </w:r>
          </w:p>
        </w:tc>
      </w:tr>
      <w:tr>
        <w:trPr>
          <w:trHeight w:val="35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pacing w:val="-1"/>
                <w:sz w:val="21"/>
              </w:rPr>
              <w:t>80,383,988.70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pacing w:val="-1"/>
                <w:sz w:val="21"/>
              </w:rPr>
              <w:t>61,683,588.86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z w:val="21"/>
              </w:rPr>
              <w:t>30.32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应收款增加</w:t>
            </w:r>
          </w:p>
        </w:tc>
      </w:tr>
      <w:tr>
        <w:trPr>
          <w:trHeight w:val="35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pacing w:val="-1"/>
                <w:sz w:val="21"/>
              </w:rPr>
              <w:t>128,975,309.63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pacing w:val="-1"/>
                <w:sz w:val="21"/>
              </w:rPr>
              <w:t>72,679,673.89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宋体" w:hAnsi="宋体" w:cs="宋体" w:eastAsia="宋体" w:hint="default"/>
                <w:sz w:val="21"/>
                <w:szCs w:val="21"/>
              </w:rPr>
            </w:pPr>
            <w:r>
              <w:rPr>
                <w:rFonts w:ascii="宋体"/>
                <w:spacing w:val="-1"/>
                <w:sz w:val="21"/>
              </w:rPr>
              <w:t>77.46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股权处置收益增加</w:t>
            </w:r>
          </w:p>
        </w:tc>
      </w:tr>
      <w:tr>
        <w:trPr>
          <w:trHeight w:val="55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19,859,602.77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w w:val="100"/>
                <w:sz w:val="21"/>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日常活动相关政府补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助转入其他收益核算</w:t>
            </w:r>
          </w:p>
        </w:tc>
      </w:tr>
      <w:tr>
        <w:trPr>
          <w:trHeight w:val="557"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6,019,430.10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30,685,386.60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-80.38</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日常活动相关政府补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助转入其他收益核算</w:t>
            </w:r>
          </w:p>
        </w:tc>
      </w:tr>
      <w:tr>
        <w:trPr>
          <w:trHeight w:val="55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8,111,570.51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25,275,390.51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z w:val="21"/>
              </w:rPr>
              <w:t>-67.91</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上年同期债务重组损</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失</w:t>
            </w:r>
          </w:p>
        </w:tc>
      </w:tr>
      <w:tr>
        <w:trPr>
          <w:trHeight w:val="35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44,525,780.24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28,967,603.89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z w:val="21"/>
              </w:rPr>
              <w:t>53.71</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业绩增长</w:t>
            </w:r>
          </w:p>
        </w:tc>
      </w:tr>
      <w:tr>
        <w:trPr>
          <w:trHeight w:val="55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归属于母公司所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有者的净利润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251,934,744.63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123,829,229.30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103.45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主营业务收入增长及</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股权处置收益增加</w:t>
            </w:r>
          </w:p>
        </w:tc>
      </w:tr>
      <w:tr>
        <w:trPr>
          <w:trHeight w:val="55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2"/>
              <w:jc w:val="right"/>
              <w:rPr>
                <w:rFonts w:ascii="宋体" w:hAnsi="宋体" w:cs="宋体" w:eastAsia="宋体" w:hint="default"/>
                <w:sz w:val="21"/>
                <w:szCs w:val="21"/>
              </w:rPr>
            </w:pPr>
            <w:r>
              <w:rPr>
                <w:rFonts w:ascii="宋体"/>
                <w:spacing w:val="-1"/>
                <w:sz w:val="21"/>
              </w:rPr>
              <w:t>7,390,577.74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13,529,331.41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-45.37</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控股子公司少数股东</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损益减少</w:t>
            </w:r>
          </w:p>
        </w:tc>
      </w:tr>
      <w:tr>
        <w:trPr>
          <w:trHeight w:val="35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持续经营净利润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201,708,613.59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124,678,054.40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61.78</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主营业务收入增长</w:t>
            </w:r>
          </w:p>
        </w:tc>
      </w:tr>
      <w:tr>
        <w:trPr>
          <w:trHeight w:val="355"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终止经营净利润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57,616,708.78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12,680,506.31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pacing w:val="-1"/>
                <w:sz w:val="21"/>
              </w:rPr>
              <w:t>354.37</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股权处置收益增加</w:t>
            </w:r>
          </w:p>
        </w:tc>
      </w:tr>
    </w:tbl>
    <w:p>
      <w:pPr>
        <w:spacing w:line="240" w:lineRule="auto" w:before="12"/>
        <w:rPr>
          <w:rFonts w:ascii="宋体" w:hAnsi="宋体" w:cs="宋体" w:eastAsia="宋体" w:hint="default"/>
          <w:sz w:val="19"/>
          <w:szCs w:val="19"/>
        </w:rPr>
      </w:pPr>
    </w:p>
    <w:p>
      <w:pPr>
        <w:pStyle w:val="Heading2"/>
        <w:tabs>
          <w:tab w:pos="1017" w:val="left" w:leader="none"/>
        </w:tabs>
        <w:spacing w:line="240" w:lineRule="auto"/>
        <w:ind w:left="17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40" w:lineRule="auto" w:before="58"/>
        <w:ind w:left="178" w:right="0"/>
        <w:jc w:val="left"/>
      </w:pPr>
      <w:r>
        <w:rPr/>
        <w:t>□适用√不适用</w:t>
      </w:r>
    </w:p>
    <w:p>
      <w:pPr>
        <w:spacing w:after="0" w:line="240" w:lineRule="auto"/>
        <w:jc w:val="left"/>
        <w:sectPr>
          <w:pgSz w:w="11910" w:h="16840"/>
          <w:pgMar w:header="880" w:footer="1195" w:top="1120" w:bottom="1380" w:left="162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980" w:val="left" w:leader="none"/>
        </w:tabs>
        <w:spacing w:line="240" w:lineRule="auto" w:before="175"/>
        <w:ind w:left="140"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before="56"/>
        <w:ind w:left="140"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81" w:lineRule="exact" w:before="58"/>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tabs>
          <w:tab w:pos="6282" w:val="left" w:leader="none"/>
          <w:tab w:pos="7648" w:val="left" w:leader="none"/>
        </w:tabs>
        <w:spacing w:line="281" w:lineRule="exact"/>
        <w:ind w:left="14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spacing w:val="-2"/>
        </w:rPr>
        <w:t>年公司对外股权投资明细如下：</w:t>
        <w:tab/>
        <w:t>单位：万元</w:t>
        <w:tab/>
        <w:t>币种：人民币</w:t>
      </w:r>
    </w:p>
    <w:tbl>
      <w:tblPr>
        <w:tblW w:w="0" w:type="auto"/>
        <w:jc w:val="left"/>
        <w:tblInd w:w="120" w:type="dxa"/>
        <w:tblLayout w:type="fixed"/>
        <w:tblCellMar>
          <w:top w:w="0" w:type="dxa"/>
          <w:left w:w="0" w:type="dxa"/>
          <w:bottom w:w="0" w:type="dxa"/>
          <w:right w:w="0" w:type="dxa"/>
        </w:tblCellMar>
        <w:tblLook w:val="01E0"/>
      </w:tblPr>
      <w:tblGrid>
        <w:gridCol w:w="3156"/>
        <w:gridCol w:w="5535"/>
        <w:gridCol w:w="1702"/>
        <w:gridCol w:w="3401"/>
      </w:tblGrid>
      <w:tr>
        <w:trPr>
          <w:trHeight w:val="310" w:hRule="exact"/>
        </w:trPr>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投资单位名称</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投资额</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8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在被投资单位持股比例</w:t>
            </w:r>
            <w:r>
              <w:rPr>
                <w:rFonts w:ascii="Times New Roman" w:hAnsi="Times New Roman" w:cs="Times New Roman" w:eastAsia="Times New Roman" w:hint="default"/>
                <w:sz w:val="21"/>
                <w:szCs w:val="21"/>
              </w:rPr>
              <w:t>(%)</w:t>
            </w:r>
          </w:p>
        </w:tc>
      </w:tr>
      <w:tr>
        <w:trPr>
          <w:trHeight w:val="324" w:hRule="exact"/>
        </w:trPr>
        <w:tc>
          <w:tcPr>
            <w:tcW w:w="31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泰豪国际工程有限公司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3,000.00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60</w:t>
            </w:r>
          </w:p>
        </w:tc>
      </w:tr>
      <w:tr>
        <w:trPr>
          <w:trHeight w:val="327" w:hRule="exact"/>
        </w:trPr>
        <w:tc>
          <w:tcPr>
            <w:tcW w:w="3156" w:type="dxa"/>
            <w:vMerge/>
            <w:tcBorders>
              <w:left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江西泰豪能源互联网有限公司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spacing w:val="-1"/>
                <w:sz w:val="21"/>
              </w:rPr>
              <w:t>5,000.00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100</w:t>
            </w:r>
          </w:p>
        </w:tc>
      </w:tr>
      <w:tr>
        <w:trPr>
          <w:trHeight w:val="324" w:hRule="exact"/>
        </w:trPr>
        <w:tc>
          <w:tcPr>
            <w:tcW w:w="3156" w:type="dxa"/>
            <w:vMerge/>
            <w:tcBorders>
              <w:left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上海朋迈能源科技有限公司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50</w:t>
            </w:r>
          </w:p>
        </w:tc>
      </w:tr>
      <w:tr>
        <w:trPr>
          <w:trHeight w:val="324" w:hRule="exact"/>
        </w:trPr>
        <w:tc>
          <w:tcPr>
            <w:tcW w:w="3156" w:type="dxa"/>
            <w:vMerge/>
            <w:tcBorders>
              <w:left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贵州泰豪宝碳智慧能源有限公司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sz w:val="21"/>
              </w:rPr>
              <w:t>35.00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70</w:t>
            </w:r>
          </w:p>
        </w:tc>
      </w:tr>
      <w:tr>
        <w:trPr>
          <w:trHeight w:val="326" w:hRule="exact"/>
        </w:trPr>
        <w:tc>
          <w:tcPr>
            <w:tcW w:w="3156" w:type="dxa"/>
            <w:vMerge/>
            <w:tcBorders>
              <w:left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spacing w:val="-1"/>
                <w:sz w:val="21"/>
              </w:rPr>
              <w:t>49,000.00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100</w:t>
            </w:r>
          </w:p>
        </w:tc>
      </w:tr>
      <w:tr>
        <w:trPr>
          <w:trHeight w:val="324" w:hRule="exact"/>
        </w:trPr>
        <w:tc>
          <w:tcPr>
            <w:tcW w:w="3156" w:type="dxa"/>
            <w:vMerge/>
            <w:tcBorders>
              <w:left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嘉兴邦赋投资合伙企业（有限合伙）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20,000.00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10</w:t>
            </w:r>
          </w:p>
        </w:tc>
      </w:tr>
      <w:tr>
        <w:trPr>
          <w:trHeight w:val="326" w:hRule="exact"/>
        </w:trPr>
        <w:tc>
          <w:tcPr>
            <w:tcW w:w="3156" w:type="dxa"/>
            <w:vMerge/>
            <w:tcBorders>
              <w:left w:val="single" w:sz="4" w:space="0" w:color="000000"/>
              <w:bottom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深圳中航福田智能装备股权投资基金合伙企业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spacing w:val="-1"/>
                <w:sz w:val="21"/>
              </w:rPr>
              <w:t>12,600.00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21</w:t>
            </w:r>
          </w:p>
        </w:tc>
      </w:tr>
      <w:tr>
        <w:trPr>
          <w:trHeight w:val="324" w:hRule="exact"/>
        </w:trPr>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江西泰豪能源互联网有限公司</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江西泰豪配售电有限公司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50.00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50</w:t>
            </w:r>
          </w:p>
        </w:tc>
      </w:tr>
      <w:tr>
        <w:trPr>
          <w:trHeight w:val="326" w:hRule="exact"/>
        </w:trPr>
        <w:tc>
          <w:tcPr>
            <w:tcW w:w="3156" w:type="dxa"/>
            <w:vMerge w:val="restart"/>
            <w:tcBorders>
              <w:top w:val="single" w:sz="4" w:space="0" w:color="000000"/>
              <w:left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上海泰豪迈能能源科技有限公司</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Times New Roman" w:hAnsi="Times New Roman" w:cs="Times New Roman" w:eastAsia="Times New Roman" w:hint="default"/>
                <w:sz w:val="21"/>
                <w:szCs w:val="21"/>
              </w:rPr>
            </w:pPr>
            <w:r>
              <w:rPr>
                <w:rFonts w:ascii="Times New Roman"/>
                <w:sz w:val="21"/>
              </w:rPr>
              <w:t>Meinergy</w:t>
            </w:r>
            <w:r>
              <w:rPr>
                <w:rFonts w:ascii="Times New Roman"/>
                <w:spacing w:val="-6"/>
                <w:sz w:val="21"/>
              </w:rPr>
              <w:t> </w:t>
            </w:r>
            <w:r>
              <w:rPr>
                <w:rFonts w:ascii="Times New Roman"/>
                <w:sz w:val="21"/>
              </w:rPr>
              <w:t>GMBH</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sz w:val="21"/>
              </w:rPr>
              <w:t>371.49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100</w:t>
            </w:r>
          </w:p>
        </w:tc>
      </w:tr>
      <w:tr>
        <w:trPr>
          <w:trHeight w:val="324" w:hRule="exact"/>
        </w:trPr>
        <w:tc>
          <w:tcPr>
            <w:tcW w:w="3156" w:type="dxa"/>
            <w:vMerge/>
            <w:tcBorders>
              <w:left w:val="single" w:sz="4" w:space="0" w:color="000000"/>
              <w:bottom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tabs>
                <w:tab w:pos="1124" w:val="left" w:leader="none"/>
              </w:tabs>
              <w:spacing w:line="240" w:lineRule="auto" w:before="30"/>
              <w:ind w:left="103" w:right="0"/>
              <w:jc w:val="left"/>
              <w:rPr>
                <w:rFonts w:ascii="Times New Roman" w:hAnsi="Times New Roman" w:cs="Times New Roman" w:eastAsia="Times New Roman" w:hint="default"/>
                <w:sz w:val="21"/>
                <w:szCs w:val="21"/>
              </w:rPr>
            </w:pPr>
            <w:r>
              <w:rPr>
                <w:rFonts w:ascii="Times New Roman"/>
                <w:spacing w:val="-1"/>
                <w:sz w:val="21"/>
              </w:rPr>
              <w:t>Meinergy</w:t>
              <w:tab/>
            </w:r>
            <w:r>
              <w:rPr>
                <w:rFonts w:ascii="Times New Roman"/>
                <w:spacing w:val="-2"/>
                <w:sz w:val="21"/>
              </w:rPr>
              <w:t>INC</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z w:val="21"/>
              </w:rPr>
              <w:t>172.65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Times New Roman" w:hAnsi="Times New Roman" w:cs="Times New Roman" w:eastAsia="Times New Roman" w:hint="default"/>
                <w:sz w:val="21"/>
                <w:szCs w:val="21"/>
              </w:rPr>
            </w:pPr>
            <w:r>
              <w:rPr>
                <w:rFonts w:ascii="Times New Roman"/>
                <w:sz w:val="21"/>
              </w:rPr>
              <w:t>100</w:t>
            </w:r>
          </w:p>
        </w:tc>
      </w:tr>
      <w:tr>
        <w:trPr>
          <w:trHeight w:val="324" w:hRule="exact"/>
        </w:trPr>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广东泰豪能源科技有限公司</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重庆园业售电有限公司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1,400.00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40</w:t>
            </w:r>
          </w:p>
        </w:tc>
      </w:tr>
      <w:tr>
        <w:trPr>
          <w:trHeight w:val="326" w:hRule="exact"/>
        </w:trPr>
        <w:tc>
          <w:tcPr>
            <w:tcW w:w="315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泰豪福瑞斯动力设备有限公司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sz w:val="21"/>
              </w:rPr>
              <w:t>800.00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100</w:t>
            </w:r>
          </w:p>
        </w:tc>
      </w:tr>
      <w:tr>
        <w:trPr>
          <w:trHeight w:val="324" w:hRule="exact"/>
        </w:trPr>
        <w:tc>
          <w:tcPr>
            <w:tcW w:w="3156" w:type="dxa"/>
            <w:vMerge/>
            <w:tcBorders>
              <w:left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陕西泰豪沃达动力设备有限公司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800.00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z w:val="21"/>
              </w:rPr>
              <w:t>65.95</w:t>
            </w:r>
          </w:p>
        </w:tc>
      </w:tr>
      <w:tr>
        <w:trPr>
          <w:trHeight w:val="326" w:hRule="exact"/>
        </w:trPr>
        <w:tc>
          <w:tcPr>
            <w:tcW w:w="3156" w:type="dxa"/>
            <w:vMerge/>
            <w:tcBorders>
              <w:left w:val="single" w:sz="4" w:space="0" w:color="000000"/>
              <w:bottom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广东泰豪三奥动力科技有限公司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sz w:val="21"/>
              </w:rPr>
              <w:t>800.00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100</w:t>
            </w:r>
          </w:p>
        </w:tc>
      </w:tr>
      <w:tr>
        <w:trPr>
          <w:trHeight w:val="310" w:hRule="exact"/>
        </w:trPr>
        <w:tc>
          <w:tcPr>
            <w:tcW w:w="8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95,029.14</w:t>
            </w:r>
          </w:p>
        </w:tc>
        <w:tc>
          <w:tcPr>
            <w:tcW w:w="34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6" w:lineRule="exact"/>
        <w:ind w:left="140" w:right="0"/>
        <w:jc w:val="left"/>
      </w:pPr>
      <w:r>
        <w:rPr/>
        <w:t>注：</w:t>
      </w:r>
    </w:p>
    <w:p>
      <w:pPr>
        <w:pStyle w:val="BodyText"/>
        <w:spacing w:line="281" w:lineRule="exact"/>
        <w:ind w:left="560" w:right="0"/>
        <w:jc w:val="left"/>
      </w:pPr>
      <w:r>
        <w:rPr/>
        <w:t>（</w:t>
      </w:r>
      <w:r>
        <w:rPr>
          <w:rFonts w:ascii="Times New Roman" w:hAnsi="Times New Roman" w:cs="Times New Roman" w:eastAsia="Times New Roman" w:hint="default"/>
        </w:rPr>
        <w:t>1</w:t>
      </w:r>
      <w:r>
        <w:rPr/>
        <w:t>）在被投资单位的持股比例按照实缴比例计算；</w:t>
      </w:r>
    </w:p>
    <w:p>
      <w:pPr>
        <w:pStyle w:val="BodyText"/>
        <w:spacing w:line="272" w:lineRule="exact" w:before="19"/>
        <w:ind w:left="140" w:right="0" w:firstLine="420"/>
        <w:jc w:val="left"/>
      </w:pPr>
      <w:r>
        <w:rPr>
          <w:spacing w:val="-7"/>
        </w:rPr>
        <w:t>（</w:t>
      </w:r>
      <w:r>
        <w:rPr>
          <w:rFonts w:ascii="Times New Roman" w:hAnsi="Times New Roman" w:cs="Times New Roman" w:eastAsia="Times New Roman" w:hint="default"/>
          <w:spacing w:val="-7"/>
        </w:rPr>
        <w:t>2</w:t>
      </w:r>
      <w:r>
        <w:rPr>
          <w:spacing w:val="-7"/>
        </w:rPr>
        <w:t>）根据</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spacing w:val="-3"/>
        </w:rPr>
        <w:t>日召开的第六届董事会第二十一次会议决议，泰豪电源技术有限公司分别投资设立泰豪福瑞斯动力设备有限公司、陕西泰</w:t>
      </w:r>
      <w:r>
        <w:rPr>
          <w:w w:val="100"/>
        </w:rPr>
        <w:t> </w:t>
      </w:r>
      <w:r>
        <w:rPr>
          <w:spacing w:val="-2"/>
        </w:rPr>
        <w:t>豪沃达动力设备有限公司和广东泰豪三奥动力科技有限公司，对三家公司的注册资本认缴比例均为</w:t>
      </w:r>
      <w:r>
        <w:rPr>
          <w:spacing w:val="32"/>
        </w:rPr>
        <w:t> </w:t>
      </w:r>
      <w:r>
        <w:rPr>
          <w:rFonts w:ascii="Times New Roman" w:hAnsi="Times New Roman" w:cs="Times New Roman" w:eastAsia="Times New Roman" w:hint="default"/>
          <w:spacing w:val="-2"/>
        </w:rPr>
        <w:t>51%</w:t>
      </w:r>
      <w:r>
        <w:rPr>
          <w:spacing w:val="-2"/>
        </w:rPr>
        <w:t>。</w:t>
      </w:r>
    </w:p>
    <w:p>
      <w:pPr>
        <w:spacing w:line="240" w:lineRule="auto" w:before="4"/>
        <w:rPr>
          <w:rFonts w:ascii="宋体" w:hAnsi="宋体" w:cs="宋体" w:eastAsia="宋体" w:hint="default"/>
          <w:sz w:val="23"/>
          <w:szCs w:val="23"/>
        </w:rPr>
      </w:pPr>
    </w:p>
    <w:p>
      <w:pPr>
        <w:pStyle w:val="Heading2"/>
        <w:spacing w:line="240" w:lineRule="auto" w:before="0"/>
        <w:ind w:left="140"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886" w:val="left" w:leader="none"/>
        </w:tabs>
        <w:spacing w:line="240" w:lineRule="auto" w:before="58"/>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headerReference w:type="default" r:id="rId12"/>
          <w:footerReference w:type="default" r:id="rId13"/>
          <w:pgSz w:w="16840" w:h="11910" w:orient="landscape"/>
          <w:pgMar w:header="882" w:footer="1195" w:top="1120" w:bottom="1380" w:left="1300" w:right="1400"/>
          <w:pgNumType w:start="1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2" w:lineRule="exact" w:before="64"/>
        <w:ind w:left="180" w:right="0" w:firstLine="420"/>
        <w:jc w:val="left"/>
      </w:pPr>
      <w:r>
        <w:rPr>
          <w:rFonts w:ascii="Times New Roman" w:hAnsi="Times New Roman" w:cs="Times New Roman" w:eastAsia="Times New Roman" w:hint="default"/>
          <w:spacing w:val="-3"/>
        </w:rPr>
        <w:t>1</w:t>
      </w:r>
      <w:r>
        <w:rPr>
          <w:spacing w:val="-3"/>
        </w:rPr>
        <w:t>、为抓住能源互联网的发展契机，进一步完善公司在能源互联网和售电领域的业务布局，根据第六届董事会第十七次会议决议，报告期内公司以现</w:t>
      </w:r>
      <w:r>
        <w:rPr>
          <w:w w:val="100"/>
        </w:rPr>
        <w:t> </w:t>
      </w:r>
      <w:r>
        <w:rPr>
          <w:spacing w:val="-1"/>
          <w:w w:val="100"/>
        </w:rPr>
        <w:t>金出资</w:t>
      </w:r>
      <w:r>
        <w:rPr>
          <w:w w:val="100"/>
        </w:rPr>
        <w:t> </w:t>
      </w:r>
      <w:r>
        <w:rPr>
          <w:rFonts w:ascii="Times New Roman" w:hAnsi="Times New Roman" w:cs="Times New Roman" w:eastAsia="Times New Roman" w:hint="default"/>
          <w:spacing w:val="-1"/>
          <w:w w:val="100"/>
        </w:rPr>
        <w:t>5,000</w:t>
      </w:r>
      <w:r>
        <w:rPr>
          <w:rFonts w:ascii="Times New Roman" w:hAnsi="Times New Roman" w:cs="Times New Roman" w:eastAsia="Times New Roman" w:hint="default"/>
          <w:w w:val="100"/>
        </w:rPr>
        <w:t> </w:t>
      </w:r>
      <w:r>
        <w:rPr>
          <w:spacing w:val="-4"/>
          <w:w w:val="100"/>
        </w:rPr>
        <w:t>万元设立江西泰豪能源互联网有限公司。决议详见《公司第六届董事会第十七次会议决议公告》（公告编号：临</w:t>
      </w:r>
      <w:r>
        <w:rPr>
          <w:spacing w:val="-83"/>
          <w:w w:val="100"/>
        </w:rPr>
        <w:t> </w:t>
      </w:r>
      <w:r>
        <w:rPr>
          <w:rFonts w:ascii="Times New Roman" w:hAnsi="Times New Roman" w:cs="Times New Roman" w:eastAsia="Times New Roman" w:hint="default"/>
          <w:spacing w:val="-22"/>
          <w:w w:val="100"/>
        </w:rPr>
        <w:t>2016-058</w:t>
      </w:r>
      <w:r>
        <w:rPr>
          <w:spacing w:val="-22"/>
          <w:w w:val="100"/>
        </w:rPr>
        <w:t>）。</w:t>
      </w:r>
      <w:r>
        <w:rPr>
          <w:w w:val="100"/>
        </w:rPr>
      </w:r>
    </w:p>
    <w:p>
      <w:pPr>
        <w:pStyle w:val="BodyText"/>
        <w:spacing w:line="255" w:lineRule="exact"/>
        <w:ind w:left="600" w:right="0"/>
        <w:jc w:val="left"/>
      </w:pPr>
      <w:r>
        <w:rPr>
          <w:rFonts w:ascii="Times New Roman" w:hAnsi="Times New Roman" w:cs="Times New Roman" w:eastAsia="Times New Roman" w:hint="default"/>
        </w:rPr>
        <w:t>2</w:t>
      </w:r>
      <w:r>
        <w:rPr/>
        <w:t>、为加快公司海外业务的拓展</w:t>
      </w:r>
      <w:r>
        <w:rPr>
          <w:rFonts w:ascii="Times New Roman" w:hAnsi="Times New Roman" w:cs="Times New Roman" w:eastAsia="Times New Roman" w:hint="default"/>
        </w:rPr>
        <w:t>,</w:t>
      </w:r>
      <w:r>
        <w:rPr/>
        <w:t>紧抓国家“一带一路”战略带来的商机</w:t>
      </w:r>
      <w:r>
        <w:rPr>
          <w:rFonts w:ascii="Times New Roman" w:hAnsi="Times New Roman" w:cs="Times New Roman" w:eastAsia="Times New Roman" w:hint="default"/>
        </w:rPr>
        <w:t>,  </w:t>
      </w:r>
      <w:r>
        <w:rPr/>
        <w:t>根据第六届董事会第十八次会议决议，以现金方式出资 </w:t>
      </w:r>
      <w:r>
        <w:rPr>
          <w:rFonts w:ascii="Times New Roman" w:hAnsi="Times New Roman" w:cs="Times New Roman" w:eastAsia="Times New Roman" w:hint="default"/>
        </w:rPr>
        <w:t>6,000  </w:t>
      </w:r>
      <w:r>
        <w:rPr>
          <w:rFonts w:ascii="Times New Roman" w:hAnsi="Times New Roman" w:cs="Times New Roman" w:eastAsia="Times New Roman" w:hint="default"/>
          <w:spacing w:val="13"/>
        </w:rPr>
        <w:t> </w:t>
      </w:r>
      <w:r>
        <w:rPr/>
        <w:t>万元（占比</w:t>
      </w:r>
    </w:p>
    <w:p>
      <w:pPr>
        <w:pStyle w:val="BodyText"/>
        <w:spacing w:line="274" w:lineRule="exact" w:before="16"/>
        <w:ind w:left="180" w:right="0"/>
        <w:jc w:val="left"/>
      </w:pPr>
      <w:r>
        <w:rPr>
          <w:rFonts w:ascii="Times New Roman" w:hAnsi="Times New Roman" w:cs="Times New Roman" w:eastAsia="Times New Roman" w:hint="default"/>
        </w:rPr>
        <w:t>60%</w:t>
      </w:r>
      <w:r>
        <w:rPr/>
        <w:t>）与北京富邦立世科技中心（有限合伙）共同设立泰豪国际工程有限公司，报告期内公司已按比例出资 </w:t>
      </w:r>
      <w:r>
        <w:rPr>
          <w:rFonts w:ascii="Times New Roman" w:hAnsi="Times New Roman" w:cs="Times New Roman" w:eastAsia="Times New Roman" w:hint="default"/>
        </w:rPr>
        <w:t>3,000</w:t>
      </w:r>
      <w:r>
        <w:rPr>
          <w:rFonts w:ascii="Times New Roman" w:hAnsi="Times New Roman" w:cs="Times New Roman" w:eastAsia="Times New Roman" w:hint="default"/>
          <w:spacing w:val="33"/>
        </w:rPr>
        <w:t> </w:t>
      </w:r>
      <w:r>
        <w:rPr/>
        <w:t>万元。决议详见《公司第六届董事会</w:t>
      </w:r>
      <w:r>
        <w:rPr>
          <w:w w:val="100"/>
        </w:rPr>
        <w:t> </w:t>
      </w:r>
      <w:r>
        <w:rPr>
          <w:spacing w:val="-8"/>
          <w:w w:val="100"/>
        </w:rPr>
        <w:t>第十八次会议决议公告》（公告编号：临</w:t>
      </w:r>
      <w:r>
        <w:rPr>
          <w:spacing w:val="-38"/>
          <w:w w:val="100"/>
        </w:rPr>
        <w:t> </w:t>
      </w:r>
      <w:r>
        <w:rPr>
          <w:rFonts w:ascii="Times New Roman" w:hAnsi="Times New Roman" w:cs="Times New Roman" w:eastAsia="Times New Roman" w:hint="default"/>
          <w:spacing w:val="-22"/>
          <w:w w:val="100"/>
        </w:rPr>
        <w:t>2016-063</w:t>
      </w:r>
      <w:r>
        <w:rPr>
          <w:spacing w:val="-22"/>
          <w:w w:val="100"/>
        </w:rPr>
        <w:t>）。</w:t>
      </w:r>
      <w:r>
        <w:rPr>
          <w:w w:val="100"/>
        </w:rPr>
      </w:r>
    </w:p>
    <w:p>
      <w:pPr>
        <w:pStyle w:val="BodyText"/>
        <w:spacing w:line="253" w:lineRule="exact"/>
        <w:ind w:left="600" w:right="0"/>
        <w:jc w:val="left"/>
      </w:pPr>
      <w:r>
        <w:rPr>
          <w:rFonts w:ascii="Times New Roman" w:hAnsi="Times New Roman" w:cs="Times New Roman" w:eastAsia="Times New Roman" w:hint="default"/>
          <w:spacing w:val="-3"/>
        </w:rPr>
        <w:t>3</w:t>
      </w:r>
      <w:r>
        <w:rPr>
          <w:spacing w:val="-3"/>
        </w:rPr>
        <w:t>、为了契合公司军工装备产业发展方向，进一步加强公司在军工信息化领域的优势，根据第六届董事会第二十五次会议决议，报告期内公司以现金</w:t>
      </w:r>
    </w:p>
    <w:p>
      <w:pPr>
        <w:pStyle w:val="BodyText"/>
        <w:spacing w:line="273" w:lineRule="exact"/>
        <w:ind w:left="180" w:right="0"/>
        <w:jc w:val="left"/>
      </w:pPr>
      <w:r>
        <w:rPr>
          <w:rFonts w:ascii="Times New Roman" w:hAnsi="Times New Roman" w:cs="Times New Roman" w:eastAsia="Times New Roman" w:hint="default"/>
          <w:w w:val="100"/>
        </w:rPr>
        <w:t>49,000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万</w:t>
      </w:r>
      <w:r>
        <w:rPr>
          <w:w w:val="100"/>
        </w:rPr>
        <w:t>元</w:t>
      </w:r>
      <w:r>
        <w:rPr>
          <w:spacing w:val="-3"/>
          <w:w w:val="100"/>
        </w:rPr>
        <w:t>购</w:t>
      </w:r>
      <w:r>
        <w:rPr>
          <w:spacing w:val="-1"/>
          <w:w w:val="100"/>
        </w:rPr>
        <w:t>买</w:t>
      </w:r>
      <w:r>
        <w:rPr>
          <w:spacing w:val="-3"/>
          <w:w w:val="100"/>
        </w:rPr>
        <w:t>上</w:t>
      </w:r>
      <w:r>
        <w:rPr>
          <w:w w:val="100"/>
        </w:rPr>
        <w:t>海</w:t>
      </w:r>
      <w:r>
        <w:rPr>
          <w:spacing w:val="-3"/>
          <w:w w:val="100"/>
        </w:rPr>
        <w:t>红生</w:t>
      </w:r>
      <w:r>
        <w:rPr>
          <w:w w:val="100"/>
        </w:rPr>
        <w:t>全体</w:t>
      </w:r>
      <w:r>
        <w:rPr>
          <w:spacing w:val="-3"/>
          <w:w w:val="100"/>
        </w:rPr>
        <w:t>股</w:t>
      </w:r>
      <w:r>
        <w:rPr>
          <w:w w:val="100"/>
        </w:rPr>
        <w:t>东</w:t>
      </w:r>
      <w:r>
        <w:rPr>
          <w:spacing w:val="-3"/>
          <w:w w:val="100"/>
        </w:rPr>
        <w:t>持</w:t>
      </w:r>
      <w:r>
        <w:rPr>
          <w:w w:val="100"/>
        </w:rPr>
        <w:t>有的</w:t>
      </w:r>
      <w:r>
        <w:rPr>
          <w:spacing w:val="-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w:t>
      </w:r>
      <w:r>
        <w:rPr>
          <w:spacing w:val="-3"/>
          <w:w w:val="100"/>
        </w:rPr>
        <w:t>股</w:t>
      </w:r>
      <w:r>
        <w:rPr>
          <w:w w:val="100"/>
        </w:rPr>
        <w:t>权。</w:t>
      </w:r>
      <w:r>
        <w:rPr>
          <w:spacing w:val="-3"/>
          <w:w w:val="100"/>
        </w:rPr>
        <w:t>决</w:t>
      </w:r>
      <w:r>
        <w:rPr>
          <w:w w:val="100"/>
        </w:rPr>
        <w:t>议</w:t>
      </w:r>
      <w:r>
        <w:rPr>
          <w:spacing w:val="-3"/>
          <w:w w:val="100"/>
        </w:rPr>
        <w:t>详</w:t>
      </w:r>
      <w:r>
        <w:rPr>
          <w:spacing w:val="-1"/>
          <w:w w:val="100"/>
        </w:rPr>
        <w:t>见</w:t>
      </w:r>
      <w:r>
        <w:rPr>
          <w:spacing w:val="-3"/>
          <w:w w:val="100"/>
        </w:rPr>
        <w:t>《</w:t>
      </w:r>
      <w:r>
        <w:rPr>
          <w:w w:val="100"/>
        </w:rPr>
        <w:t>公</w:t>
      </w:r>
      <w:r>
        <w:rPr>
          <w:spacing w:val="-3"/>
          <w:w w:val="100"/>
        </w:rPr>
        <w:t>司</w:t>
      </w:r>
      <w:r>
        <w:rPr>
          <w:w w:val="100"/>
        </w:rPr>
        <w:t>第</w:t>
      </w:r>
      <w:r>
        <w:rPr>
          <w:spacing w:val="-3"/>
          <w:w w:val="100"/>
        </w:rPr>
        <w:t>六</w:t>
      </w:r>
      <w:r>
        <w:rPr>
          <w:w w:val="100"/>
        </w:rPr>
        <w:t>届董</w:t>
      </w:r>
      <w:r>
        <w:rPr>
          <w:spacing w:val="-3"/>
          <w:w w:val="100"/>
        </w:rPr>
        <w:t>事</w:t>
      </w:r>
      <w:r>
        <w:rPr>
          <w:w w:val="100"/>
        </w:rPr>
        <w:t>会</w:t>
      </w:r>
      <w:r>
        <w:rPr>
          <w:spacing w:val="-3"/>
          <w:w w:val="100"/>
        </w:rPr>
        <w:t>第</w:t>
      </w:r>
      <w:r>
        <w:rPr>
          <w:w w:val="100"/>
        </w:rPr>
        <w:t>二</w:t>
      </w:r>
      <w:r>
        <w:rPr>
          <w:spacing w:val="-3"/>
          <w:w w:val="100"/>
        </w:rPr>
        <w:t>十</w:t>
      </w:r>
      <w:r>
        <w:rPr>
          <w:spacing w:val="-1"/>
          <w:w w:val="100"/>
        </w:rPr>
        <w:t>五</w:t>
      </w:r>
      <w:r>
        <w:rPr>
          <w:spacing w:val="-3"/>
          <w:w w:val="100"/>
        </w:rPr>
        <w:t>次</w:t>
      </w:r>
      <w:r>
        <w:rPr>
          <w:w w:val="100"/>
        </w:rPr>
        <w:t>会</w:t>
      </w:r>
      <w:r>
        <w:rPr>
          <w:spacing w:val="-3"/>
          <w:w w:val="100"/>
        </w:rPr>
        <w:t>议</w:t>
      </w:r>
      <w:r>
        <w:rPr>
          <w:w w:val="100"/>
        </w:rPr>
        <w:t>决议</w:t>
      </w:r>
      <w:r>
        <w:rPr>
          <w:spacing w:val="-3"/>
          <w:w w:val="100"/>
        </w:rPr>
        <w:t>公</w:t>
      </w:r>
      <w:r>
        <w:rPr>
          <w:w w:val="100"/>
        </w:rPr>
        <w:t>告</w:t>
      </w:r>
      <w:r>
        <w:rPr>
          <w:spacing w:val="-108"/>
          <w:w w:val="100"/>
        </w:rPr>
        <w:t>》</w:t>
      </w:r>
      <w:r>
        <w:rPr>
          <w:w w:val="100"/>
        </w:rPr>
        <w:t>（</w:t>
      </w:r>
      <w:r>
        <w:rPr>
          <w:spacing w:val="-3"/>
          <w:w w:val="100"/>
        </w:rPr>
        <w:t>公</w:t>
      </w:r>
      <w:r>
        <w:rPr>
          <w:spacing w:val="-1"/>
          <w:w w:val="100"/>
        </w:rPr>
        <w:t>告</w:t>
      </w:r>
      <w:r>
        <w:rPr>
          <w:spacing w:val="-3"/>
          <w:w w:val="100"/>
        </w:rPr>
        <w:t>编</w:t>
      </w:r>
      <w:r>
        <w:rPr>
          <w:w w:val="100"/>
        </w:rPr>
        <w:t>号</w:t>
      </w:r>
      <w:r>
        <w:rPr>
          <w:spacing w:val="-3"/>
          <w:w w:val="100"/>
        </w:rPr>
        <w:t>：</w:t>
      </w:r>
      <w:r>
        <w:rPr>
          <w:w w:val="100"/>
        </w:rPr>
        <w:t>临</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049</w:t>
      </w:r>
      <w:r>
        <w:rPr>
          <w:spacing w:val="-106"/>
          <w:w w:val="100"/>
        </w:rPr>
        <w:t>）。</w:t>
      </w:r>
      <w:r>
        <w:rPr>
          <w:w w:val="100"/>
        </w:rPr>
      </w:r>
    </w:p>
    <w:p>
      <w:pPr>
        <w:pStyle w:val="BodyText"/>
        <w:spacing w:line="274" w:lineRule="exact" w:before="16"/>
        <w:ind w:left="180" w:right="0" w:firstLine="420"/>
        <w:jc w:val="left"/>
      </w:pPr>
      <w:r>
        <w:rPr>
          <w:rFonts w:ascii="Times New Roman" w:hAnsi="Times New Roman" w:cs="Times New Roman" w:eastAsia="Times New Roman" w:hint="default"/>
          <w:spacing w:val="-3"/>
        </w:rPr>
        <w:t>4</w:t>
      </w:r>
      <w:r>
        <w:rPr>
          <w:spacing w:val="-3"/>
        </w:rPr>
        <w:t>、为提升公司综合竞争实力，培育和储备公司产业相关优质企业，实现公司外延战略，根据公司第六届董事会第二十九次会议决议，报告期内公司</w:t>
      </w:r>
      <w:r>
        <w:rPr>
          <w:w w:val="100"/>
        </w:rPr>
        <w:t> </w:t>
      </w:r>
      <w:r>
        <w:rPr>
          <w:spacing w:val="-2"/>
          <w:w w:val="100"/>
        </w:rPr>
        <w:t>以自有资金</w:t>
      </w:r>
      <w:r>
        <w:rPr>
          <w:w w:val="100"/>
        </w:rPr>
        <w:t> </w:t>
      </w:r>
      <w:r>
        <w:rPr>
          <w:rFonts w:ascii="Times New Roman" w:hAnsi="Times New Roman" w:cs="Times New Roman" w:eastAsia="Times New Roman" w:hint="default"/>
          <w:w w:val="100"/>
        </w:rPr>
        <w:t>2  </w:t>
      </w:r>
      <w:r>
        <w:rPr>
          <w:spacing w:val="-9"/>
          <w:w w:val="100"/>
        </w:rPr>
        <w:t>亿元认缴嘉兴邦赋投资合伙企业（有限合伙）出资额。决议详见《公司第六届董事会第二十九次会议决议公告》（公告编号：临</w:t>
      </w:r>
      <w:r>
        <w:rPr>
          <w:spacing w:val="-47"/>
          <w:w w:val="100"/>
        </w:rPr>
        <w:t> </w:t>
      </w:r>
      <w:r>
        <w:rPr>
          <w:rFonts w:ascii="Times New Roman" w:hAnsi="Times New Roman" w:cs="Times New Roman" w:eastAsia="Times New Roman" w:hint="default"/>
          <w:spacing w:val="-23"/>
          <w:w w:val="100"/>
        </w:rPr>
        <w:t>2017-105</w:t>
      </w:r>
      <w:r>
        <w:rPr>
          <w:spacing w:val="-23"/>
          <w:w w:val="100"/>
        </w:rPr>
        <w:t>）。</w:t>
      </w:r>
      <w:r>
        <w:rPr>
          <w:w w:val="100"/>
        </w:rPr>
      </w:r>
    </w:p>
    <w:p>
      <w:pPr>
        <w:pStyle w:val="BodyText"/>
        <w:spacing w:line="253" w:lineRule="exact"/>
        <w:ind w:left="600" w:right="0"/>
        <w:jc w:val="left"/>
      </w:pPr>
      <w:r>
        <w:rPr>
          <w:rFonts w:ascii="Times New Roman" w:hAnsi="Times New Roman" w:cs="Times New Roman" w:eastAsia="Times New Roman" w:hint="default"/>
        </w:rPr>
        <w:t>5</w:t>
      </w:r>
      <w:r>
        <w:rPr/>
        <w:t>、为提升公司在军工产业的综合竞争力，挖掘及储备资产优良的军工装备企业，促进公司战略目标的实现，根据第六届董事会第十三次会议决议，</w:t>
      </w:r>
    </w:p>
    <w:p>
      <w:pPr>
        <w:pStyle w:val="BodyText"/>
        <w:spacing w:line="272" w:lineRule="exact" w:before="19"/>
        <w:ind w:left="180" w:right="0"/>
        <w:jc w:val="left"/>
      </w:pPr>
      <w:r>
        <w:rPr/>
        <w:t>公司在不超过</w:t>
      </w:r>
      <w:r>
        <w:rPr>
          <w:spacing w:val="54"/>
        </w:rPr>
        <w:t> </w:t>
      </w:r>
      <w:r>
        <w:rPr>
          <w:rFonts w:ascii="Times New Roman" w:hAnsi="Times New Roman" w:cs="Times New Roman" w:eastAsia="Times New Roman" w:hint="default"/>
        </w:rPr>
        <w:t>4.2</w:t>
      </w:r>
      <w:r>
        <w:rPr>
          <w:rFonts w:ascii="Times New Roman" w:hAnsi="Times New Roman" w:cs="Times New Roman" w:eastAsia="Times New Roman" w:hint="default"/>
          <w:spacing w:val="51"/>
        </w:rPr>
        <w:t> </w:t>
      </w:r>
      <w:r>
        <w:rPr>
          <w:spacing w:val="-3"/>
        </w:rPr>
        <w:t>亿元人民币的额度内，参与设立深圳中航福田智能装备股权投资基金，并按深圳中航福田智能装备股权投资基金的具体运作情况分期</w:t>
      </w:r>
      <w:r>
        <w:rPr>
          <w:spacing w:val="-92"/>
        </w:rPr>
        <w:t> </w:t>
      </w:r>
      <w:r>
        <w:rPr>
          <w:spacing w:val="-92"/>
        </w:rPr>
      </w:r>
      <w:r>
        <w:rPr>
          <w:spacing w:val="-2"/>
          <w:w w:val="100"/>
        </w:rPr>
        <w:t>缴纳出资。本报告期内第二次现金出资</w:t>
      </w:r>
      <w:r>
        <w:rPr>
          <w:w w:val="100"/>
        </w:rPr>
        <w:t> </w:t>
      </w:r>
      <w:r>
        <w:rPr>
          <w:rFonts w:ascii="Times New Roman" w:hAnsi="Times New Roman" w:cs="Times New Roman" w:eastAsia="Times New Roman" w:hint="default"/>
          <w:spacing w:val="-1"/>
          <w:w w:val="100"/>
        </w:rPr>
        <w:t>1.26</w:t>
      </w:r>
      <w:r>
        <w:rPr>
          <w:rFonts w:ascii="Times New Roman" w:hAnsi="Times New Roman" w:cs="Times New Roman" w:eastAsia="Times New Roman" w:hint="default"/>
          <w:w w:val="100"/>
        </w:rPr>
        <w:t> </w:t>
      </w:r>
      <w:r>
        <w:rPr>
          <w:spacing w:val="-5"/>
          <w:w w:val="100"/>
        </w:rPr>
        <w:t>亿元。决议详见《公司第六届董事会第二十九次会议决议公告》（公告编号：临</w:t>
      </w:r>
      <w:r>
        <w:rPr>
          <w:spacing w:val="-66"/>
          <w:w w:val="100"/>
        </w:rPr>
        <w:t> </w:t>
      </w:r>
      <w:r>
        <w:rPr>
          <w:rFonts w:ascii="Times New Roman" w:hAnsi="Times New Roman" w:cs="Times New Roman" w:eastAsia="Times New Roman" w:hint="default"/>
          <w:spacing w:val="-23"/>
          <w:w w:val="100"/>
        </w:rPr>
        <w:t>2016-034</w:t>
      </w:r>
      <w:r>
        <w:rPr>
          <w:spacing w:val="-23"/>
          <w:w w:val="100"/>
        </w:rPr>
        <w:t>）。</w:t>
      </w:r>
      <w:r>
        <w:rPr>
          <w:w w:val="100"/>
        </w:rPr>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260" w:right="1300"/>
        </w:sectPr>
      </w:pPr>
    </w:p>
    <w:p>
      <w:pPr>
        <w:pStyle w:val="Heading2"/>
        <w:spacing w:line="240" w:lineRule="auto"/>
        <w:ind w:left="180" w:right="-19"/>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926" w:val="left" w:leader="none"/>
        </w:tabs>
        <w:spacing w:line="240" w:lineRule="auto" w:before="58"/>
        <w:ind w:left="180"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36" w:val="left" w:leader="none"/>
        </w:tabs>
        <w:spacing w:line="240" w:lineRule="auto"/>
        <w:ind w:left="18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60" w:right="1300"/>
          <w:cols w:num="2" w:equalWidth="0">
            <w:col w:w="2291" w:space="9169"/>
            <w:col w:w="2820"/>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257"/>
        <w:gridCol w:w="1417"/>
        <w:gridCol w:w="1702"/>
        <w:gridCol w:w="1702"/>
        <w:gridCol w:w="2410"/>
        <w:gridCol w:w="3260"/>
      </w:tblGrid>
      <w:tr>
        <w:trPr>
          <w:trHeight w:val="293" w:hRule="exact"/>
        </w:trPr>
        <w:tc>
          <w:tcPr>
            <w:tcW w:w="3257"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417" w:type="dxa"/>
            <w:vMerge w:val="restart"/>
            <w:tcBorders>
              <w:top w:val="single" w:sz="4" w:space="0" w:color="000000"/>
              <w:left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702" w:type="dxa"/>
            <w:vMerge w:val="restart"/>
            <w:tcBorders>
              <w:top w:val="single" w:sz="4" w:space="0" w:color="000000"/>
              <w:left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702" w:type="dxa"/>
            <w:vMerge w:val="restart"/>
            <w:tcBorders>
              <w:top w:val="single" w:sz="4" w:space="0" w:color="000000"/>
              <w:left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本年度投入金额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累计实际</w:t>
            </w:r>
          </w:p>
        </w:tc>
        <w:tc>
          <w:tcPr>
            <w:tcW w:w="3260" w:type="dxa"/>
            <w:vMerge w:val="restart"/>
            <w:tcBorders>
              <w:top w:val="single" w:sz="4" w:space="0" w:color="000000"/>
              <w:left w:val="single" w:sz="4" w:space="0" w:color="000000"/>
              <w:right w:val="single" w:sz="4" w:space="0" w:color="000000"/>
            </w:tcBorders>
          </w:tcPr>
          <w:p>
            <w:pPr>
              <w:pStyle w:val="TableParagraph"/>
              <w:spacing w:line="241" w:lineRule="exact"/>
              <w:ind w:left="995" w:right="0"/>
              <w:jc w:val="left"/>
              <w:rPr>
                <w:rFonts w:ascii="宋体" w:hAnsi="宋体" w:cs="宋体" w:eastAsia="宋体" w:hint="default"/>
                <w:sz w:val="21"/>
                <w:szCs w:val="21"/>
              </w:rPr>
            </w:pPr>
            <w:r>
              <w:rPr>
                <w:rFonts w:ascii="宋体" w:hAnsi="宋体" w:cs="宋体" w:eastAsia="宋体" w:hint="default"/>
                <w:sz w:val="21"/>
                <w:szCs w:val="21"/>
              </w:rPr>
              <w:t>项目资金来源</w:t>
            </w:r>
          </w:p>
        </w:tc>
      </w:tr>
      <w:tr>
        <w:trPr>
          <w:trHeight w:val="312" w:hRule="exact"/>
        </w:trPr>
        <w:tc>
          <w:tcPr>
            <w:tcW w:w="325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0" w:right="0"/>
              <w:jc w:val="left"/>
              <w:rPr>
                <w:rFonts w:ascii="宋体" w:hAnsi="宋体" w:cs="宋体" w:eastAsia="宋体" w:hint="default"/>
                <w:sz w:val="21"/>
                <w:szCs w:val="21"/>
              </w:rPr>
            </w:pPr>
            <w:r>
              <w:rPr>
                <w:rFonts w:ascii="宋体" w:hAnsi="宋体" w:cs="宋体" w:eastAsia="宋体" w:hint="default"/>
                <w:sz w:val="21"/>
                <w:szCs w:val="21"/>
              </w:rPr>
              <w:t>投入金额</w:t>
            </w:r>
          </w:p>
        </w:tc>
        <w:tc>
          <w:tcPr>
            <w:tcW w:w="3260" w:type="dxa"/>
            <w:vMerge/>
            <w:tcBorders>
              <w:left w:val="single" w:sz="4" w:space="0" w:color="000000"/>
              <w:bottom w:val="single" w:sz="4" w:space="0" w:color="000000"/>
              <w:right w:val="single" w:sz="4" w:space="0" w:color="000000"/>
            </w:tcBorders>
          </w:tcPr>
          <w:p>
            <w:pPr/>
          </w:p>
        </w:tc>
      </w:tr>
      <w:tr>
        <w:trPr>
          <w:trHeight w:val="49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2" w:right="0"/>
              <w:jc w:val="left"/>
              <w:rPr>
                <w:rFonts w:ascii="宋体" w:hAnsi="宋体" w:cs="宋体" w:eastAsia="宋体" w:hint="default"/>
                <w:sz w:val="21"/>
                <w:szCs w:val="21"/>
              </w:rPr>
            </w:pPr>
            <w:r>
              <w:rPr>
                <w:rFonts w:ascii="宋体" w:hAnsi="宋体" w:cs="宋体" w:eastAsia="宋体" w:hint="default"/>
                <w:sz w:val="21"/>
                <w:szCs w:val="21"/>
              </w:rPr>
              <w:t>新能源产业化建设项目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2"/>
                <w:sz w:val="21"/>
              </w:rPr>
              <w:t>11,000,000.00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2,065.02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7"/>
              <w:jc w:val="right"/>
              <w:rPr>
                <w:rFonts w:ascii="Times New Roman" w:hAnsi="Times New Roman" w:cs="Times New Roman" w:eastAsia="Times New Roman" w:hint="default"/>
                <w:sz w:val="21"/>
                <w:szCs w:val="21"/>
              </w:rPr>
            </w:pPr>
            <w:r>
              <w:rPr>
                <w:rFonts w:ascii="Times New Roman"/>
                <w:spacing w:val="-1"/>
                <w:sz w:val="21"/>
              </w:rPr>
              <w:t>10,270,558.60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31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 w:right="0"/>
              <w:jc w:val="left"/>
              <w:rPr>
                <w:rFonts w:ascii="宋体" w:hAnsi="宋体" w:cs="宋体" w:eastAsia="宋体" w:hint="default"/>
                <w:sz w:val="21"/>
                <w:szCs w:val="21"/>
              </w:rPr>
            </w:pPr>
            <w:r>
              <w:rPr>
                <w:rFonts w:ascii="宋体" w:hAnsi="宋体" w:cs="宋体" w:eastAsia="宋体" w:hint="default"/>
                <w:sz w:val="21"/>
                <w:szCs w:val="21"/>
              </w:rPr>
              <w:t>军民融合应急装备生产项目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1"/>
                <w:sz w:val="21"/>
              </w:rPr>
              <w:t>95,366,500.00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2,352,293.69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1"/>
                <w:sz w:val="21"/>
              </w:rPr>
              <w:t>9,716,877.20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贷款及自筹</w:t>
            </w:r>
          </w:p>
        </w:tc>
      </w:tr>
      <w:tr>
        <w:trPr>
          <w:trHeight w:val="31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ERP </w:t>
            </w:r>
            <w:r>
              <w:rPr>
                <w:rFonts w:ascii="宋体" w:hAnsi="宋体" w:cs="宋体" w:eastAsia="宋体" w:hint="default"/>
                <w:sz w:val="21"/>
                <w:szCs w:val="21"/>
              </w:rPr>
              <w:t>信息化项目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1"/>
                <w:sz w:val="21"/>
              </w:rPr>
              <w:t>15,000,000.00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62.10%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4,167,382.93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1"/>
                <w:sz w:val="21"/>
              </w:rPr>
              <w:t>9,761,838.89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31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 w:right="0"/>
              <w:jc w:val="left"/>
              <w:rPr>
                <w:rFonts w:ascii="宋体" w:hAnsi="宋体" w:cs="宋体" w:eastAsia="宋体" w:hint="default"/>
                <w:sz w:val="21"/>
                <w:szCs w:val="21"/>
              </w:rPr>
            </w:pPr>
            <w:r>
              <w:rPr>
                <w:rFonts w:ascii="宋体" w:hAnsi="宋体" w:cs="宋体" w:eastAsia="宋体" w:hint="default"/>
                <w:sz w:val="21"/>
                <w:szCs w:val="21"/>
              </w:rPr>
              <w:t>园区智能化项目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5"/>
              <w:jc w:val="right"/>
              <w:rPr>
                <w:rFonts w:ascii="Times New Roman" w:hAnsi="Times New Roman" w:cs="Times New Roman" w:eastAsia="Times New Roman" w:hint="default"/>
                <w:sz w:val="21"/>
                <w:szCs w:val="21"/>
              </w:rPr>
            </w:pPr>
            <w:r>
              <w:rPr>
                <w:rFonts w:ascii="Times New Roman"/>
                <w:spacing w:val="-1"/>
                <w:sz w:val="21"/>
              </w:rPr>
              <w:t>9,000,000.00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125,050.00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1"/>
                <w:sz w:val="21"/>
              </w:rPr>
              <w:t>8,873,508.40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31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创意园区装修工程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5"/>
              <w:jc w:val="right"/>
              <w:rPr>
                <w:rFonts w:ascii="Times New Roman" w:hAnsi="Times New Roman" w:cs="Times New Roman" w:eastAsia="Times New Roman" w:hint="default"/>
                <w:sz w:val="21"/>
                <w:szCs w:val="21"/>
              </w:rPr>
            </w:pPr>
            <w:r>
              <w:rPr>
                <w:rFonts w:ascii="Times New Roman"/>
                <w:spacing w:val="-1"/>
                <w:sz w:val="21"/>
              </w:rPr>
              <w:t>9,500,000.00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82.64%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8"/>
              <w:jc w:val="right"/>
              <w:rPr>
                <w:rFonts w:ascii="Times New Roman" w:hAnsi="Times New Roman" w:cs="Times New Roman" w:eastAsia="Times New Roman" w:hint="default"/>
                <w:sz w:val="21"/>
                <w:szCs w:val="21"/>
              </w:rPr>
            </w:pPr>
            <w:r>
              <w:rPr>
                <w:rFonts w:ascii="Times New Roman"/>
                <w:spacing w:val="-1"/>
                <w:sz w:val="21"/>
              </w:rPr>
              <w:t>1,675,933.77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6"/>
              <w:jc w:val="right"/>
              <w:rPr>
                <w:rFonts w:ascii="Times New Roman" w:hAnsi="Times New Roman" w:cs="Times New Roman" w:eastAsia="Times New Roman" w:hint="default"/>
                <w:sz w:val="21"/>
                <w:szCs w:val="21"/>
              </w:rPr>
            </w:pPr>
            <w:r>
              <w:rPr>
                <w:rFonts w:ascii="Times New Roman"/>
                <w:spacing w:val="-1"/>
                <w:sz w:val="21"/>
              </w:rPr>
              <w:t>8,535,841.60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31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 w:right="0"/>
              <w:jc w:val="left"/>
              <w:rPr>
                <w:rFonts w:ascii="宋体" w:hAnsi="宋体" w:cs="宋体" w:eastAsia="宋体" w:hint="default"/>
                <w:sz w:val="21"/>
                <w:szCs w:val="21"/>
              </w:rPr>
            </w:pPr>
            <w:r>
              <w:rPr>
                <w:rFonts w:ascii="宋体" w:hAnsi="宋体" w:cs="宋体" w:eastAsia="宋体" w:hint="default"/>
                <w:sz w:val="21"/>
                <w:szCs w:val="21"/>
              </w:rPr>
              <w:t>通信车喷漆废气治理工程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5"/>
              <w:jc w:val="right"/>
              <w:rPr>
                <w:rFonts w:ascii="Times New Roman" w:hAnsi="Times New Roman" w:cs="Times New Roman" w:eastAsia="Times New Roman" w:hint="default"/>
                <w:sz w:val="21"/>
                <w:szCs w:val="21"/>
              </w:rPr>
            </w:pPr>
            <w:r>
              <w:rPr>
                <w:rFonts w:ascii="Times New Roman"/>
                <w:spacing w:val="-1"/>
                <w:sz w:val="21"/>
              </w:rPr>
              <w:t>4,100,000.00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2,080,666.67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1"/>
                <w:sz w:val="21"/>
              </w:rPr>
              <w:t>2,080,666.67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自筹</w:t>
            </w:r>
          </w:p>
        </w:tc>
      </w:tr>
      <w:tr>
        <w:trPr>
          <w:trHeight w:val="49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1"/>
                <w:sz w:val="21"/>
              </w:rPr>
              <w:t>143,966,500.0</w:t>
            </w:r>
          </w:p>
          <w:p>
            <w:pPr>
              <w:pStyle w:val="TableParagraph"/>
              <w:spacing w:line="240" w:lineRule="auto" w:before="1"/>
              <w:ind w:right="48"/>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10,403,392.08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1"/>
                <w:sz w:val="21"/>
              </w:rPr>
              <w:t>49,239,291.36</w:t>
            </w:r>
          </w:p>
        </w:tc>
        <w:tc>
          <w:tcPr>
            <w:tcW w:w="32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ind w:left="180"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left="180" w:right="0"/>
        <w:jc w:val="both"/>
      </w:pPr>
      <w:r>
        <w:rPr/>
        <w:t>□适用 </w:t>
      </w:r>
      <w:r>
        <w:rPr>
          <w:spacing w:val="1"/>
        </w:rPr>
        <w:t> </w:t>
      </w:r>
      <w:r>
        <w:rPr/>
        <w:t>√不适用</w:t>
      </w:r>
    </w:p>
    <w:p>
      <w:pPr>
        <w:spacing w:line="240" w:lineRule="auto" w:before="11"/>
        <w:rPr>
          <w:rFonts w:ascii="宋体" w:hAnsi="宋体" w:cs="宋体" w:eastAsia="宋体" w:hint="default"/>
          <w:sz w:val="22"/>
          <w:szCs w:val="22"/>
        </w:rPr>
      </w:pPr>
    </w:p>
    <w:p>
      <w:pPr>
        <w:pStyle w:val="Heading2"/>
        <w:spacing w:line="240" w:lineRule="auto" w:before="0"/>
        <w:ind w:left="180"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3"/>
        </w:rPr>
        <w:t> </w:t>
      </w:r>
      <w:r>
        <w:rPr/>
        <w:t>重大资产和股权出售</w:t>
      </w:r>
      <w:r>
        <w:rPr>
          <w:b w:val="0"/>
          <w:bCs w:val="0"/>
        </w:rPr>
      </w:r>
    </w:p>
    <w:p>
      <w:pPr>
        <w:pStyle w:val="BodyText"/>
        <w:tabs>
          <w:tab w:pos="1125" w:val="left" w:leader="none"/>
        </w:tabs>
        <w:spacing w:line="272" w:lineRule="exact" w:before="86"/>
        <w:ind w:left="600" w:right="299" w:hanging="421"/>
        <w:jc w:val="left"/>
      </w:pPr>
      <w:r>
        <w:rPr/>
        <w:t>√适用</w:t>
        <w:tab/>
        <w:t>□不适用</w:t>
      </w:r>
      <w:r>
        <w:rPr>
          <w:w w:val="100"/>
        </w:rPr>
        <w:t> </w:t>
      </w:r>
      <w:r>
        <w:rPr>
          <w:rFonts w:ascii="宋体" w:hAnsi="宋体" w:cs="宋体" w:eastAsia="宋体" w:hint="default"/>
          <w:spacing w:val="-2"/>
        </w:rPr>
        <w:t>1</w:t>
      </w:r>
      <w:r>
        <w:rPr>
          <w:spacing w:val="-2"/>
        </w:rPr>
        <w:t>、公司与泰豪园区投资有限公司签订《江西泰豪科技进出口有限公司股权转让协议》，将全资子公司江西泰豪科技进出口有限公司</w:t>
      </w:r>
      <w:r>
        <w:rPr>
          <w:spacing w:val="68"/>
        </w:rPr>
        <w:t> </w:t>
      </w:r>
      <w:r>
        <w:rPr>
          <w:rFonts w:ascii="宋体" w:hAnsi="宋体" w:cs="宋体" w:eastAsia="宋体" w:hint="default"/>
          <w:spacing w:val="-2"/>
        </w:rPr>
        <w:t>100%</w:t>
      </w:r>
      <w:r>
        <w:rPr>
          <w:spacing w:val="-2"/>
        </w:rPr>
        <w:t>股权转让</w:t>
      </w:r>
    </w:p>
    <w:p>
      <w:pPr>
        <w:pStyle w:val="BodyText"/>
        <w:spacing w:line="272" w:lineRule="exact" w:before="1"/>
        <w:ind w:left="180" w:right="0"/>
        <w:jc w:val="left"/>
      </w:pPr>
      <w:r>
        <w:rPr>
          <w:spacing w:val="-2"/>
        </w:rPr>
        <w:t>给泰豪园区投资有限公司，经中铭国际资产评估（北京）有限责任公司评估公司出具的《泰豪科技股份有限公司拟对外转让所持有的江西泰豪科技进出</w:t>
      </w:r>
      <w:r>
        <w:rPr>
          <w:spacing w:val="19"/>
        </w:rPr>
        <w:t> </w:t>
      </w:r>
      <w:r>
        <w:rPr>
          <w:spacing w:val="19"/>
        </w:rPr>
      </w:r>
      <w:r>
        <w:rPr/>
        <w:t>口有限公司全部股权事宜涉及的江西泰豪科技进出口有限公司股东全部权益价值项目资产评估报告书》（中铭评报字</w:t>
      </w:r>
      <w:r>
        <w:rPr>
          <w:rFonts w:ascii="宋体" w:hAnsi="宋体" w:cs="宋体" w:eastAsia="宋体" w:hint="default"/>
        </w:rPr>
        <w:t>[2017]</w:t>
      </w:r>
      <w:r>
        <w:rPr/>
        <w:t>第 </w:t>
      </w:r>
      <w:r>
        <w:rPr>
          <w:rFonts w:ascii="宋体" w:hAnsi="宋体" w:cs="宋体" w:eastAsia="宋体" w:hint="default"/>
        </w:rPr>
        <w:t>2019</w:t>
      </w:r>
      <w:r>
        <w:rPr>
          <w:rFonts w:ascii="宋体" w:hAnsi="宋体" w:cs="宋体" w:eastAsia="宋体" w:hint="default"/>
          <w:spacing w:val="-11"/>
        </w:rPr>
        <w:t> </w:t>
      </w:r>
      <w:r>
        <w:rPr/>
        <w:t>号，评估基准日为</w:t>
      </w:r>
    </w:p>
    <w:p>
      <w:pPr>
        <w:pStyle w:val="BodyText"/>
        <w:spacing w:line="272" w:lineRule="exact" w:before="1"/>
        <w:ind w:left="180" w:right="0"/>
        <w:jc w:val="left"/>
      </w:pPr>
      <w:r>
        <w:rPr>
          <w:rFonts w:ascii="宋体" w:hAnsi="宋体" w:cs="宋体" w:eastAsia="宋体" w:hint="default"/>
        </w:rPr>
        <w:t>2016</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日），进出口公司全部股东全部权益价值</w:t>
      </w:r>
      <w:r>
        <w:rPr>
          <w:spacing w:val="6"/>
        </w:rPr>
        <w:t> </w:t>
      </w:r>
      <w:r>
        <w:rPr>
          <w:rFonts w:ascii="宋体" w:hAnsi="宋体" w:cs="宋体" w:eastAsia="宋体" w:hint="default"/>
        </w:rPr>
        <w:t>16,260.15</w:t>
      </w:r>
      <w:r>
        <w:rPr>
          <w:rFonts w:ascii="宋体" w:hAnsi="宋体" w:cs="宋体" w:eastAsia="宋体" w:hint="default"/>
          <w:spacing w:val="6"/>
        </w:rPr>
        <w:t> </w:t>
      </w:r>
      <w:r>
        <w:rPr/>
        <w:t>万元，经双方参考股东权益评估值并协商确定股权转让价为人民币</w:t>
      </w:r>
      <w:r>
        <w:rPr>
          <w:spacing w:val="-42"/>
        </w:rPr>
        <w:t> </w:t>
      </w:r>
      <w:r>
        <w:rPr>
          <w:rFonts w:ascii="宋体" w:hAnsi="宋体" w:cs="宋体" w:eastAsia="宋体" w:hint="default"/>
        </w:rPr>
        <w:t>16,300</w:t>
      </w:r>
      <w:r>
        <w:rPr>
          <w:rFonts w:ascii="宋体" w:hAnsi="宋体" w:cs="宋体" w:eastAsia="宋体" w:hint="default"/>
          <w:spacing w:val="-45"/>
        </w:rPr>
        <w:t> </w:t>
      </w:r>
      <w:r>
        <w:rPr/>
        <w:t>万元，</w:t>
      </w:r>
      <w:r>
        <w:rPr>
          <w:w w:val="100"/>
        </w:rPr>
        <w:t> </w:t>
      </w:r>
      <w:r>
        <w:rPr/>
        <w:t>泰豪园区投资有限公司应于协议生效之日起</w:t>
      </w:r>
      <w:r>
        <w:rPr>
          <w:spacing w:val="-55"/>
        </w:rPr>
        <w:t> </w:t>
      </w:r>
      <w:r>
        <w:rPr>
          <w:rFonts w:ascii="宋体" w:hAnsi="宋体" w:cs="宋体" w:eastAsia="宋体" w:hint="default"/>
        </w:rPr>
        <w:t>60</w:t>
      </w:r>
      <w:r>
        <w:rPr>
          <w:rFonts w:ascii="宋体" w:hAnsi="宋体" w:cs="宋体" w:eastAsia="宋体" w:hint="default"/>
          <w:spacing w:val="-56"/>
        </w:rPr>
        <w:t> </w:t>
      </w:r>
      <w:r>
        <w:rPr/>
        <w:t>个工作日内支付股权转让价款的</w:t>
      </w:r>
      <w:r>
        <w:rPr>
          <w:spacing w:val="-56"/>
        </w:rPr>
        <w:t> </w:t>
      </w:r>
      <w:r>
        <w:rPr>
          <w:rFonts w:ascii="宋体" w:hAnsi="宋体" w:cs="宋体" w:eastAsia="宋体" w:hint="default"/>
        </w:rPr>
        <w:t>50%</w:t>
      </w:r>
      <w:r>
        <w:rPr/>
        <w:t>，剩余</w:t>
      </w:r>
      <w:r>
        <w:rPr>
          <w:spacing w:val="-56"/>
        </w:rPr>
        <w:t> </w:t>
      </w:r>
      <w:r>
        <w:rPr>
          <w:rFonts w:ascii="宋体" w:hAnsi="宋体" w:cs="宋体" w:eastAsia="宋体" w:hint="default"/>
        </w:rPr>
        <w:t>50%</w:t>
      </w:r>
      <w:r>
        <w:rPr/>
        <w:t>的转让款应在完成工商变更登记后的</w:t>
      </w:r>
      <w:r>
        <w:rPr>
          <w:spacing w:val="-56"/>
        </w:rPr>
        <w:t> </w:t>
      </w:r>
      <w:r>
        <w:rPr>
          <w:rFonts w:ascii="宋体" w:hAnsi="宋体" w:cs="宋体" w:eastAsia="宋体" w:hint="default"/>
        </w:rPr>
        <w:t>180</w:t>
      </w:r>
      <w:r>
        <w:rPr>
          <w:rFonts w:ascii="宋体" w:hAnsi="宋体" w:cs="宋体" w:eastAsia="宋体" w:hint="default"/>
          <w:spacing w:val="-58"/>
        </w:rPr>
        <w:t> </w:t>
      </w:r>
      <w:r>
        <w:rPr/>
        <w:t>个工作日内支付</w:t>
      </w:r>
    </w:p>
    <w:p>
      <w:pPr>
        <w:pStyle w:val="BodyText"/>
        <w:spacing w:line="247" w:lineRule="exact"/>
        <w:ind w:left="180" w:right="0"/>
        <w:jc w:val="both"/>
      </w:pPr>
      <w:r>
        <w:rPr/>
        <w:t>完毕。双方于</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日完成股权交割，截至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日共收回股权转让款</w:t>
      </w:r>
      <w:r>
        <w:rPr>
          <w:spacing w:val="-53"/>
        </w:rPr>
        <w:t> </w:t>
      </w:r>
      <w:r>
        <w:rPr>
          <w:rFonts w:ascii="宋体" w:hAnsi="宋体" w:cs="宋体" w:eastAsia="宋体" w:hint="default"/>
        </w:rPr>
        <w:t>8,150</w:t>
      </w:r>
      <w:r>
        <w:rPr>
          <w:rFonts w:ascii="宋体" w:hAnsi="宋体" w:cs="宋体" w:eastAsia="宋体" w:hint="default"/>
          <w:spacing w:val="-55"/>
        </w:rPr>
        <w:t> </w:t>
      </w:r>
      <w:r>
        <w:rPr/>
        <w:t>万元。</w:t>
      </w:r>
    </w:p>
    <w:p>
      <w:pPr>
        <w:pStyle w:val="BodyText"/>
        <w:spacing w:line="237" w:lineRule="auto"/>
        <w:ind w:left="180" w:right="237"/>
        <w:jc w:val="both"/>
      </w:pPr>
      <w:r>
        <w:rPr>
          <w:rFonts w:ascii="宋体" w:hAnsi="宋体" w:cs="宋体" w:eastAsia="宋体" w:hint="default"/>
          <w:spacing w:val="-4"/>
        </w:rPr>
        <w:t>2</w:t>
      </w:r>
      <w:r>
        <w:rPr>
          <w:spacing w:val="-4"/>
        </w:rPr>
        <w:t>、</w:t>
      </w:r>
      <w:r>
        <w:rPr>
          <w:rFonts w:ascii="宋体" w:hAnsi="宋体" w:cs="宋体" w:eastAsia="宋体" w:hint="default"/>
          <w:spacing w:val="-4"/>
        </w:rPr>
        <w:t>2016</w:t>
      </w:r>
      <w:r>
        <w:rPr>
          <w:rFonts w:ascii="宋体" w:hAnsi="宋体" w:cs="宋体" w:eastAsia="宋体" w:hint="default"/>
          <w:spacing w:val="-36"/>
        </w:rPr>
        <w:t> </w:t>
      </w:r>
      <w:r>
        <w:rPr/>
        <w:t>年</w:t>
      </w:r>
      <w:r>
        <w:rPr>
          <w:spacing w:val="-38"/>
        </w:rPr>
        <w:t> </w:t>
      </w:r>
      <w:r>
        <w:rPr>
          <w:rFonts w:ascii="宋体" w:hAnsi="宋体" w:cs="宋体" w:eastAsia="宋体" w:hint="default"/>
        </w:rPr>
        <w:t>1</w:t>
      </w:r>
      <w:r>
        <w:rPr>
          <w:rFonts w:ascii="宋体" w:hAnsi="宋体" w:cs="宋体" w:eastAsia="宋体" w:hint="default"/>
          <w:spacing w:val="-36"/>
        </w:rPr>
        <w:t> </w:t>
      </w:r>
      <w:r>
        <w:rPr/>
        <w:t>月</w:t>
      </w:r>
      <w:r>
        <w:rPr>
          <w:spacing w:val="-36"/>
        </w:rPr>
        <w:t> </w:t>
      </w:r>
      <w:r>
        <w:rPr>
          <w:rFonts w:ascii="宋体" w:hAnsi="宋体" w:cs="宋体" w:eastAsia="宋体" w:hint="default"/>
        </w:rPr>
        <w:t>14</w:t>
      </w:r>
      <w:r>
        <w:rPr>
          <w:rFonts w:ascii="宋体" w:hAnsi="宋体" w:cs="宋体" w:eastAsia="宋体" w:hint="default"/>
          <w:spacing w:val="-36"/>
        </w:rPr>
        <w:t> </w:t>
      </w:r>
      <w:r>
        <w:rPr>
          <w:spacing w:val="-3"/>
        </w:rPr>
        <w:t>日，公司第六届董事会第九次会议审议通过了《关于转让全资子公司江西泰豪特种电机有限公司</w:t>
      </w:r>
      <w:r>
        <w:rPr>
          <w:spacing w:val="-36"/>
        </w:rPr>
        <w:t> </w:t>
      </w:r>
      <w:r>
        <w:rPr>
          <w:rFonts w:ascii="宋体" w:hAnsi="宋体" w:cs="宋体" w:eastAsia="宋体" w:hint="default"/>
          <w:spacing w:val="-4"/>
        </w:rPr>
        <w:t>100%</w:t>
      </w:r>
      <w:r>
        <w:rPr>
          <w:spacing w:val="-4"/>
        </w:rPr>
        <w:t>股权的议案》。同意将全资子公</w:t>
      </w:r>
      <w:r>
        <w:rPr>
          <w:spacing w:val="-96"/>
        </w:rPr>
        <w:t> </w:t>
      </w:r>
      <w:r>
        <w:rPr>
          <w:spacing w:val="-96"/>
        </w:rPr>
      </w:r>
      <w:r>
        <w:rPr>
          <w:spacing w:val="-2"/>
        </w:rPr>
        <w:t>司江西泰豪特种电机有限公司（现更名为江西希望科技有限公司）</w:t>
      </w:r>
      <w:r>
        <w:rPr>
          <w:rFonts w:ascii="宋体" w:hAnsi="宋体" w:cs="宋体" w:eastAsia="宋体" w:hint="default"/>
          <w:spacing w:val="-2"/>
        </w:rPr>
        <w:t>100%</w:t>
      </w:r>
      <w:r>
        <w:rPr>
          <w:spacing w:val="-2"/>
        </w:rPr>
        <w:t>股权转让给江西太阳陶瓷有限公司，股权转让价格以中铭国际资产评估（北京）</w:t>
      </w:r>
      <w:r>
        <w:rPr>
          <w:spacing w:val="23"/>
        </w:rPr>
        <w:t> </w:t>
      </w:r>
      <w:r>
        <w:rPr>
          <w:spacing w:val="23"/>
        </w:rPr>
      </w:r>
      <w:r>
        <w:rPr>
          <w:spacing w:val="-7"/>
          <w:w w:val="100"/>
        </w:rPr>
        <w:t>有限公司出具的《资产评估报告》（中铭评报字</w:t>
      </w:r>
      <w:r>
        <w:rPr>
          <w:rFonts w:ascii="宋体" w:hAnsi="宋体" w:cs="宋体" w:eastAsia="宋体" w:hint="default"/>
          <w:spacing w:val="-7"/>
          <w:w w:val="100"/>
        </w:rPr>
        <w:t>[2015]</w:t>
      </w:r>
      <w:r>
        <w:rPr>
          <w:spacing w:val="-7"/>
          <w:w w:val="100"/>
        </w:rPr>
        <w:t>第</w:t>
      </w:r>
      <w:r>
        <w:rPr>
          <w:spacing w:val="-51"/>
          <w:w w:val="100"/>
        </w:rPr>
        <w:t> </w:t>
      </w:r>
      <w:r>
        <w:rPr>
          <w:rFonts w:ascii="宋体" w:hAnsi="宋体" w:cs="宋体" w:eastAsia="宋体" w:hint="default"/>
          <w:spacing w:val="-1"/>
          <w:w w:val="100"/>
        </w:rPr>
        <w:t>2084</w:t>
      </w:r>
      <w:r>
        <w:rPr>
          <w:rFonts w:ascii="宋体" w:hAnsi="宋体" w:cs="宋体" w:eastAsia="宋体" w:hint="default"/>
          <w:spacing w:val="-53"/>
          <w:w w:val="100"/>
        </w:rPr>
        <w:t> </w:t>
      </w:r>
      <w:r>
        <w:rPr>
          <w:spacing w:val="-4"/>
          <w:w w:val="100"/>
        </w:rPr>
        <w:t>号）确定的江西泰豪特种电机有限公司截止</w:t>
      </w:r>
      <w:r>
        <w:rPr>
          <w:spacing w:val="-51"/>
          <w:w w:val="100"/>
        </w:rPr>
        <w:t> </w:t>
      </w:r>
      <w:r>
        <w:rPr>
          <w:rFonts w:ascii="宋体" w:hAnsi="宋体" w:cs="宋体" w:eastAsia="宋体" w:hint="default"/>
          <w:spacing w:val="-1"/>
          <w:w w:val="100"/>
        </w:rPr>
        <w:t>2015</w:t>
      </w:r>
      <w:r>
        <w:rPr>
          <w:rFonts w:ascii="宋体" w:hAnsi="宋体" w:cs="宋体" w:eastAsia="宋体" w:hint="default"/>
          <w:spacing w:val="-50"/>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30</w:t>
      </w:r>
      <w:r>
        <w:rPr>
          <w:rFonts w:ascii="宋体" w:hAnsi="宋体" w:cs="宋体" w:eastAsia="宋体" w:hint="default"/>
          <w:spacing w:val="-53"/>
          <w:w w:val="100"/>
        </w:rPr>
        <w:t> </w:t>
      </w:r>
      <w:r>
        <w:rPr>
          <w:spacing w:val="-2"/>
          <w:w w:val="100"/>
        </w:rPr>
        <w:t>日全部股东权益价值为基础，</w:t>
      </w:r>
    </w:p>
    <w:p>
      <w:pPr>
        <w:pStyle w:val="BodyText"/>
        <w:spacing w:line="272" w:lineRule="exact"/>
        <w:ind w:left="180" w:right="0"/>
        <w:jc w:val="both"/>
        <w:rPr>
          <w:rFonts w:ascii="宋体" w:hAnsi="宋体" w:cs="宋体" w:eastAsia="宋体" w:hint="default"/>
        </w:rPr>
      </w:pPr>
      <w:r>
        <w:rPr/>
        <w:t>经股权转让双方协商，最终确认的股权转让价格为</w:t>
      </w:r>
      <w:r>
        <w:rPr>
          <w:spacing w:val="-56"/>
        </w:rPr>
        <w:t> </w:t>
      </w:r>
      <w:r>
        <w:rPr>
          <w:rFonts w:ascii="宋体" w:hAnsi="宋体" w:cs="宋体" w:eastAsia="宋体" w:hint="default"/>
        </w:rPr>
        <w:t>30,000,000.00</w:t>
      </w:r>
      <w:r>
        <w:rPr>
          <w:rFonts w:ascii="宋体" w:hAnsi="宋体" w:cs="宋体" w:eastAsia="宋体" w:hint="default"/>
          <w:spacing w:val="-56"/>
        </w:rPr>
        <w:t> </w:t>
      </w:r>
      <w:r>
        <w:rPr/>
        <w:t>元，江西希望科技有限公司于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3"/>
        </w:rPr>
        <w:t> </w:t>
      </w:r>
      <w:r>
        <w:rPr>
          <w:rFonts w:ascii="宋体" w:hAnsi="宋体" w:cs="宋体" w:eastAsia="宋体" w:hint="default"/>
        </w:rPr>
        <w:t>12</w:t>
      </w:r>
      <w:r>
        <w:rPr>
          <w:rFonts w:ascii="宋体" w:hAnsi="宋体" w:cs="宋体" w:eastAsia="宋体" w:hint="default"/>
          <w:spacing w:val="-56"/>
        </w:rPr>
        <w:t> </w:t>
      </w:r>
      <w:r>
        <w:rPr/>
        <w:t>日完成工商变更登记。截至</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12</w:t>
      </w:r>
    </w:p>
    <w:p>
      <w:pPr>
        <w:pStyle w:val="BodyText"/>
        <w:spacing w:line="273" w:lineRule="exact"/>
        <w:ind w:left="180" w:right="0"/>
        <w:jc w:val="both"/>
      </w:pPr>
      <w:r>
        <w:rPr/>
        <w:t>月</w:t>
      </w:r>
      <w:r>
        <w:rPr>
          <w:spacing w:val="-52"/>
        </w:rPr>
        <w:t> </w:t>
      </w:r>
      <w:r>
        <w:rPr>
          <w:rFonts w:ascii="宋体" w:hAnsi="宋体" w:cs="宋体" w:eastAsia="宋体" w:hint="default"/>
        </w:rPr>
        <w:t>31</w:t>
      </w:r>
      <w:r>
        <w:rPr>
          <w:rFonts w:ascii="宋体" w:hAnsi="宋体" w:cs="宋体" w:eastAsia="宋体" w:hint="default"/>
          <w:spacing w:val="-55"/>
        </w:rPr>
        <w:t> </w:t>
      </w:r>
      <w:r>
        <w:rPr/>
        <w:t>日股权转让款已全部收回。</w:t>
      </w:r>
    </w:p>
    <w:p>
      <w:pPr>
        <w:pStyle w:val="BodyText"/>
        <w:spacing w:line="272" w:lineRule="exact" w:before="27"/>
        <w:ind w:left="180" w:right="0"/>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w:t>
      </w:r>
      <w:r>
        <w:rPr>
          <w:rFonts w:ascii="宋体" w:hAnsi="宋体" w:cs="宋体" w:eastAsia="宋体" w:hint="default"/>
          <w:spacing w:val="-56"/>
        </w:rPr>
        <w:t> </w:t>
      </w:r>
      <w:r>
        <w:rPr/>
        <w:t>日，公司第六届董事会第十八次会议决议，同意将本公司持有的江西国科军工集团股份有限公司</w:t>
      </w:r>
      <w:r>
        <w:rPr>
          <w:spacing w:val="-54"/>
        </w:rPr>
        <w:t> </w:t>
      </w:r>
      <w:r>
        <w:rPr>
          <w:rFonts w:ascii="宋体" w:hAnsi="宋体" w:cs="宋体" w:eastAsia="宋体" w:hint="default"/>
        </w:rPr>
        <w:t>10%</w:t>
      </w:r>
      <w:r>
        <w:rPr/>
        <w:t>股权转让给上海雪霆企业管理中</w:t>
      </w:r>
      <w:r>
        <w:rPr>
          <w:w w:val="100"/>
        </w:rPr>
        <w:t> </w:t>
      </w:r>
      <w:r>
        <w:rPr/>
        <w:t>心（有限合伙），转让价格为人民币</w:t>
      </w:r>
      <w:r>
        <w:rPr>
          <w:spacing w:val="-56"/>
        </w:rPr>
        <w:t> </w:t>
      </w:r>
      <w:r>
        <w:rPr>
          <w:rFonts w:ascii="宋体" w:hAnsi="宋体" w:cs="宋体" w:eastAsia="宋体" w:hint="default"/>
        </w:rPr>
        <w:t>60,000,000.00</w:t>
      </w:r>
      <w:r>
        <w:rPr>
          <w:rFonts w:ascii="宋体" w:hAnsi="宋体" w:cs="宋体" w:eastAsia="宋体" w:hint="default"/>
          <w:spacing w:val="-55"/>
        </w:rPr>
        <w:t> </w:t>
      </w:r>
      <w:r>
        <w:rPr/>
        <w:t>元，本次股权转让完成后，公司仍持有江西国科军工集团股份有限公司</w:t>
      </w:r>
      <w:r>
        <w:rPr>
          <w:spacing w:val="-56"/>
        </w:rPr>
        <w:t> </w:t>
      </w:r>
      <w:r>
        <w:rPr>
          <w:rFonts w:ascii="宋体" w:hAnsi="宋体" w:cs="宋体" w:eastAsia="宋体" w:hint="default"/>
        </w:rPr>
        <w:t>30%</w:t>
      </w:r>
      <w:r>
        <w:rPr/>
        <w:t>股权，截至</w:t>
      </w:r>
      <w:r>
        <w:rPr>
          <w:spacing w:val="-56"/>
        </w:rPr>
        <w:t> </w:t>
      </w:r>
      <w:r>
        <w:rPr>
          <w:rFonts w:ascii="宋体" w:hAnsi="宋体" w:cs="宋体" w:eastAsia="宋体" w:hint="default"/>
        </w:rPr>
        <w:t>2017</w:t>
      </w:r>
      <w:r>
        <w:rPr>
          <w:rFonts w:ascii="宋体" w:hAnsi="宋体" w:cs="宋体" w:eastAsia="宋体" w:hint="default"/>
          <w:spacing w:val="-58"/>
        </w:rPr>
        <w:t> </w:t>
      </w:r>
      <w:r>
        <w:rPr/>
        <w:t>年</w:t>
      </w:r>
      <w:r>
        <w:rPr>
          <w:spacing w:val="-56"/>
        </w:rPr>
        <w:t> </w:t>
      </w:r>
      <w:r>
        <w:rPr>
          <w:rFonts w:ascii="宋体" w:hAnsi="宋体" w:cs="宋体" w:eastAsia="宋体" w:hint="default"/>
        </w:rPr>
        <w:t>12</w:t>
      </w:r>
    </w:p>
    <w:p>
      <w:pPr>
        <w:pStyle w:val="BodyText"/>
        <w:spacing w:line="246" w:lineRule="exact"/>
        <w:ind w:left="180" w:right="0"/>
        <w:jc w:val="both"/>
      </w:pPr>
      <w:r>
        <w:rPr/>
        <w:t>月</w:t>
      </w:r>
      <w:r>
        <w:rPr>
          <w:spacing w:val="-52"/>
        </w:rPr>
        <w:t> </w:t>
      </w:r>
      <w:r>
        <w:rPr>
          <w:rFonts w:ascii="宋体" w:hAnsi="宋体" w:cs="宋体" w:eastAsia="宋体" w:hint="default"/>
        </w:rPr>
        <w:t>31</w:t>
      </w:r>
      <w:r>
        <w:rPr>
          <w:rFonts w:ascii="宋体" w:hAnsi="宋体" w:cs="宋体" w:eastAsia="宋体" w:hint="default"/>
          <w:spacing w:val="-55"/>
        </w:rPr>
        <w:t> </w:t>
      </w:r>
      <w:r>
        <w:rPr/>
        <w:t>日股权转让款已全部收回。</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260" w:right="1280"/>
        </w:sectPr>
      </w:pPr>
    </w:p>
    <w:p>
      <w:pPr>
        <w:pStyle w:val="Heading2"/>
        <w:tabs>
          <w:tab w:pos="1020" w:val="left" w:leader="none"/>
        </w:tabs>
        <w:spacing w:line="240" w:lineRule="auto"/>
        <w:ind w:left="180" w:right="-9"/>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Heading2"/>
        <w:tabs>
          <w:tab w:pos="917" w:val="left" w:leader="none"/>
        </w:tabs>
        <w:spacing w:line="240" w:lineRule="auto" w:before="58"/>
        <w:ind w:left="180" w:right="-9"/>
        <w:jc w:val="left"/>
        <w:rPr>
          <w:b w:val="0"/>
          <w:bCs w:val="0"/>
        </w:rPr>
      </w:pPr>
      <w:r>
        <w:rPr>
          <w:rFonts w:ascii="Calibri" w:hAnsi="Calibri" w:cs="Calibri" w:eastAsia="Calibri" w:hint="default"/>
          <w:spacing w:val="-1"/>
        </w:rPr>
        <w:t>√</w:t>
      </w:r>
      <w:r>
        <w:rPr>
          <w:spacing w:val="-1"/>
        </w:rPr>
        <w:t>适用</w:t>
        <w:tab/>
      </w:r>
      <w:r>
        <w:rPr>
          <w:rFonts w:ascii="Arial" w:hAnsi="Arial" w:cs="Arial" w:eastAsia="Arial" w:hint="default"/>
        </w:rPr>
        <w:t>□</w:t>
      </w:r>
      <w:r>
        <w:rPr>
          <w:rFonts w:ascii="Arial" w:hAnsi="Arial" w:cs="Arial" w:eastAsia="Arial" w:hint="default"/>
          <w:spacing w:val="26"/>
        </w:rPr>
        <w:t> </w:t>
      </w:r>
      <w:r>
        <w:rPr/>
        <w:t>不适用</w:t>
      </w:r>
      <w:r>
        <w:rPr>
          <w:b w:val="0"/>
          <w:bCs w:val="0"/>
        </w:rPr>
      </w:r>
    </w:p>
    <w:p>
      <w:pPr>
        <w:pStyle w:val="BodyText"/>
        <w:spacing w:line="240" w:lineRule="auto" w:before="29"/>
        <w:ind w:left="180" w:right="-9"/>
        <w:jc w:val="left"/>
      </w:pPr>
      <w:r>
        <w:rPr>
          <w:rFonts w:ascii="Times New Roman" w:hAnsi="Times New Roman" w:cs="Times New Roman" w:eastAsia="Times New Roman" w:hint="default"/>
        </w:rPr>
        <w:t>1</w:t>
      </w:r>
      <w:r>
        <w:rPr/>
        <w:t>、主要子公司情况：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36" w:val="left" w:leader="none"/>
        </w:tabs>
        <w:spacing w:line="240" w:lineRule="auto"/>
        <w:ind w:left="18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60" w:right="1280"/>
          <w:cols w:num="2" w:equalWidth="0">
            <w:col w:w="3131" w:space="8329"/>
            <w:col w:w="2840"/>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807"/>
        <w:gridCol w:w="4721"/>
        <w:gridCol w:w="718"/>
        <w:gridCol w:w="764"/>
        <w:gridCol w:w="1394"/>
        <w:gridCol w:w="1450"/>
        <w:gridCol w:w="1318"/>
        <w:gridCol w:w="1450"/>
        <w:gridCol w:w="1443"/>
      </w:tblGrid>
      <w:tr>
        <w:trPr>
          <w:trHeight w:val="478"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例</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6" w:right="0" w:hanging="89"/>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6"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710"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泰豪软件</w:t>
            </w:r>
            <w:r>
              <w:rPr>
                <w:rFonts w:ascii="宋体" w:hAnsi="宋体" w:cs="宋体" w:eastAsia="宋体" w:hint="default"/>
                <w:sz w:val="18"/>
                <w:szCs w:val="18"/>
              </w:rPr>
            </w:r>
          </w:p>
          <w:p>
            <w:pPr>
              <w:pStyle w:val="TableParagraph"/>
              <w:spacing w:line="232" w:lineRule="exact" w:before="23"/>
              <w:ind w:left="21" w:right="15"/>
              <w:jc w:val="left"/>
              <w:rPr>
                <w:rFonts w:ascii="宋体" w:hAnsi="宋体" w:cs="宋体" w:eastAsia="宋体" w:hint="default"/>
                <w:sz w:val="18"/>
                <w:szCs w:val="18"/>
              </w:rPr>
            </w:pPr>
            <w:r>
              <w:rPr>
                <w:rFonts w:ascii="宋体" w:hAnsi="宋体" w:cs="宋体" w:eastAsia="宋体" w:hint="default"/>
                <w:spacing w:val="9"/>
                <w:sz w:val="18"/>
                <w:szCs w:val="18"/>
              </w:rPr>
              <w:t>股份有限 </w:t>
            </w:r>
            <w:r>
              <w:rPr>
                <w:rFonts w:ascii="宋体" w:hAnsi="宋体" w:cs="宋体" w:eastAsia="宋体" w:hint="default"/>
                <w:sz w:val="18"/>
                <w:szCs w:val="18"/>
              </w:rPr>
              <w:t>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5"/>
                <w:sz w:val="18"/>
                <w:szCs w:val="18"/>
              </w:rPr>
              <w:t>计算机软件及相关产品的开发、生产、销售，信息系统集成</w:t>
            </w:r>
          </w:p>
          <w:p>
            <w:pPr>
              <w:pStyle w:val="TableParagraph"/>
              <w:spacing w:line="232" w:lineRule="exact" w:before="23"/>
              <w:ind w:left="21" w:right="22"/>
              <w:jc w:val="left"/>
              <w:rPr>
                <w:rFonts w:ascii="宋体" w:hAnsi="宋体" w:cs="宋体" w:eastAsia="宋体" w:hint="default"/>
                <w:sz w:val="18"/>
                <w:szCs w:val="18"/>
              </w:rPr>
            </w:pPr>
            <w:r>
              <w:rPr>
                <w:rFonts w:ascii="宋体" w:hAnsi="宋体" w:cs="宋体" w:eastAsia="宋体" w:hint="default"/>
                <w:spacing w:val="-1"/>
                <w:sz w:val="18"/>
                <w:szCs w:val="18"/>
              </w:rPr>
              <w:t>综合信息技术服务，高科技产业咨询、服务及投资，物业管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理</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37"/>
              <w:ind w:left="38"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1,176,447,000.00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1,148,225,543.39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503,089,129.72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636,778,125.24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23,735,790.26</w:t>
            </w:r>
          </w:p>
        </w:tc>
      </w:tr>
      <w:tr>
        <w:trPr>
          <w:trHeight w:val="338"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
              <w:jc w:val="right"/>
              <w:rPr>
                <w:rFonts w:ascii="宋体" w:hAnsi="宋体" w:cs="宋体" w:eastAsia="宋体" w:hint="default"/>
                <w:sz w:val="18"/>
                <w:szCs w:val="18"/>
              </w:rPr>
            </w:pPr>
            <w:r>
              <w:rPr>
                <w:rFonts w:ascii="宋体" w:hAnsi="宋体" w:cs="宋体" w:eastAsia="宋体" w:hint="default"/>
                <w:spacing w:val="9"/>
                <w:w w:val="95"/>
                <w:sz w:val="18"/>
                <w:szCs w:val="18"/>
              </w:rPr>
              <w:t>泰豪电源</w:t>
            </w:r>
            <w:r>
              <w:rPr>
                <w:rFonts w:ascii="宋体" w:hAnsi="宋体" w:cs="宋体" w:eastAsia="宋体" w:hint="default"/>
                <w:w w:val="95"/>
                <w:sz w:val="18"/>
                <w:szCs w:val="18"/>
              </w:rPr>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发电机及机组的设计、制造、销售与售后服务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8"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60" w:right="0"/>
              <w:jc w:val="left"/>
              <w:rPr>
                <w:rFonts w:ascii="Times New Roman" w:hAnsi="Times New Roman" w:cs="Times New Roman" w:eastAsia="Times New Roman" w:hint="default"/>
                <w:sz w:val="18"/>
                <w:szCs w:val="18"/>
              </w:rPr>
            </w:pPr>
            <w:r>
              <w:rPr>
                <w:rFonts w:ascii="Times New Roman"/>
                <w:sz w:val="18"/>
              </w:rPr>
              <w:t>1,131,449,222.67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264,482,166.92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58" w:right="0"/>
              <w:jc w:val="left"/>
              <w:rPr>
                <w:rFonts w:ascii="Times New Roman" w:hAnsi="Times New Roman" w:cs="Times New Roman" w:eastAsia="Times New Roman" w:hint="default"/>
                <w:sz w:val="18"/>
                <w:szCs w:val="18"/>
              </w:rPr>
            </w:pPr>
            <w:r>
              <w:rPr>
                <w:rFonts w:ascii="Times New Roman"/>
                <w:sz w:val="18"/>
              </w:rPr>
              <w:t>1,067,621,665.97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4"/>
              <w:jc w:val="right"/>
              <w:rPr>
                <w:rFonts w:ascii="Times New Roman" w:hAnsi="Times New Roman" w:cs="Times New Roman" w:eastAsia="Times New Roman" w:hint="default"/>
                <w:sz w:val="18"/>
                <w:szCs w:val="18"/>
              </w:rPr>
            </w:pPr>
            <w:r>
              <w:rPr>
                <w:rFonts w:ascii="Times New Roman"/>
                <w:spacing w:val="-1"/>
                <w:sz w:val="18"/>
              </w:rPr>
              <w:t>20,619,558.50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26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807"/>
        <w:gridCol w:w="4721"/>
        <w:gridCol w:w="718"/>
        <w:gridCol w:w="764"/>
        <w:gridCol w:w="1394"/>
        <w:gridCol w:w="1450"/>
        <w:gridCol w:w="1318"/>
        <w:gridCol w:w="1450"/>
        <w:gridCol w:w="1443"/>
      </w:tblGrid>
      <w:tr>
        <w:trPr>
          <w:trHeight w:val="470" w:hRule="exact"/>
        </w:trPr>
        <w:tc>
          <w:tcPr>
            <w:tcW w:w="807"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技术有限</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721"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6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1318" w:type="dxa"/>
            <w:tcBorders>
              <w:top w:val="nil" w:sz="6" w:space="0" w:color="auto"/>
              <w:left w:val="single" w:sz="4" w:space="0" w:color="000000"/>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1443" w:type="dxa"/>
            <w:tcBorders>
              <w:top w:val="nil" w:sz="6" w:space="0" w:color="auto"/>
              <w:left w:val="single" w:sz="4" w:space="0" w:color="000000"/>
              <w:bottom w:val="single" w:sz="4" w:space="0" w:color="000000"/>
              <w:right w:val="single" w:sz="4" w:space="0" w:color="000000"/>
            </w:tcBorders>
          </w:tcPr>
          <w:p>
            <w:pPr/>
          </w:p>
        </w:tc>
      </w:tr>
      <w:tr>
        <w:trPr>
          <w:trHeight w:val="946"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both"/>
              <w:rPr>
                <w:rFonts w:ascii="宋体" w:hAnsi="宋体" w:cs="宋体" w:eastAsia="宋体" w:hint="default"/>
                <w:sz w:val="18"/>
                <w:szCs w:val="18"/>
              </w:rPr>
            </w:pPr>
            <w:r>
              <w:rPr>
                <w:rFonts w:ascii="宋体" w:hAnsi="宋体" w:cs="宋体" w:eastAsia="宋体" w:hint="default"/>
                <w:spacing w:val="9"/>
                <w:sz w:val="18"/>
                <w:szCs w:val="18"/>
              </w:rPr>
              <w:t>上海博辕</w:t>
            </w:r>
            <w:r>
              <w:rPr>
                <w:rFonts w:ascii="宋体" w:hAnsi="宋体" w:cs="宋体" w:eastAsia="宋体" w:hint="default"/>
                <w:sz w:val="18"/>
                <w:szCs w:val="18"/>
              </w:rPr>
            </w:r>
          </w:p>
          <w:p>
            <w:pPr>
              <w:pStyle w:val="TableParagraph"/>
              <w:spacing w:line="232" w:lineRule="exact" w:before="24"/>
              <w:ind w:left="21" w:right="15"/>
              <w:jc w:val="both"/>
              <w:rPr>
                <w:rFonts w:ascii="宋体" w:hAnsi="宋体" w:cs="宋体" w:eastAsia="宋体" w:hint="default"/>
                <w:sz w:val="18"/>
                <w:szCs w:val="18"/>
              </w:rPr>
            </w:pPr>
            <w:r>
              <w:rPr>
                <w:rFonts w:ascii="宋体" w:hAnsi="宋体" w:cs="宋体" w:eastAsia="宋体" w:hint="default"/>
                <w:spacing w:val="9"/>
                <w:sz w:val="18"/>
                <w:szCs w:val="18"/>
              </w:rPr>
              <w:t>信息技术 服务有限 </w:t>
            </w:r>
            <w:r>
              <w:rPr>
                <w:rFonts w:ascii="宋体" w:hAnsi="宋体" w:cs="宋体" w:eastAsia="宋体" w:hint="default"/>
                <w:sz w:val="18"/>
                <w:szCs w:val="18"/>
              </w:rPr>
              <w:t>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计算机科技、智能交通领域内的技术开发、销售计算机软硬</w:t>
            </w:r>
          </w:p>
          <w:p>
            <w:pPr>
              <w:pStyle w:val="TableParagraph"/>
              <w:spacing w:line="232" w:lineRule="exact" w:before="24"/>
              <w:ind w:left="21" w:right="8"/>
              <w:jc w:val="left"/>
              <w:rPr>
                <w:rFonts w:ascii="宋体" w:hAnsi="宋体" w:cs="宋体" w:eastAsia="宋体" w:hint="default"/>
                <w:sz w:val="18"/>
                <w:szCs w:val="18"/>
              </w:rPr>
            </w:pPr>
            <w:r>
              <w:rPr>
                <w:rFonts w:ascii="宋体" w:hAnsi="宋体" w:cs="宋体" w:eastAsia="宋体" w:hint="default"/>
                <w:sz w:val="18"/>
                <w:szCs w:val="18"/>
              </w:rPr>
              <w:t>件、仪器仪表、电气设备、通讯设备；市政公用建设工程、 建筑智能化建设工程、消防设施工程专业施工。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654,916,338.40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309,401,430.66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519,876,361.16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80,298,062.00</w:t>
            </w:r>
          </w:p>
        </w:tc>
      </w:tr>
      <w:tr>
        <w:trPr>
          <w:trHeight w:val="709"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广东泰豪</w:t>
            </w:r>
            <w:r>
              <w:rPr>
                <w:rFonts w:ascii="宋体" w:hAnsi="宋体" w:cs="宋体" w:eastAsia="宋体" w:hint="default"/>
                <w:sz w:val="18"/>
                <w:szCs w:val="18"/>
              </w:rPr>
            </w:r>
          </w:p>
          <w:p>
            <w:pPr>
              <w:pStyle w:val="TableParagraph"/>
              <w:spacing w:line="234" w:lineRule="exact" w:before="21"/>
              <w:ind w:left="21" w:right="15"/>
              <w:jc w:val="left"/>
              <w:rPr>
                <w:rFonts w:ascii="宋体" w:hAnsi="宋体" w:cs="宋体" w:eastAsia="宋体" w:hint="default"/>
                <w:sz w:val="18"/>
                <w:szCs w:val="18"/>
              </w:rPr>
            </w:pPr>
            <w:r>
              <w:rPr>
                <w:rFonts w:ascii="宋体" w:hAnsi="宋体" w:cs="宋体" w:eastAsia="宋体" w:hint="default"/>
                <w:spacing w:val="9"/>
                <w:sz w:val="18"/>
                <w:szCs w:val="18"/>
              </w:rPr>
              <w:t>能源科技 </w:t>
            </w:r>
            <w:r>
              <w:rPr>
                <w:rFonts w:ascii="宋体" w:hAnsi="宋体" w:cs="宋体" w:eastAsia="宋体" w:hint="default"/>
                <w:sz w:val="18"/>
                <w:szCs w:val="18"/>
              </w:rPr>
              <w:t>有限公司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 w:right="0"/>
              <w:jc w:val="left"/>
              <w:rPr>
                <w:rFonts w:ascii="宋体" w:hAnsi="宋体" w:cs="宋体" w:eastAsia="宋体" w:hint="default"/>
                <w:sz w:val="18"/>
                <w:szCs w:val="18"/>
              </w:rPr>
            </w:pPr>
            <w:r>
              <w:rPr>
                <w:rFonts w:ascii="宋体" w:hAnsi="宋体" w:cs="宋体" w:eastAsia="宋体" w:hint="default"/>
                <w:spacing w:val="2"/>
                <w:sz w:val="18"/>
                <w:szCs w:val="18"/>
              </w:rPr>
              <w:t>售电业务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能源技术研究、技术开发服务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网络技术的研究、</w:t>
            </w:r>
            <w:r>
              <w:rPr>
                <w:rFonts w:ascii="宋体" w:hAnsi="宋体" w:cs="宋体" w:eastAsia="宋体" w:hint="default"/>
                <w:sz w:val="18"/>
                <w:szCs w:val="18"/>
              </w:rPr>
            </w:r>
          </w:p>
          <w:p>
            <w:pPr>
              <w:pStyle w:val="TableParagraph"/>
              <w:spacing w:line="234" w:lineRule="exact" w:before="15"/>
              <w:ind w:left="21" w:right="26"/>
              <w:jc w:val="left"/>
              <w:rPr>
                <w:rFonts w:ascii="宋体" w:hAnsi="宋体" w:cs="宋体" w:eastAsia="宋体" w:hint="default"/>
                <w:sz w:val="18"/>
                <w:szCs w:val="18"/>
              </w:rPr>
            </w:pPr>
            <w:r>
              <w:rPr>
                <w:rFonts w:ascii="宋体" w:hAnsi="宋体" w:cs="宋体" w:eastAsia="宋体" w:hint="default"/>
                <w:sz w:val="18"/>
                <w:szCs w:val="18"/>
              </w:rPr>
              <w:t>开发</w:t>
            </w:r>
            <w:r>
              <w:rPr>
                <w:rFonts w:ascii="Times New Roman" w:hAnsi="Times New Roman" w:cs="Times New Roman" w:eastAsia="Times New Roman" w:hint="default"/>
                <w:sz w:val="18"/>
                <w:szCs w:val="18"/>
              </w:rPr>
              <w:t>;</w:t>
            </w:r>
            <w:r>
              <w:rPr>
                <w:rFonts w:ascii="宋体" w:hAnsi="宋体" w:cs="宋体" w:eastAsia="宋体" w:hint="default"/>
                <w:sz w:val="18"/>
                <w:szCs w:val="18"/>
              </w:rPr>
              <w:t>电力工程设计服务</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计算机技术开发、技术服务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w:t>
            </w:r>
            <w:r>
              <w:rPr>
                <w:rFonts w:ascii="宋体" w:hAnsi="宋体" w:cs="宋体" w:eastAsia="宋体" w:hint="default"/>
                <w:spacing w:val="-82"/>
                <w:sz w:val="18"/>
                <w:szCs w:val="18"/>
              </w:rPr>
              <w:t> </w:t>
            </w:r>
            <w:r>
              <w:rPr>
                <w:rFonts w:ascii="宋体" w:hAnsi="宋体" w:cs="宋体" w:eastAsia="宋体" w:hint="default"/>
                <w:sz w:val="18"/>
                <w:szCs w:val="18"/>
              </w:rPr>
              <w:t>统集成服务</w:t>
            </w:r>
            <w:r>
              <w:rPr>
                <w:rFonts w:ascii="Times New Roman" w:hAnsi="Times New Roman" w:cs="Times New Roman" w:eastAsia="Times New Roman" w:hint="default"/>
                <w:sz w:val="18"/>
                <w:szCs w:val="18"/>
              </w:rPr>
              <w:t>;</w:t>
            </w:r>
            <w:r>
              <w:rPr>
                <w:rFonts w:ascii="宋体" w:hAnsi="宋体" w:cs="宋体" w:eastAsia="宋体" w:hint="default"/>
                <w:sz w:val="18"/>
                <w:szCs w:val="18"/>
              </w:rPr>
              <w:t>能源技术咨询服务</w:t>
            </w:r>
            <w:r>
              <w:rPr>
                <w:rFonts w:ascii="Times New Roman" w:hAnsi="Times New Roman" w:cs="Times New Roman" w:eastAsia="Times New Roman" w:hint="default"/>
                <w:sz w:val="18"/>
                <w:szCs w:val="18"/>
              </w:rPr>
              <w:t>;</w:t>
            </w:r>
            <w:r>
              <w:rPr>
                <w:rFonts w:ascii="宋体" w:hAnsi="宋体" w:cs="宋体" w:eastAsia="宋体" w:hint="default"/>
                <w:sz w:val="18"/>
                <w:szCs w:val="18"/>
              </w:rPr>
              <w:t>工程技术咨询服务等</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98,347,832.27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98,130,099.57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51,162.86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-1,861,667.67</w:t>
            </w:r>
          </w:p>
        </w:tc>
      </w:tr>
      <w:tr>
        <w:trPr>
          <w:trHeight w:val="946"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both"/>
              <w:rPr>
                <w:rFonts w:ascii="宋体" w:hAnsi="宋体" w:cs="宋体" w:eastAsia="宋体" w:hint="default"/>
                <w:sz w:val="18"/>
                <w:szCs w:val="18"/>
              </w:rPr>
            </w:pPr>
            <w:r>
              <w:rPr>
                <w:rFonts w:ascii="宋体" w:hAnsi="宋体" w:cs="宋体" w:eastAsia="宋体" w:hint="default"/>
                <w:spacing w:val="9"/>
                <w:sz w:val="18"/>
                <w:szCs w:val="18"/>
              </w:rPr>
              <w:t>上海泰豪</w:t>
            </w:r>
            <w:r>
              <w:rPr>
                <w:rFonts w:ascii="宋体" w:hAnsi="宋体" w:cs="宋体" w:eastAsia="宋体" w:hint="default"/>
                <w:sz w:val="18"/>
                <w:szCs w:val="18"/>
              </w:rPr>
            </w:r>
          </w:p>
          <w:p>
            <w:pPr>
              <w:pStyle w:val="TableParagraph"/>
              <w:spacing w:line="232" w:lineRule="exact" w:before="23"/>
              <w:ind w:left="21" w:right="15"/>
              <w:jc w:val="both"/>
              <w:rPr>
                <w:rFonts w:ascii="宋体" w:hAnsi="宋体" w:cs="宋体" w:eastAsia="宋体" w:hint="default"/>
                <w:sz w:val="18"/>
                <w:szCs w:val="18"/>
              </w:rPr>
            </w:pPr>
            <w:r>
              <w:rPr>
                <w:rFonts w:ascii="宋体" w:hAnsi="宋体" w:cs="宋体" w:eastAsia="宋体" w:hint="default"/>
                <w:spacing w:val="9"/>
                <w:sz w:val="18"/>
                <w:szCs w:val="18"/>
              </w:rPr>
              <w:t>迈能能源 科技有限 </w:t>
            </w:r>
            <w:r>
              <w:rPr>
                <w:rFonts w:ascii="宋体" w:hAnsi="宋体" w:cs="宋体" w:eastAsia="宋体" w:hint="default"/>
                <w:sz w:val="18"/>
                <w:szCs w:val="18"/>
              </w:rPr>
              <w:t>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pacing w:val="-5"/>
                <w:sz w:val="18"/>
                <w:szCs w:val="18"/>
              </w:rPr>
              <w:t>能源互联网科技、新能源科技、节能减排领域内的技术开发</w:t>
            </w:r>
          </w:p>
          <w:p>
            <w:pPr>
              <w:pStyle w:val="TableParagraph"/>
              <w:spacing w:line="232" w:lineRule="exact" w:before="23"/>
              <w:ind w:left="21" w:right="25"/>
              <w:jc w:val="left"/>
              <w:rPr>
                <w:rFonts w:ascii="宋体" w:hAnsi="宋体" w:cs="宋体" w:eastAsia="宋体" w:hint="default"/>
                <w:sz w:val="18"/>
                <w:szCs w:val="18"/>
              </w:rPr>
            </w:pPr>
            <w:r>
              <w:rPr>
                <w:rFonts w:ascii="宋体" w:hAnsi="宋体" w:cs="宋体" w:eastAsia="宋体" w:hint="default"/>
                <w:spacing w:val="-1"/>
                <w:sz w:val="18"/>
                <w:szCs w:val="18"/>
              </w:rPr>
              <w:t>技术咨询、技术转让、技术服务，能效管理系统、合同能源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管理，工程项目管理，新能源汽车充换电设施建设运营等</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52"/>
              <w:ind w:left="38"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13,729,608.30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-1,116,774.41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381,107.36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-6,209,737.32</w:t>
            </w:r>
          </w:p>
        </w:tc>
      </w:tr>
      <w:tr>
        <w:trPr>
          <w:trHeight w:val="94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both"/>
              <w:rPr>
                <w:rFonts w:ascii="宋体" w:hAnsi="宋体" w:cs="宋体" w:eastAsia="宋体" w:hint="default"/>
                <w:sz w:val="18"/>
                <w:szCs w:val="18"/>
              </w:rPr>
            </w:pPr>
            <w:r>
              <w:rPr>
                <w:rFonts w:ascii="宋体" w:hAnsi="宋体" w:cs="宋体" w:eastAsia="宋体" w:hint="default"/>
                <w:spacing w:val="9"/>
                <w:sz w:val="18"/>
                <w:szCs w:val="18"/>
              </w:rPr>
              <w:t>江西泰豪</w:t>
            </w:r>
            <w:r>
              <w:rPr>
                <w:rFonts w:ascii="宋体" w:hAnsi="宋体" w:cs="宋体" w:eastAsia="宋体" w:hint="default"/>
                <w:sz w:val="18"/>
                <w:szCs w:val="18"/>
              </w:rPr>
            </w:r>
          </w:p>
          <w:p>
            <w:pPr>
              <w:pStyle w:val="TableParagraph"/>
              <w:spacing w:line="237" w:lineRule="auto"/>
              <w:ind w:left="21" w:right="15"/>
              <w:jc w:val="both"/>
              <w:rPr>
                <w:rFonts w:ascii="宋体" w:hAnsi="宋体" w:cs="宋体" w:eastAsia="宋体" w:hint="default"/>
                <w:sz w:val="18"/>
                <w:szCs w:val="18"/>
              </w:rPr>
            </w:pPr>
            <w:r>
              <w:rPr>
                <w:rFonts w:ascii="宋体" w:hAnsi="宋体" w:cs="宋体" w:eastAsia="宋体" w:hint="default"/>
                <w:spacing w:val="9"/>
                <w:sz w:val="18"/>
                <w:szCs w:val="18"/>
              </w:rPr>
              <w:t>能源互联 网有限公 </w:t>
            </w:r>
            <w:r>
              <w:rPr>
                <w:rFonts w:ascii="宋体" w:hAnsi="宋体" w:cs="宋体" w:eastAsia="宋体" w:hint="default"/>
                <w:sz w:val="18"/>
                <w:szCs w:val="18"/>
              </w:rPr>
              <w:t>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both"/>
              <w:rPr>
                <w:rFonts w:ascii="宋体" w:hAnsi="宋体" w:cs="宋体" w:eastAsia="宋体" w:hint="default"/>
                <w:sz w:val="18"/>
                <w:szCs w:val="18"/>
              </w:rPr>
            </w:pPr>
            <w:r>
              <w:rPr>
                <w:rFonts w:ascii="宋体" w:hAnsi="宋体" w:cs="宋体" w:eastAsia="宋体" w:hint="default"/>
                <w:sz w:val="18"/>
                <w:szCs w:val="18"/>
              </w:rPr>
              <w:t>能源技术研究、技术开发服务；网络技术的研究、开发；电</w:t>
            </w:r>
          </w:p>
          <w:p>
            <w:pPr>
              <w:pStyle w:val="TableParagraph"/>
              <w:spacing w:line="237" w:lineRule="auto"/>
              <w:ind w:left="21" w:right="22"/>
              <w:jc w:val="both"/>
              <w:rPr>
                <w:rFonts w:ascii="宋体" w:hAnsi="宋体" w:cs="宋体" w:eastAsia="宋体" w:hint="default"/>
                <w:sz w:val="18"/>
                <w:szCs w:val="18"/>
              </w:rPr>
            </w:pPr>
            <w:r>
              <w:rPr>
                <w:rFonts w:ascii="宋体" w:hAnsi="宋体" w:cs="宋体" w:eastAsia="宋体" w:hint="default"/>
                <w:spacing w:val="-1"/>
                <w:sz w:val="18"/>
                <w:szCs w:val="18"/>
              </w:rPr>
              <w:t>力抄表装置、负荷控制装置的设计、安装、维修；可再生能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源领域技术咨询、技术服务；工程总承包服务；工程技术咨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询服务；节能技术推广服务；环保技术推广服务等</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46" w:right="0"/>
              <w:jc w:val="left"/>
              <w:rPr>
                <w:rFonts w:ascii="Times New Roman" w:hAnsi="Times New Roman" w:cs="Times New Roman" w:eastAsia="Times New Roman" w:hint="default"/>
                <w:sz w:val="18"/>
                <w:szCs w:val="18"/>
              </w:rPr>
            </w:pPr>
            <w:r>
              <w:rPr>
                <w:rFonts w:ascii="Times New Roman"/>
                <w:sz w:val="18"/>
              </w:rPr>
              <w:t>50,000,000.00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49,946,521.16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4"/>
              <w:jc w:val="right"/>
              <w:rPr>
                <w:rFonts w:ascii="Times New Roman" w:hAnsi="Times New Roman" w:cs="Times New Roman" w:eastAsia="Times New Roman" w:hint="default"/>
                <w:sz w:val="18"/>
                <w:szCs w:val="18"/>
              </w:rPr>
            </w:pPr>
            <w:r>
              <w:rPr>
                <w:rFonts w:ascii="Times New Roman"/>
                <w:spacing w:val="-1"/>
                <w:sz w:val="18"/>
              </w:rPr>
              <w:t>49,916,521.16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3"/>
              <w:jc w:val="right"/>
              <w:rPr>
                <w:rFonts w:ascii="Times New Roman" w:hAnsi="Times New Roman" w:cs="Times New Roman" w:eastAsia="Times New Roman" w:hint="default"/>
                <w:sz w:val="18"/>
                <w:szCs w:val="18"/>
              </w:rPr>
            </w:pPr>
            <w:r>
              <w:rPr>
                <w:rFonts w:ascii="Times New Roman"/>
                <w:spacing w:val="-1"/>
                <w:sz w:val="18"/>
              </w:rPr>
              <w:t>-83,478.84</w:t>
            </w:r>
          </w:p>
        </w:tc>
      </w:tr>
      <w:tr>
        <w:trPr>
          <w:trHeight w:val="9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both"/>
              <w:rPr>
                <w:rFonts w:ascii="宋体" w:hAnsi="宋体" w:cs="宋体" w:eastAsia="宋体" w:hint="default"/>
                <w:sz w:val="18"/>
                <w:szCs w:val="18"/>
              </w:rPr>
            </w:pPr>
            <w:r>
              <w:rPr>
                <w:rFonts w:ascii="宋体" w:hAnsi="宋体" w:cs="宋体" w:eastAsia="宋体" w:hint="default"/>
                <w:spacing w:val="9"/>
                <w:sz w:val="18"/>
                <w:szCs w:val="18"/>
              </w:rPr>
              <w:t>上海泰豪</w:t>
            </w:r>
            <w:r>
              <w:rPr>
                <w:rFonts w:ascii="宋体" w:hAnsi="宋体" w:cs="宋体" w:eastAsia="宋体" w:hint="default"/>
                <w:sz w:val="18"/>
                <w:szCs w:val="18"/>
              </w:rPr>
            </w:r>
          </w:p>
          <w:p>
            <w:pPr>
              <w:pStyle w:val="TableParagraph"/>
              <w:spacing w:line="237" w:lineRule="auto"/>
              <w:ind w:left="21" w:right="15"/>
              <w:jc w:val="both"/>
              <w:rPr>
                <w:rFonts w:ascii="宋体" w:hAnsi="宋体" w:cs="宋体" w:eastAsia="宋体" w:hint="default"/>
                <w:sz w:val="18"/>
                <w:szCs w:val="18"/>
              </w:rPr>
            </w:pPr>
            <w:r>
              <w:rPr>
                <w:rFonts w:ascii="宋体" w:hAnsi="宋体" w:cs="宋体" w:eastAsia="宋体" w:hint="default"/>
                <w:spacing w:val="9"/>
                <w:sz w:val="18"/>
                <w:szCs w:val="18"/>
              </w:rPr>
              <w:t>智能节能 技术有限 </w:t>
            </w:r>
            <w:r>
              <w:rPr>
                <w:rFonts w:ascii="宋体" w:hAnsi="宋体" w:cs="宋体" w:eastAsia="宋体" w:hint="default"/>
                <w:sz w:val="18"/>
                <w:szCs w:val="18"/>
              </w:rPr>
              <w:t>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合同能源管理、建筑建筑和节能领域的技术开发等、承接节</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能工程、建筑智能化工程等</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194,095,128.26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83,317,535.67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34,761,433.92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-13,040,918.08</w:t>
            </w:r>
          </w:p>
        </w:tc>
      </w:tr>
      <w:tr>
        <w:trPr>
          <w:trHeight w:val="710"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泰豪国际</w:t>
            </w:r>
            <w:r>
              <w:rPr>
                <w:rFonts w:ascii="宋体" w:hAnsi="宋体" w:cs="宋体" w:eastAsia="宋体" w:hint="default"/>
                <w:sz w:val="18"/>
                <w:szCs w:val="18"/>
              </w:rPr>
            </w:r>
          </w:p>
          <w:p>
            <w:pPr>
              <w:pStyle w:val="TableParagraph"/>
              <w:spacing w:line="232" w:lineRule="exact" w:before="24"/>
              <w:ind w:left="21" w:right="15"/>
              <w:jc w:val="left"/>
              <w:rPr>
                <w:rFonts w:ascii="宋体" w:hAnsi="宋体" w:cs="宋体" w:eastAsia="宋体" w:hint="default"/>
                <w:sz w:val="18"/>
                <w:szCs w:val="18"/>
              </w:rPr>
            </w:pPr>
            <w:r>
              <w:rPr>
                <w:rFonts w:ascii="宋体" w:hAnsi="宋体" w:cs="宋体" w:eastAsia="宋体" w:hint="default"/>
                <w:spacing w:val="9"/>
                <w:sz w:val="18"/>
                <w:szCs w:val="18"/>
              </w:rPr>
              <w:t>投资有限 </w:t>
            </w:r>
            <w:r>
              <w:rPr>
                <w:rFonts w:ascii="宋体" w:hAnsi="宋体" w:cs="宋体" w:eastAsia="宋体" w:hint="default"/>
                <w:sz w:val="18"/>
                <w:szCs w:val="18"/>
              </w:rPr>
              <w:t>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投、融资及相关服务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50,000,000.00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694,419,155.40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122,751,589.56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883,255,907.30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21,815,410.64</w:t>
            </w:r>
          </w:p>
        </w:tc>
      </w:tr>
      <w:tr>
        <w:trPr>
          <w:trHeight w:val="94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both"/>
              <w:rPr>
                <w:rFonts w:ascii="宋体" w:hAnsi="宋体" w:cs="宋体" w:eastAsia="宋体" w:hint="default"/>
                <w:sz w:val="18"/>
                <w:szCs w:val="18"/>
              </w:rPr>
            </w:pPr>
            <w:r>
              <w:rPr>
                <w:rFonts w:ascii="宋体" w:hAnsi="宋体" w:cs="宋体" w:eastAsia="宋体" w:hint="default"/>
                <w:spacing w:val="9"/>
                <w:sz w:val="18"/>
                <w:szCs w:val="18"/>
              </w:rPr>
              <w:t>贵州泰豪</w:t>
            </w:r>
            <w:r>
              <w:rPr>
                <w:rFonts w:ascii="宋体" w:hAnsi="宋体" w:cs="宋体" w:eastAsia="宋体" w:hint="default"/>
                <w:sz w:val="18"/>
                <w:szCs w:val="18"/>
              </w:rPr>
            </w:r>
          </w:p>
          <w:p>
            <w:pPr>
              <w:pStyle w:val="TableParagraph"/>
              <w:spacing w:line="232" w:lineRule="exact" w:before="24"/>
              <w:ind w:left="21" w:right="15"/>
              <w:jc w:val="both"/>
              <w:rPr>
                <w:rFonts w:ascii="宋体" w:hAnsi="宋体" w:cs="宋体" w:eastAsia="宋体" w:hint="default"/>
                <w:sz w:val="18"/>
                <w:szCs w:val="18"/>
              </w:rPr>
            </w:pPr>
            <w:r>
              <w:rPr>
                <w:rFonts w:ascii="宋体" w:hAnsi="宋体" w:cs="宋体" w:eastAsia="宋体" w:hint="default"/>
                <w:spacing w:val="9"/>
                <w:sz w:val="18"/>
                <w:szCs w:val="18"/>
              </w:rPr>
              <w:t>宝碳智慧 能源有限 </w:t>
            </w:r>
            <w:r>
              <w:rPr>
                <w:rFonts w:ascii="宋体" w:hAnsi="宋体" w:cs="宋体" w:eastAsia="宋体" w:hint="default"/>
                <w:sz w:val="18"/>
                <w:szCs w:val="18"/>
              </w:rPr>
              <w:t>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能源互联网相关技术咨询、服务等</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z w:val="18"/>
              </w:rPr>
              <w:t>70.00%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sz w:val="18"/>
              </w:rPr>
              <w:t>70.00%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pacing w:val="-1"/>
                <w:sz w:val="18"/>
              </w:rPr>
              <w:t>431,693.85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-38,816.54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-538,816.54</w:t>
            </w:r>
          </w:p>
        </w:tc>
      </w:tr>
      <w:tr>
        <w:trPr>
          <w:trHeight w:val="946"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泰豪国际</w:t>
            </w:r>
            <w:r>
              <w:rPr>
                <w:rFonts w:ascii="宋体" w:hAnsi="宋体" w:cs="宋体" w:eastAsia="宋体" w:hint="default"/>
                <w:sz w:val="18"/>
                <w:szCs w:val="18"/>
              </w:rPr>
            </w:r>
          </w:p>
          <w:p>
            <w:pPr>
              <w:pStyle w:val="TableParagraph"/>
              <w:spacing w:line="234" w:lineRule="exact" w:before="21"/>
              <w:ind w:left="21" w:right="15"/>
              <w:jc w:val="left"/>
              <w:rPr>
                <w:rFonts w:ascii="宋体" w:hAnsi="宋体" w:cs="宋体" w:eastAsia="宋体" w:hint="default"/>
                <w:sz w:val="18"/>
                <w:szCs w:val="18"/>
              </w:rPr>
            </w:pPr>
            <w:r>
              <w:rPr>
                <w:rFonts w:ascii="宋体" w:hAnsi="宋体" w:cs="宋体" w:eastAsia="宋体" w:hint="default"/>
                <w:spacing w:val="9"/>
                <w:sz w:val="18"/>
                <w:szCs w:val="18"/>
              </w:rPr>
              <w:t>工程有限 </w:t>
            </w:r>
            <w:r>
              <w:rPr>
                <w:rFonts w:ascii="宋体" w:hAnsi="宋体" w:cs="宋体" w:eastAsia="宋体" w:hint="default"/>
                <w:sz w:val="18"/>
                <w:szCs w:val="18"/>
              </w:rPr>
              <w:t>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工程项目管理；专业承包、施工总承包；销售电子产品、通</w:t>
            </w:r>
          </w:p>
          <w:p>
            <w:pPr>
              <w:pStyle w:val="TableParagraph"/>
              <w:spacing w:line="237" w:lineRule="auto"/>
              <w:ind w:left="21" w:right="22"/>
              <w:jc w:val="left"/>
              <w:rPr>
                <w:rFonts w:ascii="宋体" w:hAnsi="宋体" w:cs="宋体" w:eastAsia="宋体" w:hint="default"/>
                <w:sz w:val="18"/>
                <w:szCs w:val="18"/>
              </w:rPr>
            </w:pPr>
            <w:r>
              <w:rPr>
                <w:rFonts w:ascii="宋体" w:hAnsi="宋体" w:cs="宋体" w:eastAsia="宋体" w:hint="default"/>
                <w:spacing w:val="-1"/>
                <w:sz w:val="18"/>
                <w:szCs w:val="18"/>
              </w:rPr>
              <w:t>讯设备、电子设备；设备安装、维修；技术推广服务；货物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进出口、技术进出口、货物进出口、代理进出口；工程咨询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工程勘察；工程设计。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31"/>
                <w:szCs w:val="31"/>
              </w:rPr>
            </w:pPr>
          </w:p>
          <w:p>
            <w:pPr>
              <w:pStyle w:val="TableParagraph"/>
              <w:spacing w:line="240" w:lineRule="auto"/>
              <w:ind w:left="-126" w:right="18"/>
              <w:jc w:val="right"/>
              <w:rPr>
                <w:rFonts w:ascii="Times New Roman" w:hAnsi="Times New Roman" w:cs="Times New Roman" w:eastAsia="Times New Roman" w:hint="default"/>
                <w:sz w:val="18"/>
                <w:szCs w:val="18"/>
              </w:rPr>
            </w:pPr>
            <w:r>
              <w:rPr>
                <w:rFonts w:ascii="宋体" w:hAnsi="宋体" w:cs="宋体" w:eastAsia="宋体" w:hint="default"/>
                <w:position w:val="-11"/>
                <w:sz w:val="18"/>
                <w:szCs w:val="18"/>
              </w:rPr>
              <w:t>；</w:t>
            </w:r>
            <w:r>
              <w:rPr>
                <w:rFonts w:ascii="宋体" w:hAnsi="宋体" w:cs="宋体" w:eastAsia="宋体" w:hint="default"/>
                <w:spacing w:val="-13"/>
                <w:position w:val="-11"/>
                <w:sz w:val="18"/>
                <w:szCs w:val="18"/>
              </w:rPr>
              <w:t> </w:t>
            </w:r>
            <w:r>
              <w:rPr>
                <w:rFonts w:ascii="Times New Roman" w:hAnsi="Times New Roman" w:cs="Times New Roman" w:eastAsia="Times New Roman" w:hint="default"/>
                <w:sz w:val="18"/>
                <w:szCs w:val="18"/>
              </w:rPr>
              <w:t>60.00%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sz w:val="18"/>
              </w:rPr>
              <w:t>60.00%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42,403,726.53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42,295,171.35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-7,704,828.65</w:t>
            </w:r>
          </w:p>
        </w:tc>
      </w:tr>
      <w:tr>
        <w:trPr>
          <w:trHeight w:val="710"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龙岩市海</w:t>
            </w:r>
            <w:r>
              <w:rPr>
                <w:rFonts w:ascii="宋体" w:hAnsi="宋体" w:cs="宋体" w:eastAsia="宋体" w:hint="default"/>
                <w:sz w:val="18"/>
                <w:szCs w:val="18"/>
              </w:rPr>
            </w:r>
          </w:p>
          <w:p>
            <w:pPr>
              <w:pStyle w:val="TableParagraph"/>
              <w:spacing w:line="232" w:lineRule="exact" w:before="23"/>
              <w:ind w:left="21" w:right="15"/>
              <w:jc w:val="left"/>
              <w:rPr>
                <w:rFonts w:ascii="宋体" w:hAnsi="宋体" w:cs="宋体" w:eastAsia="宋体" w:hint="default"/>
                <w:sz w:val="18"/>
                <w:szCs w:val="18"/>
              </w:rPr>
            </w:pPr>
            <w:r>
              <w:rPr>
                <w:rFonts w:ascii="宋体" w:hAnsi="宋体" w:cs="宋体" w:eastAsia="宋体" w:hint="default"/>
                <w:spacing w:val="9"/>
                <w:sz w:val="18"/>
                <w:szCs w:val="18"/>
              </w:rPr>
              <w:t>德馨汽车 </w:t>
            </w:r>
            <w:r>
              <w:rPr>
                <w:rFonts w:ascii="宋体" w:hAnsi="宋体" w:cs="宋体" w:eastAsia="宋体" w:hint="default"/>
                <w:sz w:val="18"/>
                <w:szCs w:val="18"/>
              </w:rPr>
              <w:t>有限公司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专用作业车（应急电源车、抢险救援照明车、应急通信车</w:t>
            </w:r>
            <w:r>
              <w:rPr>
                <w:rFonts w:ascii="Times New Roman" w:hAnsi="Times New Roman" w:cs="Times New Roman" w:eastAsia="Times New Roman" w:hint="default"/>
                <w:spacing w:val="3"/>
                <w:sz w:val="18"/>
                <w:szCs w:val="18"/>
              </w:rPr>
              <w:t>)</w:t>
            </w:r>
          </w:p>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59.23%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59.23%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435,663,886.29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88,750,910.85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307,155,034.28</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26,395,250.35</w:t>
            </w:r>
          </w:p>
        </w:tc>
      </w:tr>
      <w:tr>
        <w:trPr>
          <w:trHeight w:val="338"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江西泰豪</w:t>
            </w:r>
            <w:r>
              <w:rPr>
                <w:rFonts w:ascii="宋体" w:hAnsi="宋体" w:cs="宋体" w:eastAsia="宋体" w:hint="default"/>
                <w:sz w:val="18"/>
                <w:szCs w:val="18"/>
              </w:rPr>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5"/>
                <w:sz w:val="18"/>
                <w:szCs w:val="18"/>
              </w:rPr>
              <w:t>发电机及发电机组研制、生产及销售；声光机电一体化产品</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6" w:right="21"/>
              <w:jc w:val="right"/>
              <w:rPr>
                <w:rFonts w:ascii="Times New Roman" w:hAnsi="Times New Roman" w:cs="Times New Roman" w:eastAsia="Times New Roman" w:hint="default"/>
                <w:sz w:val="18"/>
                <w:szCs w:val="18"/>
              </w:rPr>
            </w:pPr>
            <w:r>
              <w:rPr>
                <w:rFonts w:ascii="宋体" w:hAnsi="宋体" w:cs="宋体" w:eastAsia="宋体" w:hint="default"/>
                <w:spacing w:val="-3"/>
                <w:position w:val="4"/>
                <w:sz w:val="18"/>
                <w:szCs w:val="18"/>
              </w:rPr>
              <w:t>、</w:t>
            </w:r>
            <w:r>
              <w:rPr>
                <w:rFonts w:ascii="Times New Roman" w:hAnsi="Times New Roman" w:cs="Times New Roman" w:eastAsia="Times New Roman" w:hint="default"/>
                <w:spacing w:val="-3"/>
                <w:sz w:val="18"/>
                <w:szCs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210,000,000.00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1,203,984,740.68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336,256,564.19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618,784,695.55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4"/>
              <w:jc w:val="right"/>
              <w:rPr>
                <w:rFonts w:ascii="Times New Roman" w:hAnsi="Times New Roman" w:cs="Times New Roman" w:eastAsia="Times New Roman" w:hint="default"/>
                <w:sz w:val="18"/>
                <w:szCs w:val="18"/>
              </w:rPr>
            </w:pPr>
            <w:r>
              <w:rPr>
                <w:rFonts w:ascii="Times New Roman"/>
                <w:spacing w:val="-1"/>
                <w:sz w:val="18"/>
              </w:rPr>
              <w:t>18,961,046.18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95" w:top="1120" w:bottom="1380" w:left="126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807"/>
        <w:gridCol w:w="4721"/>
        <w:gridCol w:w="718"/>
        <w:gridCol w:w="764"/>
        <w:gridCol w:w="1394"/>
        <w:gridCol w:w="1450"/>
        <w:gridCol w:w="1318"/>
        <w:gridCol w:w="1450"/>
        <w:gridCol w:w="1443"/>
      </w:tblGrid>
      <w:tr>
        <w:trPr>
          <w:trHeight w:val="706" w:hRule="exact"/>
        </w:trPr>
        <w:tc>
          <w:tcPr>
            <w:tcW w:w="807"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军工集团</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4721"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通信设备、卫星导航设备的研制、生产及销售；新能源、新</w:t>
            </w:r>
          </w:p>
          <w:p>
            <w:pPr>
              <w:pStyle w:val="TableParagraph"/>
              <w:spacing w:line="232" w:lineRule="exact" w:before="23"/>
              <w:ind w:left="21" w:right="114"/>
              <w:jc w:val="left"/>
              <w:rPr>
                <w:rFonts w:ascii="宋体" w:hAnsi="宋体" w:cs="宋体" w:eastAsia="宋体" w:hint="default"/>
                <w:sz w:val="18"/>
                <w:szCs w:val="18"/>
              </w:rPr>
            </w:pPr>
            <w:r>
              <w:rPr>
                <w:rFonts w:ascii="宋体" w:hAnsi="宋体" w:cs="宋体" w:eastAsia="宋体" w:hint="default"/>
                <w:spacing w:val="-5"/>
                <w:sz w:val="18"/>
                <w:szCs w:val="18"/>
              </w:rPr>
              <w:t>材料、新技术产品研制、生产及销售；其他机电设备的研制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生产及销售。</w:t>
            </w:r>
          </w:p>
        </w:tc>
        <w:tc>
          <w:tcPr>
            <w:tcW w:w="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76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1318" w:type="dxa"/>
            <w:tcBorders>
              <w:top w:val="nil" w:sz="6" w:space="0" w:color="auto"/>
              <w:left w:val="single" w:sz="4" w:space="0" w:color="000000"/>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1443"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上海红生</w:t>
            </w:r>
            <w:r>
              <w:rPr>
                <w:rFonts w:ascii="宋体" w:hAnsi="宋体" w:cs="宋体" w:eastAsia="宋体" w:hint="default"/>
                <w:sz w:val="18"/>
                <w:szCs w:val="18"/>
              </w:rPr>
            </w:r>
          </w:p>
          <w:p>
            <w:pPr>
              <w:pStyle w:val="TableParagraph"/>
              <w:spacing w:line="232" w:lineRule="exact" w:before="23"/>
              <w:ind w:left="21" w:right="15"/>
              <w:jc w:val="left"/>
              <w:rPr>
                <w:rFonts w:ascii="宋体" w:hAnsi="宋体" w:cs="宋体" w:eastAsia="宋体" w:hint="default"/>
                <w:sz w:val="18"/>
                <w:szCs w:val="18"/>
              </w:rPr>
            </w:pPr>
            <w:r>
              <w:rPr>
                <w:rFonts w:ascii="宋体" w:hAnsi="宋体" w:cs="宋体" w:eastAsia="宋体" w:hint="default"/>
                <w:spacing w:val="9"/>
                <w:sz w:val="18"/>
                <w:szCs w:val="18"/>
              </w:rPr>
              <w:t>系统工程 </w:t>
            </w:r>
            <w:r>
              <w:rPr>
                <w:rFonts w:ascii="宋体" w:hAnsi="宋体" w:cs="宋体" w:eastAsia="宋体" w:hint="default"/>
                <w:sz w:val="18"/>
                <w:szCs w:val="18"/>
              </w:rPr>
              <w:t>有限公司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（通讯设备、计算机软硬件、网络技术）专业领域内的技术</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5,000,000.00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114,636,222.77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86,106,646.55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81,178,383.74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41,557,138.61</w:t>
            </w:r>
          </w:p>
        </w:tc>
      </w:tr>
      <w:tr>
        <w:trPr>
          <w:trHeight w:val="71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泰豪晟大</w:t>
            </w:r>
            <w:r>
              <w:rPr>
                <w:rFonts w:ascii="宋体" w:hAnsi="宋体" w:cs="宋体" w:eastAsia="宋体" w:hint="default"/>
                <w:sz w:val="18"/>
                <w:szCs w:val="18"/>
              </w:rPr>
            </w:r>
          </w:p>
          <w:p>
            <w:pPr>
              <w:pStyle w:val="TableParagraph"/>
              <w:spacing w:line="234" w:lineRule="exact" w:before="21"/>
              <w:ind w:left="21" w:right="15"/>
              <w:jc w:val="left"/>
              <w:rPr>
                <w:rFonts w:ascii="宋体" w:hAnsi="宋体" w:cs="宋体" w:eastAsia="宋体" w:hint="default"/>
                <w:sz w:val="18"/>
                <w:szCs w:val="18"/>
              </w:rPr>
            </w:pPr>
            <w:r>
              <w:rPr>
                <w:rFonts w:ascii="宋体" w:hAnsi="宋体" w:cs="宋体" w:eastAsia="宋体" w:hint="default"/>
                <w:spacing w:val="9"/>
                <w:sz w:val="18"/>
                <w:szCs w:val="18"/>
              </w:rPr>
              <w:t>创业投资 </w:t>
            </w:r>
            <w:r>
              <w:rPr>
                <w:rFonts w:ascii="宋体" w:hAnsi="宋体" w:cs="宋体" w:eastAsia="宋体" w:hint="default"/>
                <w:sz w:val="18"/>
                <w:szCs w:val="18"/>
              </w:rPr>
              <w:t>有限公司</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创业投资业务，代理其他创业投资企业等机构或个人的创业</w:t>
            </w:r>
          </w:p>
          <w:p>
            <w:pPr>
              <w:pStyle w:val="TableParagraph"/>
              <w:spacing w:line="234" w:lineRule="exact" w:before="21"/>
              <w:ind w:left="21" w:right="22"/>
              <w:jc w:val="left"/>
              <w:rPr>
                <w:rFonts w:ascii="宋体" w:hAnsi="宋体" w:cs="宋体" w:eastAsia="宋体" w:hint="default"/>
                <w:sz w:val="18"/>
                <w:szCs w:val="18"/>
              </w:rPr>
            </w:pPr>
            <w:r>
              <w:rPr>
                <w:rFonts w:ascii="宋体" w:hAnsi="宋体" w:cs="宋体" w:eastAsia="宋体" w:hint="default"/>
                <w:spacing w:val="-1"/>
                <w:sz w:val="18"/>
                <w:szCs w:val="18"/>
              </w:rPr>
              <w:t>投资业务，创业投资咨询业务，为创业企业提供创业管理服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务业务，参与设立创业投资企业与创业投资管理顾问机构</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83.33%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83.33%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150,000,000.00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163,898,072.69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152,142,789.70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2,889,463.39</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BodyText"/>
        <w:spacing w:line="281" w:lineRule="exact" w:before="36"/>
        <w:ind w:left="275" w:right="0"/>
        <w:jc w:val="left"/>
      </w:pPr>
      <w:r>
        <w:rPr>
          <w:rFonts w:ascii="Times New Roman" w:hAnsi="Times New Roman" w:cs="Times New Roman" w:eastAsia="Times New Roman" w:hint="default"/>
          <w:spacing w:val="-2"/>
        </w:rPr>
        <w:t>2</w:t>
      </w:r>
      <w:r>
        <w:rPr>
          <w:spacing w:val="-2"/>
        </w:rPr>
        <w:t>、单个控股子公司的净利润或单个参股公司的投资收益对公司净利润的影响达到</w:t>
      </w:r>
      <w:r>
        <w:rPr>
          <w:spacing w:val="28"/>
        </w:rPr>
        <w:t> </w:t>
      </w:r>
      <w:r>
        <w:rPr>
          <w:rFonts w:ascii="Times New Roman" w:hAnsi="Times New Roman" w:cs="Times New Roman" w:eastAsia="Times New Roman" w:hint="default"/>
          <w:spacing w:val="-2"/>
        </w:rPr>
        <w:t>10%</w:t>
      </w:r>
      <w:r>
        <w:rPr>
          <w:spacing w:val="-2"/>
        </w:rPr>
        <w:t>以上明细：</w:t>
      </w:r>
    </w:p>
    <w:p>
      <w:pPr>
        <w:pStyle w:val="BodyText"/>
        <w:tabs>
          <w:tab w:pos="1156" w:val="left" w:leader="none"/>
        </w:tabs>
        <w:spacing w:line="265" w:lineRule="exact"/>
        <w:ind w:left="0" w:right="23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49" w:type="dxa"/>
        <w:tblLayout w:type="fixed"/>
        <w:tblCellMar>
          <w:top w:w="0" w:type="dxa"/>
          <w:left w:w="0" w:type="dxa"/>
          <w:bottom w:w="0" w:type="dxa"/>
          <w:right w:w="0" w:type="dxa"/>
        </w:tblCellMar>
        <w:tblLook w:val="01E0"/>
      </w:tblPr>
      <w:tblGrid>
        <w:gridCol w:w="1416"/>
        <w:gridCol w:w="6851"/>
        <w:gridCol w:w="1183"/>
        <w:gridCol w:w="1090"/>
        <w:gridCol w:w="1092"/>
        <w:gridCol w:w="2196"/>
      </w:tblGrid>
      <w:tr>
        <w:trPr>
          <w:trHeight w:val="59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业务性质及经营范围</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206" w:right="105" w:hanging="106"/>
              <w:jc w:val="left"/>
              <w:rPr>
                <w:rFonts w:ascii="宋体" w:hAnsi="宋体" w:cs="宋体" w:eastAsia="宋体" w:hint="default"/>
                <w:sz w:val="18"/>
                <w:szCs w:val="18"/>
              </w:rPr>
            </w:pPr>
            <w:r>
              <w:rPr>
                <w:rFonts w:ascii="宋体" w:hAnsi="宋体" w:cs="宋体" w:eastAsia="宋体" w:hint="default"/>
                <w:sz w:val="18"/>
                <w:szCs w:val="18"/>
              </w:rPr>
              <w:t>贡献的投资收益占上市公 司净利润的比重（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6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上海博辕信息技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术服务有限公司</w:t>
            </w:r>
          </w:p>
        </w:tc>
        <w:tc>
          <w:tcPr>
            <w:tcW w:w="6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21"/>
              <w:jc w:val="left"/>
              <w:rPr>
                <w:rFonts w:ascii="宋体" w:hAnsi="宋体" w:cs="宋体" w:eastAsia="宋体" w:hint="default"/>
                <w:sz w:val="18"/>
                <w:szCs w:val="18"/>
              </w:rPr>
            </w:pPr>
            <w:r>
              <w:rPr>
                <w:rFonts w:ascii="宋体" w:hAnsi="宋体" w:cs="宋体" w:eastAsia="宋体" w:hint="default"/>
                <w:sz w:val="18"/>
                <w:szCs w:val="18"/>
              </w:rPr>
              <w:t>计算机科技、智能交通领域内的技术开发、销售计算机软硬件、仪器仪表、电气设备、</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通讯设备；市政公用建设工程、建筑智能化建设工程、消防设施工程专业施工。</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519,876,361.16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93,022,283.57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80,298,062.00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31.86</w:t>
            </w:r>
          </w:p>
        </w:tc>
      </w:tr>
      <w:tr>
        <w:trPr>
          <w:trHeight w:val="47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上海红生系统工</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6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（通讯设备、计算机软硬件、网络技术）专业领域内的技术开发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81,178,383.74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55,418,765.53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41,557,138.61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15.22</w:t>
            </w:r>
          </w:p>
        </w:tc>
      </w:tr>
    </w:tbl>
    <w:p>
      <w:pPr>
        <w:spacing w:line="240" w:lineRule="auto" w:before="4"/>
        <w:rPr>
          <w:rFonts w:ascii="宋体" w:hAnsi="宋体" w:cs="宋体" w:eastAsia="宋体" w:hint="default"/>
          <w:sz w:val="22"/>
          <w:szCs w:val="22"/>
        </w:rPr>
      </w:pPr>
    </w:p>
    <w:p>
      <w:pPr>
        <w:pStyle w:val="BodyText"/>
        <w:spacing w:line="240" w:lineRule="auto" w:before="36"/>
        <w:ind w:left="180" w:right="0"/>
        <w:jc w:val="left"/>
      </w:pPr>
      <w:r>
        <w:rPr>
          <w:rFonts w:ascii="Times New Roman" w:hAnsi="Times New Roman" w:cs="Times New Roman" w:eastAsia="Times New Roman" w:hint="default"/>
          <w:spacing w:val="-2"/>
        </w:rPr>
        <w:t>3</w:t>
      </w:r>
      <w:r>
        <w:rPr>
          <w:spacing w:val="-2"/>
        </w:rPr>
        <w:t>、报告期内子公司业绩波动较上年同期超过</w:t>
      </w:r>
      <w:r>
        <w:rPr>
          <w:spacing w:val="25"/>
        </w:rPr>
        <w:t> </w:t>
      </w:r>
      <w:r>
        <w:rPr>
          <w:rFonts w:ascii="Times New Roman" w:hAnsi="Times New Roman" w:cs="Times New Roman" w:eastAsia="Times New Roman" w:hint="default"/>
          <w:spacing w:val="-2"/>
        </w:rPr>
        <w:t>30%</w:t>
      </w:r>
      <w:r>
        <w:rPr>
          <w:spacing w:val="-2"/>
        </w:rPr>
        <w:t>，且对合并经营业绩造成重大影响的明细：</w:t>
      </w:r>
    </w:p>
    <w:p>
      <w:pPr>
        <w:pStyle w:val="BodyText"/>
        <w:tabs>
          <w:tab w:pos="1156" w:val="left" w:leader="none"/>
        </w:tabs>
        <w:spacing w:line="240" w:lineRule="auto" w:before="117"/>
        <w:ind w:left="0" w:right="23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3683"/>
        <w:gridCol w:w="1306"/>
        <w:gridCol w:w="1306"/>
        <w:gridCol w:w="857"/>
        <w:gridCol w:w="1606"/>
        <w:gridCol w:w="1306"/>
        <w:gridCol w:w="1423"/>
        <w:gridCol w:w="2412"/>
      </w:tblGrid>
      <w:tr>
        <w:trPr>
          <w:trHeight w:val="281" w:hRule="exact"/>
        </w:trPr>
        <w:tc>
          <w:tcPr>
            <w:tcW w:w="3683" w:type="dxa"/>
            <w:vMerge w:val="restart"/>
            <w:tcBorders>
              <w:top w:val="single" w:sz="4" w:space="0" w:color="000000"/>
              <w:left w:val="single" w:sz="4" w:space="0" w:color="000000"/>
              <w:right w:val="single" w:sz="4" w:space="0" w:color="000000"/>
            </w:tcBorders>
          </w:tcPr>
          <w:p>
            <w:pPr>
              <w:pStyle w:val="TableParagraph"/>
              <w:spacing w:line="240" w:lineRule="auto" w:before="114"/>
              <w:ind w:right="4"/>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114"/>
              <w:ind w:left="23" w:right="0"/>
              <w:jc w:val="left"/>
              <w:rPr>
                <w:rFonts w:ascii="宋体" w:hAnsi="宋体" w:cs="宋体" w:eastAsia="宋体" w:hint="default"/>
                <w:sz w:val="20"/>
                <w:szCs w:val="20"/>
              </w:rPr>
            </w:pPr>
            <w:r>
              <w:rPr>
                <w:rFonts w:ascii="宋体" w:hAnsi="宋体" w:cs="宋体" w:eastAsia="宋体" w:hint="default"/>
                <w:sz w:val="20"/>
                <w:szCs w:val="20"/>
              </w:rPr>
              <w:t>增减幅度</w:t>
            </w:r>
          </w:p>
        </w:tc>
        <w:tc>
          <w:tcPr>
            <w:tcW w:w="2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宋体" w:hAnsi="宋体" w:cs="宋体" w:eastAsia="宋体" w:hint="default"/>
                <w:sz w:val="20"/>
                <w:szCs w:val="20"/>
              </w:rPr>
            </w:pPr>
            <w:r>
              <w:rPr>
                <w:rFonts w:ascii="宋体" w:hAnsi="宋体" w:cs="宋体" w:eastAsia="宋体" w:hint="default"/>
                <w:sz w:val="20"/>
                <w:szCs w:val="20"/>
              </w:rPr>
              <w:t>净利润</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114"/>
              <w:ind w:left="24" w:right="0"/>
              <w:jc w:val="left"/>
              <w:rPr>
                <w:rFonts w:ascii="宋体" w:hAnsi="宋体" w:cs="宋体" w:eastAsia="宋体" w:hint="default"/>
                <w:sz w:val="20"/>
                <w:szCs w:val="20"/>
              </w:rPr>
            </w:pPr>
            <w:r>
              <w:rPr>
                <w:rFonts w:ascii="宋体" w:hAnsi="宋体" w:cs="宋体" w:eastAsia="宋体" w:hint="default"/>
                <w:sz w:val="20"/>
                <w:szCs w:val="20"/>
              </w:rPr>
              <w:t>增减幅度（</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278" w:hRule="exact"/>
        </w:trPr>
        <w:tc>
          <w:tcPr>
            <w:tcW w:w="3683" w:type="dxa"/>
            <w:vMerge/>
            <w:tcBorders>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857" w:type="dxa"/>
            <w:vMerge/>
            <w:tcBorders>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423" w:type="dxa"/>
            <w:vMerge/>
            <w:tcBorders>
              <w:left w:val="single" w:sz="4" w:space="0" w:color="000000"/>
              <w:bottom w:val="single" w:sz="4" w:space="0" w:color="000000"/>
              <w:right w:val="single" w:sz="4" w:space="0" w:color="000000"/>
            </w:tcBorders>
          </w:tcPr>
          <w:p>
            <w:pPr/>
          </w:p>
        </w:tc>
        <w:tc>
          <w:tcPr>
            <w:tcW w:w="2412" w:type="dxa"/>
            <w:vMerge/>
            <w:tcBorders>
              <w:left w:val="single" w:sz="4" w:space="0" w:color="000000"/>
              <w:bottom w:val="single" w:sz="4" w:space="0" w:color="000000"/>
              <w:right w:val="single" w:sz="4" w:space="0" w:color="000000"/>
            </w:tcBorders>
          </w:tcPr>
          <w:p>
            <w:pPr/>
          </w:p>
        </w:tc>
      </w:tr>
      <w:tr>
        <w:trPr>
          <w:trHeight w:val="281"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636,778,125.24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612,569,402.67</w:t>
            </w:r>
            <w:r>
              <w:rPr>
                <w:rFonts w:ascii="Times New Roman"/>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sz w:val="20"/>
              </w:rPr>
              <w:t>3.95%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23,735,790.26</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59,138,439.13</w:t>
            </w:r>
            <w:r>
              <w:rPr>
                <w:rFonts w:ascii="Times New Roman"/>
                <w:sz w:val="20"/>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w w:val="95"/>
                <w:sz w:val="20"/>
              </w:rPr>
              <w:t>-59.86</w:t>
            </w:r>
            <w:r>
              <w:rPr>
                <w:rFonts w:ascii="Times New Roman"/>
                <w:sz w:val="20"/>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控股子公司业务转型</w:t>
            </w:r>
          </w:p>
        </w:tc>
      </w:tr>
      <w:tr>
        <w:trPr>
          <w:trHeight w:val="35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上海泰豪智能节能技术有限公司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Times New Roman" w:hAnsi="Times New Roman" w:cs="Times New Roman" w:eastAsia="Times New Roman" w:hint="default"/>
                <w:sz w:val="20"/>
                <w:szCs w:val="20"/>
              </w:rPr>
            </w:pPr>
            <w:r>
              <w:rPr>
                <w:rFonts w:ascii="Times New Roman"/>
                <w:sz w:val="20"/>
              </w:rPr>
              <w:t>34,761,433.92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0"/>
                <w:szCs w:val="20"/>
              </w:rPr>
            </w:pPr>
            <w:r>
              <w:rPr>
                <w:rFonts w:ascii="Times New Roman"/>
                <w:w w:val="95"/>
                <w:sz w:val="20"/>
              </w:rPr>
              <w:t>24,023,963.00</w:t>
            </w:r>
            <w:r>
              <w:rPr>
                <w:rFonts w:ascii="Times New Roman"/>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0"/>
                <w:szCs w:val="20"/>
              </w:rPr>
            </w:pPr>
            <w:r>
              <w:rPr>
                <w:rFonts w:ascii="Times New Roman"/>
                <w:sz w:val="20"/>
              </w:rPr>
              <w:t>44.69%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right"/>
              <w:rPr>
                <w:rFonts w:ascii="Times New Roman" w:hAnsi="Times New Roman" w:cs="Times New Roman" w:eastAsia="Times New Roman" w:hint="default"/>
                <w:sz w:val="20"/>
                <w:szCs w:val="20"/>
              </w:rPr>
            </w:pPr>
            <w:r>
              <w:rPr>
                <w:rFonts w:ascii="Times New Roman"/>
                <w:w w:val="95"/>
                <w:sz w:val="20"/>
              </w:rPr>
              <w:t>-13,040,918.08</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20"/>
                <w:szCs w:val="20"/>
              </w:rPr>
            </w:pPr>
            <w:r>
              <w:rPr>
                <w:rFonts w:ascii="Times New Roman"/>
                <w:w w:val="95"/>
                <w:sz w:val="20"/>
              </w:rPr>
              <w:t>-24,725,090.67</w:t>
            </w:r>
            <w:r>
              <w:rPr>
                <w:rFonts w:ascii="Times New Roman"/>
                <w:sz w:val="20"/>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20"/>
                <w:szCs w:val="20"/>
              </w:rPr>
            </w:pPr>
            <w:r>
              <w:rPr>
                <w:rFonts w:ascii="Times New Roman"/>
                <w:sz w:val="20"/>
              </w:rPr>
              <w:t>47.26</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上年同期债务重组损失</w:t>
            </w:r>
          </w:p>
        </w:tc>
      </w:tr>
      <w:tr>
        <w:trPr>
          <w:trHeight w:val="355"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泰豪国际投资有限公司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883,255,907.30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0"/>
                <w:szCs w:val="20"/>
              </w:rPr>
            </w:pPr>
            <w:r>
              <w:rPr>
                <w:rFonts w:ascii="Times New Roman"/>
                <w:w w:val="95"/>
                <w:sz w:val="20"/>
              </w:rPr>
              <w:t>196,782,250.50</w:t>
            </w:r>
            <w:r>
              <w:rPr>
                <w:rFonts w:ascii="Times New Roman"/>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20"/>
                <w:szCs w:val="20"/>
              </w:rPr>
            </w:pPr>
            <w:r>
              <w:rPr>
                <w:rFonts w:ascii="Times New Roman"/>
                <w:w w:val="95"/>
                <w:sz w:val="20"/>
              </w:rPr>
              <w:t>348.85%</w:t>
            </w:r>
            <w:r>
              <w:rPr>
                <w:rFonts w:ascii="Times New Roman"/>
                <w:sz w:val="20"/>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right"/>
              <w:rPr>
                <w:rFonts w:ascii="Times New Roman" w:hAnsi="Times New Roman" w:cs="Times New Roman" w:eastAsia="Times New Roman" w:hint="default"/>
                <w:sz w:val="20"/>
                <w:szCs w:val="20"/>
              </w:rPr>
            </w:pPr>
            <w:r>
              <w:rPr>
                <w:rFonts w:ascii="Times New Roman"/>
                <w:w w:val="95"/>
                <w:sz w:val="20"/>
              </w:rPr>
              <w:t>21,815,410.64</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0"/>
                <w:szCs w:val="20"/>
              </w:rPr>
            </w:pPr>
            <w:r>
              <w:rPr>
                <w:rFonts w:ascii="Times New Roman"/>
                <w:w w:val="95"/>
                <w:sz w:val="20"/>
              </w:rPr>
              <w:t>7,425,627.36</w:t>
            </w:r>
            <w:r>
              <w:rPr>
                <w:rFonts w:ascii="Times New Roman"/>
                <w:sz w:val="20"/>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20"/>
                <w:szCs w:val="20"/>
              </w:rPr>
            </w:pPr>
            <w:r>
              <w:rPr>
                <w:rFonts w:ascii="Times New Roman"/>
                <w:w w:val="95"/>
                <w:sz w:val="20"/>
              </w:rPr>
              <w:t>193.79</w:t>
            </w:r>
            <w:r>
              <w:rPr>
                <w:rFonts w:ascii="Times New Roman"/>
                <w:sz w:val="20"/>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出口业务增长</w:t>
            </w:r>
          </w:p>
        </w:tc>
      </w:tr>
    </w:tbl>
    <w:p>
      <w:pPr>
        <w:spacing w:after="0" w:line="240" w:lineRule="auto"/>
        <w:jc w:val="left"/>
        <w:rPr>
          <w:rFonts w:ascii="宋体" w:hAnsi="宋体" w:cs="宋体" w:eastAsia="宋体" w:hint="default"/>
          <w:sz w:val="18"/>
          <w:szCs w:val="18"/>
        </w:rPr>
        <w:sectPr>
          <w:footerReference w:type="default" r:id="rId14"/>
          <w:pgSz w:w="16840" w:h="11910" w:orient="landscape"/>
          <w:pgMar w:footer="1195" w:header="882" w:top="1120" w:bottom="1380" w:left="1260" w:right="12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58"/>
        <w:ind w:right="0"/>
        <w:jc w:val="both"/>
      </w:pPr>
      <w:r>
        <w:rPr/>
        <w:t>□适用  √不适用</w:t>
      </w:r>
    </w:p>
    <w:p>
      <w:pPr>
        <w:spacing w:line="240" w:lineRule="auto" w:before="11"/>
        <w:rPr>
          <w:rFonts w:ascii="宋体" w:hAnsi="宋体" w:cs="宋体" w:eastAsia="宋体" w:hint="default"/>
          <w:sz w:val="22"/>
          <w:szCs w:val="22"/>
        </w:rPr>
      </w:pPr>
    </w:p>
    <w:p>
      <w:pPr>
        <w:pStyle w:val="Heading2"/>
        <w:tabs>
          <w:tab w:pos="977" w:val="left" w:leader="none"/>
        </w:tabs>
        <w:spacing w:line="290" w:lineRule="auto" w:before="0"/>
        <w:ind w:right="52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884" w:val="left" w:leader="none"/>
        </w:tabs>
        <w:spacing w:line="272" w:lineRule="exact" w:before="42"/>
        <w:ind w:left="558" w:right="600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、公司所处行业的发展趋势</w:t>
      </w:r>
    </w:p>
    <w:p>
      <w:pPr>
        <w:pStyle w:val="BodyText"/>
        <w:spacing w:line="255" w:lineRule="exact"/>
        <w:ind w:left="558" w:right="10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军工装备行业</w:t>
      </w:r>
    </w:p>
    <w:p>
      <w:pPr>
        <w:pStyle w:val="BodyText"/>
        <w:spacing w:line="271" w:lineRule="exact"/>
        <w:ind w:left="558" w:right="100"/>
        <w:jc w:val="left"/>
      </w:pPr>
      <w:r>
        <w:rPr>
          <w:rFonts w:ascii="Times New Roman" w:hAnsi="Times New Roman" w:cs="Times New Roman" w:eastAsia="Times New Roman" w:hint="default"/>
        </w:rPr>
        <w:t>1.1.1</w:t>
      </w:r>
      <w:r>
        <w:rPr>
          <w:rFonts w:ascii="Times New Roman" w:hAnsi="Times New Roman" w:cs="Times New Roman" w:eastAsia="Times New Roman" w:hint="default"/>
          <w:spacing w:val="1"/>
        </w:rPr>
        <w:t> </w:t>
      </w:r>
      <w:r>
        <w:rPr/>
        <w:t>政策环境</w:t>
      </w:r>
    </w:p>
    <w:p>
      <w:pPr>
        <w:pStyle w:val="BodyText"/>
        <w:spacing w:line="273" w:lineRule="exact"/>
        <w:ind w:left="558" w:right="100"/>
        <w:jc w:val="left"/>
      </w:pPr>
      <w:r>
        <w:rPr/>
        <w:t>（</w:t>
      </w:r>
      <w:r>
        <w:rPr>
          <w:rFonts w:ascii="Times New Roman" w:hAnsi="Times New Roman" w:cs="Times New Roman" w:eastAsia="Times New Roman" w:hint="default"/>
        </w:rPr>
        <w:t>1</w:t>
      </w:r>
      <w:r>
        <w:rPr/>
        <w:t>）成立中央军民融合发展委员会办公室</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保障军民融合战略顺利实施</w:t>
      </w:r>
    </w:p>
    <w:p>
      <w:pPr>
        <w:pStyle w:val="BodyText"/>
        <w:spacing w:line="273" w:lineRule="exact"/>
        <w:ind w:left="558" w:right="10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日，中央军民融合发展委员会召开第一次会议，决定成立中央军民融合发展</w:t>
      </w:r>
    </w:p>
    <w:p>
      <w:pPr>
        <w:pStyle w:val="BodyText"/>
        <w:spacing w:line="225" w:lineRule="auto" w:before="5"/>
        <w:ind w:right="208"/>
        <w:jc w:val="both"/>
      </w:pPr>
      <w:r>
        <w:rPr/>
        <w:t>委员会办公室，明确了责任分工，建立了协调机制，保障军民融合战略顺利实施。并在 </w:t>
      </w:r>
      <w:r>
        <w:rPr>
          <w:rFonts w:ascii="Times New Roman" w:hAnsi="Times New Roman" w:cs="Times New Roman" w:eastAsia="Times New Roman" w:hint="default"/>
        </w:rPr>
        <w:t>9 </w:t>
      </w:r>
      <w:r>
        <w:rPr/>
        <w:t>月</w:t>
      </w:r>
      <w:r>
        <w:rPr>
          <w:spacing w:val="8"/>
        </w:rPr>
        <w:t> </w:t>
      </w:r>
      <w:r>
        <w:rPr>
          <w:rFonts w:ascii="Times New Roman" w:hAnsi="Times New Roman" w:cs="Times New Roman" w:eastAsia="Times New Roman" w:hint="default"/>
        </w:rPr>
        <w:t>22</w:t>
      </w:r>
      <w:r>
        <w:rPr>
          <w:rFonts w:ascii="Times New Roman" w:hAnsi="Times New Roman" w:cs="Times New Roman" w:eastAsia="Times New Roman" w:hint="default"/>
          <w:w w:val="100"/>
        </w:rPr>
        <w:t> </w:t>
      </w:r>
      <w:r>
        <w:rPr>
          <w:spacing w:val="-12"/>
          <w:w w:val="100"/>
        </w:rPr>
        <w:t>日的第二次会议中</w:t>
      </w:r>
      <w:r>
        <w:rPr>
          <w:rFonts w:ascii="Times New Roman" w:hAnsi="Times New Roman" w:cs="Times New Roman" w:eastAsia="Times New Roman" w:hint="default"/>
          <w:spacing w:val="-12"/>
          <w:w w:val="100"/>
        </w:rPr>
        <w:t>,</w:t>
      </w:r>
      <w:r>
        <w:rPr>
          <w:spacing w:val="-12"/>
          <w:w w:val="100"/>
        </w:rPr>
        <w:t>审议通过了《“十三五”国防科技工业发展规划》、《“十三五”科技军民融合发</w:t>
      </w:r>
      <w:r>
        <w:rPr>
          <w:spacing w:val="-92"/>
          <w:w w:val="100"/>
        </w:rPr>
        <w:t> </w:t>
      </w:r>
      <w:r>
        <w:rPr>
          <w:spacing w:val="-92"/>
          <w:w w:val="100"/>
        </w:rPr>
      </w:r>
      <w:r>
        <w:rPr/>
        <w:t>展专项规划》等文件，为今后军民融合战略落地提供了明确指引。</w:t>
      </w:r>
    </w:p>
    <w:p>
      <w:pPr>
        <w:pStyle w:val="BodyText"/>
        <w:spacing w:line="281" w:lineRule="exact"/>
        <w:ind w:left="558" w:right="100"/>
        <w:jc w:val="left"/>
      </w:pPr>
      <w:r>
        <w:rPr/>
        <w:t>（</w:t>
      </w:r>
      <w:r>
        <w:rPr>
          <w:rFonts w:ascii="Times New Roman" w:hAnsi="Times New Roman" w:cs="Times New Roman" w:eastAsia="Times New Roman" w:hint="default"/>
        </w:rPr>
        <w:t>2</w:t>
      </w:r>
      <w:r>
        <w:rPr/>
        <w:t>）国家系列政策文件发布，明确了民参军的权利、责任和义务</w:t>
      </w:r>
    </w:p>
    <w:p>
      <w:pPr>
        <w:pStyle w:val="BodyText"/>
        <w:spacing w:line="235" w:lineRule="auto"/>
        <w:ind w:right="208" w:firstLine="419"/>
        <w:jc w:val="both"/>
      </w:pPr>
      <w:r>
        <w:rPr>
          <w:rFonts w:ascii="Times New Roman" w:hAnsi="Times New Roman" w:cs="Times New Roman" w:eastAsia="Times New Roman" w:hint="default"/>
          <w:w w:val="100"/>
        </w:rPr>
        <w:t>2017 </w:t>
      </w:r>
      <w:r>
        <w:rPr>
          <w:spacing w:val="-10"/>
          <w:w w:val="100"/>
        </w:rPr>
        <w:t>年度国家相继公布了《推进装备领域军民融合深度发展的思路举措》、《</w:t>
      </w:r>
      <w:r>
        <w:rPr>
          <w:rFonts w:ascii="Times New Roman" w:hAnsi="Times New Roman" w:cs="Times New Roman" w:eastAsia="Times New Roman" w:hint="default"/>
          <w:spacing w:val="-10"/>
          <w:w w:val="100"/>
        </w:rPr>
        <w:t>2017</w:t>
      </w:r>
      <w:r>
        <w:rPr>
          <w:rFonts w:ascii="Times New Roman" w:hAnsi="Times New Roman" w:cs="Times New Roman" w:eastAsia="Times New Roman" w:hint="default"/>
          <w:spacing w:val="5"/>
          <w:w w:val="100"/>
        </w:rPr>
        <w:t> </w:t>
      </w:r>
      <w:r>
        <w:rPr>
          <w:spacing w:val="-2"/>
          <w:w w:val="100"/>
        </w:rPr>
        <w:t>年国防科工</w:t>
      </w:r>
      <w:r>
        <w:rPr>
          <w:w w:val="100"/>
        </w:rPr>
        <w:t> </w:t>
      </w:r>
      <w:r>
        <w:rPr>
          <w:spacing w:val="-1"/>
        </w:rPr>
        <w:t>局军民融合专项行动计划》等。这些政策文件的发布，进一步明确了民营企业参与武器装备科研</w:t>
      </w:r>
      <w:r>
        <w:rPr>
          <w:spacing w:val="-55"/>
        </w:rPr>
        <w:t> </w:t>
      </w:r>
      <w:r>
        <w:rPr>
          <w:spacing w:val="-55"/>
        </w:rPr>
      </w:r>
      <w:r>
        <w:rPr>
          <w:spacing w:val="-1"/>
        </w:rPr>
        <w:t>生产与综合保障的权利，以及应承担的责任和义务，破除了过去民参军没有依据和制度保障的体</w:t>
      </w:r>
      <w:r>
        <w:rPr>
          <w:spacing w:val="-55"/>
        </w:rPr>
        <w:t> </w:t>
      </w:r>
      <w:r>
        <w:rPr>
          <w:spacing w:val="-55"/>
        </w:rPr>
      </w:r>
      <w:r>
        <w:rPr>
          <w:spacing w:val="-1"/>
        </w:rPr>
        <w:t>制障碍。对于改善我国军民分割的体制，促进军民结合产业发展和国防科技创新体系形成，建立</w:t>
      </w:r>
      <w:r>
        <w:rPr>
          <w:spacing w:val="-55"/>
        </w:rPr>
        <w:t> </w:t>
      </w:r>
      <w:r>
        <w:rPr>
          <w:spacing w:val="-55"/>
        </w:rPr>
      </w:r>
      <w:r>
        <w:rPr/>
        <w:t>和完善国防科技工业体系与制度建设等起到了重要的推动作用。</w:t>
      </w:r>
    </w:p>
    <w:p>
      <w:pPr>
        <w:pStyle w:val="BodyText"/>
        <w:spacing w:line="280" w:lineRule="exact"/>
        <w:ind w:left="558" w:right="100"/>
        <w:jc w:val="left"/>
      </w:pPr>
      <w:r>
        <w:rPr/>
        <w:t>（</w:t>
      </w:r>
      <w:r>
        <w:rPr>
          <w:rFonts w:ascii="Times New Roman" w:hAnsi="Times New Roman" w:cs="Times New Roman" w:eastAsia="Times New Roman" w:hint="default"/>
        </w:rPr>
        <w:t>3</w:t>
      </w:r>
      <w:r>
        <w:rPr/>
        <w:t>）军工科研院所改制深入推进，民营资本有望进入军工核心资产</w:t>
      </w:r>
    </w:p>
    <w:p>
      <w:pPr>
        <w:pStyle w:val="BodyText"/>
        <w:spacing w:line="273" w:lineRule="exact"/>
        <w:ind w:left="558" w:right="100"/>
        <w:jc w:val="left"/>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日</w:t>
      </w:r>
      <w:r>
        <w:rPr>
          <w:spacing w:val="-85"/>
          <w:w w:val="100"/>
        </w:rPr>
        <w:t>，</w:t>
      </w:r>
      <w:r>
        <w:rPr>
          <w:spacing w:val="-3"/>
          <w:w w:val="100"/>
        </w:rPr>
        <w:t>国</w:t>
      </w:r>
      <w:r>
        <w:rPr>
          <w:w w:val="100"/>
        </w:rPr>
        <w:t>防</w:t>
      </w:r>
      <w:r>
        <w:rPr>
          <w:spacing w:val="-3"/>
          <w:w w:val="100"/>
        </w:rPr>
        <w:t>科</w:t>
      </w:r>
      <w:r>
        <w:rPr>
          <w:w w:val="100"/>
        </w:rPr>
        <w:t>工局</w:t>
      </w:r>
      <w:r>
        <w:rPr>
          <w:spacing w:val="-2"/>
          <w:w w:val="100"/>
        </w:rPr>
        <w:t>在</w:t>
      </w:r>
      <w:r>
        <w:rPr>
          <w:w w:val="100"/>
        </w:rPr>
        <w:t>北</w:t>
      </w:r>
      <w:r>
        <w:rPr>
          <w:spacing w:val="-3"/>
          <w:w w:val="100"/>
        </w:rPr>
        <w:t>京</w:t>
      </w:r>
      <w:r>
        <w:rPr>
          <w:w w:val="100"/>
        </w:rPr>
        <w:t>组</w:t>
      </w:r>
      <w:r>
        <w:rPr>
          <w:spacing w:val="-3"/>
          <w:w w:val="100"/>
        </w:rPr>
        <w:t>织</w:t>
      </w:r>
      <w:r>
        <w:rPr>
          <w:w w:val="100"/>
        </w:rPr>
        <w:t>召</w:t>
      </w:r>
      <w:r>
        <w:rPr>
          <w:spacing w:val="-3"/>
          <w:w w:val="100"/>
        </w:rPr>
        <w:t>开</w:t>
      </w:r>
      <w:r>
        <w:rPr>
          <w:w w:val="100"/>
        </w:rPr>
        <w:t>军</w:t>
      </w:r>
      <w:r>
        <w:rPr>
          <w:spacing w:val="-3"/>
          <w:w w:val="100"/>
        </w:rPr>
        <w:t>工</w:t>
      </w:r>
      <w:r>
        <w:rPr>
          <w:w w:val="100"/>
        </w:rPr>
        <w:t>科研</w:t>
      </w:r>
      <w:r>
        <w:rPr>
          <w:spacing w:val="-3"/>
          <w:w w:val="100"/>
        </w:rPr>
        <w:t>院</w:t>
      </w:r>
      <w:r>
        <w:rPr>
          <w:w w:val="100"/>
        </w:rPr>
        <w:t>所</w:t>
      </w:r>
      <w:r>
        <w:rPr>
          <w:spacing w:val="-3"/>
          <w:w w:val="100"/>
        </w:rPr>
        <w:t>转</w:t>
      </w:r>
      <w:r>
        <w:rPr>
          <w:w w:val="100"/>
        </w:rPr>
        <w:t>制</w:t>
      </w:r>
      <w:r>
        <w:rPr>
          <w:spacing w:val="-3"/>
          <w:w w:val="100"/>
        </w:rPr>
        <w:t>工</w:t>
      </w:r>
      <w:r>
        <w:rPr>
          <w:w w:val="100"/>
        </w:rPr>
        <w:t>作</w:t>
      </w:r>
      <w:r>
        <w:rPr>
          <w:spacing w:val="-3"/>
          <w:w w:val="100"/>
        </w:rPr>
        <w:t>推</w:t>
      </w:r>
      <w:r>
        <w:rPr>
          <w:w w:val="100"/>
        </w:rPr>
        <w:t>进</w:t>
      </w:r>
      <w:r>
        <w:rPr>
          <w:spacing w:val="-3"/>
          <w:w w:val="100"/>
        </w:rPr>
        <w:t>会</w:t>
      </w:r>
      <w:r>
        <w:rPr>
          <w:spacing w:val="-87"/>
          <w:w w:val="100"/>
        </w:rPr>
        <w:t>，</w:t>
      </w:r>
      <w:r>
        <w:rPr>
          <w:w w:val="100"/>
        </w:rPr>
        <w:t>会议</w:t>
      </w:r>
      <w:r>
        <w:rPr>
          <w:spacing w:val="-3"/>
          <w:w w:val="100"/>
        </w:rPr>
        <w:t>解</w:t>
      </w:r>
      <w:r>
        <w:rPr>
          <w:w w:val="100"/>
        </w:rPr>
        <w:t>读</w:t>
      </w:r>
      <w:r>
        <w:rPr>
          <w:spacing w:val="-87"/>
          <w:w w:val="100"/>
        </w:rPr>
        <w:t>了</w:t>
      </w:r>
      <w:r>
        <w:rPr>
          <w:w w:val="100"/>
        </w:rPr>
        <w:t>《关</w:t>
      </w:r>
    </w:p>
    <w:p>
      <w:pPr>
        <w:pStyle w:val="BodyText"/>
        <w:spacing w:line="230" w:lineRule="auto" w:before="1"/>
        <w:ind w:right="208"/>
        <w:jc w:val="both"/>
      </w:pPr>
      <w:r>
        <w:rPr>
          <w:spacing w:val="-6"/>
          <w:w w:val="100"/>
        </w:rPr>
        <w:t>于军工科研院所转制为企业的实施意见》，宣布启动首批</w:t>
      </w:r>
      <w:r>
        <w:rPr>
          <w:spacing w:val="-39"/>
          <w:w w:val="100"/>
        </w:rPr>
        <w:t> </w:t>
      </w:r>
      <w:r>
        <w:rPr>
          <w:rFonts w:ascii="Times New Roman" w:hAnsi="Times New Roman" w:cs="Times New Roman" w:eastAsia="Times New Roman" w:hint="default"/>
          <w:w w:val="100"/>
        </w:rPr>
        <w:t>41</w:t>
      </w:r>
      <w:r>
        <w:rPr>
          <w:rFonts w:ascii="Times New Roman" w:hAnsi="Times New Roman" w:cs="Times New Roman" w:eastAsia="Times New Roman" w:hint="default"/>
          <w:spacing w:val="14"/>
          <w:w w:val="100"/>
        </w:rPr>
        <w:t> </w:t>
      </w:r>
      <w:r>
        <w:rPr>
          <w:spacing w:val="-2"/>
          <w:w w:val="100"/>
        </w:rPr>
        <w:t>家军工科研院所转制工作，标志着军</w:t>
      </w:r>
      <w:r>
        <w:rPr>
          <w:spacing w:val="-103"/>
          <w:w w:val="100"/>
        </w:rPr>
        <w:t> </w:t>
      </w:r>
      <w:r>
        <w:rPr>
          <w:spacing w:val="-103"/>
          <w:w w:val="100"/>
        </w:rPr>
      </w:r>
      <w:r>
        <w:rPr>
          <w:spacing w:val="-1"/>
        </w:rPr>
        <w:t>工科研院所转制工作正式启动。未来国有军工科研院所混改空间巨大，民营资本有望进入军工核</w:t>
      </w:r>
      <w:r>
        <w:rPr>
          <w:spacing w:val="-55"/>
        </w:rPr>
        <w:t> </w:t>
      </w:r>
      <w:r>
        <w:rPr>
          <w:spacing w:val="-55"/>
        </w:rPr>
      </w:r>
      <w:r>
        <w:rPr/>
        <w:t>心资产。</w:t>
      </w:r>
    </w:p>
    <w:p>
      <w:pPr>
        <w:pStyle w:val="BodyText"/>
        <w:spacing w:line="280" w:lineRule="exact"/>
        <w:ind w:left="558" w:right="100"/>
        <w:jc w:val="left"/>
      </w:pPr>
      <w:r>
        <w:rPr/>
        <w:t>（</w:t>
      </w:r>
      <w:r>
        <w:rPr>
          <w:rFonts w:ascii="Times New Roman" w:hAnsi="Times New Roman" w:cs="Times New Roman" w:eastAsia="Times New Roman" w:hint="default"/>
        </w:rPr>
        <w:t>4</w:t>
      </w:r>
      <w:r>
        <w:rPr/>
        <w:t>）实现两证融合管理，助力民营企业“参军”活动</w:t>
      </w:r>
    </w:p>
    <w:p>
      <w:pPr>
        <w:pStyle w:val="BodyText"/>
        <w:spacing w:line="228" w:lineRule="auto" w:before="3"/>
        <w:ind w:right="100" w:firstLine="419"/>
        <w:jc w:val="left"/>
      </w:pPr>
      <w:r>
        <w:rPr/>
        <w:t>为了降低民参军准入门槛，自</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日起，全面试行装备承制单位资格审查和武器</w:t>
      </w:r>
      <w:r>
        <w:rPr>
          <w:w w:val="100"/>
        </w:rPr>
        <w:t> </w:t>
      </w:r>
      <w:r>
        <w:rPr>
          <w:spacing w:val="-6"/>
          <w:w w:val="100"/>
        </w:rPr>
        <w:t>装备质量管理体系认证“两证合一”改革。“两证合一”，从企业来看，降低了进入门槛、减少了</w:t>
      </w:r>
      <w:r>
        <w:rPr>
          <w:spacing w:val="-102"/>
          <w:w w:val="100"/>
        </w:rPr>
        <w:t> </w:t>
      </w:r>
      <w:r>
        <w:rPr>
          <w:spacing w:val="-102"/>
          <w:w w:val="100"/>
        </w:rPr>
      </w:r>
      <w:r>
        <w:rPr/>
        <w:t>重复审查、减轻了企业负担、缩短了取证周期，预计取证周期将由原来</w:t>
      </w:r>
      <w:r>
        <w:rPr>
          <w:spacing w:val="-33"/>
        </w:rPr>
        <w:t> </w:t>
      </w:r>
      <w:r>
        <w:rPr>
          <w:rFonts w:ascii="Times New Roman" w:hAnsi="Times New Roman" w:cs="Times New Roman" w:eastAsia="Times New Roman" w:hint="default"/>
        </w:rPr>
        <w:t>9-12</w:t>
      </w:r>
      <w:r>
        <w:rPr>
          <w:rFonts w:ascii="Times New Roman" w:hAnsi="Times New Roman" w:cs="Times New Roman" w:eastAsia="Times New Roman" w:hint="default"/>
          <w:spacing w:val="17"/>
        </w:rPr>
        <w:t> </w:t>
      </w:r>
      <w:r>
        <w:rPr/>
        <w:t>个月减至</w:t>
      </w:r>
      <w:r>
        <w:rPr>
          <w:spacing w:val="-35"/>
        </w:rPr>
        <w:t> </w:t>
      </w:r>
      <w:r>
        <w:rPr>
          <w:rFonts w:ascii="Times New Roman" w:hAnsi="Times New Roman" w:cs="Times New Roman" w:eastAsia="Times New Roman" w:hint="default"/>
        </w:rPr>
        <w:t>3-6</w:t>
      </w:r>
      <w:r>
        <w:rPr>
          <w:rFonts w:ascii="Times New Roman" w:hAnsi="Times New Roman" w:cs="Times New Roman" w:eastAsia="Times New Roman" w:hint="default"/>
          <w:spacing w:val="19"/>
        </w:rPr>
        <w:t> </w:t>
      </w:r>
      <w:r>
        <w:rPr/>
        <w:t>个月，</w:t>
      </w:r>
      <w:r>
        <w:rPr>
          <w:w w:val="100"/>
        </w:rPr>
        <w:t> </w:t>
      </w:r>
      <w:r>
        <w:rPr/>
        <w:t>这一改革将极大地助力企业</w:t>
      </w:r>
      <w:r>
        <w:rPr>
          <w:rFonts w:ascii="Times New Roman" w:hAnsi="Times New Roman" w:cs="Times New Roman" w:eastAsia="Times New Roman" w:hint="default"/>
        </w:rPr>
        <w:t>“</w:t>
      </w:r>
      <w:r>
        <w:rPr/>
        <w:t>参军</w:t>
      </w:r>
      <w:r>
        <w:rPr>
          <w:rFonts w:ascii="Times New Roman" w:hAnsi="Times New Roman" w:cs="Times New Roman" w:eastAsia="Times New Roman" w:hint="default"/>
        </w:rPr>
        <w:t>”</w:t>
      </w:r>
      <w:r>
        <w:rPr/>
        <w:t>活动，引导和鼓励更多优势企业进入军品科研生产领域。</w:t>
      </w:r>
    </w:p>
    <w:p>
      <w:pPr>
        <w:pStyle w:val="BodyText"/>
        <w:spacing w:line="265" w:lineRule="exact"/>
        <w:ind w:left="558" w:right="100"/>
        <w:jc w:val="left"/>
      </w:pPr>
      <w:r>
        <w:rPr>
          <w:rFonts w:ascii="Times New Roman" w:hAnsi="Times New Roman" w:cs="Times New Roman" w:eastAsia="Times New Roman" w:hint="default"/>
        </w:rPr>
        <w:t>1.1.2</w:t>
      </w:r>
      <w:r>
        <w:rPr>
          <w:rFonts w:ascii="Times New Roman" w:hAnsi="Times New Roman" w:cs="Times New Roman" w:eastAsia="Times New Roman" w:hint="default"/>
          <w:spacing w:val="1"/>
        </w:rPr>
        <w:t> </w:t>
      </w:r>
      <w:r>
        <w:rPr/>
        <w:t>产业动向</w:t>
      </w:r>
    </w:p>
    <w:p>
      <w:pPr>
        <w:pStyle w:val="BodyText"/>
        <w:spacing w:line="272" w:lineRule="exact"/>
        <w:ind w:left="558" w:right="100"/>
        <w:jc w:val="left"/>
      </w:pPr>
      <w:r>
        <w:rPr/>
        <w:t>（</w:t>
      </w:r>
      <w:r>
        <w:rPr>
          <w:rFonts w:ascii="Times New Roman" w:hAnsi="Times New Roman" w:cs="Times New Roman" w:eastAsia="Times New Roman" w:hint="default"/>
        </w:rPr>
        <w:t>1</w:t>
      </w:r>
      <w:r>
        <w:rPr/>
        <w:t>）装备费用占国防支出比不断提高</w:t>
      </w:r>
    </w:p>
    <w:p>
      <w:pPr>
        <w:pStyle w:val="BodyText"/>
        <w:spacing w:line="230" w:lineRule="auto"/>
        <w:ind w:right="208" w:firstLine="419"/>
        <w:jc w:val="both"/>
      </w:pPr>
      <w:r>
        <w:rPr>
          <w:rFonts w:ascii="Times New Roman" w:hAnsi="Times New Roman" w:cs="Times New Roman" w:eastAsia="Times New Roman" w:hint="default"/>
          <w:w w:val="100"/>
        </w:rPr>
        <w:t>2017 </w:t>
      </w:r>
      <w:r>
        <w:rPr>
          <w:spacing w:val="-2"/>
          <w:w w:val="100"/>
        </w:rPr>
        <w:t>年中国军费预算增长约</w:t>
      </w:r>
      <w:r>
        <w:rPr>
          <w:spacing w:val="-53"/>
          <w:w w:val="100"/>
        </w:rPr>
        <w:t> </w:t>
      </w:r>
      <w:r>
        <w:rPr>
          <w:rFonts w:ascii="Times New Roman" w:hAnsi="Times New Roman" w:cs="Times New Roman" w:eastAsia="Times New Roman" w:hint="default"/>
          <w:spacing w:val="-7"/>
          <w:w w:val="100"/>
        </w:rPr>
        <w:t>7%</w:t>
      </w:r>
      <w:r>
        <w:rPr>
          <w:spacing w:val="-7"/>
          <w:w w:val="100"/>
        </w:rPr>
        <w:t>，首次突破万亿大关，其中国防经费支出主要由人员生活费、</w:t>
      </w:r>
      <w:r>
        <w:rPr>
          <w:w w:val="100"/>
        </w:rPr>
        <w:t> </w:t>
      </w:r>
      <w:r>
        <w:rPr>
          <w:spacing w:val="-1"/>
        </w:rPr>
        <w:t>训练维持费和武器装备费三部分组成，各部分大体占三分之一。在装备升级换代提速的背景下，</w:t>
      </w:r>
      <w:r>
        <w:rPr>
          <w:spacing w:val="-55"/>
        </w:rPr>
        <w:t> </w:t>
      </w:r>
      <w:r>
        <w:rPr>
          <w:spacing w:val="-55"/>
        </w:rPr>
      </w:r>
      <w:r>
        <w:rPr>
          <w:spacing w:val="-1"/>
        </w:rPr>
        <w:t>预计未来军费用于装备支出的比例将上升。在军队体制改革的背景下，用于武器装备采购和训练</w:t>
      </w:r>
      <w:r>
        <w:rPr>
          <w:spacing w:val="-55"/>
        </w:rPr>
        <w:t> </w:t>
      </w:r>
      <w:r>
        <w:rPr>
          <w:spacing w:val="-55"/>
        </w:rPr>
      </w:r>
      <w:r>
        <w:rPr>
          <w:spacing w:val="-1"/>
        </w:rPr>
        <w:t>维护的投入将逐步提升，军费的使用结构有望进一步改善。在军费总投入规模维持现有增长率的</w:t>
      </w:r>
      <w:r>
        <w:rPr>
          <w:spacing w:val="-55"/>
        </w:rPr>
        <w:t> </w:t>
      </w:r>
      <w:r>
        <w:rPr>
          <w:spacing w:val="-55"/>
        </w:rPr>
      </w:r>
      <w:r>
        <w:rPr>
          <w:spacing w:val="-3"/>
        </w:rPr>
        <w:t>基础上，装备采购投入有望维持 </w:t>
      </w:r>
      <w:r>
        <w:rPr>
          <w:rFonts w:ascii="Times New Roman" w:hAnsi="Times New Roman" w:cs="Times New Roman" w:eastAsia="Times New Roman" w:hint="default"/>
          <w:spacing w:val="-4"/>
        </w:rPr>
        <w:t>10%~15%</w:t>
      </w:r>
      <w:r>
        <w:rPr>
          <w:spacing w:val="-4"/>
        </w:rPr>
        <w:t>的增长速度。具体来看，海军装备（尤其是中、远洋作</w:t>
      </w:r>
      <w:r>
        <w:rPr>
          <w:spacing w:val="-81"/>
        </w:rPr>
        <w:t> </w:t>
      </w:r>
      <w:r>
        <w:rPr>
          <w:spacing w:val="-81"/>
        </w:rPr>
      </w:r>
      <w:r>
        <w:rPr>
          <w:spacing w:val="-3"/>
          <w:w w:val="100"/>
        </w:rPr>
        <w:t>战舰艇）、空军装备中的航空发动机和大飞机，陆军装备中的武装</w:t>
      </w:r>
      <w:r>
        <w:rPr>
          <w:rFonts w:ascii="Times New Roman" w:hAnsi="Times New Roman" w:cs="Times New Roman" w:eastAsia="Times New Roman" w:hint="default"/>
          <w:spacing w:val="-3"/>
          <w:w w:val="100"/>
        </w:rPr>
        <w:t>/</w:t>
      </w:r>
      <w:r>
        <w:rPr>
          <w:spacing w:val="-3"/>
          <w:w w:val="100"/>
        </w:rPr>
        <w:t>运输直升机和信息化装备将获</w:t>
      </w:r>
      <w:r>
        <w:rPr>
          <w:spacing w:val="-73"/>
          <w:w w:val="100"/>
        </w:rPr>
        <w:t> </w:t>
      </w:r>
      <w:r>
        <w:rPr>
          <w:spacing w:val="-73"/>
          <w:w w:val="100"/>
        </w:rPr>
      </w:r>
      <w:r>
        <w:rPr/>
        <w:t>得较快增长。</w:t>
      </w:r>
    </w:p>
    <w:p>
      <w:pPr>
        <w:pStyle w:val="BodyText"/>
        <w:spacing w:line="272" w:lineRule="exact" w:before="27"/>
        <w:ind w:left="558" w:right="100"/>
        <w:jc w:val="left"/>
      </w:pPr>
      <w:r>
        <w:rPr/>
        <w:t>（</w:t>
      </w:r>
      <w:r>
        <w:rPr>
          <w:rFonts w:ascii="Times New Roman" w:hAnsi="Times New Roman" w:cs="Times New Roman" w:eastAsia="Times New Roman" w:hint="default"/>
        </w:rPr>
        <w:t>2</w:t>
      </w:r>
      <w:r>
        <w:rPr/>
        <w:t>）武器装备信息化已成为军队建设的重点领域</w:t>
      </w:r>
      <w:r>
        <w:rPr>
          <w:w w:val="100"/>
        </w:rPr>
        <w:t> </w:t>
      </w:r>
      <w:r>
        <w:rPr>
          <w:spacing w:val="-2"/>
        </w:rPr>
        <w:t>军工装备信息化将沿着两个方向发展：一是对现有机械化武器装备进行信息化改造和提升；</w:t>
      </w:r>
    </w:p>
    <w:p>
      <w:pPr>
        <w:pStyle w:val="BodyText"/>
        <w:spacing w:line="272" w:lineRule="exact" w:before="1"/>
        <w:ind w:right="208"/>
        <w:jc w:val="both"/>
      </w:pPr>
      <w:r>
        <w:rPr>
          <w:spacing w:val="-3"/>
        </w:rPr>
        <w:t>二是研制新的信息化武器装备，包括信息化弹药、信息化作战平台、单兵数字化装备和 </w:t>
      </w:r>
      <w:r>
        <w:rPr>
          <w:rFonts w:ascii="Times New Roman" w:hAnsi="Times New Roman" w:cs="Times New Roman" w:eastAsia="Times New Roman" w:hint="default"/>
        </w:rPr>
        <w:t>C4ISR </w:t>
      </w:r>
      <w:r>
        <w:rPr/>
        <w:t>系</w:t>
      </w:r>
      <w:r>
        <w:rPr>
          <w:spacing w:val="-83"/>
        </w:rPr>
        <w:t> </w:t>
      </w:r>
      <w:r>
        <w:rPr>
          <w:spacing w:val="-6"/>
          <w:w w:val="100"/>
        </w:rPr>
        <w:t>统（通信、指挥、控制、情报与计算机系统）。军工装备信息化将使电子信息系统在武器装备体系</w:t>
      </w:r>
    </w:p>
    <w:p>
      <w:pPr>
        <w:pStyle w:val="BodyText"/>
        <w:spacing w:line="247" w:lineRule="exact"/>
        <w:ind w:right="0"/>
        <w:jc w:val="both"/>
      </w:pPr>
      <w:r>
        <w:rPr/>
        <w:t>中的比重将越来越大，相应的作战保障装备的地位和作用日益重要。</w:t>
      </w:r>
    </w:p>
    <w:p>
      <w:pPr>
        <w:pStyle w:val="BodyText"/>
        <w:spacing w:line="274" w:lineRule="exact" w:before="24"/>
        <w:ind w:left="558" w:right="100"/>
        <w:jc w:val="left"/>
      </w:pPr>
      <w:r>
        <w:rPr/>
        <w:t>（</w:t>
      </w:r>
      <w:r>
        <w:rPr>
          <w:rFonts w:ascii="Times New Roman" w:hAnsi="Times New Roman" w:cs="Times New Roman" w:eastAsia="Times New Roman" w:hint="default"/>
        </w:rPr>
        <w:t>3</w:t>
      </w:r>
      <w:r>
        <w:rPr/>
        <w:t>）军工资产证券化水平会进一步提升</w:t>
      </w:r>
      <w:r>
        <w:rPr>
          <w:w w:val="100"/>
        </w:rPr>
        <w:t> </w:t>
      </w:r>
      <w:r>
        <w:rPr>
          <w:spacing w:val="-2"/>
        </w:rPr>
        <w:t>目前我国军工资产证券化率较低，从收入口径来看，只有航空工业集团资产证券化率超过了</w:t>
      </w:r>
    </w:p>
    <w:p>
      <w:pPr>
        <w:pStyle w:val="BodyText"/>
        <w:spacing w:line="254" w:lineRule="exact"/>
        <w:ind w:right="0"/>
        <w:jc w:val="both"/>
      </w:pPr>
      <w:r>
        <w:rPr>
          <w:rFonts w:ascii="Times New Roman" w:hAnsi="Times New Roman" w:cs="Times New Roman" w:eastAsia="Times New Roman" w:hint="default"/>
        </w:rPr>
        <w:t>50%</w:t>
      </w:r>
      <w:r>
        <w:rPr/>
        <w:t>，其余集团都在</w:t>
      </w:r>
      <w:r>
        <w:rPr>
          <w:spacing w:val="-62"/>
        </w:rPr>
        <w:t> </w:t>
      </w:r>
      <w:r>
        <w:rPr>
          <w:rFonts w:ascii="Times New Roman" w:hAnsi="Times New Roman" w:cs="Times New Roman" w:eastAsia="Times New Roman" w:hint="default"/>
        </w:rPr>
        <w:t>30%</w:t>
      </w:r>
      <w:r>
        <w:rPr/>
        <w:t>以下。</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月份，国防科工局发布《涉军企事业单位改制重组上市</w:t>
      </w:r>
    </w:p>
    <w:p>
      <w:pPr>
        <w:pStyle w:val="BodyText"/>
        <w:spacing w:line="272" w:lineRule="exact" w:before="19"/>
        <w:ind w:right="208"/>
        <w:jc w:val="both"/>
      </w:pPr>
      <w:r>
        <w:rPr>
          <w:spacing w:val="-2"/>
          <w:w w:val="100"/>
        </w:rPr>
        <w:t>及上市后资本运作军工事项审查申报指南（</w:t>
      </w:r>
      <w:r>
        <w:rPr>
          <w:rFonts w:ascii="Times New Roman" w:hAnsi="Times New Roman" w:cs="Times New Roman" w:eastAsia="Times New Roman" w:hint="default"/>
          <w:spacing w:val="-2"/>
          <w:w w:val="100"/>
        </w:rPr>
        <w:t>2018</w:t>
      </w:r>
      <w:r>
        <w:rPr>
          <w:rFonts w:ascii="Times New Roman" w:hAnsi="Times New Roman" w:cs="Times New Roman" w:eastAsia="Times New Roman" w:hint="default"/>
          <w:w w:val="100"/>
        </w:rPr>
        <w:t> </w:t>
      </w:r>
      <w:r>
        <w:rPr>
          <w:spacing w:val="-13"/>
          <w:w w:val="100"/>
        </w:rPr>
        <w:t>年版）》，规范涉军企事业单位改制、重组、上市</w:t>
      </w:r>
      <w:r>
        <w:rPr>
          <w:spacing w:val="-88"/>
          <w:w w:val="100"/>
        </w:rPr>
        <w:t> </w:t>
      </w:r>
      <w:r>
        <w:rPr>
          <w:spacing w:val="-88"/>
          <w:w w:val="100"/>
        </w:rPr>
      </w:r>
      <w:r>
        <w:rPr>
          <w:spacing w:val="-1"/>
        </w:rPr>
        <w:t>及上市后资本运作行为。军工资产证券化从方向层面逐渐走向执行层面，未来值得期待。本次暂</w:t>
      </w:r>
    </w:p>
    <w:p>
      <w:pPr>
        <w:spacing w:after="0" w:line="272" w:lineRule="exact"/>
        <w:jc w:val="both"/>
        <w:sectPr>
          <w:headerReference w:type="default" r:id="rId15"/>
          <w:footerReference w:type="default" r:id="rId16"/>
          <w:pgSz w:w="11910" w:h="16840"/>
          <w:pgMar w:header="882" w:footer="1195" w:top="1120" w:bottom="1380" w:left="1660" w:right="1060"/>
          <w:pgNumType w:start="21"/>
        </w:sectPr>
      </w:pPr>
    </w:p>
    <w:p>
      <w:pPr>
        <w:spacing w:line="240" w:lineRule="auto" w:before="1"/>
        <w:rPr>
          <w:rFonts w:ascii="宋体" w:hAnsi="宋体" w:cs="宋体" w:eastAsia="宋体" w:hint="default"/>
          <w:sz w:val="25"/>
          <w:szCs w:val="25"/>
        </w:rPr>
      </w:pPr>
    </w:p>
    <w:p>
      <w:pPr>
        <w:pStyle w:val="BodyText"/>
        <w:spacing w:line="237" w:lineRule="auto" w:before="38"/>
        <w:ind w:right="100"/>
        <w:jc w:val="left"/>
      </w:pPr>
      <w:r>
        <w:rPr>
          <w:spacing w:val="-4"/>
          <w:w w:val="100"/>
        </w:rPr>
        <w:t>行管理办法的提出为军工资产的相关资本运作提供了明确指导，明确了军工资产证券化的大方向，</w:t>
      </w:r>
      <w:r>
        <w:rPr>
          <w:spacing w:val="-85"/>
          <w:w w:val="100"/>
        </w:rPr>
        <w:t> </w:t>
      </w:r>
      <w:r>
        <w:rPr>
          <w:spacing w:val="-85"/>
          <w:w w:val="100"/>
        </w:rPr>
      </w:r>
      <w:r>
        <w:rPr/>
        <w:t>而军工科研院所改制将会成为军工资产证券化主要途径，为民营资本进入军工核心资产提供了可</w:t>
      </w:r>
      <w:r>
        <w:rPr>
          <w:spacing w:val="-98"/>
        </w:rPr>
        <w:t> </w:t>
      </w:r>
      <w:r>
        <w:rPr>
          <w:spacing w:val="-98"/>
        </w:rPr>
      </w:r>
      <w:r>
        <w:rPr/>
        <w:t>能。</w:t>
      </w:r>
    </w:p>
    <w:p>
      <w:pPr>
        <w:pStyle w:val="BodyText"/>
        <w:spacing w:line="280" w:lineRule="exact"/>
        <w:ind w:left="558" w:right="100"/>
        <w:jc w:val="left"/>
      </w:pPr>
      <w:r>
        <w:rPr/>
        <w:t>（</w:t>
      </w:r>
      <w:r>
        <w:rPr>
          <w:rFonts w:ascii="Times New Roman" w:hAnsi="Times New Roman" w:cs="Times New Roman" w:eastAsia="Times New Roman" w:hint="default"/>
        </w:rPr>
        <w:t>4</w:t>
      </w:r>
      <w:r>
        <w:rPr/>
        <w:t>）我国军贸规模正在持续扩大，已成为世界第三大武器出口国</w:t>
      </w:r>
    </w:p>
    <w:p>
      <w:pPr>
        <w:pStyle w:val="BodyText"/>
        <w:spacing w:line="230" w:lineRule="auto"/>
        <w:ind w:right="109" w:firstLine="419"/>
        <w:jc w:val="both"/>
      </w:pPr>
      <w:r>
        <w:rPr>
          <w:rFonts w:ascii="Times New Roman" w:hAnsi="Times New Roman" w:cs="Times New Roman" w:eastAsia="Times New Roman" w:hint="default"/>
        </w:rPr>
        <w:t>2012-2016 </w:t>
      </w:r>
      <w:r>
        <w:rPr/>
        <w:t>年我国对外军售比上一个五年增长</w:t>
      </w:r>
      <w:r>
        <w:rPr>
          <w:spacing w:val="-49"/>
        </w:rPr>
        <w:t> </w:t>
      </w:r>
      <w:r>
        <w:rPr>
          <w:rFonts w:ascii="Times New Roman" w:hAnsi="Times New Roman" w:cs="Times New Roman" w:eastAsia="Times New Roman" w:hint="default"/>
        </w:rPr>
        <w:t>74%</w:t>
      </w:r>
      <w:r>
        <w:rPr/>
        <w:t>，占同期全球武器销售总额的</w:t>
      </w:r>
      <w:r>
        <w:rPr>
          <w:spacing w:val="-50"/>
        </w:rPr>
        <w:t> </w:t>
      </w:r>
      <w:r>
        <w:rPr>
          <w:rFonts w:ascii="Times New Roman" w:hAnsi="Times New Roman" w:cs="Times New Roman" w:eastAsia="Times New Roman" w:hint="default"/>
        </w:rPr>
        <w:t>6.2%</w:t>
      </w:r>
      <w:r>
        <w:rPr/>
        <w:t>，已超</w:t>
      </w:r>
      <w:r>
        <w:rPr>
          <w:w w:val="100"/>
        </w:rPr>
        <w:t> </w:t>
      </w:r>
      <w:r>
        <w:rPr>
          <w:spacing w:val="-3"/>
        </w:rPr>
        <w:t>越了德国、法国和英国，跃居世界第三，但与美国</w:t>
      </w:r>
      <w:r>
        <w:rPr>
          <w:spacing w:val="-47"/>
        </w:rPr>
        <w:t> </w:t>
      </w:r>
      <w:r>
        <w:rPr>
          <w:rFonts w:ascii="Times New Roman" w:hAnsi="Times New Roman" w:cs="Times New Roman" w:eastAsia="Times New Roman" w:hint="default"/>
        </w:rPr>
        <w:t>33%</w:t>
      </w:r>
      <w:r>
        <w:rPr/>
        <w:t>、俄罗斯</w:t>
      </w:r>
      <w:r>
        <w:rPr>
          <w:spacing w:val="-45"/>
        </w:rPr>
        <w:t> </w:t>
      </w:r>
      <w:r>
        <w:rPr>
          <w:rFonts w:ascii="Times New Roman" w:hAnsi="Times New Roman" w:cs="Times New Roman" w:eastAsia="Times New Roman" w:hint="default"/>
        </w:rPr>
        <w:t>23%</w:t>
      </w:r>
      <w:r>
        <w:rPr/>
        <w:t>的市场份额相比仍有较大提</w:t>
      </w:r>
      <w:r>
        <w:rPr>
          <w:spacing w:val="-85"/>
        </w:rPr>
        <w:t> </w:t>
      </w:r>
      <w:r>
        <w:rPr>
          <w:spacing w:val="-85"/>
        </w:rPr>
      </w:r>
      <w:r>
        <w:rPr>
          <w:spacing w:val="-7"/>
          <w:w w:val="100"/>
        </w:rPr>
        <w:t>升空间。国防科工局近期指出，“我国国防科技工业要优化国际战略布局，创新‘一带一路’参与</w:t>
      </w:r>
      <w:r>
        <w:rPr>
          <w:spacing w:val="-67"/>
          <w:w w:val="100"/>
        </w:rPr>
        <w:t> </w:t>
      </w:r>
      <w:r>
        <w:rPr>
          <w:spacing w:val="-67"/>
          <w:w w:val="100"/>
        </w:rPr>
      </w:r>
      <w:r>
        <w:rPr/>
        <w:t>形式，大力推动军贸、核和航天合作，支持优势装备走出去”</w:t>
      </w:r>
      <w:r>
        <w:rPr>
          <w:rFonts w:ascii="Times New Roman" w:hAnsi="Times New Roman" w:cs="Times New Roman" w:eastAsia="Times New Roman" w:hint="default"/>
        </w:rPr>
        <w:t>,</w:t>
      </w:r>
      <w:r>
        <w:rPr/>
        <w:t>我国军贸市场具有较大发展空间。</w:t>
      </w:r>
    </w:p>
    <w:p>
      <w:pPr>
        <w:pStyle w:val="BodyText"/>
        <w:spacing w:line="264" w:lineRule="exact"/>
        <w:ind w:left="558" w:right="10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智慧能源行业</w:t>
      </w:r>
    </w:p>
    <w:p>
      <w:pPr>
        <w:pStyle w:val="BodyText"/>
        <w:spacing w:line="272" w:lineRule="exact"/>
        <w:ind w:left="558" w:right="100"/>
        <w:jc w:val="left"/>
      </w:pPr>
      <w:r>
        <w:rPr>
          <w:rFonts w:ascii="Times New Roman" w:hAnsi="Times New Roman" w:cs="Times New Roman" w:eastAsia="Times New Roman" w:hint="default"/>
        </w:rPr>
        <w:t>1.2.1</w:t>
      </w:r>
      <w:r>
        <w:rPr>
          <w:rFonts w:ascii="Times New Roman" w:hAnsi="Times New Roman" w:cs="Times New Roman" w:eastAsia="Times New Roman" w:hint="default"/>
          <w:spacing w:val="1"/>
        </w:rPr>
        <w:t> </w:t>
      </w:r>
      <w:r>
        <w:rPr/>
        <w:t>政策环境</w:t>
      </w:r>
    </w:p>
    <w:p>
      <w:pPr>
        <w:pStyle w:val="BodyText"/>
        <w:spacing w:line="272" w:lineRule="exact"/>
        <w:ind w:left="558" w:right="100"/>
        <w:jc w:val="left"/>
      </w:pPr>
      <w:r>
        <w:rPr/>
        <w:t>（</w:t>
      </w:r>
      <w:r>
        <w:rPr>
          <w:rFonts w:ascii="Times New Roman" w:hAnsi="Times New Roman" w:cs="Times New Roman" w:eastAsia="Times New Roman" w:hint="default"/>
        </w:rPr>
        <w:t>1</w:t>
      </w:r>
      <w:r>
        <w:rPr/>
        <w:t>）售电侧改革有序向社会资本放开售电业务</w:t>
      </w:r>
    </w:p>
    <w:p>
      <w:pPr>
        <w:pStyle w:val="BodyText"/>
        <w:spacing w:line="225" w:lineRule="auto" w:before="6"/>
        <w:ind w:right="207" w:firstLine="419"/>
        <w:jc w:val="both"/>
      </w:pPr>
      <w:r>
        <w:rPr>
          <w:rFonts w:ascii="Times New Roman" w:hAnsi="Times New Roman" w:cs="Times New Roman" w:eastAsia="Times New Roman" w:hint="default"/>
        </w:rPr>
        <w:t>2017 </w:t>
      </w:r>
      <w:r>
        <w:rPr>
          <w:spacing w:val="-4"/>
        </w:rPr>
        <w:t>年是国家电力体制深化改革之年，多项政策持续助推改革力度。</w:t>
      </w:r>
      <w:r>
        <w:rPr>
          <w:rFonts w:ascii="Times New Roman" w:hAnsi="Times New Roman" w:cs="Times New Roman" w:eastAsia="Times New Roman" w:hint="default"/>
          <w:spacing w:val="-4"/>
        </w:rPr>
        <w:t>2017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7"/>
        </w:rPr>
        <w:t>月，国家发展</w:t>
      </w:r>
      <w:r>
        <w:rPr>
          <w:w w:val="100"/>
        </w:rPr>
        <w:t> </w:t>
      </w:r>
      <w:r>
        <w:rPr>
          <w:spacing w:val="-5"/>
          <w:w w:val="100"/>
        </w:rPr>
        <w:t>改革委和国家能源局发布《关于有序放开发用电计划的通知》；</w:t>
      </w:r>
      <w:r>
        <w:rPr>
          <w:rFonts w:ascii="Times New Roman" w:hAnsi="Times New Roman" w:cs="Times New Roman" w:eastAsia="Times New Roman" w:hint="default"/>
          <w:spacing w:val="-5"/>
          <w:w w:val="100"/>
        </w:rPr>
        <w:t>2017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8</w:t>
      </w:r>
      <w:r>
        <w:rPr>
          <w:rFonts w:ascii="Times New Roman" w:hAnsi="Times New Roman" w:cs="Times New Roman" w:eastAsia="Times New Roman" w:hint="default"/>
          <w:spacing w:val="-26"/>
          <w:w w:val="100"/>
        </w:rPr>
        <w:t> </w:t>
      </w:r>
      <w:r>
        <w:rPr>
          <w:spacing w:val="-2"/>
          <w:w w:val="100"/>
        </w:rPr>
        <w:t>月，国家发展改革委办</w:t>
      </w:r>
      <w:r>
        <w:rPr>
          <w:w w:val="100"/>
        </w:rPr>
        <w:t> </w:t>
      </w:r>
      <w:r>
        <w:rPr>
          <w:spacing w:val="-5"/>
          <w:w w:val="100"/>
        </w:rPr>
        <w:t>公厅发布《关于全面推进跨省跨区和区域电网输电价格改革工作的通知》。</w:t>
      </w:r>
    </w:p>
    <w:p>
      <w:pPr>
        <w:pStyle w:val="BodyText"/>
        <w:spacing w:line="237" w:lineRule="auto"/>
        <w:ind w:right="208" w:firstLine="419"/>
        <w:jc w:val="both"/>
      </w:pPr>
      <w:r>
        <w:rPr>
          <w:spacing w:val="-2"/>
        </w:rPr>
        <w:t>电改的实质是通过核定输配电价，将利润转移到售电侧和用电侧。本次售电侧改革的主要思</w:t>
      </w:r>
      <w:r>
        <w:rPr>
          <w:w w:val="100"/>
        </w:rPr>
        <w:t> </w:t>
      </w:r>
      <w:r>
        <w:rPr>
          <w:spacing w:val="-1"/>
        </w:rPr>
        <w:t>路是增加售电主体，有序向社会资本放开售电业务。售电侧改革作为电力改革的重要组成部分，</w:t>
      </w:r>
      <w:r>
        <w:rPr>
          <w:spacing w:val="-55"/>
        </w:rPr>
        <w:t> </w:t>
      </w:r>
      <w:r>
        <w:rPr>
          <w:spacing w:val="-55"/>
        </w:rPr>
      </w:r>
      <w:r>
        <w:rPr/>
        <w:t>在 </w:t>
      </w:r>
      <w:r>
        <w:rPr>
          <w:rFonts w:ascii="Times New Roman" w:hAnsi="Times New Roman" w:cs="Times New Roman" w:eastAsia="Times New Roman" w:hint="default"/>
        </w:rPr>
        <w:t>2017 </w:t>
      </w:r>
      <w:r>
        <w:rPr>
          <w:spacing w:val="-5"/>
        </w:rPr>
        <w:t>年取得了阶段性成效。电力市场化交易机构组建工作已经基本完成，全国已形成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个区域</w:t>
      </w:r>
    </w:p>
    <w:p>
      <w:pPr>
        <w:pStyle w:val="BodyText"/>
        <w:spacing w:line="264" w:lineRule="exact"/>
        <w:ind w:right="100"/>
        <w:jc w:val="left"/>
      </w:pPr>
      <w:r>
        <w:rPr/>
        <w:t>级交易中心和 </w:t>
      </w:r>
      <w:r>
        <w:rPr>
          <w:rFonts w:ascii="Times New Roman" w:hAnsi="Times New Roman" w:cs="Times New Roman" w:eastAsia="Times New Roman" w:hint="default"/>
        </w:rPr>
        <w:t>32</w:t>
      </w:r>
      <w:r>
        <w:rPr>
          <w:rFonts w:ascii="Times New Roman" w:hAnsi="Times New Roman" w:cs="Times New Roman" w:eastAsia="Times New Roman" w:hint="default"/>
          <w:spacing w:val="19"/>
        </w:rPr>
        <w:t> </w:t>
      </w:r>
      <w:r>
        <w:rPr>
          <w:spacing w:val="-5"/>
        </w:rPr>
        <w:t>个省级交易中心。输配电价改革已实现了省级电网全覆盖，为多方直接交易奠定</w:t>
      </w:r>
    </w:p>
    <w:p>
      <w:pPr>
        <w:pStyle w:val="BodyText"/>
        <w:spacing w:line="271" w:lineRule="exact"/>
        <w:ind w:right="100"/>
        <w:jc w:val="left"/>
      </w:pPr>
      <w:r>
        <w:rPr>
          <w:spacing w:val="-3"/>
        </w:rPr>
        <w:t>了坚实基础。截至</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日，全国在电力交易中心公示的售电公司已有</w:t>
      </w:r>
      <w:r>
        <w:rPr>
          <w:spacing w:val="-52"/>
        </w:rPr>
        <w:t> </w:t>
      </w:r>
      <w:r>
        <w:rPr>
          <w:rFonts w:ascii="Times New Roman" w:hAnsi="Times New Roman" w:cs="Times New Roman" w:eastAsia="Times New Roman" w:hint="default"/>
        </w:rPr>
        <w:t>2,994 </w:t>
      </w:r>
      <w:r>
        <w:rPr>
          <w:spacing w:val="-4"/>
        </w:rPr>
        <w:t>家，从区</w:t>
      </w:r>
    </w:p>
    <w:p>
      <w:pPr>
        <w:pStyle w:val="BodyText"/>
        <w:spacing w:line="274" w:lineRule="exact" w:before="16"/>
        <w:ind w:right="100"/>
        <w:jc w:val="left"/>
      </w:pPr>
      <w:r>
        <w:rPr>
          <w:spacing w:val="-4"/>
        </w:rPr>
        <w:t>域来看，售电公司注册范围已经扩围至 </w:t>
      </w:r>
      <w:r>
        <w:rPr>
          <w:rFonts w:ascii="Times New Roman" w:hAnsi="Times New Roman" w:cs="Times New Roman" w:eastAsia="Times New Roman" w:hint="default"/>
        </w:rPr>
        <w:t>25 </w:t>
      </w:r>
      <w:r>
        <w:rPr>
          <w:spacing w:val="-5"/>
        </w:rPr>
        <w:t>个省市，有效的激活了市场活力，为电力用户提供多元</w:t>
      </w:r>
      <w:r>
        <w:rPr>
          <w:spacing w:val="-70"/>
        </w:rPr>
        <w:t> </w:t>
      </w:r>
      <w:r>
        <w:rPr>
          <w:spacing w:val="-70"/>
        </w:rPr>
      </w:r>
      <w:r>
        <w:rPr/>
        <w:t>化选择和增值服务。</w:t>
      </w:r>
    </w:p>
    <w:p>
      <w:pPr>
        <w:pStyle w:val="BodyText"/>
        <w:spacing w:line="253" w:lineRule="exact"/>
        <w:ind w:left="558" w:right="100"/>
        <w:jc w:val="left"/>
      </w:pPr>
      <w:r>
        <w:rPr>
          <w:w w:val="100"/>
        </w:rPr>
        <w:t>（</w:t>
      </w:r>
      <w:r>
        <w:rPr>
          <w:rFonts w:ascii="Times New Roman" w:hAnsi="Times New Roman" w:cs="Times New Roman" w:eastAsia="Times New Roman" w:hint="default"/>
          <w:w w:val="100"/>
        </w:rPr>
        <w:t>2</w:t>
      </w:r>
      <w:r>
        <w:rPr>
          <w:spacing w:val="-106"/>
          <w:w w:val="100"/>
        </w:rPr>
        <w:t>）</w:t>
      </w:r>
      <w:r>
        <w:rPr>
          <w:spacing w:val="-3"/>
          <w:w w:val="100"/>
        </w:rPr>
        <w:t>“</w:t>
      </w:r>
      <w:r>
        <w:rPr>
          <w:w w:val="100"/>
        </w:rPr>
        <w:t>互</w:t>
      </w:r>
      <w:r>
        <w:rPr>
          <w:spacing w:val="-3"/>
          <w:w w:val="100"/>
        </w:rPr>
        <w:t>联网</w:t>
      </w:r>
      <w:r>
        <w:rPr>
          <w:rFonts w:ascii="Times New Roman" w:hAnsi="Times New Roman" w:cs="Times New Roman" w:eastAsia="Times New Roman" w:hint="default"/>
          <w:w w:val="100"/>
        </w:rPr>
        <w:t>+</w:t>
      </w:r>
      <w:r>
        <w:rPr>
          <w:spacing w:val="-2"/>
          <w:w w:val="100"/>
        </w:rPr>
        <w:t>”</w:t>
      </w:r>
      <w:r>
        <w:rPr>
          <w:w w:val="100"/>
        </w:rPr>
        <w:t>智</w:t>
      </w:r>
      <w:r>
        <w:rPr>
          <w:spacing w:val="-3"/>
          <w:w w:val="100"/>
        </w:rPr>
        <w:t>慧</w:t>
      </w:r>
      <w:r>
        <w:rPr>
          <w:w w:val="100"/>
        </w:rPr>
        <w:t>能</w:t>
      </w:r>
      <w:r>
        <w:rPr>
          <w:spacing w:val="-3"/>
          <w:w w:val="100"/>
        </w:rPr>
        <w:t>源</w:t>
      </w:r>
      <w:r>
        <w:rPr>
          <w:w w:val="100"/>
        </w:rPr>
        <w:t>是未</w:t>
      </w:r>
      <w:r>
        <w:rPr>
          <w:spacing w:val="-3"/>
          <w:w w:val="100"/>
        </w:rPr>
        <w:t>来</w:t>
      </w:r>
      <w:r>
        <w:rPr>
          <w:w w:val="100"/>
        </w:rPr>
        <w:t>发</w:t>
      </w:r>
      <w:r>
        <w:rPr>
          <w:spacing w:val="-3"/>
          <w:w w:val="100"/>
        </w:rPr>
        <w:t>展</w:t>
      </w:r>
      <w:r>
        <w:rPr>
          <w:w w:val="100"/>
        </w:rPr>
        <w:t>新</w:t>
      </w:r>
      <w:r>
        <w:rPr>
          <w:spacing w:val="-3"/>
          <w:w w:val="100"/>
        </w:rPr>
        <w:t>模</w:t>
      </w:r>
      <w:r>
        <w:rPr>
          <w:w w:val="100"/>
        </w:rPr>
        <w:t>式</w:t>
      </w:r>
    </w:p>
    <w:p>
      <w:pPr>
        <w:pStyle w:val="BodyText"/>
        <w:spacing w:line="228" w:lineRule="auto" w:before="3"/>
        <w:ind w:right="208" w:firstLine="419"/>
        <w:jc w:val="both"/>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spacing w:val="-6"/>
        </w:rPr>
        <w:t>月，国家发改委、国家能源局、工业和信息化部联合颁布了《关于推进“互联网</w:t>
      </w:r>
      <w:r>
        <w:rPr>
          <w:rFonts w:ascii="Times New Roman" w:hAnsi="Times New Roman" w:cs="Times New Roman" w:eastAsia="Times New Roman" w:hint="default"/>
          <w:spacing w:val="-6"/>
        </w:rPr>
        <w:t>+</w:t>
      </w:r>
      <w:r>
        <w:rPr>
          <w:spacing w:val="-6"/>
        </w:rPr>
        <w:t>”</w:t>
      </w:r>
      <w:r>
        <w:rPr>
          <w:w w:val="100"/>
        </w:rPr>
        <w:t> </w:t>
      </w:r>
      <w:r>
        <w:rPr>
          <w:spacing w:val="-5"/>
          <w:w w:val="100"/>
        </w:rPr>
        <w:t>智慧能源发展的指导意见》，对能源互联网进行了定义。</w:t>
      </w:r>
      <w:r>
        <w:rPr>
          <w:rFonts w:ascii="Times New Roman" w:hAnsi="Times New Roman" w:cs="Times New Roman" w:eastAsia="Times New Roman" w:hint="default"/>
          <w:spacing w:val="-5"/>
          <w:w w:val="100"/>
        </w:rPr>
        <w:t>2017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9"/>
          <w:w w:val="100"/>
        </w:rPr>
        <w:t> </w:t>
      </w:r>
      <w:r>
        <w:rPr>
          <w:spacing w:val="-2"/>
          <w:w w:val="100"/>
        </w:rPr>
        <w:t>月，国家发展改革委、国家能</w:t>
      </w:r>
      <w:r>
        <w:rPr>
          <w:w w:val="100"/>
        </w:rPr>
        <w:t> </w:t>
      </w:r>
      <w:r>
        <w:rPr>
          <w:spacing w:val="-4"/>
          <w:w w:val="100"/>
        </w:rPr>
        <w:t>源局出台的《能源发展“十三五”规划》提出：“十三五”期间，我国将积极推动“互联网</w:t>
      </w:r>
      <w:r>
        <w:rPr>
          <w:rFonts w:ascii="Times New Roman" w:hAnsi="Times New Roman" w:cs="Times New Roman" w:eastAsia="Times New Roman" w:hint="default"/>
          <w:spacing w:val="-4"/>
          <w:w w:val="100"/>
        </w:rPr>
        <w:t>+</w:t>
      </w:r>
      <w:r>
        <w:rPr>
          <w:spacing w:val="-4"/>
          <w:w w:val="100"/>
        </w:rPr>
        <w:t>”智</w:t>
      </w:r>
      <w:r>
        <w:rPr>
          <w:spacing w:val="-100"/>
          <w:w w:val="100"/>
        </w:rPr>
        <w:t> </w:t>
      </w:r>
      <w:r>
        <w:rPr>
          <w:spacing w:val="-100"/>
          <w:w w:val="100"/>
        </w:rPr>
      </w:r>
      <w:r>
        <w:rPr>
          <w:spacing w:val="-1"/>
        </w:rPr>
        <w:t>慧能源应用发展，推进能源与信息、材料、生物等领域新技术深度融合，统筹能源与通信、交通</w:t>
      </w:r>
      <w:r>
        <w:rPr>
          <w:spacing w:val="-55"/>
        </w:rPr>
        <w:t> </w:t>
      </w:r>
      <w:r>
        <w:rPr>
          <w:spacing w:val="-55"/>
        </w:rPr>
      </w:r>
      <w:r>
        <w:rPr>
          <w:spacing w:val="-1"/>
        </w:rPr>
        <w:t>等基础设施建设，构建能源生产、输送、使用和储能体系协调发展、集成互补的能源互联网。一</w:t>
      </w:r>
      <w:r>
        <w:rPr>
          <w:spacing w:val="-55"/>
        </w:rPr>
        <w:t> </w:t>
      </w:r>
      <w:r>
        <w:rPr>
          <w:spacing w:val="-55"/>
        </w:rPr>
      </w:r>
      <w:r>
        <w:rPr/>
        <w:t>系列文件的出台为产业未来</w:t>
      </w:r>
      <w:r>
        <w:rPr>
          <w:spacing w:val="-34"/>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spacing w:val="-5"/>
        </w:rPr>
        <w:t>年的发展指明了方向。按照规划，近中期将分为两个阶段推进“互</w:t>
      </w:r>
      <w:r>
        <w:rPr>
          <w:spacing w:val="-98"/>
        </w:rPr>
        <w:t> </w:t>
      </w:r>
      <w:r>
        <w:rPr>
          <w:spacing w:val="-98"/>
        </w:rPr>
      </w:r>
      <w:r>
        <w:rPr>
          <w:spacing w:val="-7"/>
        </w:rPr>
        <w:t>联网</w:t>
      </w:r>
      <w:r>
        <w:rPr>
          <w:rFonts w:ascii="Times New Roman" w:hAnsi="Times New Roman" w:cs="Times New Roman" w:eastAsia="Times New Roman" w:hint="default"/>
          <w:spacing w:val="-7"/>
        </w:rPr>
        <w:t>+</w:t>
      </w:r>
      <w:r>
        <w:rPr>
          <w:spacing w:val="-7"/>
        </w:rPr>
        <w:t>”智慧能源的建设工作：</w:t>
      </w:r>
      <w:r>
        <w:rPr>
          <w:rFonts w:ascii="Times New Roman" w:hAnsi="Times New Roman" w:cs="Times New Roman" w:eastAsia="Times New Roman" w:hint="default"/>
          <w:spacing w:val="-7"/>
        </w:rPr>
        <w:t>2016~2018 </w:t>
      </w:r>
      <w:r>
        <w:rPr>
          <w:spacing w:val="-6"/>
        </w:rPr>
        <w:t>年，着力推进能源互联网试点示范工作。</w:t>
      </w:r>
      <w:r>
        <w:rPr>
          <w:rFonts w:ascii="Times New Roman" w:hAnsi="Times New Roman" w:cs="Times New Roman" w:eastAsia="Times New Roman" w:hint="default"/>
          <w:spacing w:val="-6"/>
        </w:rPr>
        <w:t>2019~2025 </w:t>
      </w:r>
      <w:r>
        <w:rPr/>
        <w:t>年，</w:t>
      </w:r>
      <w:r>
        <w:rPr>
          <w:spacing w:val="-99"/>
        </w:rPr>
        <w:t> </w:t>
      </w:r>
      <w:r>
        <w:rPr/>
        <w:t>着力推进能源互联网多元化、规模化发展。</w:t>
      </w:r>
    </w:p>
    <w:p>
      <w:pPr>
        <w:pStyle w:val="BodyText"/>
        <w:spacing w:line="281" w:lineRule="exact"/>
        <w:ind w:left="558" w:right="100"/>
        <w:jc w:val="left"/>
      </w:pPr>
      <w:r>
        <w:rPr>
          <w:rFonts w:ascii="Times New Roman" w:hAnsi="Times New Roman" w:cs="Times New Roman" w:eastAsia="Times New Roman" w:hint="default"/>
        </w:rPr>
        <w:t>2017 </w:t>
      </w:r>
      <w:r>
        <w:rPr/>
        <w:t>年，国家能源局首批“互联网</w:t>
      </w:r>
      <w:r>
        <w:rPr>
          <w:rFonts w:ascii="Times New Roman" w:hAnsi="Times New Roman" w:cs="Times New Roman" w:eastAsia="Times New Roman" w:hint="default"/>
        </w:rPr>
        <w:t>+</w:t>
      </w:r>
      <w:r>
        <w:rPr/>
        <w:t>”智慧能源（能源互联网）</w:t>
      </w:r>
      <w:r>
        <w:rPr>
          <w:rFonts w:ascii="Times New Roman" w:hAnsi="Times New Roman" w:cs="Times New Roman" w:eastAsia="Times New Roman" w:hint="default"/>
        </w:rPr>
        <w:t>55</w:t>
      </w:r>
      <w:r>
        <w:rPr>
          <w:rFonts w:ascii="Times New Roman" w:hAnsi="Times New Roman" w:cs="Times New Roman" w:eastAsia="Times New Roman" w:hint="default"/>
          <w:spacing w:val="-14"/>
        </w:rPr>
        <w:t> </w:t>
      </w:r>
      <w:r>
        <w:rPr/>
        <w:t>个示范项目，原则上要求</w:t>
      </w:r>
    </w:p>
    <w:p>
      <w:pPr>
        <w:pStyle w:val="BodyText"/>
        <w:spacing w:line="274" w:lineRule="exact" w:before="16"/>
        <w:ind w:right="100"/>
        <w:jc w:val="left"/>
      </w:pPr>
      <w:r>
        <w:rPr/>
        <w:t>首批示范项目于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月底前开工，并于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年底前建成。随着国家层面试点方案和标准的</w:t>
      </w:r>
      <w:r>
        <w:rPr>
          <w:w w:val="100"/>
        </w:rPr>
        <w:t> </w:t>
      </w:r>
      <w:r>
        <w:rPr/>
        <w:t>持续出台，能源互联网迈进新阶段。</w:t>
      </w:r>
    </w:p>
    <w:p>
      <w:pPr>
        <w:pStyle w:val="BodyText"/>
        <w:spacing w:line="253" w:lineRule="exact"/>
        <w:ind w:left="558" w:right="100"/>
        <w:jc w:val="left"/>
      </w:pPr>
      <w:r>
        <w:rPr/>
        <w:t>（</w:t>
      </w:r>
      <w:r>
        <w:rPr>
          <w:rFonts w:ascii="Times New Roman" w:hAnsi="Times New Roman" w:cs="Times New Roman" w:eastAsia="Times New Roman" w:hint="default"/>
        </w:rPr>
        <w:t>3</w:t>
      </w:r>
      <w:r>
        <w:rPr/>
        <w:t>）增量配网引入民营资本参与，进展超预期</w:t>
      </w:r>
    </w:p>
    <w:p>
      <w:pPr>
        <w:pStyle w:val="BodyText"/>
        <w:spacing w:line="272" w:lineRule="exact"/>
        <w:ind w:left="558" w:right="100"/>
        <w:jc w:val="left"/>
      </w:pPr>
      <w:r>
        <w:rPr>
          <w:spacing w:val="-3"/>
        </w:rPr>
        <w:t>为进一步鼓励和引导社会资本投资增量配电业务，</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月第二批</w:t>
      </w:r>
      <w:r>
        <w:rPr>
          <w:spacing w:val="-46"/>
        </w:rPr>
        <w:t> </w:t>
      </w:r>
      <w:r>
        <w:rPr>
          <w:rFonts w:ascii="Times New Roman" w:hAnsi="Times New Roman" w:cs="Times New Roman" w:eastAsia="Times New Roman" w:hint="default"/>
        </w:rPr>
        <w:t>89</w:t>
      </w:r>
      <w:r>
        <w:rPr>
          <w:rFonts w:ascii="Times New Roman" w:hAnsi="Times New Roman" w:cs="Times New Roman" w:eastAsia="Times New Roman" w:hint="default"/>
          <w:spacing w:val="7"/>
        </w:rPr>
        <w:t> </w:t>
      </w:r>
      <w:r>
        <w:rPr/>
        <w:t>个增量配电业务改</w:t>
      </w:r>
    </w:p>
    <w:p>
      <w:pPr>
        <w:pStyle w:val="BodyText"/>
        <w:spacing w:line="228" w:lineRule="auto" w:before="2"/>
        <w:ind w:right="207"/>
        <w:jc w:val="both"/>
      </w:pPr>
      <w:r>
        <w:rPr/>
        <w:t>革试点获批，全国增量配电业务改革试点达到</w:t>
      </w:r>
      <w:r>
        <w:rPr>
          <w:spacing w:val="-49"/>
        </w:rPr>
        <w:t> </w:t>
      </w:r>
      <w:r>
        <w:rPr>
          <w:rFonts w:ascii="Times New Roman" w:hAnsi="Times New Roman" w:cs="Times New Roman" w:eastAsia="Times New Roman" w:hint="default"/>
        </w:rPr>
        <w:t>195</w:t>
      </w:r>
      <w:r>
        <w:rPr>
          <w:rFonts w:ascii="Times New Roman" w:hAnsi="Times New Roman" w:cs="Times New Roman" w:eastAsia="Times New Roman" w:hint="default"/>
          <w:spacing w:val="2"/>
        </w:rPr>
        <w:t> </w:t>
      </w:r>
      <w:r>
        <w:rPr/>
        <w:t>个。同时，社会资本加入增量配网业务得到进</w:t>
      </w:r>
      <w:r>
        <w:rPr>
          <w:w w:val="100"/>
        </w:rPr>
        <w:t> </w:t>
      </w:r>
      <w:r>
        <w:rPr/>
        <w:t>一步推进。</w:t>
      </w:r>
      <w:r>
        <w:rPr>
          <w:rFonts w:ascii="Times New Roman" w:hAnsi="Times New Roman" w:cs="Times New Roman" w:eastAsia="Times New Roman" w:hint="default"/>
        </w:rPr>
        <w:t>2017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3"/>
        </w:rPr>
        <w:t> </w:t>
      </w:r>
      <w:r>
        <w:rPr/>
        <w:t>月，国家发展改革委召开电力体制改革专题会提出，要结合增量配电业务</w:t>
      </w:r>
      <w:r>
        <w:rPr>
          <w:w w:val="100"/>
        </w:rPr>
        <w:t> </w:t>
      </w:r>
      <w:r>
        <w:rPr>
          <w:spacing w:val="-1"/>
        </w:rPr>
        <w:t>改革扩大电力领域的混改试点，组织推进一批混合所有制改革和电力体制改革相结合的增量配电</w:t>
      </w:r>
      <w:r>
        <w:rPr>
          <w:spacing w:val="-55"/>
        </w:rPr>
        <w:t> </w:t>
      </w:r>
      <w:r>
        <w:rPr>
          <w:spacing w:val="-55"/>
        </w:rPr>
      </w:r>
      <w:r>
        <w:rPr>
          <w:spacing w:val="-4"/>
        </w:rPr>
        <w:t>业务试点项目。</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4"/>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spacing w:val="-5"/>
        </w:rPr>
        <w:t>日，全国发展改革会议上明确表示，</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4"/>
        </w:rPr>
        <w:t> </w:t>
      </w:r>
      <w:r>
        <w:rPr/>
        <w:t>年要以直接交易和增量</w:t>
      </w:r>
      <w:r>
        <w:rPr>
          <w:spacing w:val="-102"/>
        </w:rPr>
        <w:t> </w:t>
      </w:r>
      <w:r>
        <w:rPr>
          <w:spacing w:val="-102"/>
        </w:rPr>
      </w:r>
      <w:r>
        <w:rPr>
          <w:spacing w:val="-4"/>
        </w:rPr>
        <w:t>配电市场化为重点深化电力体制改革。增量配网改革将在 </w:t>
      </w:r>
      <w:r>
        <w:rPr>
          <w:rFonts w:ascii="Times New Roman" w:hAnsi="Times New Roman" w:cs="Times New Roman" w:eastAsia="Times New Roman" w:hint="default"/>
        </w:rPr>
        <w:t>2018 </w:t>
      </w:r>
      <w:r>
        <w:rPr>
          <w:spacing w:val="-5"/>
        </w:rPr>
        <w:t>年持续升温，成为未来改革的突破</w:t>
      </w:r>
      <w:r>
        <w:rPr>
          <w:spacing w:val="-79"/>
        </w:rPr>
        <w:t> </w:t>
      </w:r>
      <w:r>
        <w:rPr>
          <w:spacing w:val="-79"/>
        </w:rPr>
      </w:r>
      <w:r>
        <w:rPr/>
        <w:t>口。</w:t>
      </w:r>
    </w:p>
    <w:p>
      <w:pPr>
        <w:pStyle w:val="BodyText"/>
        <w:spacing w:line="281" w:lineRule="exact"/>
        <w:ind w:left="558" w:right="100"/>
        <w:jc w:val="left"/>
      </w:pPr>
      <w:r>
        <w:rPr>
          <w:rFonts w:ascii="Times New Roman" w:hAnsi="Times New Roman" w:cs="Times New Roman" w:eastAsia="Times New Roman" w:hint="default"/>
        </w:rPr>
        <w:t>1.2.2</w:t>
      </w:r>
      <w:r>
        <w:rPr>
          <w:rFonts w:ascii="Times New Roman" w:hAnsi="Times New Roman" w:cs="Times New Roman" w:eastAsia="Times New Roman" w:hint="default"/>
          <w:spacing w:val="1"/>
        </w:rPr>
        <w:t> </w:t>
      </w:r>
      <w:r>
        <w:rPr/>
        <w:t>产业动向</w:t>
      </w:r>
    </w:p>
    <w:p>
      <w:pPr>
        <w:pStyle w:val="BodyText"/>
        <w:spacing w:line="272" w:lineRule="exact"/>
        <w:ind w:left="558" w:right="100"/>
        <w:jc w:val="left"/>
      </w:pPr>
      <w:r>
        <w:rPr/>
        <w:t>（</w:t>
      </w:r>
      <w:r>
        <w:rPr>
          <w:rFonts w:ascii="Times New Roman" w:hAnsi="Times New Roman" w:cs="Times New Roman" w:eastAsia="Times New Roman" w:hint="default"/>
        </w:rPr>
        <w:t>1</w:t>
      </w:r>
      <w:r>
        <w:rPr/>
        <w:t>）火电供给侧改革，综合售电服务机遇显现</w:t>
      </w:r>
    </w:p>
    <w:p>
      <w:pPr>
        <w:pStyle w:val="BodyText"/>
        <w:spacing w:line="228" w:lineRule="auto" w:before="3"/>
        <w:ind w:right="208" w:firstLine="419"/>
        <w:jc w:val="both"/>
      </w:pPr>
      <w:r>
        <w:rPr>
          <w:spacing w:val="-4"/>
        </w:rPr>
        <w:t>据国家发改委预计，</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3"/>
        </w:rPr>
        <w:t> </w:t>
      </w:r>
      <w:r>
        <w:rPr>
          <w:spacing w:val="-4"/>
        </w:rPr>
        <w:t>年全国包括电力直接交易、发电权交易、跨省送电交易等在内的电</w:t>
      </w:r>
      <w:r>
        <w:rPr>
          <w:w w:val="100"/>
        </w:rPr>
        <w:t> </w:t>
      </w:r>
      <w:r>
        <w:rPr/>
        <w:t>力市场化规模将达到 </w:t>
      </w:r>
      <w:r>
        <w:rPr>
          <w:rFonts w:ascii="Times New Roman" w:hAnsi="Times New Roman" w:cs="Times New Roman" w:eastAsia="Times New Roman" w:hint="default"/>
        </w:rPr>
        <w:t>2 </w:t>
      </w:r>
      <w:r>
        <w:rPr/>
        <w:t>万亿千瓦时，占电网销售电量的比重达到 </w:t>
      </w:r>
      <w:r>
        <w:rPr>
          <w:rFonts w:ascii="Times New Roman" w:hAnsi="Times New Roman" w:cs="Times New Roman" w:eastAsia="Times New Roman" w:hint="default"/>
        </w:rPr>
        <w:t>35%</w:t>
      </w:r>
      <w:r>
        <w:rPr/>
        <w:t>。国家能源局 </w:t>
      </w:r>
      <w:r>
        <w:rPr>
          <w:rFonts w:ascii="Times New Roman" w:hAnsi="Times New Roman" w:cs="Times New Roman" w:eastAsia="Times New Roman" w:hint="default"/>
        </w:rPr>
        <w:t>2016</w:t>
      </w:r>
      <w:r>
        <w:rPr>
          <w:rFonts w:ascii="Times New Roman" w:hAnsi="Times New Roman" w:cs="Times New Roman" w:eastAsia="Times New Roman" w:hint="default"/>
          <w:spacing w:val="48"/>
        </w:rPr>
        <w:t> </w:t>
      </w:r>
      <w:r>
        <w:rPr/>
        <w:t>年发</w:t>
      </w:r>
      <w:r>
        <w:rPr>
          <w:w w:val="100"/>
        </w:rPr>
        <w:t> </w:t>
      </w:r>
      <w:r>
        <w:rPr>
          <w:spacing w:val="-11"/>
          <w:w w:val="100"/>
        </w:rPr>
        <w:t>布的《关于做好电力市场建设有关工作的通知（征求意见稿）》对市场化交易电力规模进行了规划，</w:t>
      </w:r>
      <w:r>
        <w:rPr>
          <w:spacing w:val="-93"/>
          <w:w w:val="100"/>
        </w:rPr>
        <w:t> </w:t>
      </w:r>
      <w:r>
        <w:rPr>
          <w:spacing w:val="-93"/>
          <w:w w:val="100"/>
        </w:rPr>
      </w:r>
      <w:r>
        <w:rPr>
          <w:rFonts w:ascii="Times New Roman" w:hAnsi="Times New Roman" w:cs="Times New Roman" w:eastAsia="Times New Roman" w:hint="default"/>
        </w:rPr>
        <w:t>2018 </w:t>
      </w:r>
      <w:r>
        <w:rPr/>
        <w:t>年实现工业用电量 </w:t>
      </w:r>
      <w:r>
        <w:rPr>
          <w:rFonts w:ascii="Times New Roman" w:hAnsi="Times New Roman" w:cs="Times New Roman" w:eastAsia="Times New Roman" w:hint="default"/>
        </w:rPr>
        <w:t>100%</w:t>
      </w:r>
      <w:r>
        <w:rPr/>
        <w:t>放开，</w:t>
      </w:r>
      <w:r>
        <w:rPr>
          <w:rFonts w:ascii="Times New Roman" w:hAnsi="Times New Roman" w:cs="Times New Roman" w:eastAsia="Times New Roman" w:hint="default"/>
        </w:rPr>
        <w:t>2020</w:t>
      </w:r>
      <w:r>
        <w:rPr>
          <w:rFonts w:ascii="Times New Roman" w:hAnsi="Times New Roman" w:cs="Times New Roman" w:eastAsia="Times New Roman" w:hint="default"/>
          <w:spacing w:val="46"/>
        </w:rPr>
        <w:t> </w:t>
      </w:r>
      <w:r>
        <w:rPr/>
        <w:t>年实现商业用电量的全部放开。根据售电市场全国平</w:t>
      </w:r>
      <w:r>
        <w:rPr>
          <w:w w:val="100"/>
        </w:rPr>
        <w:t> </w:t>
      </w:r>
      <w:r>
        <w:rPr/>
        <w:t>均销售电价 </w:t>
      </w:r>
      <w:r>
        <w:rPr>
          <w:rFonts w:ascii="Times New Roman" w:hAnsi="Times New Roman" w:cs="Times New Roman" w:eastAsia="Times New Roman" w:hint="default"/>
        </w:rPr>
        <w:t>0.492 </w:t>
      </w:r>
      <w:r>
        <w:rPr>
          <w:spacing w:val="-8"/>
        </w:rPr>
        <w:t>元</w:t>
      </w:r>
      <w:r>
        <w:rPr>
          <w:rFonts w:ascii="Times New Roman" w:hAnsi="Times New Roman" w:cs="Times New Roman" w:eastAsia="Times New Roman" w:hint="default"/>
          <w:spacing w:val="-8"/>
        </w:rPr>
        <w:t>/</w:t>
      </w:r>
      <w:r>
        <w:rPr>
          <w:spacing w:val="-8"/>
        </w:rPr>
        <w:t>千瓦时测算，</w:t>
      </w:r>
      <w:r>
        <w:rPr>
          <w:rFonts w:ascii="Times New Roman" w:hAnsi="Times New Roman" w:cs="Times New Roman" w:eastAsia="Times New Roman" w:hint="default"/>
          <w:spacing w:val="-8"/>
        </w:rPr>
        <w:t>2017 </w:t>
      </w:r>
      <w:r>
        <w:rPr/>
        <w:t>年全国电力市场化交易规模将达到 </w:t>
      </w:r>
      <w:r>
        <w:rPr>
          <w:rFonts w:ascii="Times New Roman" w:hAnsi="Times New Roman" w:cs="Times New Roman" w:eastAsia="Times New Roman" w:hint="default"/>
        </w:rPr>
        <w:t>9,840 </w:t>
      </w:r>
      <w:r>
        <w:rPr>
          <w:spacing w:val="-12"/>
        </w:rPr>
        <w:t>亿元，</w:t>
      </w:r>
      <w:r>
        <w:rPr>
          <w:rFonts w:ascii="Times New Roman" w:hAnsi="Times New Roman" w:cs="Times New Roman" w:eastAsia="Times New Roman" w:hint="default"/>
          <w:spacing w:val="-12"/>
        </w:rPr>
        <w:t>2020</w:t>
      </w:r>
      <w:r>
        <w:rPr>
          <w:rFonts w:ascii="Times New Roman" w:hAnsi="Times New Roman" w:cs="Times New Roman" w:eastAsia="Times New Roman" w:hint="default"/>
          <w:spacing w:val="5"/>
        </w:rPr>
        <w:t> </w:t>
      </w:r>
      <w:r>
        <w:rPr/>
        <w:t>年</w:t>
      </w:r>
      <w:r>
        <w:rPr>
          <w:w w:val="100"/>
        </w:rPr>
        <w:t> </w:t>
      </w:r>
      <w:r>
        <w:rPr/>
        <w:t>预计市场化交易电量达 </w:t>
      </w:r>
      <w:r>
        <w:rPr>
          <w:rFonts w:ascii="Times New Roman" w:hAnsi="Times New Roman" w:cs="Times New Roman" w:eastAsia="Times New Roman" w:hint="default"/>
        </w:rPr>
        <w:t>5.5 </w:t>
      </w:r>
      <w:r>
        <w:rPr/>
        <w:t>万亿千瓦时，市场规模将有望突破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万亿元，电力市场化交易空间</w:t>
      </w:r>
      <w:r>
        <w:rPr>
          <w:w w:val="100"/>
        </w:rPr>
        <w:t> </w:t>
      </w:r>
      <w:r>
        <w:rPr/>
        <w:t>巨大。</w:t>
      </w:r>
    </w:p>
    <w:p>
      <w:pPr>
        <w:spacing w:after="0" w:line="228"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2" w:lineRule="auto" w:before="43"/>
        <w:ind w:right="128" w:firstLine="419"/>
        <w:jc w:val="both"/>
      </w:pPr>
      <w:r>
        <w:rPr>
          <w:spacing w:val="1"/>
          <w:w w:val="100"/>
        </w:rPr>
        <w:t>同时配售电改革将推动行业形成新的盈利模式</w:t>
      </w:r>
      <w:r>
        <w:rPr>
          <w:spacing w:val="29"/>
          <w:w w:val="100"/>
        </w:rPr>
        <w:t> </w:t>
      </w:r>
      <w:r>
        <w:rPr>
          <w:spacing w:val="-5"/>
          <w:w w:val="100"/>
        </w:rPr>
        <w:t>，售电公司业务转变为“销售</w:t>
      </w:r>
      <w:r>
        <w:rPr>
          <w:rFonts w:ascii="Times New Roman" w:hAnsi="Times New Roman" w:cs="Times New Roman" w:eastAsia="Times New Roman" w:hint="default"/>
          <w:spacing w:val="-5"/>
          <w:w w:val="100"/>
        </w:rPr>
        <w:t>+</w:t>
      </w:r>
      <w:r>
        <w:rPr>
          <w:spacing w:val="-5"/>
          <w:w w:val="100"/>
        </w:rPr>
        <w:t>服务”。售电</w:t>
      </w:r>
      <w:r>
        <w:rPr>
          <w:w w:val="100"/>
        </w:rPr>
        <w:t> </w:t>
      </w:r>
      <w:r>
        <w:rPr>
          <w:spacing w:val="-1"/>
        </w:rPr>
        <w:t>公司业务可分为电力销售业务和增值服务业务，电力销售业务依靠赚取售电差价，增值服务业务</w:t>
      </w:r>
      <w:r>
        <w:rPr>
          <w:spacing w:val="-55"/>
        </w:rPr>
        <w:t> </w:t>
      </w:r>
      <w:r>
        <w:rPr>
          <w:spacing w:val="-55"/>
        </w:rPr>
      </w:r>
      <w:r>
        <w:rPr>
          <w:spacing w:val="-1"/>
        </w:rPr>
        <w:t>提供节能改造、能效监测、需求管理等多种服务类型。未来综合型的售电服务公司将具有更强的</w:t>
      </w:r>
      <w:r>
        <w:rPr>
          <w:spacing w:val="-55"/>
        </w:rPr>
        <w:t> </w:t>
      </w:r>
      <w:r>
        <w:rPr>
          <w:spacing w:val="-55"/>
        </w:rPr>
      </w:r>
      <w:r>
        <w:rPr/>
        <w:t>竞争力。</w:t>
      </w:r>
    </w:p>
    <w:p>
      <w:pPr>
        <w:pStyle w:val="BodyText"/>
        <w:spacing w:line="279" w:lineRule="exact"/>
        <w:ind w:left="558" w:right="0"/>
        <w:jc w:val="left"/>
      </w:pPr>
      <w:r>
        <w:rPr/>
        <w:t>（</w:t>
      </w:r>
      <w:r>
        <w:rPr>
          <w:rFonts w:ascii="Times New Roman" w:hAnsi="Times New Roman" w:cs="Times New Roman" w:eastAsia="Times New Roman" w:hint="default"/>
        </w:rPr>
        <w:t>2</w:t>
      </w:r>
      <w:r>
        <w:rPr/>
        <w:t>）中国能源互联网进入实操阶段，市场规模将超万亿</w:t>
      </w:r>
    </w:p>
    <w:p>
      <w:pPr>
        <w:pStyle w:val="BodyText"/>
        <w:spacing w:line="272" w:lineRule="exact"/>
        <w:ind w:left="558" w:right="0"/>
        <w:jc w:val="left"/>
      </w:pPr>
      <w:r>
        <w:rPr/>
        <w:t>全国 </w:t>
      </w:r>
      <w:r>
        <w:rPr>
          <w:rFonts w:ascii="Times New Roman" w:hAnsi="Times New Roman" w:cs="Times New Roman" w:eastAsia="Times New Roman" w:hint="default"/>
        </w:rPr>
        <w:t>55</w:t>
      </w:r>
      <w:r>
        <w:rPr>
          <w:rFonts w:ascii="Times New Roman" w:hAnsi="Times New Roman" w:cs="Times New Roman" w:eastAsia="Times New Roman" w:hint="default"/>
          <w:spacing w:val="-7"/>
        </w:rPr>
        <w:t> </w:t>
      </w:r>
      <w:r>
        <w:rPr>
          <w:spacing w:val="-4"/>
        </w:rPr>
        <w:t>个首批能源互联网示范项目已陆续开工，中国能源互联网进入实操阶段。埃森哲发布</w:t>
      </w:r>
    </w:p>
    <w:p>
      <w:pPr>
        <w:pStyle w:val="BodyText"/>
        <w:spacing w:line="230" w:lineRule="auto"/>
        <w:ind w:right="127"/>
        <w:jc w:val="both"/>
      </w:pPr>
      <w:r>
        <w:rPr/>
        <w:t>的《中国能源互联网商业生态展望》报告预测，到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年中国能源互联网的总体市场规模将超</w:t>
      </w:r>
      <w:r>
        <w:rPr>
          <w:w w:val="100"/>
        </w:rPr>
        <w:t> </w:t>
      </w:r>
      <w:r>
        <w:rPr/>
        <w:t>过 </w:t>
      </w:r>
      <w:r>
        <w:rPr>
          <w:rFonts w:ascii="Times New Roman" w:hAnsi="Times New Roman" w:cs="Times New Roman" w:eastAsia="Times New Roman" w:hint="default"/>
        </w:rPr>
        <w:t>9,400 </w:t>
      </w:r>
      <w:r>
        <w:rPr/>
        <w:t>亿美元，约占当年 </w:t>
      </w:r>
      <w:r>
        <w:rPr>
          <w:rFonts w:ascii="Times New Roman" w:hAnsi="Times New Roman" w:cs="Times New Roman" w:eastAsia="Times New Roman" w:hint="default"/>
        </w:rPr>
        <w:t>GDP </w:t>
      </w:r>
      <w:r>
        <w:rPr/>
        <w:t>的</w:t>
      </w:r>
      <w:r>
        <w:rPr>
          <w:spacing w:val="-15"/>
        </w:rPr>
        <w:t> </w:t>
      </w:r>
      <w:r>
        <w:rPr>
          <w:rFonts w:ascii="Times New Roman" w:hAnsi="Times New Roman" w:cs="Times New Roman" w:eastAsia="Times New Roman" w:hint="default"/>
        </w:rPr>
        <w:t>7%</w:t>
      </w:r>
      <w:r>
        <w:rPr/>
        <w:t>。其中，除智能电网建设先行驱动的快速增长外，能源</w:t>
      </w:r>
      <w:r>
        <w:rPr>
          <w:w w:val="100"/>
        </w:rPr>
        <w:t> </w:t>
      </w:r>
      <w:r>
        <w:rPr>
          <w:spacing w:val="-1"/>
        </w:rPr>
        <w:t>互联网还会直接带动微网建设、冷热电三联供系统建设、屋顶太阳能系统建设、物联网建设、智</w:t>
      </w:r>
      <w:r>
        <w:rPr>
          <w:spacing w:val="-55"/>
        </w:rPr>
        <w:t> </w:t>
      </w:r>
      <w:r>
        <w:rPr>
          <w:spacing w:val="-55"/>
        </w:rPr>
      </w:r>
      <w:r>
        <w:rPr/>
        <w:t>能家居系统、储能系统等一系列制造产业的增长。</w:t>
      </w:r>
    </w:p>
    <w:p>
      <w:pPr>
        <w:pStyle w:val="BodyText"/>
        <w:spacing w:line="232" w:lineRule="auto" w:before="5"/>
        <w:ind w:right="128" w:firstLine="419"/>
        <w:jc w:val="both"/>
      </w:pPr>
      <w:r>
        <w:rPr>
          <w:spacing w:val="-2"/>
        </w:rPr>
        <w:t>此外“一带一路”使能源互联网更有发展潜力。习主席在联合国发展峰会倡议探讨构建全球</w:t>
      </w:r>
      <w:r>
        <w:rPr>
          <w:w w:val="100"/>
        </w:rPr>
        <w:t> </w:t>
      </w:r>
      <w:r>
        <w:rPr>
          <w:spacing w:val="-3"/>
        </w:rPr>
        <w:t>能源互联网，推动以清洁和绿色方式满足全球电力需求。根据</w:t>
      </w:r>
      <w:r>
        <w:rPr>
          <w:spacing w:val="-34"/>
        </w:rPr>
        <w:t> </w:t>
      </w:r>
      <w:r>
        <w:rPr>
          <w:rFonts w:ascii="Times New Roman" w:hAnsi="Times New Roman" w:cs="Times New Roman" w:eastAsia="Times New Roman" w:hint="default"/>
        </w:rPr>
        <w:t>IEA</w:t>
      </w:r>
      <w:r>
        <w:rPr>
          <w:rFonts w:ascii="Times New Roman" w:hAnsi="Times New Roman" w:cs="Times New Roman" w:eastAsia="Times New Roman" w:hint="default"/>
          <w:spacing w:val="21"/>
        </w:rPr>
        <w:t> </w:t>
      </w:r>
      <w:r>
        <w:rPr>
          <w:spacing w:val="-4"/>
        </w:rPr>
        <w:t>预计，未来十年全球电力领域</w:t>
      </w:r>
      <w:r>
        <w:rPr>
          <w:spacing w:val="-98"/>
        </w:rPr>
        <w:t> </w:t>
      </w:r>
      <w:r>
        <w:rPr>
          <w:spacing w:val="-98"/>
        </w:rPr>
      </w:r>
      <w:r>
        <w:rPr>
          <w:spacing w:val="-1"/>
          <w:w w:val="100"/>
        </w:rPr>
        <w:t>投资金额高达</w:t>
      </w:r>
      <w:r>
        <w:rPr>
          <w:w w:val="100"/>
        </w:rPr>
        <w:t> </w:t>
      </w:r>
      <w:r>
        <w:rPr>
          <w:rFonts w:ascii="Times New Roman" w:hAnsi="Times New Roman" w:cs="Times New Roman" w:eastAsia="Times New Roman" w:hint="default"/>
          <w:spacing w:val="-1"/>
          <w:w w:val="100"/>
        </w:rPr>
        <w:t>7.2</w:t>
      </w:r>
      <w:r>
        <w:rPr>
          <w:rFonts w:ascii="Times New Roman" w:hAnsi="Times New Roman" w:cs="Times New Roman" w:eastAsia="Times New Roman" w:hint="default"/>
          <w:spacing w:val="28"/>
          <w:w w:val="100"/>
        </w:rPr>
        <w:t> </w:t>
      </w:r>
      <w:r>
        <w:rPr>
          <w:spacing w:val="-8"/>
          <w:w w:val="100"/>
        </w:rPr>
        <w:t>万亿美元，其中，“一带一路”沿线国家迎来万亿美元的投资规模，沿线国家可</w:t>
      </w:r>
    </w:p>
    <w:p>
      <w:pPr>
        <w:pStyle w:val="BodyText"/>
        <w:spacing w:line="225" w:lineRule="auto"/>
        <w:ind w:right="128"/>
        <w:jc w:val="both"/>
      </w:pPr>
      <w:r>
        <w:rPr>
          <w:spacing w:val="-9"/>
          <w:w w:val="100"/>
        </w:rPr>
        <w:t>再生能源装机增长潜力巨大，到</w:t>
      </w:r>
      <w:r>
        <w:rPr>
          <w:spacing w:val="-69"/>
          <w:w w:val="100"/>
        </w:rPr>
        <w:t> </w:t>
      </w:r>
      <w:r>
        <w:rPr>
          <w:rFonts w:ascii="Times New Roman" w:hAnsi="Times New Roman" w:cs="Times New Roman" w:eastAsia="Times New Roman" w:hint="default"/>
          <w:spacing w:val="-1"/>
          <w:w w:val="100"/>
        </w:rPr>
        <w:t>2030</w:t>
      </w:r>
      <w:r>
        <w:rPr>
          <w:rFonts w:ascii="Times New Roman" w:hAnsi="Times New Roman" w:cs="Times New Roman" w:eastAsia="Times New Roman" w:hint="default"/>
          <w:w w:val="100"/>
        </w:rPr>
        <w:t> </w:t>
      </w:r>
      <w:r>
        <w:rPr>
          <w:spacing w:val="-2"/>
          <w:w w:val="100"/>
        </w:rPr>
        <w:t>年可再生能源新增装机约</w:t>
      </w:r>
      <w:r>
        <w:rPr>
          <w:spacing w:val="-72"/>
          <w:w w:val="100"/>
        </w:rPr>
        <w:t> </w:t>
      </w:r>
      <w:r>
        <w:rPr>
          <w:rFonts w:ascii="Times New Roman" w:hAnsi="Times New Roman" w:cs="Times New Roman" w:eastAsia="Times New Roman" w:hint="default"/>
          <w:w w:val="100"/>
        </w:rPr>
        <w:t>19.4 </w:t>
      </w:r>
      <w:r>
        <w:rPr>
          <w:w w:val="100"/>
        </w:rPr>
        <w:t>亿</w:t>
      </w:r>
      <w:r>
        <w:rPr>
          <w:spacing w:val="-69"/>
          <w:w w:val="100"/>
        </w:rPr>
        <w:t> </w:t>
      </w:r>
      <w:r>
        <w:rPr>
          <w:rFonts w:ascii="Times New Roman" w:hAnsi="Times New Roman" w:cs="Times New Roman" w:eastAsia="Times New Roman" w:hint="default"/>
          <w:spacing w:val="-28"/>
          <w:w w:val="100"/>
        </w:rPr>
        <w:t>kW</w:t>
      </w:r>
      <w:r>
        <w:rPr>
          <w:spacing w:val="-28"/>
          <w:w w:val="100"/>
        </w:rPr>
        <w:t>，到</w:t>
      </w:r>
      <w:r>
        <w:rPr>
          <w:spacing w:val="-69"/>
          <w:w w:val="100"/>
        </w:rPr>
        <w:t> </w:t>
      </w:r>
      <w:r>
        <w:rPr>
          <w:rFonts w:ascii="Times New Roman" w:hAnsi="Times New Roman" w:cs="Times New Roman" w:eastAsia="Times New Roman" w:hint="default"/>
          <w:w w:val="100"/>
        </w:rPr>
        <w:t>2040 </w:t>
      </w:r>
      <w:r>
        <w:rPr>
          <w:spacing w:val="-1"/>
          <w:w w:val="100"/>
        </w:rPr>
        <w:t>年新增</w:t>
      </w:r>
      <w:r>
        <w:rPr>
          <w:spacing w:val="-70"/>
          <w:w w:val="100"/>
        </w:rPr>
        <w:t> </w:t>
      </w:r>
      <w:r>
        <w:rPr>
          <w:rFonts w:ascii="Times New Roman" w:hAnsi="Times New Roman" w:cs="Times New Roman" w:eastAsia="Times New Roman" w:hint="default"/>
          <w:w w:val="100"/>
        </w:rPr>
        <w:t>26 </w:t>
      </w:r>
      <w:r>
        <w:rPr>
          <w:w w:val="100"/>
        </w:rPr>
        <w:t>亿 </w:t>
      </w:r>
      <w:r>
        <w:rPr>
          <w:rFonts w:ascii="Times New Roman" w:hAnsi="Times New Roman" w:cs="Times New Roman" w:eastAsia="Times New Roman" w:hint="default"/>
          <w:spacing w:val="-3"/>
        </w:rPr>
        <w:t>kW</w:t>
      </w:r>
      <w:r>
        <w:rPr>
          <w:spacing w:val="-3"/>
        </w:rPr>
        <w:t>，能源互联更具发展潜力。在</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建设大潮中，全球能源互联网发展合作组织已正在积</w:t>
      </w:r>
      <w:r>
        <w:rPr>
          <w:spacing w:val="-40"/>
        </w:rPr>
        <w:t> </w:t>
      </w:r>
      <w:r>
        <w:rPr>
          <w:spacing w:val="-40"/>
        </w:rPr>
      </w:r>
      <w:r>
        <w:rPr/>
        <w:t>极推动中国</w:t>
      </w:r>
      <w:r>
        <w:rPr>
          <w:rFonts w:ascii="Times New Roman" w:hAnsi="Times New Roman" w:cs="Times New Roman" w:eastAsia="Times New Roman" w:hint="default"/>
        </w:rPr>
        <w:t>—</w:t>
      </w:r>
      <w:r>
        <w:rPr/>
        <w:t>巴基斯坦电网互联工程。</w:t>
      </w:r>
    </w:p>
    <w:p>
      <w:pPr>
        <w:pStyle w:val="BodyText"/>
        <w:spacing w:line="274" w:lineRule="exact" w:before="9"/>
        <w:ind w:left="558" w:right="122"/>
        <w:jc w:val="left"/>
      </w:pPr>
      <w:r>
        <w:rPr/>
        <w:t>（</w:t>
      </w:r>
      <w:r>
        <w:rPr>
          <w:rFonts w:ascii="Times New Roman" w:hAnsi="Times New Roman" w:cs="Times New Roman" w:eastAsia="Times New Roman" w:hint="default"/>
        </w:rPr>
        <w:t>3</w:t>
      </w:r>
      <w:r>
        <w:rPr/>
        <w:t>）增量配电网试点打开，社会资本参与增量配电业务</w:t>
      </w:r>
      <w:r>
        <w:rPr>
          <w:w w:val="100"/>
        </w:rPr>
        <w:t> </w:t>
      </w:r>
      <w:r>
        <w:rPr/>
        <w:t>为进一步鼓励和引导社会资本投资增量配电业务，国家发展改革委、国家能源局于 </w:t>
      </w:r>
      <w:r>
        <w:rPr>
          <w:rFonts w:ascii="Times New Roman" w:hAnsi="Times New Roman" w:cs="Times New Roman" w:eastAsia="Times New Roman" w:hint="default"/>
        </w:rPr>
        <w:t>2017 </w:t>
      </w:r>
      <w:r>
        <w:rPr>
          <w:rFonts w:ascii="Times New Roman" w:hAnsi="Times New Roman" w:cs="Times New Roman" w:eastAsia="Times New Roman" w:hint="default"/>
          <w:spacing w:val="6"/>
        </w:rPr>
        <w:t> </w:t>
      </w:r>
      <w:r>
        <w:rPr/>
        <w:t>年</w:t>
      </w:r>
    </w:p>
    <w:p>
      <w:pPr>
        <w:pStyle w:val="BodyText"/>
        <w:spacing w:line="223" w:lineRule="auto"/>
        <w:ind w:right="128"/>
        <w:jc w:val="both"/>
      </w:pPr>
      <w:r>
        <w:rPr>
          <w:rFonts w:ascii="Times New Roman" w:hAnsi="Times New Roman" w:cs="Times New Roman" w:eastAsia="Times New Roman" w:hint="default"/>
          <w:spacing w:val="-4"/>
        </w:rPr>
        <w:t>11 </w:t>
      </w:r>
      <w:r>
        <w:rPr/>
        <w:t>月下发通知，确定秦皇岛经济技术开发区试点项目等 </w:t>
      </w:r>
      <w:r>
        <w:rPr>
          <w:rFonts w:ascii="Times New Roman" w:hAnsi="Times New Roman" w:cs="Times New Roman" w:eastAsia="Times New Roman" w:hint="default"/>
        </w:rPr>
        <w:t>89</w:t>
      </w:r>
      <w:r>
        <w:rPr>
          <w:rFonts w:ascii="Times New Roman" w:hAnsi="Times New Roman" w:cs="Times New Roman" w:eastAsia="Times New Roman" w:hint="default"/>
          <w:spacing w:val="15"/>
        </w:rPr>
        <w:t> </w:t>
      </w:r>
      <w:r>
        <w:rPr/>
        <w:t>个项目作为第二批增量配电业务改革</w:t>
      </w:r>
      <w:r>
        <w:rPr>
          <w:w w:val="100"/>
        </w:rPr>
        <w:t> </w:t>
      </w:r>
      <w:r>
        <w:rPr>
          <w:spacing w:val="-1"/>
        </w:rPr>
        <w:t>试点。在先前颁布的《有序放开配电网业务管理办法》中明确了社会资本参与配网投资的两种途</w:t>
      </w:r>
    </w:p>
    <w:p>
      <w:pPr>
        <w:pStyle w:val="BodyText"/>
        <w:spacing w:line="237" w:lineRule="auto" w:before="3"/>
        <w:ind w:right="128"/>
        <w:jc w:val="both"/>
      </w:pPr>
      <w:r>
        <w:rPr>
          <w:spacing w:val="-1"/>
        </w:rPr>
        <w:t>径：鼓励社会资本投资、建设、运营增量配电网；同时鼓励电网企业与社会资本通过股权合作等</w:t>
      </w:r>
      <w:r>
        <w:rPr>
          <w:spacing w:val="-55"/>
        </w:rPr>
        <w:t> </w:t>
      </w:r>
      <w:r>
        <w:rPr>
          <w:spacing w:val="-55"/>
        </w:rPr>
      </w:r>
      <w:r>
        <w:rPr>
          <w:spacing w:val="-1"/>
        </w:rPr>
        <w:t>方式成立产权多元化公司经营配电网。发改委通过自上而下的方式推进配网市场放开，社会资本</w:t>
      </w:r>
      <w:r>
        <w:rPr>
          <w:spacing w:val="-56"/>
        </w:rPr>
        <w:t> </w:t>
      </w:r>
      <w:r>
        <w:rPr>
          <w:spacing w:val="-56"/>
        </w:rPr>
      </w:r>
      <w:r>
        <w:rPr>
          <w:spacing w:val="-1"/>
        </w:rPr>
        <w:t>可通过与电网企业股权合作等方式成立产权多元化公司，获取增量配电网的运营权。通过引入竞</w:t>
      </w:r>
      <w:r>
        <w:rPr>
          <w:spacing w:val="-55"/>
        </w:rPr>
        <w:t> </w:t>
      </w:r>
      <w:r>
        <w:rPr>
          <w:spacing w:val="-55"/>
        </w:rPr>
      </w:r>
      <w:r>
        <w:rPr/>
        <w:t>争机制必将对原有电网垄断格局形成冲击，社会资本有望从中受益。</w:t>
      </w:r>
    </w:p>
    <w:p>
      <w:pPr>
        <w:pStyle w:val="BodyText"/>
        <w:spacing w:line="280" w:lineRule="exact"/>
        <w:ind w:left="558" w:right="0"/>
        <w:jc w:val="left"/>
      </w:pPr>
      <w:r>
        <w:rPr>
          <w:rFonts w:ascii="Times New Roman" w:hAnsi="Times New Roman" w:cs="Times New Roman" w:eastAsia="Times New Roman" w:hint="default"/>
        </w:rPr>
        <w:t>2</w:t>
      </w:r>
      <w:r>
        <w:rPr/>
        <w:t>、公司所处行业的竞争格局</w:t>
      </w:r>
    </w:p>
    <w:p>
      <w:pPr>
        <w:pStyle w:val="BodyText"/>
        <w:spacing w:line="274" w:lineRule="exact" w:before="16"/>
        <w:ind w:left="558" w:right="0"/>
        <w:jc w:val="left"/>
      </w:pPr>
      <w:r>
        <w:rPr>
          <w:rFonts w:ascii="Times New Roman" w:hAnsi="Times New Roman" w:cs="Times New Roman" w:eastAsia="Times New Roman" w:hint="default"/>
        </w:rPr>
        <w:t>2.1 </w:t>
      </w:r>
      <w:r>
        <w:rPr/>
        <w:t>军工装备产业</w:t>
      </w:r>
      <w:r>
        <w:rPr>
          <w:w w:val="100"/>
        </w:rPr>
        <w:t> </w:t>
      </w:r>
      <w:r>
        <w:rPr>
          <w:spacing w:val="-2"/>
        </w:rPr>
        <w:t>结合我国军工装备行业的特点及公司具体的产业状况，我们对细分行业的竞争状况做如下分</w:t>
      </w:r>
    </w:p>
    <w:p>
      <w:pPr>
        <w:pStyle w:val="BodyText"/>
        <w:spacing w:line="245" w:lineRule="exact"/>
        <w:ind w:right="0"/>
        <w:jc w:val="both"/>
      </w:pPr>
      <w:r>
        <w:rPr/>
        <w:t>析：</w:t>
      </w:r>
    </w:p>
    <w:p>
      <w:pPr>
        <w:pStyle w:val="BodyText"/>
        <w:spacing w:line="272" w:lineRule="exact" w:before="27"/>
        <w:ind w:left="558" w:right="0"/>
        <w:jc w:val="left"/>
      </w:pPr>
      <w:r>
        <w:rPr>
          <w:rFonts w:ascii="Times New Roman" w:hAnsi="Times New Roman" w:cs="Times New Roman" w:eastAsia="Times New Roman" w:hint="default"/>
        </w:rPr>
        <w:t>2.1.1</w:t>
      </w:r>
      <w:r>
        <w:rPr>
          <w:rFonts w:ascii="Times New Roman" w:hAnsi="Times New Roman" w:cs="Times New Roman" w:eastAsia="Times New Roman" w:hint="default"/>
          <w:spacing w:val="-3"/>
        </w:rPr>
        <w:t> </w:t>
      </w:r>
      <w:r>
        <w:rPr/>
        <w:t>车载通信指挥系统</w:t>
      </w:r>
      <w:r>
        <w:rPr>
          <w:spacing w:val="-102"/>
        </w:rPr>
        <w:t> </w:t>
      </w:r>
      <w:r>
        <w:rPr>
          <w:spacing w:val="-102"/>
        </w:rPr>
      </w:r>
      <w:r>
        <w:rPr>
          <w:spacing w:val="-2"/>
        </w:rPr>
        <w:t>车载通信指挥系统是公司军工装备产业的重要组成部分，先后为原总参谋部、总装备部、二</w:t>
      </w:r>
    </w:p>
    <w:p>
      <w:pPr>
        <w:pStyle w:val="BodyText"/>
        <w:spacing w:line="272" w:lineRule="exact" w:before="1"/>
        <w:ind w:right="128"/>
        <w:jc w:val="both"/>
      </w:pPr>
      <w:r>
        <w:rPr>
          <w:spacing w:val="-1"/>
        </w:rPr>
        <w:t>炮和各军兵种及航天、航空等单位研制生产光通信、卫星通信、散射通信、电子对抗、野战网、</w:t>
      </w:r>
      <w:r>
        <w:rPr>
          <w:spacing w:val="-55"/>
        </w:rPr>
        <w:t> </w:t>
      </w:r>
      <w:r>
        <w:rPr>
          <w:spacing w:val="-55"/>
        </w:rPr>
      </w:r>
      <w:r>
        <w:rPr/>
        <w:t>微波接力、军用特种改装车辆、机械及电子方舱等十九大系列</w:t>
      </w:r>
      <w:r>
        <w:rPr>
          <w:spacing w:val="-4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多种特种高科技产品。公司承</w:t>
      </w:r>
    </w:p>
    <w:p>
      <w:pPr>
        <w:pStyle w:val="BodyText"/>
        <w:spacing w:line="272" w:lineRule="exact" w:before="1"/>
        <w:ind w:right="130"/>
        <w:jc w:val="both"/>
      </w:pPr>
      <w:r>
        <w:rPr/>
        <w:t>接了一大批国家机密级的军工科研生产（配套）任务，其中有 </w:t>
      </w:r>
      <w:r>
        <w:rPr>
          <w:rFonts w:ascii="Times New Roman" w:hAnsi="Times New Roman" w:cs="Times New Roman" w:eastAsia="Times New Roman" w:hint="default"/>
        </w:rPr>
        <w:t>12 </w:t>
      </w:r>
      <w:r>
        <w:rPr/>
        <w:t>项填补了国内空白，</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spacing w:val="-3"/>
        </w:rPr>
        <w:t>项分别</w:t>
      </w:r>
      <w:r>
        <w:rPr>
          <w:spacing w:val="-3"/>
          <w:w w:val="100"/>
        </w:rPr>
        <w:t> </w:t>
      </w:r>
      <w:r>
        <w:rPr/>
        <w:t>获得国家、部、省、市优秀科技成果奖和优质产品质量奖。</w:t>
      </w:r>
    </w:p>
    <w:p>
      <w:pPr>
        <w:pStyle w:val="BodyText"/>
        <w:spacing w:line="272" w:lineRule="exact" w:before="1"/>
        <w:ind w:right="128" w:firstLine="419"/>
        <w:jc w:val="both"/>
      </w:pPr>
      <w:r>
        <w:rPr>
          <w:spacing w:val="-2"/>
        </w:rPr>
        <w:t>专用型通信指挥车基本是由各需求部队直接采购，由于涉密要求高，普通民企难于介入。目</w:t>
      </w:r>
      <w:r>
        <w:rPr>
          <w:w w:val="100"/>
        </w:rPr>
        <w:t> </w:t>
      </w:r>
      <w:r>
        <w:rPr>
          <w:spacing w:val="-3"/>
        </w:rPr>
        <w:t>前，从事军用通信指挥车系统集成业务的企业数量不多，本公司、</w:t>
      </w:r>
      <w:r>
        <w:rPr>
          <w:rFonts w:ascii="Times New Roman" w:hAnsi="Times New Roman" w:cs="Times New Roman" w:eastAsia="Times New Roman" w:hint="default"/>
          <w:spacing w:val="-3"/>
        </w:rPr>
        <w:t>6904 </w:t>
      </w:r>
      <w:r>
        <w:rPr>
          <w:rFonts w:ascii="Times New Roman" w:hAnsi="Times New Roman" w:cs="Times New Roman" w:eastAsia="Times New Roman" w:hint="default"/>
          <w:spacing w:val="32"/>
        </w:rPr>
        <w:t> </w:t>
      </w:r>
      <w:r>
        <w:rPr>
          <w:spacing w:val="-3"/>
        </w:rPr>
        <w:t>厂、江苏捷诚、鹤壁天海</w:t>
      </w:r>
    </w:p>
    <w:p>
      <w:pPr>
        <w:pStyle w:val="BodyText"/>
        <w:spacing w:line="272" w:lineRule="exact" w:before="2"/>
        <w:ind w:right="128"/>
        <w:jc w:val="both"/>
      </w:pPr>
      <w:r>
        <w:rPr>
          <w:spacing w:val="-1"/>
        </w:rPr>
        <w:t>电子等少数几家企业占据了大多数市场份额。与竞争对手相比，公司在通信指挥系统集成、电磁</w:t>
      </w:r>
      <w:r>
        <w:rPr>
          <w:spacing w:val="-55"/>
        </w:rPr>
        <w:t> </w:t>
      </w:r>
      <w:r>
        <w:rPr>
          <w:spacing w:val="-55"/>
        </w:rPr>
      </w:r>
      <w:r>
        <w:rPr>
          <w:spacing w:val="-1"/>
        </w:rPr>
        <w:t>兼容与电磁防护、轻量化设计方面有独到的技术优势，凭借型号系列及优质服务体系，在通信指</w:t>
      </w:r>
    </w:p>
    <w:p>
      <w:pPr>
        <w:pStyle w:val="BodyText"/>
        <w:spacing w:line="272" w:lineRule="exact" w:before="1"/>
        <w:ind w:left="558" w:right="0" w:hanging="420"/>
        <w:jc w:val="left"/>
      </w:pPr>
      <w:r>
        <w:rPr/>
        <w:t>挥系统集成业务规模上，居于行业前列。</w:t>
      </w:r>
      <w:r>
        <w:rPr>
          <w:w w:val="100"/>
        </w:rPr>
        <w:t> </w:t>
      </w:r>
      <w:r>
        <w:rPr>
          <w:spacing w:val="-2"/>
        </w:rPr>
        <w:t>未来，公司将会加强行业整合力度，积极寻找业内有潜力企业的投资并购机会，加强技术创</w:t>
      </w:r>
    </w:p>
    <w:p>
      <w:pPr>
        <w:pStyle w:val="BodyText"/>
        <w:spacing w:line="246" w:lineRule="exact"/>
        <w:ind w:right="0"/>
        <w:jc w:val="both"/>
      </w:pPr>
      <w:r>
        <w:rPr/>
        <w:t>新，开发适应信息化作战要求的新产品，重点开展智能控制、轻量化、隐身及高效电磁屏蔽等方</w:t>
      </w:r>
    </w:p>
    <w:p>
      <w:pPr>
        <w:pStyle w:val="BodyText"/>
        <w:spacing w:line="237" w:lineRule="auto" w:before="2"/>
        <w:ind w:right="128"/>
        <w:jc w:val="both"/>
      </w:pPr>
      <w:r>
        <w:rPr>
          <w:spacing w:val="-1"/>
        </w:rPr>
        <w:t>面关键技术的攻关，争取在新型军用方舱领域保持技术领先。此外，公司还将通过合作、技术引</w:t>
      </w:r>
      <w:r>
        <w:rPr>
          <w:spacing w:val="-55"/>
        </w:rPr>
        <w:t> </w:t>
      </w:r>
      <w:r>
        <w:rPr>
          <w:spacing w:val="-55"/>
        </w:rPr>
      </w:r>
      <w:r>
        <w:rPr>
          <w:spacing w:val="-1"/>
        </w:rPr>
        <w:t>进等方式，向产业链上游拓展，力争在通讯整机、系统领域获得突破，逐步向高附加值的“集成</w:t>
      </w:r>
      <w:r>
        <w:rPr>
          <w:spacing w:val="-55"/>
        </w:rPr>
        <w:t> </w:t>
      </w:r>
      <w:r>
        <w:rPr>
          <w:spacing w:val="-55"/>
        </w:rPr>
      </w:r>
      <w:r>
        <w:rPr/>
        <w:t>化、智能化、模块化、小型化、高机动”通信指挥系统企业转型。</w:t>
      </w:r>
    </w:p>
    <w:p>
      <w:pPr>
        <w:pStyle w:val="BodyText"/>
        <w:spacing w:line="274" w:lineRule="exact" w:before="22"/>
        <w:ind w:left="558" w:right="0"/>
        <w:jc w:val="left"/>
      </w:pPr>
      <w:r>
        <w:rPr>
          <w:rFonts w:ascii="Times New Roman" w:hAnsi="Times New Roman" w:cs="Times New Roman" w:eastAsia="Times New Roman" w:hint="default"/>
        </w:rPr>
        <w:t>2.1.2</w:t>
      </w:r>
      <w:r>
        <w:rPr>
          <w:rFonts w:ascii="Times New Roman" w:hAnsi="Times New Roman" w:cs="Times New Roman" w:eastAsia="Times New Roman" w:hint="default"/>
          <w:spacing w:val="-3"/>
        </w:rPr>
        <w:t> </w:t>
      </w:r>
      <w:r>
        <w:rPr/>
        <w:t>舰载作战辅助系统</w:t>
      </w:r>
      <w:r>
        <w:rPr>
          <w:spacing w:val="-102"/>
        </w:rPr>
        <w:t> </w:t>
      </w:r>
      <w:r>
        <w:rPr>
          <w:spacing w:val="-102"/>
        </w:rPr>
      </w:r>
      <w:r>
        <w:rPr>
          <w:spacing w:val="-2"/>
        </w:rPr>
        <w:t>舰载作战辅助系统主要产品包括舰载作战辅助系统的综合监视设备、业务终端和激光测风雷</w:t>
      </w:r>
    </w:p>
    <w:p>
      <w:pPr>
        <w:pStyle w:val="BodyText"/>
        <w:spacing w:line="253" w:lineRule="exact"/>
        <w:ind w:right="0"/>
        <w:jc w:val="both"/>
      </w:pPr>
      <w:r>
        <w:rPr/>
        <w:t>达。</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年公司通过与中船重工</w:t>
      </w:r>
      <w:r>
        <w:rPr>
          <w:spacing w:val="-51"/>
        </w:rPr>
        <w:t> </w:t>
      </w:r>
      <w:r>
        <w:rPr>
          <w:rFonts w:ascii="Times New Roman" w:hAnsi="Times New Roman" w:cs="Times New Roman" w:eastAsia="Times New Roman" w:hint="default"/>
        </w:rPr>
        <w:t>701</w:t>
      </w:r>
      <w:r>
        <w:rPr>
          <w:rFonts w:ascii="Times New Roman" w:hAnsi="Times New Roman" w:cs="Times New Roman" w:eastAsia="Times New Roman" w:hint="default"/>
          <w:spacing w:val="1"/>
        </w:rPr>
        <w:t> </w:t>
      </w:r>
      <w:r>
        <w:rPr/>
        <w:t>所、</w:t>
      </w:r>
      <w:r>
        <w:rPr>
          <w:rFonts w:ascii="Times New Roman" w:hAnsi="Times New Roman" w:cs="Times New Roman" w:eastAsia="Times New Roman" w:hint="default"/>
        </w:rPr>
        <w:t>722</w:t>
      </w:r>
      <w:r>
        <w:rPr>
          <w:rFonts w:ascii="Times New Roman" w:hAnsi="Times New Roman" w:cs="Times New Roman" w:eastAsia="Times New Roman" w:hint="default"/>
          <w:spacing w:val="-1"/>
        </w:rPr>
        <w:t> </w:t>
      </w:r>
      <w:r>
        <w:rPr/>
        <w:t>所、中国船舶工业系统工程研究院等重点合作单位</w:t>
      </w:r>
    </w:p>
    <w:p>
      <w:pPr>
        <w:pStyle w:val="BodyText"/>
        <w:spacing w:line="237" w:lineRule="auto"/>
        <w:ind w:right="128"/>
        <w:jc w:val="both"/>
      </w:pPr>
      <w:r>
        <w:rPr>
          <w:spacing w:val="-6"/>
          <w:w w:val="100"/>
        </w:rPr>
        <w:t>的业务合作，在现有成熟产品的批量生产、新产品的预研开发等领域都得到了较好的延续和发展；</w:t>
      </w:r>
      <w:r>
        <w:rPr>
          <w:w w:val="100"/>
        </w:rPr>
        <w:t> </w:t>
      </w:r>
      <w:r>
        <w:rPr>
          <w:spacing w:val="-1"/>
        </w:rPr>
        <w:t>公司继续与东海、南海、北海等装备业务部门密切联系，承揽了各舰队装备综合维修保障及年度</w:t>
      </w:r>
      <w:r>
        <w:rPr>
          <w:spacing w:val="-55"/>
        </w:rPr>
        <w:t> </w:t>
      </w:r>
      <w:r>
        <w:rPr>
          <w:spacing w:val="-55"/>
        </w:rPr>
      </w:r>
      <w:r>
        <w:rPr/>
        <w:t>备品备件生产任务。</w:t>
      </w:r>
    </w:p>
    <w:p>
      <w:pPr>
        <w:spacing w:after="0" w:line="23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130" w:firstLine="419"/>
        <w:jc w:val="both"/>
      </w:pPr>
      <w:r>
        <w:rPr>
          <w:spacing w:val="-2"/>
        </w:rPr>
        <w:t>随着军改的深入推进，部队事业单位编制逐步将退出保障序列，公司将以此为契机，积极探</w:t>
      </w:r>
      <w:r>
        <w:rPr>
          <w:w w:val="100"/>
        </w:rPr>
        <w:t> </w:t>
      </w:r>
      <w:r>
        <w:rPr/>
        <w:t>索扩大海军装备综合保障市场份额。</w:t>
      </w:r>
    </w:p>
    <w:p>
      <w:pPr>
        <w:pStyle w:val="BodyText"/>
        <w:spacing w:line="237" w:lineRule="auto"/>
        <w:ind w:right="128" w:firstLine="419"/>
        <w:jc w:val="both"/>
      </w:pPr>
      <w:r>
        <w:rPr>
          <w:spacing w:val="-2"/>
        </w:rPr>
        <w:t>未来，公司将进一步加大对激光测风雷达、高清三维综合监视设备的研发，紧密关注海军及</w:t>
      </w:r>
      <w:r>
        <w:rPr>
          <w:w w:val="100"/>
        </w:rPr>
        <w:t> </w:t>
      </w:r>
      <w:r>
        <w:rPr>
          <w:spacing w:val="-1"/>
        </w:rPr>
        <w:t>军工集团的下属科研院所及其他军工科研院所和部队的需求。以公司现有成熟技术为保障，拓展</w:t>
      </w:r>
      <w:r>
        <w:rPr>
          <w:spacing w:val="-55"/>
        </w:rPr>
        <w:t> </w:t>
      </w:r>
      <w:r>
        <w:rPr>
          <w:spacing w:val="-55"/>
        </w:rPr>
      </w:r>
      <w:r>
        <w:rPr/>
        <w:t>军工电子产品立体延伸，扩大、做强军品份额，继续保持公司在该领域的竞争优势。</w:t>
      </w:r>
    </w:p>
    <w:p>
      <w:pPr>
        <w:pStyle w:val="BodyText"/>
        <w:spacing w:line="272" w:lineRule="exact" w:before="26"/>
        <w:ind w:left="558" w:right="0"/>
        <w:jc w:val="left"/>
      </w:pPr>
      <w:r>
        <w:rPr>
          <w:rFonts w:ascii="Times New Roman" w:hAnsi="Times New Roman" w:cs="Times New Roman" w:eastAsia="Times New Roman" w:hint="default"/>
        </w:rPr>
        <w:t>2.1.3</w:t>
      </w:r>
      <w:r>
        <w:rPr>
          <w:rFonts w:ascii="Times New Roman" w:hAnsi="Times New Roman" w:cs="Times New Roman" w:eastAsia="Times New Roman" w:hint="default"/>
          <w:spacing w:val="-3"/>
        </w:rPr>
        <w:t> </w:t>
      </w:r>
      <w:r>
        <w:rPr/>
        <w:t>军用电站行业</w:t>
      </w:r>
      <w:r>
        <w:rPr>
          <w:spacing w:val="-102"/>
        </w:rPr>
        <w:t> </w:t>
      </w:r>
      <w:r>
        <w:rPr>
          <w:spacing w:val="-102"/>
        </w:rPr>
      </w:r>
      <w:r>
        <w:rPr>
          <w:spacing w:val="-2"/>
        </w:rPr>
        <w:t>军用电站是公司军工装备领域的基础产业之一，在产品门类、技术水平、市场覆盖率等方面</w:t>
      </w:r>
    </w:p>
    <w:p>
      <w:pPr>
        <w:pStyle w:val="BodyText"/>
        <w:spacing w:line="272" w:lineRule="exact" w:before="1"/>
        <w:ind w:left="558" w:right="0" w:hanging="420"/>
        <w:jc w:val="left"/>
      </w:pPr>
      <w:r>
        <w:rPr/>
        <w:t>均具有领先优势，特别是在通信车辆配套市场和军用雷达装备配套市场中的优势尤为明显。</w:t>
      </w:r>
      <w:r>
        <w:rPr>
          <w:w w:val="100"/>
        </w:rPr>
        <w:t> </w:t>
      </w:r>
      <w:r>
        <w:rPr>
          <w:spacing w:val="-7"/>
        </w:rPr>
        <w:t>目前，公司在该领域竞争对手主要有郑州佛光、兰州电源、湖北同发等。在新的市场环境下，</w:t>
      </w:r>
    </w:p>
    <w:p>
      <w:pPr>
        <w:pStyle w:val="BodyText"/>
        <w:spacing w:line="272" w:lineRule="exact" w:before="1"/>
        <w:ind w:left="558" w:right="0" w:hanging="420"/>
        <w:jc w:val="left"/>
      </w:pPr>
      <w:r>
        <w:rPr/>
        <w:t>公司所面临的竞争压力将逐步增加。</w:t>
      </w:r>
      <w:r>
        <w:rPr>
          <w:w w:val="100"/>
        </w:rPr>
        <w:t> </w:t>
      </w:r>
      <w:r>
        <w:rPr>
          <w:spacing w:val="-2"/>
        </w:rPr>
        <w:t>未来，公司将重点从新型高速和高功率密度的发电机、无人化和远程化电站环境适应性、精</w:t>
      </w:r>
    </w:p>
    <w:p>
      <w:pPr>
        <w:pStyle w:val="BodyText"/>
        <w:spacing w:line="272" w:lineRule="exact" w:before="1"/>
        <w:ind w:right="127"/>
        <w:jc w:val="both"/>
      </w:pPr>
      <w:r>
        <w:rPr>
          <w:spacing w:val="-1"/>
        </w:rPr>
        <w:t>密的电力电子技术等方向展开研发，继续巩固与保持技术领先和规模优势，确保行业领先地位。</w:t>
      </w:r>
      <w:r>
        <w:rPr>
          <w:spacing w:val="-55"/>
        </w:rPr>
        <w:t> </w:t>
      </w:r>
      <w:r>
        <w:rPr>
          <w:spacing w:val="-55"/>
        </w:rPr>
      </w:r>
      <w:r>
        <w:rPr>
          <w:spacing w:val="-1"/>
        </w:rPr>
        <w:t>首先，围绕现有业务，紧盯型号产品促进老市场稳定上量，拓展军贸、军援市场，进一步扩大市</w:t>
      </w:r>
    </w:p>
    <w:p>
      <w:pPr>
        <w:pStyle w:val="BodyText"/>
        <w:spacing w:line="272" w:lineRule="exact" w:before="1"/>
        <w:ind w:right="127"/>
        <w:jc w:val="both"/>
      </w:pPr>
      <w:r>
        <w:rPr>
          <w:spacing w:val="-3"/>
        </w:rPr>
        <w:t>场份额；其次，着手新一代电站平台产品的研发，向发电与供配电一体化、发电与供冷</w:t>
      </w:r>
      <w:r>
        <w:rPr>
          <w:rFonts w:ascii="Times New Roman" w:hAnsi="Times New Roman" w:cs="Times New Roman" w:eastAsia="Times New Roman" w:hint="default"/>
          <w:spacing w:val="-3"/>
        </w:rPr>
        <w:t>/</w:t>
      </w:r>
      <w:r>
        <w:rPr>
          <w:spacing w:val="-3"/>
        </w:rPr>
        <w:t>暖一体化</w:t>
      </w:r>
      <w:r>
        <w:rPr>
          <w:spacing w:val="-31"/>
        </w:rPr>
        <w:t> </w:t>
      </w:r>
      <w:r>
        <w:rPr>
          <w:spacing w:val="-31"/>
        </w:rPr>
      </w:r>
      <w:r>
        <w:rPr>
          <w:spacing w:val="-1"/>
        </w:rPr>
        <w:t>产品扩展，以技术领先占位；第三，关注新型发电产品的替代效应，着手新型电源研发，力争以</w:t>
      </w:r>
    </w:p>
    <w:p>
      <w:pPr>
        <w:pStyle w:val="BodyText"/>
        <w:spacing w:line="247" w:lineRule="exact"/>
        <w:ind w:right="0"/>
        <w:jc w:val="both"/>
      </w:pPr>
      <w:r>
        <w:rPr/>
        <w:t>型号产品为主，辅助竞争性采购，实现利润与规模同步增长。</w:t>
      </w:r>
    </w:p>
    <w:p>
      <w:pPr>
        <w:pStyle w:val="BodyText"/>
        <w:spacing w:line="274" w:lineRule="exact" w:before="24"/>
        <w:ind w:left="558" w:right="0"/>
        <w:jc w:val="left"/>
      </w:pPr>
      <w:r>
        <w:rPr>
          <w:rFonts w:ascii="Times New Roman" w:hAnsi="Times New Roman" w:cs="Times New Roman" w:eastAsia="Times New Roman" w:hint="default"/>
        </w:rPr>
        <w:t>2.1.4</w:t>
      </w:r>
      <w:r>
        <w:rPr>
          <w:rFonts w:ascii="Times New Roman" w:hAnsi="Times New Roman" w:cs="Times New Roman" w:eastAsia="Times New Roman" w:hint="default"/>
          <w:spacing w:val="-3"/>
        </w:rPr>
        <w:t> </w:t>
      </w:r>
      <w:r>
        <w:rPr/>
        <w:t>雷达行业</w:t>
      </w:r>
      <w:r>
        <w:rPr>
          <w:spacing w:val="-101"/>
        </w:rPr>
        <w:t> </w:t>
      </w:r>
      <w:r>
        <w:rPr>
          <w:spacing w:val="-101"/>
        </w:rPr>
      </w:r>
      <w:r>
        <w:rPr>
          <w:spacing w:val="-2"/>
        </w:rPr>
        <w:t>公司的雷达产业具有整机资质，属限制类领域，进入门槛较高。目前，雷达领域的竞争多集</w:t>
      </w:r>
    </w:p>
    <w:p>
      <w:pPr>
        <w:pStyle w:val="BodyText"/>
        <w:spacing w:line="252" w:lineRule="exact"/>
        <w:ind w:right="0"/>
        <w:jc w:val="both"/>
        <w:rPr>
          <w:rFonts w:ascii="Times New Roman" w:hAnsi="Times New Roman" w:cs="Times New Roman" w:eastAsia="Times New Roman" w:hint="default"/>
        </w:rPr>
      </w:pPr>
      <w:r>
        <w:rPr>
          <w:spacing w:val="-3"/>
        </w:rPr>
        <w:t>中在技术或产品相似的具有军工集团背景的企业之间，其中，中国电科集团 </w:t>
      </w:r>
      <w:r>
        <w:rPr>
          <w:rFonts w:ascii="Times New Roman" w:hAnsi="Times New Roman" w:cs="Times New Roman" w:eastAsia="Times New Roman" w:hint="default"/>
        </w:rPr>
        <w:t>14 </w:t>
      </w:r>
      <w:r>
        <w:rPr>
          <w:spacing w:val="-7"/>
        </w:rPr>
        <w:t>所、</w:t>
      </w:r>
      <w:r>
        <w:rPr>
          <w:rFonts w:ascii="Times New Roman" w:hAnsi="Times New Roman" w:cs="Times New Roman" w:eastAsia="Times New Roman" w:hint="default"/>
          <w:spacing w:val="-7"/>
        </w:rPr>
        <w:t>38 </w:t>
      </w:r>
      <w:r>
        <w:rPr>
          <w:spacing w:val="-7"/>
        </w:rPr>
        <w:t>所、航天</w:t>
      </w:r>
      <w:r>
        <w:rPr>
          <w:spacing w:val="-42"/>
        </w:rPr>
        <w:t> </w:t>
      </w:r>
      <w:r>
        <w:rPr>
          <w:rFonts w:ascii="Times New Roman" w:hAnsi="Times New Roman" w:cs="Times New Roman" w:eastAsia="Times New Roman" w:hint="default"/>
        </w:rPr>
        <w:t>2</w:t>
      </w:r>
    </w:p>
    <w:p>
      <w:pPr>
        <w:pStyle w:val="BodyText"/>
        <w:spacing w:line="225" w:lineRule="auto" w:before="5"/>
        <w:ind w:right="127"/>
        <w:jc w:val="both"/>
      </w:pPr>
      <w:r>
        <w:rPr/>
        <w:t>院</w:t>
      </w:r>
      <w:r>
        <w:rPr>
          <w:spacing w:val="-37"/>
        </w:rPr>
        <w:t> </w:t>
      </w:r>
      <w:r>
        <w:rPr>
          <w:rFonts w:ascii="Times New Roman" w:hAnsi="Times New Roman" w:cs="Times New Roman" w:eastAsia="Times New Roman" w:hint="default"/>
        </w:rPr>
        <w:t>23</w:t>
      </w:r>
      <w:r>
        <w:rPr>
          <w:rFonts w:ascii="Times New Roman" w:hAnsi="Times New Roman" w:cs="Times New Roman" w:eastAsia="Times New Roman" w:hint="default"/>
          <w:spacing w:val="12"/>
        </w:rPr>
        <w:t> </w:t>
      </w:r>
      <w:r>
        <w:rPr>
          <w:spacing w:val="-7"/>
        </w:rPr>
        <w:t>所、中船重工</w:t>
      </w:r>
      <w:r>
        <w:rPr>
          <w:spacing w:val="-37"/>
        </w:rPr>
        <w:t> </w:t>
      </w:r>
      <w:r>
        <w:rPr>
          <w:rFonts w:ascii="Times New Roman" w:hAnsi="Times New Roman" w:cs="Times New Roman" w:eastAsia="Times New Roman" w:hint="default"/>
        </w:rPr>
        <w:t>724</w:t>
      </w:r>
      <w:r>
        <w:rPr>
          <w:rFonts w:ascii="Times New Roman" w:hAnsi="Times New Roman" w:cs="Times New Roman" w:eastAsia="Times New Roman" w:hint="default"/>
          <w:spacing w:val="16"/>
        </w:rPr>
        <w:t> </w:t>
      </w:r>
      <w:r>
        <w:rPr>
          <w:spacing w:val="-4"/>
        </w:rPr>
        <w:t>所占据行业领先地位，总体上呈现出垄断性竞争的态势。公司在雷达方面</w:t>
      </w:r>
      <w:r>
        <w:rPr>
          <w:spacing w:val="-98"/>
        </w:rPr>
        <w:t> </w:t>
      </w:r>
      <w:r>
        <w:rPr>
          <w:spacing w:val="-98"/>
        </w:rPr>
      </w:r>
      <w:r>
        <w:rPr>
          <w:spacing w:val="-3"/>
        </w:rPr>
        <w:t>实施差异化的战略，通过过去几年的技术积累，加大投入，在</w:t>
      </w:r>
      <w:r>
        <w:rPr>
          <w:spacing w:val="-33"/>
        </w:rPr>
        <w:t> </w:t>
      </w:r>
      <w:r>
        <w:rPr>
          <w:rFonts w:ascii="Times New Roman" w:hAnsi="Times New Roman" w:cs="Times New Roman" w:eastAsia="Times New Roman" w:hint="default"/>
        </w:rPr>
        <w:t>WY</w:t>
      </w:r>
      <w:r>
        <w:rPr>
          <w:rFonts w:ascii="Times New Roman" w:hAnsi="Times New Roman" w:cs="Times New Roman" w:eastAsia="Times New Roman" w:hint="default"/>
          <w:spacing w:val="21"/>
        </w:rPr>
        <w:t> </w:t>
      </w:r>
      <w:r>
        <w:rPr/>
        <w:t>雷达细分领域逐步形成了差异</w:t>
      </w:r>
      <w:r>
        <w:rPr>
          <w:spacing w:val="-97"/>
        </w:rPr>
        <w:t> </w:t>
      </w:r>
      <w:r>
        <w:rPr>
          <w:spacing w:val="-97"/>
        </w:rPr>
      </w:r>
      <w:r>
        <w:rPr/>
        <w:t>化竞争优势。</w:t>
      </w:r>
    </w:p>
    <w:p>
      <w:pPr>
        <w:pStyle w:val="BodyText"/>
        <w:spacing w:line="272" w:lineRule="exact" w:before="28"/>
        <w:ind w:left="558" w:right="0"/>
        <w:jc w:val="left"/>
      </w:pPr>
      <w:r>
        <w:rPr>
          <w:rFonts w:ascii="Times New Roman" w:hAnsi="Times New Roman" w:cs="Times New Roman" w:eastAsia="Times New Roman" w:hint="default"/>
        </w:rPr>
        <w:t>2.2 </w:t>
      </w:r>
      <w:r>
        <w:rPr/>
        <w:t>智慧能源行业</w:t>
      </w:r>
      <w:r>
        <w:rPr>
          <w:w w:val="100"/>
        </w:rPr>
        <w:t> </w:t>
      </w:r>
      <w:r>
        <w:rPr>
          <w:spacing w:val="-2"/>
        </w:rPr>
        <w:t>公司的智慧能源业务板块主要由能源互联网、电力信息化、智能应急电源、智能配电设备四</w:t>
      </w:r>
    </w:p>
    <w:p>
      <w:pPr>
        <w:pStyle w:val="BodyText"/>
        <w:spacing w:line="272" w:lineRule="exact" w:before="2"/>
        <w:ind w:right="128"/>
        <w:jc w:val="both"/>
      </w:pPr>
      <w:r>
        <w:rPr>
          <w:spacing w:val="-1"/>
        </w:rPr>
        <w:t>大业务构成。报告期内，公司借电力体制改革的契机，适时引入国际化优秀能源互联网团队，做</w:t>
      </w:r>
      <w:r>
        <w:rPr>
          <w:spacing w:val="-55"/>
        </w:rPr>
        <w:t> </w:t>
      </w:r>
      <w:r>
        <w:rPr>
          <w:spacing w:val="-55"/>
        </w:rPr>
      </w:r>
      <w:r>
        <w:rPr>
          <w:spacing w:val="-1"/>
        </w:rPr>
        <w:t>好布局能源电网产业，旨在进一步整合优化电力产业结构及资源，在原板块业务的基础上，面向</w:t>
      </w:r>
    </w:p>
    <w:p>
      <w:pPr>
        <w:pStyle w:val="BodyText"/>
        <w:spacing w:line="247" w:lineRule="exact"/>
        <w:ind w:right="0"/>
        <w:jc w:val="both"/>
      </w:pPr>
      <w:r>
        <w:rPr/>
        <w:t>能源互联网市场打造具有泰豪特色的综合能源互联网一体化系统综合解决方案。</w:t>
      </w:r>
    </w:p>
    <w:p>
      <w:pPr>
        <w:pStyle w:val="BodyText"/>
        <w:spacing w:line="274" w:lineRule="exact" w:before="24"/>
        <w:ind w:left="558" w:right="0"/>
        <w:jc w:val="left"/>
      </w:pPr>
      <w:r>
        <w:rPr>
          <w:rFonts w:ascii="Times New Roman" w:hAnsi="Times New Roman" w:cs="Times New Roman" w:eastAsia="Times New Roman" w:hint="default"/>
        </w:rPr>
        <w:t>2.2.1</w:t>
      </w:r>
      <w:r>
        <w:rPr>
          <w:rFonts w:ascii="Times New Roman" w:hAnsi="Times New Roman" w:cs="Times New Roman" w:eastAsia="Times New Roman" w:hint="default"/>
          <w:spacing w:val="-3"/>
        </w:rPr>
        <w:t> </w:t>
      </w:r>
      <w:r>
        <w:rPr/>
        <w:t>能源互联网</w:t>
      </w:r>
      <w:r>
        <w:rPr>
          <w:spacing w:val="-103"/>
        </w:rPr>
        <w:t> </w:t>
      </w:r>
      <w:r>
        <w:rPr>
          <w:spacing w:val="-103"/>
        </w:rPr>
      </w:r>
      <w:r>
        <w:rPr>
          <w:spacing w:val="-2"/>
        </w:rPr>
        <w:t>能源互联网起源于智能电网，目前大部分国家和地区仍然处在智能电网建设阶段，仅少数欧</w:t>
      </w:r>
    </w:p>
    <w:p>
      <w:pPr>
        <w:pStyle w:val="BodyText"/>
        <w:spacing w:line="245" w:lineRule="exact"/>
        <w:ind w:right="0"/>
        <w:jc w:val="both"/>
      </w:pPr>
      <w:r>
        <w:rPr/>
        <w:t>美发达国家在能源互联网领域取得一定进展。审视国内，目前中国已经在能源互联网的三个基础</w:t>
      </w:r>
    </w:p>
    <w:p>
      <w:pPr>
        <w:pStyle w:val="BodyText"/>
        <w:spacing w:line="237" w:lineRule="auto" w:before="2"/>
        <w:ind w:right="128"/>
        <w:jc w:val="both"/>
      </w:pPr>
      <w:r>
        <w:rPr>
          <w:spacing w:val="-1"/>
        </w:rPr>
        <w:t>领域（特高压输电技术领域、智能电网技术领域、分布式清洁能源领域）取得积极进展，为能源</w:t>
      </w:r>
      <w:r>
        <w:rPr>
          <w:spacing w:val="-55"/>
        </w:rPr>
        <w:t> </w:t>
      </w:r>
      <w:r>
        <w:rPr>
          <w:spacing w:val="-55"/>
        </w:rPr>
      </w:r>
      <w:r>
        <w:rPr>
          <w:spacing w:val="-1"/>
        </w:rPr>
        <w:t>互联网的发展奠定坚实基础。但国内多数企业都是在自己熟悉的领域做延伸扩展，还处于对商业</w:t>
      </w:r>
      <w:r>
        <w:rPr>
          <w:spacing w:val="-55"/>
        </w:rPr>
        <w:t> </w:t>
      </w:r>
      <w:r>
        <w:rPr>
          <w:spacing w:val="-55"/>
        </w:rPr>
      </w:r>
      <w:r>
        <w:rPr>
          <w:spacing w:val="-1"/>
        </w:rPr>
        <w:t>模式摸索阶段，有实力提供一体化完整解决方案的厂商不多。目前，我国的能源互联网产业多以</w:t>
      </w:r>
      <w:r>
        <w:rPr>
          <w:spacing w:val="-55"/>
        </w:rPr>
        <w:t> </w:t>
      </w:r>
      <w:r>
        <w:rPr>
          <w:spacing w:val="-55"/>
        </w:rPr>
      </w:r>
      <w:r>
        <w:rPr>
          <w:spacing w:val="-1"/>
        </w:rPr>
        <w:t>售电为突破口，电力商品同质化竞争严重，从而导致赢利能力迅速下滑。拥有发电资源及电网体</w:t>
      </w:r>
      <w:r>
        <w:rPr>
          <w:spacing w:val="-55"/>
        </w:rPr>
        <w:t> </w:t>
      </w:r>
      <w:r>
        <w:rPr>
          <w:spacing w:val="-55"/>
        </w:rPr>
      </w:r>
      <w:r>
        <w:rPr>
          <w:spacing w:val="-1"/>
        </w:rPr>
        <w:t>系内的传统电力公司具有天然的竞争优势，其它市场主体必须依靠电力乃至能源供应的增值服务</w:t>
      </w:r>
      <w:r>
        <w:rPr>
          <w:spacing w:val="-55"/>
        </w:rPr>
        <w:t> </w:t>
      </w:r>
      <w:r>
        <w:rPr>
          <w:spacing w:val="-55"/>
        </w:rPr>
      </w:r>
      <w:r>
        <w:rPr/>
        <w:t>来获取相应的市场份额。</w:t>
      </w:r>
    </w:p>
    <w:p>
      <w:pPr>
        <w:pStyle w:val="BodyText"/>
        <w:spacing w:line="230" w:lineRule="auto" w:before="9"/>
        <w:ind w:right="12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spacing w:val="-3"/>
        </w:rPr>
        <w:t>年公司抓住电改的机会，依托德国海归团队丰富的技术资源，同时秉承深耕国内电力行</w:t>
      </w:r>
      <w:r>
        <w:rPr>
          <w:w w:val="100"/>
        </w:rPr>
        <w:t> </w:t>
      </w:r>
      <w:r>
        <w:rPr>
          <w:spacing w:val="-1"/>
        </w:rPr>
        <w:t>业多年的经营经验，提供全产业链、全生命周期的能源互联网解决方案，有力的推进了能源互联</w:t>
      </w:r>
      <w:r>
        <w:rPr>
          <w:spacing w:val="-55"/>
        </w:rPr>
        <w:t> </w:t>
      </w:r>
      <w:r>
        <w:rPr>
          <w:spacing w:val="-55"/>
        </w:rPr>
      </w:r>
      <w:r>
        <w:rPr/>
        <w:t>网业务的实践落地和创新发展。</w:t>
      </w:r>
    </w:p>
    <w:p>
      <w:pPr>
        <w:pStyle w:val="BodyText"/>
        <w:spacing w:line="279" w:lineRule="exact"/>
        <w:ind w:left="558" w:right="0"/>
        <w:jc w:val="left"/>
      </w:pPr>
      <w:r>
        <w:rPr>
          <w:spacing w:val="-4"/>
        </w:rPr>
        <w:t>配售电业务：签约用户达</w:t>
      </w:r>
      <w:r>
        <w:rPr>
          <w:spacing w:val="-44"/>
        </w:rPr>
        <w:t> </w:t>
      </w:r>
      <w:r>
        <w:rPr>
          <w:rFonts w:ascii="Times New Roman" w:hAnsi="Times New Roman" w:cs="Times New Roman" w:eastAsia="Times New Roman" w:hint="default"/>
        </w:rPr>
        <w:t>40</w:t>
      </w:r>
      <w:r>
        <w:rPr>
          <w:rFonts w:ascii="Times New Roman" w:hAnsi="Times New Roman" w:cs="Times New Roman" w:eastAsia="Times New Roman" w:hint="default"/>
          <w:spacing w:val="11"/>
        </w:rPr>
        <w:t> </w:t>
      </w:r>
      <w:r>
        <w:rPr>
          <w:spacing w:val="-6"/>
        </w:rPr>
        <w:t>余家、年电量达</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spacing w:val="-3"/>
        </w:rPr>
        <w:t>亿千瓦时。以电力交易平台作为第三方交易平</w:t>
      </w:r>
    </w:p>
    <w:p>
      <w:pPr>
        <w:pStyle w:val="BodyText"/>
        <w:spacing w:line="225" w:lineRule="auto" w:before="5"/>
        <w:ind w:right="127"/>
        <w:jc w:val="both"/>
      </w:pPr>
      <w:r>
        <w:rPr>
          <w:spacing w:val="-6"/>
        </w:rPr>
        <w:t>台，在广东首创了配售一体综合服务模式，实现三个项目的落地，带动长期售电量 </w:t>
      </w:r>
      <w:r>
        <w:rPr>
          <w:rFonts w:ascii="Times New Roman" w:hAnsi="Times New Roman" w:cs="Times New Roman" w:eastAsia="Times New Roman" w:hint="default"/>
        </w:rPr>
        <w:t>2.3 </w:t>
      </w:r>
      <w:r>
        <w:rPr/>
        <w:t>亿千瓦时，</w:t>
      </w:r>
      <w:r>
        <w:rPr>
          <w:spacing w:val="-89"/>
        </w:rPr>
        <w:t> </w:t>
      </w:r>
      <w:r>
        <w:rPr>
          <w:spacing w:val="-89"/>
        </w:rPr>
      </w:r>
      <w:r>
        <w:rPr>
          <w:spacing w:val="-2"/>
        </w:rPr>
        <w:t>积极推进和实践售电</w:t>
      </w:r>
      <w:r>
        <w:rPr>
          <w:rFonts w:ascii="Times New Roman" w:hAnsi="Times New Roman" w:cs="Times New Roman" w:eastAsia="Times New Roman" w:hint="default"/>
          <w:spacing w:val="-2"/>
        </w:rPr>
        <w:t>+</w:t>
      </w:r>
      <w:r>
        <w:rPr>
          <w:spacing w:val="-2"/>
        </w:rPr>
        <w:t>能效监测、售电</w:t>
      </w:r>
      <w:r>
        <w:rPr>
          <w:rFonts w:ascii="Times New Roman" w:hAnsi="Times New Roman" w:cs="Times New Roman" w:eastAsia="Times New Roman" w:hint="default"/>
          <w:spacing w:val="-2"/>
        </w:rPr>
        <w:t>+</w:t>
      </w:r>
      <w:r>
        <w:rPr>
          <w:spacing w:val="-2"/>
        </w:rPr>
        <w:t>碳交易的新型增值服务，极大提升了公司在广东电力市场</w:t>
      </w:r>
      <w:r>
        <w:rPr>
          <w:spacing w:val="-41"/>
        </w:rPr>
        <w:t> </w:t>
      </w:r>
      <w:r>
        <w:rPr>
          <w:spacing w:val="-41"/>
        </w:rPr>
      </w:r>
      <w:r>
        <w:rPr/>
        <w:t>的知名度。</w:t>
      </w:r>
    </w:p>
    <w:p>
      <w:pPr>
        <w:pStyle w:val="BodyText"/>
        <w:spacing w:line="237" w:lineRule="auto" w:before="3"/>
        <w:ind w:right="128" w:firstLine="419"/>
        <w:jc w:val="both"/>
      </w:pPr>
      <w:r>
        <w:rPr>
          <w:spacing w:val="-2"/>
        </w:rPr>
        <w:t>能源互联网示范项目：与江西政府合作建设全国首个涵盖省，地市，企业三级的工业能耗在</w:t>
      </w:r>
      <w:r>
        <w:rPr>
          <w:w w:val="100"/>
        </w:rPr>
        <w:t> </w:t>
      </w:r>
      <w:r>
        <w:rPr>
          <w:spacing w:val="-1"/>
        </w:rPr>
        <w:t>线监测信息平台，协助政府和用能企业实现对工业能源消费大数据的深入把控，成为公司能源互</w:t>
      </w:r>
      <w:r>
        <w:rPr>
          <w:spacing w:val="-55"/>
        </w:rPr>
        <w:t> </w:t>
      </w:r>
      <w:r>
        <w:rPr>
          <w:spacing w:val="-55"/>
        </w:rPr>
      </w:r>
      <w:r>
        <w:rPr/>
        <w:t>联网的示范落地工程。同时也在积极落实能源互联网示范园区。</w:t>
      </w:r>
    </w:p>
    <w:p>
      <w:pPr>
        <w:pStyle w:val="BodyText"/>
        <w:spacing w:line="274" w:lineRule="exact" w:before="22"/>
        <w:ind w:right="130" w:firstLine="419"/>
        <w:jc w:val="both"/>
      </w:pPr>
      <w:r>
        <w:rPr>
          <w:spacing w:val="-2"/>
        </w:rPr>
        <w:t>此外通过与碳资产管理行业的领先企业合作，借助公司在电力市场的影响力，将碳资产管理</w:t>
      </w:r>
      <w:r>
        <w:rPr>
          <w:w w:val="100"/>
        </w:rPr>
        <w:t> </w:t>
      </w:r>
      <w:r>
        <w:rPr/>
        <w:t>引入电力相关领域，进一步完善智慧能源产业布局。</w:t>
      </w:r>
    </w:p>
    <w:p>
      <w:pPr>
        <w:pStyle w:val="BodyText"/>
        <w:spacing w:line="246" w:lineRule="exact"/>
        <w:ind w:right="0" w:firstLine="419"/>
        <w:jc w:val="both"/>
      </w:pPr>
      <w:r>
        <w:rPr/>
        <w:t>未来，公司继续依托团队专业技术和业界知名度，积极开展新能源、电网技术、电力市场、</w:t>
      </w:r>
    </w:p>
    <w:p>
      <w:pPr>
        <w:pStyle w:val="BodyText"/>
        <w:spacing w:line="274" w:lineRule="exact"/>
        <w:ind w:right="0"/>
        <w:jc w:val="both"/>
      </w:pPr>
      <w:r>
        <w:rPr/>
        <w:t>碳金融等方面的创新。同时，整合现有资源，以电力信息化业务、需求侧管理等传统业务经验为</w:t>
      </w:r>
    </w:p>
    <w:p>
      <w:pPr>
        <w:spacing w:after="0" w:line="274" w:lineRule="exact"/>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0" w:lineRule="auto" w:before="46"/>
        <w:ind w:left="558" w:right="100" w:hanging="420"/>
        <w:jc w:val="left"/>
      </w:pPr>
      <w:r>
        <w:rPr>
          <w:spacing w:val="-7"/>
        </w:rPr>
        <w:t>支撑，努力打造中国能源互联网示范项目，逐步形成可复制的能源互联网模式，向全国市场推广。</w:t>
      </w:r>
      <w:r>
        <w:rPr>
          <w:spacing w:val="-14"/>
        </w:rPr>
        <w:t> </w:t>
      </w:r>
      <w:r>
        <w:rPr>
          <w:spacing w:val="-14"/>
        </w:rPr>
      </w:r>
      <w:r>
        <w:rPr>
          <w:rFonts w:ascii="Times New Roman" w:hAnsi="Times New Roman" w:cs="Times New Roman" w:eastAsia="Times New Roman" w:hint="default"/>
        </w:rPr>
        <w:t>2.2.2</w:t>
      </w:r>
      <w:r>
        <w:rPr>
          <w:rFonts w:ascii="Times New Roman" w:hAnsi="Times New Roman" w:cs="Times New Roman" w:eastAsia="Times New Roman" w:hint="default"/>
          <w:spacing w:val="-3"/>
        </w:rPr>
        <w:t> </w:t>
      </w:r>
      <w:r>
        <w:rPr/>
        <w:t>电力信息化</w:t>
      </w:r>
      <w:r>
        <w:rPr>
          <w:w w:val="100"/>
        </w:rPr>
        <w:t> </w:t>
      </w:r>
      <w:r>
        <w:rPr>
          <w:spacing w:val="-2"/>
        </w:rPr>
        <w:t>电力信息化产业在未来能源互联网产业中具有不可或缺的作用。公司所专注的电力调度软件</w:t>
      </w:r>
    </w:p>
    <w:p>
      <w:pPr>
        <w:pStyle w:val="BodyText"/>
        <w:spacing w:line="237" w:lineRule="auto" w:before="2"/>
        <w:ind w:right="208"/>
        <w:jc w:val="both"/>
      </w:pPr>
      <w:r>
        <w:rPr>
          <w:spacing w:val="-1"/>
        </w:rPr>
        <w:t>系列产品是电力软件业务的一个专业细分市场，市场集中度较高、赢利能力强。在国内各省调、</w:t>
      </w:r>
      <w:r>
        <w:rPr>
          <w:spacing w:val="-55"/>
        </w:rPr>
        <w:t> </w:t>
      </w:r>
      <w:r>
        <w:rPr>
          <w:spacing w:val="-55"/>
        </w:rPr>
      </w:r>
      <w:r>
        <w:rPr>
          <w:spacing w:val="-1"/>
        </w:rPr>
        <w:t>地调市场上，公司与国电南瑞同为市场领跑者。由于电力调度软件研发及其运维服务的特殊性，</w:t>
      </w:r>
      <w:r>
        <w:rPr>
          <w:spacing w:val="-55"/>
        </w:rPr>
        <w:t> </w:t>
      </w:r>
      <w:r>
        <w:rPr>
          <w:spacing w:val="-55"/>
        </w:rPr>
      </w:r>
      <w:r>
        <w:rPr>
          <w:spacing w:val="-1"/>
        </w:rPr>
        <w:t>当前各厂商的软件产品难以相互替换，从而形成了有效的市场壁垒。为此，在相当长几年时间里</w:t>
      </w:r>
      <w:r>
        <w:rPr>
          <w:spacing w:val="-55"/>
        </w:rPr>
        <w:t> </w:t>
      </w:r>
      <w:r>
        <w:rPr>
          <w:spacing w:val="-55"/>
        </w:rPr>
      </w:r>
      <w:r>
        <w:rPr>
          <w:spacing w:val="-1"/>
        </w:rPr>
        <w:t>公司的软件业务盈利能力能够得到有效保障。预计未来，在相当长的时间里，公司的电力信息化</w:t>
      </w:r>
      <w:r>
        <w:rPr>
          <w:spacing w:val="-55"/>
        </w:rPr>
        <w:t> </w:t>
      </w:r>
      <w:r>
        <w:rPr>
          <w:spacing w:val="-55"/>
        </w:rPr>
      </w:r>
      <w:r>
        <w:rPr/>
        <w:t>业务仍将保持较高的市场地位。</w:t>
      </w:r>
    </w:p>
    <w:p>
      <w:pPr>
        <w:pStyle w:val="BodyText"/>
        <w:spacing w:line="274" w:lineRule="exact" w:before="22"/>
        <w:ind w:right="210" w:firstLine="419"/>
        <w:jc w:val="both"/>
      </w:pPr>
      <w:r>
        <w:rPr/>
        <w:t>公司主打产品电网调度软件已经占领全国</w:t>
      </w:r>
      <w:r>
        <w:rPr>
          <w:spacing w:val="-42"/>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spacing w:val="-6"/>
        </w:rPr>
        <w:t>省市的电网调度市场，市场份额排名第一，电网</w:t>
      </w:r>
      <w:r>
        <w:rPr>
          <w:w w:val="100"/>
        </w:rPr>
        <w:t> </w:t>
      </w:r>
      <w:r>
        <w:rPr/>
        <w:t>调度这一细分市场领域核心竞争力较强。公司主要竞争对手为国电南瑞、东方电子等。</w:t>
      </w:r>
    </w:p>
    <w:p>
      <w:pPr>
        <w:pStyle w:val="BodyText"/>
        <w:spacing w:line="245" w:lineRule="exact"/>
        <w:ind w:right="100" w:firstLine="419"/>
        <w:jc w:val="left"/>
      </w:pPr>
      <w:r>
        <w:rPr/>
        <w:t>未来公司将进一步整合内外资源，以“云计算、大数据、人工智能、移动作业”新技术应用</w:t>
      </w:r>
    </w:p>
    <w:p>
      <w:pPr>
        <w:pStyle w:val="BodyText"/>
        <w:spacing w:line="237" w:lineRule="auto" w:before="2"/>
        <w:ind w:right="208"/>
        <w:jc w:val="both"/>
      </w:pPr>
      <w:r>
        <w:rPr>
          <w:spacing w:val="-1"/>
        </w:rPr>
        <w:t>创新为手段，一是面向电力调度业务研发人工智能调度系统；二是面向电力调度运行研发基于大</w:t>
      </w:r>
      <w:r>
        <w:rPr>
          <w:spacing w:val="-55"/>
        </w:rPr>
        <w:t> </w:t>
      </w:r>
      <w:r>
        <w:rPr>
          <w:spacing w:val="-55"/>
        </w:rPr>
      </w:r>
      <w:r>
        <w:rPr>
          <w:spacing w:val="-1"/>
        </w:rPr>
        <w:t>数据应用的变电站实时监控系统；三是面向配电网研发基于大数据的配网实时运维管控软件，实</w:t>
      </w:r>
      <w:r>
        <w:rPr>
          <w:spacing w:val="-55"/>
        </w:rPr>
        <w:t> </w:t>
      </w:r>
      <w:r>
        <w:rPr>
          <w:spacing w:val="-55"/>
        </w:rPr>
      </w:r>
      <w:r>
        <w:rPr>
          <w:spacing w:val="-1"/>
        </w:rPr>
        <w:t>现公司电网项目建设及其运维服务相结合的经营发展模式；同时结合公司多年服务“两网公司”</w:t>
      </w:r>
      <w:r>
        <w:rPr>
          <w:spacing w:val="-55"/>
        </w:rPr>
        <w:t> </w:t>
      </w:r>
      <w:r>
        <w:rPr>
          <w:spacing w:val="-55"/>
        </w:rPr>
      </w:r>
      <w:r>
        <w:rPr>
          <w:spacing w:val="-1"/>
        </w:rPr>
        <w:t>技术与服务的经验积累，针对区域能源互联微网特性与需求，研发微电网营配调一体化运维管控</w:t>
      </w:r>
      <w:r>
        <w:rPr>
          <w:spacing w:val="-55"/>
        </w:rPr>
        <w:t> </w:t>
      </w:r>
      <w:r>
        <w:rPr>
          <w:spacing w:val="-55"/>
        </w:rPr>
      </w:r>
      <w:r>
        <w:rPr/>
        <w:t>平台系统，满足我国区域能源互联网市场发展的需求。</w:t>
      </w:r>
    </w:p>
    <w:p>
      <w:pPr>
        <w:pStyle w:val="BodyText"/>
        <w:spacing w:line="279" w:lineRule="exact"/>
        <w:ind w:left="558" w:right="100"/>
        <w:jc w:val="left"/>
      </w:pPr>
      <w:r>
        <w:rPr>
          <w:rFonts w:ascii="Times New Roman" w:hAnsi="Times New Roman" w:cs="Times New Roman" w:eastAsia="Times New Roman" w:hint="default"/>
        </w:rPr>
        <w:t>2.2.3 </w:t>
      </w:r>
      <w:r>
        <w:rPr/>
        <w:t>智能应急电源</w:t>
      </w:r>
    </w:p>
    <w:p>
      <w:pPr>
        <w:pStyle w:val="BodyText"/>
        <w:spacing w:line="232" w:lineRule="auto"/>
        <w:ind w:right="207"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spacing w:val="-3"/>
        </w:rPr>
        <w:t>年，智能应急电源整体竞争格局延续以往态势。康明斯、卡特彼勒、威尔信、科勒等跨</w:t>
      </w:r>
      <w:r>
        <w:rPr>
          <w:w w:val="100"/>
        </w:rPr>
        <w:t> </w:t>
      </w:r>
      <w:r>
        <w:rPr>
          <w:spacing w:val="-1"/>
        </w:rPr>
        <w:t>国集团由于掌握着最先进的发动机和发电机核心技术，处于第一梯队，主导着高端市场。公司与</w:t>
      </w:r>
      <w:r>
        <w:rPr>
          <w:spacing w:val="-55"/>
        </w:rPr>
        <w:t> </w:t>
      </w:r>
      <w:r>
        <w:rPr>
          <w:spacing w:val="-55"/>
        </w:rPr>
      </w:r>
      <w:r>
        <w:rPr>
          <w:spacing w:val="-1"/>
        </w:rPr>
        <w:t>科泰电源、无锡百发等十余家国内专业整机生产企业处于第二梯队。公司智能应急电源产品在中</w:t>
      </w:r>
      <w:r>
        <w:rPr>
          <w:spacing w:val="-55"/>
        </w:rPr>
        <w:t> </w:t>
      </w:r>
      <w:r>
        <w:rPr>
          <w:spacing w:val="-55"/>
        </w:rPr>
      </w:r>
      <w:r>
        <w:rPr/>
        <w:t>高端市场占据着重要地位。其他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余家生产规模小、竞争能力较弱、主要生产低端产品的国</w:t>
      </w:r>
      <w:r>
        <w:rPr>
          <w:w w:val="100"/>
        </w:rPr>
        <w:t> </w:t>
      </w:r>
      <w:r>
        <w:rPr>
          <w:spacing w:val="-1"/>
        </w:rPr>
        <w:t>内企业处于第三梯队。同一梯队中，产品同质化较大，因此同一梯队的厂商竞争相对激烈。与公</w:t>
      </w:r>
      <w:r>
        <w:rPr>
          <w:spacing w:val="-55"/>
        </w:rPr>
        <w:t> </w:t>
      </w:r>
      <w:r>
        <w:rPr>
          <w:spacing w:val="-55"/>
        </w:rPr>
      </w:r>
      <w:r>
        <w:rPr/>
        <w:t>司形成直接竞争的主要厂商有：卡特彼勒、康明斯、科泰电源等。</w:t>
      </w:r>
    </w:p>
    <w:p>
      <w:pPr>
        <w:pStyle w:val="BodyText"/>
        <w:spacing w:line="225" w:lineRule="auto" w:before="12"/>
        <w:ind w:right="100" w:firstLine="419"/>
        <w:jc w:val="left"/>
      </w:pPr>
      <w:r>
        <w:rPr>
          <w:spacing w:val="-4"/>
        </w:rPr>
        <w:t>智能应急电源业务是公司的传统业务，</w:t>
      </w:r>
      <w:r>
        <w:rPr>
          <w:rFonts w:ascii="Times New Roman" w:hAnsi="Times New Roman" w:cs="Times New Roman" w:eastAsia="Times New Roman" w:hint="default"/>
          <w:spacing w:val="-4"/>
        </w:rPr>
        <w:t>2010 </w:t>
      </w:r>
      <w:r>
        <w:rPr>
          <w:spacing w:val="-4"/>
        </w:rPr>
        <w:t>年以来业务规模呈现稳步上升的态势，</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3"/>
        </w:rPr>
        <w:t> </w:t>
      </w:r>
      <w:r>
        <w:rPr>
          <w:spacing w:val="-3"/>
        </w:rPr>
        <w:t>年通</w:t>
      </w:r>
      <w:r>
        <w:rPr>
          <w:spacing w:val="-3"/>
          <w:w w:val="100"/>
        </w:rPr>
        <w:t> </w:t>
      </w:r>
      <w:r>
        <w:rPr>
          <w:spacing w:val="-2"/>
          <w:w w:val="100"/>
        </w:rPr>
        <w:t>过产业整合（与</w:t>
      </w:r>
      <w:r>
        <w:rPr>
          <w:spacing w:val="-3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7"/>
          <w:w w:val="100"/>
        </w:rPr>
        <w:t> </w:t>
      </w:r>
      <w:r>
        <w:rPr>
          <w:spacing w:val="-5"/>
          <w:w w:val="100"/>
        </w:rPr>
        <w:t>家区域性规模经销商成立合资公司），业务实现了强劲的增长。在国内企业中，</w:t>
      </w:r>
      <w:r>
        <w:rPr>
          <w:spacing w:val="-102"/>
          <w:w w:val="100"/>
        </w:rPr>
        <w:t> </w:t>
      </w:r>
      <w:r>
        <w:rPr>
          <w:spacing w:val="-102"/>
          <w:w w:val="100"/>
        </w:rPr>
      </w:r>
      <w:r>
        <w:rPr/>
        <w:t>公司已是应急电源市场的领跑者。</w:t>
      </w:r>
    </w:p>
    <w:p>
      <w:pPr>
        <w:pStyle w:val="BodyText"/>
        <w:spacing w:line="237" w:lineRule="auto" w:before="3"/>
        <w:ind w:right="208" w:firstLine="419"/>
        <w:jc w:val="both"/>
      </w:pPr>
      <w:r>
        <w:rPr>
          <w:spacing w:val="-2"/>
        </w:rPr>
        <w:t>未来，公司将通过资本市场积极并购整合行业优质企业，迅速提升业务规模扩大领先优势，</w:t>
      </w:r>
      <w:r>
        <w:rPr>
          <w:w w:val="100"/>
        </w:rPr>
        <w:t> </w:t>
      </w:r>
      <w:r>
        <w:rPr>
          <w:spacing w:val="-1"/>
        </w:rPr>
        <w:t>并以此提高对上游企业的议价能力，实现规模效应，降低成本，提升盈利能力。此外，公司还将</w:t>
      </w:r>
      <w:r>
        <w:rPr>
          <w:spacing w:val="-55"/>
        </w:rPr>
        <w:t> </w:t>
      </w:r>
      <w:r>
        <w:rPr>
          <w:spacing w:val="-55"/>
        </w:rPr>
      </w:r>
      <w:r>
        <w:rPr>
          <w:spacing w:val="-1"/>
        </w:rPr>
        <w:t>通过引入优质海外团队等形式，拓展海外国际营销渠道，加速开拓海外市场，借“一带一路”的</w:t>
      </w:r>
      <w:r>
        <w:rPr>
          <w:spacing w:val="-55"/>
        </w:rPr>
        <w:t> </w:t>
      </w:r>
      <w:r>
        <w:rPr>
          <w:spacing w:val="-55"/>
        </w:rPr>
      </w:r>
      <w:r>
        <w:rPr/>
        <w:t>发展际遇，提升公司品牌的国际影响力。</w:t>
      </w:r>
    </w:p>
    <w:p>
      <w:pPr>
        <w:pStyle w:val="BodyText"/>
        <w:spacing w:line="272" w:lineRule="exact" w:before="26"/>
        <w:ind w:left="558" w:right="100"/>
        <w:jc w:val="left"/>
      </w:pPr>
      <w:r>
        <w:rPr>
          <w:rFonts w:ascii="Times New Roman" w:hAnsi="Times New Roman" w:cs="Times New Roman" w:eastAsia="Times New Roman" w:hint="default"/>
        </w:rPr>
        <w:t>2.2.4</w:t>
      </w:r>
      <w:r>
        <w:rPr>
          <w:rFonts w:ascii="Times New Roman" w:hAnsi="Times New Roman" w:cs="Times New Roman" w:eastAsia="Times New Roman" w:hint="default"/>
          <w:spacing w:val="-3"/>
        </w:rPr>
        <w:t> </w:t>
      </w:r>
      <w:r>
        <w:rPr/>
        <w:t>智能配电设备业务</w:t>
      </w:r>
      <w:r>
        <w:rPr>
          <w:spacing w:val="-102"/>
        </w:rPr>
        <w:t> </w:t>
      </w:r>
      <w:r>
        <w:rPr>
          <w:spacing w:val="-102"/>
        </w:rPr>
      </w:r>
      <w:r>
        <w:rPr>
          <w:spacing w:val="-2"/>
        </w:rPr>
        <w:t>行业内的竞争企业主要分为三类，一是国外知名企业：多为外资及其在华设立的合资公司，</w:t>
      </w:r>
    </w:p>
    <w:p>
      <w:pPr>
        <w:pStyle w:val="BodyText"/>
        <w:spacing w:line="272" w:lineRule="exact" w:before="1"/>
        <w:ind w:right="208"/>
        <w:jc w:val="both"/>
      </w:pPr>
      <w:r>
        <w:rPr>
          <w:spacing w:val="-1"/>
        </w:rPr>
        <w:t>进入市场较早，产品线分布广泛，产品质量较高，目前仍在高端市场占据主导地位；二是国内规</w:t>
      </w:r>
      <w:r>
        <w:rPr>
          <w:spacing w:val="-55"/>
        </w:rPr>
        <w:t> </w:t>
      </w:r>
      <w:r>
        <w:rPr>
          <w:spacing w:val="-55"/>
        </w:rPr>
      </w:r>
      <w:r>
        <w:rPr>
          <w:spacing w:val="-1"/>
        </w:rPr>
        <w:t>模企业：这类企业大多拥有自主技术和产品，研发和制造水平亦不断提高，成本优势由于原材料</w:t>
      </w:r>
    </w:p>
    <w:p>
      <w:pPr>
        <w:pStyle w:val="BodyText"/>
        <w:spacing w:line="272" w:lineRule="exact" w:before="1"/>
        <w:ind w:right="208"/>
        <w:jc w:val="both"/>
      </w:pPr>
      <w:r>
        <w:rPr>
          <w:spacing w:val="-6"/>
          <w:w w:val="100"/>
        </w:rPr>
        <w:t>集中采购和规模化生产较为明显，在部分产品类别竞争力较强，已经逐步缩小与国外同行的差距；</w:t>
      </w:r>
      <w:r>
        <w:rPr>
          <w:w w:val="100"/>
        </w:rPr>
        <w:t> </w:t>
      </w:r>
      <w:r>
        <w:rPr>
          <w:spacing w:val="-1"/>
        </w:rPr>
        <w:t>三是国内小型厂家：这类厂规模小，企业数量数多，技术与制造装备落后，以制造通用产品或仿</w:t>
      </w:r>
    </w:p>
    <w:p>
      <w:pPr>
        <w:pStyle w:val="BodyText"/>
        <w:spacing w:line="272" w:lineRule="exact" w:before="2"/>
        <w:ind w:left="558" w:right="2320" w:hanging="420"/>
        <w:jc w:val="left"/>
      </w:pPr>
      <w:r>
        <w:rPr/>
        <w:t>制市场主流产品为主，主要面向低端市场。</w:t>
      </w:r>
      <w:r>
        <w:rPr>
          <w:w w:val="100"/>
        </w:rPr>
        <w:t> </w:t>
      </w:r>
      <w:r>
        <w:rPr>
          <w:spacing w:val="-2"/>
        </w:rPr>
        <w:t>公司的国内竞争对手主要有合纵科技、森源电气等。</w:t>
      </w:r>
    </w:p>
    <w:p>
      <w:pPr>
        <w:spacing w:line="240" w:lineRule="auto" w:before="12"/>
        <w:rPr>
          <w:rFonts w:ascii="宋体" w:hAnsi="宋体" w:cs="宋体" w:eastAsia="宋体" w:hint="default"/>
          <w:sz w:val="20"/>
          <w:szCs w:val="20"/>
        </w:rPr>
      </w:pPr>
    </w:p>
    <w:p>
      <w:pPr>
        <w:pStyle w:val="Heading2"/>
        <w:tabs>
          <w:tab w:pos="977" w:val="left" w:leader="none"/>
        </w:tabs>
        <w:spacing w:line="240" w:lineRule="auto" w:before="0"/>
        <w:ind w:right="10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884" w:val="left" w:leader="none"/>
        </w:tabs>
        <w:spacing w:line="272" w:lineRule="exact" w:before="86"/>
        <w:ind w:left="558"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公司致力于军工装备、智慧能源领域的产业发展。军工装备业务围绕通信指挥系统、光电探</w:t>
      </w:r>
    </w:p>
    <w:p>
      <w:pPr>
        <w:pStyle w:val="BodyText"/>
        <w:spacing w:line="272" w:lineRule="exact" w:before="1"/>
        <w:ind w:right="208"/>
        <w:jc w:val="both"/>
      </w:pPr>
      <w:r>
        <w:rPr>
          <w:spacing w:val="-1"/>
        </w:rPr>
        <w:t>测产品、导航产品的研制与服务，重点开展军工信息技术的研究与应用；智慧能源业务围绕能源</w:t>
      </w:r>
      <w:r>
        <w:rPr>
          <w:spacing w:val="-55"/>
        </w:rPr>
        <w:t> </w:t>
      </w:r>
      <w:r>
        <w:rPr>
          <w:spacing w:val="-55"/>
        </w:rPr>
      </w:r>
      <w:r>
        <w:rPr>
          <w:spacing w:val="-6"/>
        </w:rPr>
        <w:t>互联网、电力信息化、智能应急电源的产品研制与服务，重点开展能源互联网技术的研究与应用。</w:t>
      </w:r>
    </w:p>
    <w:p>
      <w:pPr>
        <w:pStyle w:val="BodyText"/>
        <w:spacing w:line="272" w:lineRule="exact" w:before="1"/>
        <w:ind w:right="208"/>
        <w:jc w:val="both"/>
      </w:pPr>
      <w:r>
        <w:rPr>
          <w:spacing w:val="-1"/>
        </w:rPr>
        <w:t>同时，积极关注相关领域的并购机会，使公司成为军工装备领域的规模化企业和智慧能源领域的</w:t>
      </w:r>
      <w:r>
        <w:rPr>
          <w:spacing w:val="-55"/>
        </w:rPr>
        <w:t> </w:t>
      </w:r>
      <w:r>
        <w:rPr>
          <w:spacing w:val="-55"/>
        </w:rPr>
      </w:r>
      <w:r>
        <w:rPr/>
        <w:t>专家型企业。</w:t>
      </w:r>
    </w:p>
    <w:p>
      <w:pPr>
        <w:spacing w:line="240" w:lineRule="auto" w:before="13"/>
        <w:rPr>
          <w:rFonts w:ascii="宋体" w:hAnsi="宋体" w:cs="宋体" w:eastAsia="宋体" w:hint="default"/>
          <w:sz w:val="20"/>
          <w:szCs w:val="20"/>
        </w:rPr>
      </w:pPr>
    </w:p>
    <w:p>
      <w:pPr>
        <w:pStyle w:val="Heading2"/>
        <w:tabs>
          <w:tab w:pos="977" w:val="left" w:leader="none"/>
        </w:tabs>
        <w:spacing w:line="240" w:lineRule="auto" w:before="0"/>
        <w:ind w:right="10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884" w:val="left" w:leader="none"/>
        </w:tabs>
        <w:spacing w:line="281" w:lineRule="exact" w:before="58"/>
        <w:ind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558" w:right="100"/>
        <w:jc w:val="left"/>
      </w:pPr>
      <w:r>
        <w:rPr>
          <w:rFonts w:ascii="Times New Roman" w:hAnsi="Times New Roman" w:cs="Times New Roman" w:eastAsia="Times New Roman" w:hint="default"/>
        </w:rPr>
        <w:t>2018 </w:t>
      </w:r>
      <w:r>
        <w:rPr>
          <w:rFonts w:ascii="Times New Roman" w:hAnsi="Times New Roman" w:cs="Times New Roman" w:eastAsia="Times New Roman" w:hint="default"/>
          <w:spacing w:val="7"/>
        </w:rPr>
        <w:t> </w:t>
      </w:r>
      <w:r>
        <w:rPr>
          <w:spacing w:val="-3"/>
        </w:rPr>
        <w:t>年公司将继续围绕产业跨越式发展的目标，继续坚持“内生外延，创新发展”的工作思</w:t>
      </w:r>
    </w:p>
    <w:p>
      <w:pPr>
        <w:spacing w:after="0" w:line="281"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rPr>
          <w:rFonts w:ascii="Times New Roman" w:hAnsi="Times New Roman" w:cs="Times New Roman" w:eastAsia="Times New Roman" w:hint="default"/>
        </w:rPr>
      </w:pPr>
      <w:r>
        <w:rPr>
          <w:spacing w:val="-1"/>
        </w:rPr>
        <w:t>路，在公司两大主业的基础上积极进行新产品研发及市场开拓，同时加强公司主业相关领域尤其</w:t>
      </w:r>
      <w:r>
        <w:rPr>
          <w:spacing w:val="-55"/>
        </w:rPr>
        <w:t> </w:t>
      </w:r>
      <w:r>
        <w:rPr>
          <w:spacing w:val="-55"/>
        </w:rPr>
      </w:r>
      <w:r>
        <w:rPr/>
        <w:t>是军工领域的外延式并购，提升公司的盈利能力及核心竞争力。重点将做好以下几方面的工作</w:t>
      </w:r>
      <w:r>
        <w:rPr>
          <w:rFonts w:ascii="Times New Roman" w:hAnsi="Times New Roman" w:cs="Times New Roman" w:eastAsia="Times New Roman" w:hint="default"/>
        </w:rPr>
        <w:t>:</w:t>
      </w:r>
    </w:p>
    <w:p>
      <w:pPr>
        <w:pStyle w:val="BodyText"/>
        <w:spacing w:line="274" w:lineRule="exact" w:before="6"/>
        <w:ind w:right="128" w:firstLine="419"/>
        <w:jc w:val="both"/>
      </w:pPr>
      <w:r>
        <w:rPr>
          <w:rFonts w:ascii="Times New Roman" w:hAnsi="Times New Roman" w:cs="Times New Roman" w:eastAsia="Times New Roman" w:hint="default"/>
          <w:spacing w:val="-4"/>
        </w:rPr>
        <w:t>1</w:t>
      </w:r>
      <w:r>
        <w:rPr>
          <w:spacing w:val="-4"/>
        </w:rPr>
        <w:t>、继续推进公司信息化建设，本年度完成财务、人力、商务、业务等不同体系的核心信息系</w:t>
      </w:r>
      <w:r>
        <w:rPr>
          <w:w w:val="100"/>
        </w:rPr>
        <w:t> </w:t>
      </w:r>
      <w:r>
        <w:rPr/>
        <w:t>统搭建，并建立公司经营分析数据库；</w:t>
      </w:r>
    </w:p>
    <w:p>
      <w:pPr>
        <w:pStyle w:val="BodyText"/>
        <w:spacing w:line="253" w:lineRule="exact"/>
        <w:ind w:left="558" w:right="0"/>
        <w:jc w:val="left"/>
      </w:pPr>
      <w:r>
        <w:rPr>
          <w:rFonts w:ascii="Times New Roman" w:hAnsi="Times New Roman" w:cs="Times New Roman" w:eastAsia="Times New Roman" w:hint="default"/>
        </w:rPr>
        <w:t>2</w:t>
      </w:r>
      <w:r>
        <w:rPr/>
        <w:t>、结合公司奋斗者体系试点情况，完善公司奋斗者体系建设并逐步推广；</w:t>
      </w:r>
    </w:p>
    <w:p>
      <w:pPr>
        <w:pStyle w:val="BodyText"/>
        <w:spacing w:line="272" w:lineRule="exact"/>
        <w:ind w:left="558" w:right="0"/>
        <w:jc w:val="left"/>
      </w:pPr>
      <w:r>
        <w:rPr>
          <w:rFonts w:ascii="Times New Roman" w:hAnsi="Times New Roman" w:cs="Times New Roman" w:eastAsia="Times New Roman" w:hint="default"/>
        </w:rPr>
        <w:t>3</w:t>
      </w:r>
      <w:r>
        <w:rPr/>
        <w:t>、强化人才队伍建设，尤其加大骨干队伍及班子成员的年轻化力度；</w:t>
      </w:r>
    </w:p>
    <w:p>
      <w:pPr>
        <w:pStyle w:val="BodyText"/>
        <w:spacing w:line="274" w:lineRule="exact" w:before="16"/>
        <w:ind w:right="128" w:firstLine="419"/>
        <w:jc w:val="both"/>
      </w:pPr>
      <w:r>
        <w:rPr>
          <w:rFonts w:ascii="Times New Roman" w:hAnsi="Times New Roman" w:cs="Times New Roman" w:eastAsia="Times New Roman" w:hint="default"/>
          <w:spacing w:val="-4"/>
        </w:rPr>
        <w:t>4</w:t>
      </w:r>
      <w:r>
        <w:rPr>
          <w:spacing w:val="-4"/>
        </w:rPr>
        <w:t>、依托清华长三角研究院、清华海峡研究院，围绕客户需求将公司军工装备及智慧能源研究</w:t>
      </w:r>
      <w:r>
        <w:rPr>
          <w:w w:val="100"/>
        </w:rPr>
        <w:t> </w:t>
      </w:r>
      <w:r>
        <w:rPr/>
        <w:t>院打造为高水平研发平台，并做好前瞻性研究，使公司成为技术驱动型公司；</w:t>
      </w:r>
    </w:p>
    <w:p>
      <w:pPr>
        <w:pStyle w:val="BodyText"/>
        <w:spacing w:line="253" w:lineRule="exact"/>
        <w:ind w:left="558" w:right="0"/>
        <w:jc w:val="left"/>
      </w:pPr>
      <w:r>
        <w:rPr>
          <w:rFonts w:ascii="Times New Roman" w:hAnsi="Times New Roman" w:cs="Times New Roman" w:eastAsia="Times New Roman" w:hint="default"/>
          <w:w w:val="100"/>
        </w:rPr>
        <w:t>5</w:t>
      </w:r>
      <w:r>
        <w:rPr>
          <w:w w:val="100"/>
        </w:rPr>
        <w:t>、抓</w:t>
      </w:r>
      <w:r>
        <w:rPr>
          <w:spacing w:val="-3"/>
          <w:w w:val="100"/>
        </w:rPr>
        <w:t>住</w:t>
      </w:r>
      <w:r>
        <w:rPr>
          <w:w w:val="100"/>
        </w:rPr>
        <w:t>国</w:t>
      </w:r>
      <w:r>
        <w:rPr>
          <w:spacing w:val="-1"/>
          <w:w w:val="100"/>
        </w:rPr>
        <w:t>家</w:t>
      </w:r>
      <w:r>
        <w:rPr>
          <w:spacing w:val="-3"/>
          <w:w w:val="100"/>
        </w:rPr>
        <w:t>“</w:t>
      </w:r>
      <w:r>
        <w:rPr>
          <w:w w:val="100"/>
        </w:rPr>
        <w:t>军改</w:t>
      </w:r>
      <w:r>
        <w:rPr>
          <w:spacing w:val="-106"/>
          <w:w w:val="100"/>
        </w:rPr>
        <w:t>”</w:t>
      </w:r>
      <w:r>
        <w:rPr>
          <w:spacing w:val="-108"/>
          <w:w w:val="100"/>
        </w:rPr>
        <w:t>、</w:t>
      </w:r>
      <w:r>
        <w:rPr>
          <w:w w:val="100"/>
        </w:rPr>
        <w:t>“</w:t>
      </w:r>
      <w:r>
        <w:rPr>
          <w:spacing w:val="-3"/>
          <w:w w:val="100"/>
        </w:rPr>
        <w:t>电</w:t>
      </w:r>
      <w:r>
        <w:rPr>
          <w:w w:val="100"/>
        </w:rPr>
        <w:t>改</w:t>
      </w:r>
      <w:r>
        <w:rPr>
          <w:spacing w:val="-106"/>
          <w:w w:val="100"/>
        </w:rPr>
        <w:t>”</w:t>
      </w:r>
      <w:r>
        <w:rPr>
          <w:w w:val="100"/>
        </w:rPr>
        <w:t>、</w:t>
      </w:r>
      <w:r>
        <w:rPr>
          <w:spacing w:val="-3"/>
          <w:w w:val="100"/>
        </w:rPr>
        <w:t>军</w:t>
      </w:r>
      <w:r>
        <w:rPr>
          <w:w w:val="100"/>
        </w:rPr>
        <w:t>民融</w:t>
      </w:r>
      <w:r>
        <w:rPr>
          <w:spacing w:val="-3"/>
          <w:w w:val="100"/>
        </w:rPr>
        <w:t>合</w:t>
      </w:r>
      <w:r>
        <w:rPr>
          <w:w w:val="100"/>
        </w:rPr>
        <w:t>、国</w:t>
      </w:r>
      <w:r>
        <w:rPr>
          <w:spacing w:val="-3"/>
          <w:w w:val="100"/>
        </w:rPr>
        <w:t>企</w:t>
      </w:r>
      <w:r>
        <w:rPr>
          <w:w w:val="100"/>
        </w:rPr>
        <w:t>改</w:t>
      </w:r>
      <w:r>
        <w:rPr>
          <w:spacing w:val="-3"/>
          <w:w w:val="100"/>
        </w:rPr>
        <w:t>革</w:t>
      </w:r>
      <w:r>
        <w:rPr>
          <w:w w:val="100"/>
        </w:rPr>
        <w:t>带来的</w:t>
      </w:r>
      <w:r>
        <w:rPr>
          <w:spacing w:val="-3"/>
          <w:w w:val="100"/>
        </w:rPr>
        <w:t>机</w:t>
      </w:r>
      <w:r>
        <w:rPr>
          <w:w w:val="100"/>
        </w:rPr>
        <w:t>遇</w:t>
      </w:r>
      <w:r>
        <w:rPr>
          <w:spacing w:val="-3"/>
          <w:w w:val="100"/>
        </w:rPr>
        <w:t>，</w:t>
      </w:r>
      <w:r>
        <w:rPr>
          <w:w w:val="100"/>
        </w:rPr>
        <w:t>深度</w:t>
      </w:r>
      <w:r>
        <w:rPr>
          <w:spacing w:val="-3"/>
          <w:w w:val="100"/>
        </w:rPr>
        <w:t>参</w:t>
      </w:r>
      <w:r>
        <w:rPr>
          <w:w w:val="100"/>
        </w:rPr>
        <w:t>与</w:t>
      </w:r>
      <w:r>
        <w:rPr>
          <w:spacing w:val="-3"/>
          <w:w w:val="100"/>
        </w:rPr>
        <w:t>军</w:t>
      </w:r>
      <w:r>
        <w:rPr>
          <w:w w:val="100"/>
        </w:rPr>
        <w:t>工、电</w:t>
      </w:r>
      <w:r>
        <w:rPr>
          <w:spacing w:val="-3"/>
          <w:w w:val="100"/>
        </w:rPr>
        <w:t>力</w:t>
      </w:r>
      <w:r>
        <w:rPr>
          <w:w w:val="100"/>
        </w:rPr>
        <w:t>领域</w:t>
      </w:r>
    </w:p>
    <w:p>
      <w:pPr>
        <w:pStyle w:val="BodyText"/>
        <w:spacing w:line="264" w:lineRule="exact"/>
        <w:ind w:right="0"/>
        <w:jc w:val="left"/>
      </w:pPr>
      <w:r>
        <w:rPr/>
        <w:t>国企混合所有制改革，整合优质资源，打造公司产业生态圈；</w:t>
      </w:r>
    </w:p>
    <w:p>
      <w:pPr>
        <w:pStyle w:val="BodyText"/>
        <w:spacing w:line="280" w:lineRule="exact"/>
        <w:ind w:left="558" w:right="0"/>
        <w:jc w:val="left"/>
      </w:pPr>
      <w:r>
        <w:rPr>
          <w:rFonts w:ascii="Times New Roman" w:hAnsi="Times New Roman" w:cs="Times New Roman" w:eastAsia="Times New Roman" w:hint="default"/>
        </w:rPr>
        <w:t>6</w:t>
      </w:r>
      <w:r>
        <w:rPr/>
        <w:t>、做好基金已投孵化项目的投后管理，并根据公司发展战略适时完成项目并购；</w:t>
      </w:r>
    </w:p>
    <w:p>
      <w:pPr>
        <w:pStyle w:val="BodyText"/>
        <w:spacing w:line="232" w:lineRule="auto"/>
        <w:ind w:right="128" w:firstLine="419"/>
        <w:jc w:val="both"/>
      </w:pPr>
      <w:r>
        <w:rPr>
          <w:rFonts w:ascii="Times New Roman" w:hAnsi="Times New Roman" w:cs="Times New Roman" w:eastAsia="Times New Roman" w:hint="default"/>
        </w:rPr>
        <w:t>7</w:t>
      </w:r>
      <w:r>
        <w:rPr/>
        <w:t>、</w:t>
      </w:r>
      <w:r>
        <w:rPr>
          <w:spacing w:val="4"/>
        </w:rPr>
        <w:t> </w:t>
      </w:r>
      <w:r>
        <w:rPr/>
        <w:t>设立专项产业基金，加强公司主业相关领域尤其是军工领域的外延式并购，推动公司军</w:t>
      </w:r>
      <w:r>
        <w:rPr>
          <w:w w:val="100"/>
        </w:rPr>
        <w:t> </w:t>
      </w:r>
      <w:r>
        <w:rPr>
          <w:spacing w:val="-1"/>
        </w:rPr>
        <w:t>工产业的规模化发展，寻求军队综合信息服务体系建设切入点，同时关注海外并购机会，通过海</w:t>
      </w:r>
      <w:r>
        <w:rPr>
          <w:spacing w:val="-55"/>
        </w:rPr>
        <w:t> </w:t>
      </w:r>
      <w:r>
        <w:rPr>
          <w:spacing w:val="-55"/>
        </w:rPr>
      </w:r>
      <w:r>
        <w:rPr/>
        <w:t>外市场并购实现海外业务的快速增长。</w:t>
      </w:r>
    </w:p>
    <w:p>
      <w:pPr>
        <w:spacing w:line="240" w:lineRule="auto" w:before="12"/>
        <w:rPr>
          <w:rFonts w:ascii="宋体" w:hAnsi="宋体" w:cs="宋体" w:eastAsia="宋体" w:hint="default"/>
          <w:sz w:val="22"/>
          <w:szCs w:val="22"/>
        </w:rPr>
      </w:pPr>
    </w:p>
    <w:p>
      <w:pPr>
        <w:pStyle w:val="Heading2"/>
        <w:tabs>
          <w:tab w:pos="977" w:val="left" w:leader="none"/>
        </w:tabs>
        <w:spacing w:line="240" w:lineRule="auto" w:before="0"/>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884" w:val="left" w:leader="none"/>
        </w:tabs>
        <w:spacing w:line="274" w:lineRule="exact" w:before="82"/>
        <w:ind w:left="558" w:right="6969"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、宏观政策风险</w:t>
      </w:r>
    </w:p>
    <w:p>
      <w:pPr>
        <w:pStyle w:val="BodyText"/>
        <w:spacing w:line="253" w:lineRule="exact"/>
        <w:ind w:left="558" w:right="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军队体制改革对军工装备产业的影响仍会持续</w:t>
      </w:r>
    </w:p>
    <w:p>
      <w:pPr>
        <w:pStyle w:val="BodyText"/>
        <w:spacing w:line="228" w:lineRule="auto" w:before="3"/>
        <w:ind w:right="128"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40"/>
        </w:rPr>
        <w:t> </w:t>
      </w:r>
      <w:r>
        <w:rPr>
          <w:spacing w:val="-3"/>
        </w:rPr>
        <w:t>年中央军委印发《关于深化国防和军队改革的意见》以来，各项“军改”措施制度陆续</w:t>
      </w:r>
      <w:r>
        <w:rPr>
          <w:w w:val="100"/>
        </w:rPr>
        <w:t> </w:t>
      </w:r>
      <w:r>
        <w:rPr/>
        <w:t>出台，军工企业改革制度框架日益完善。按照本次军事改革总体方案时间表，</w:t>
      </w:r>
      <w:r>
        <w:rPr>
          <w:rFonts w:ascii="Times New Roman" w:hAnsi="Times New Roman" w:cs="Times New Roman" w:eastAsia="Times New Roman" w:hint="default"/>
        </w:rPr>
        <w:t>2017 </w:t>
      </w:r>
      <w:r>
        <w:rPr/>
        <w:t>年至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w w:val="100"/>
        </w:rPr>
        <w:t> </w:t>
      </w:r>
      <w:r>
        <w:rPr>
          <w:spacing w:val="-1"/>
        </w:rPr>
        <w:t>将对相关领域改革作进一步调整、优化和完善，可以预见“军改”对公司军工装备产业的影响仍</w:t>
      </w:r>
      <w:r>
        <w:rPr>
          <w:spacing w:val="-55"/>
        </w:rPr>
        <w:t> </w:t>
      </w:r>
      <w:r>
        <w:rPr>
          <w:spacing w:val="-55"/>
        </w:rPr>
      </w:r>
      <w:r>
        <w:rPr/>
        <w:t>将持续。</w:t>
      </w:r>
    </w:p>
    <w:p>
      <w:pPr>
        <w:pStyle w:val="BodyText"/>
        <w:spacing w:line="237" w:lineRule="auto" w:before="2"/>
        <w:ind w:right="128" w:firstLine="419"/>
        <w:jc w:val="both"/>
      </w:pPr>
      <w:r>
        <w:rPr>
          <w:spacing w:val="-2"/>
        </w:rPr>
        <w:t>应对措施：针对“军改”的持续影响，公司将继续深化整合内部资源，优化军工集团北京营</w:t>
      </w:r>
      <w:r>
        <w:rPr>
          <w:w w:val="100"/>
        </w:rPr>
        <w:t> </w:t>
      </w:r>
      <w:r>
        <w:rPr>
          <w:spacing w:val="-1"/>
        </w:rPr>
        <w:t>销中心的资源配置，加强研发、生产、营销、服务等各环节的响应速度，提升产品质量与服务品</w:t>
      </w:r>
      <w:r>
        <w:rPr>
          <w:spacing w:val="-55"/>
        </w:rPr>
        <w:t> </w:t>
      </w:r>
      <w:r>
        <w:rPr>
          <w:spacing w:val="-55"/>
        </w:rPr>
      </w:r>
      <w:r>
        <w:rPr>
          <w:spacing w:val="-1"/>
        </w:rPr>
        <w:t>质，以满足客户需求。另一方面，公司将加强发展战略基础研究，进一步明晰未来发展方向，积</w:t>
      </w:r>
      <w:r>
        <w:rPr>
          <w:spacing w:val="-55"/>
        </w:rPr>
        <w:t> </w:t>
      </w:r>
      <w:r>
        <w:rPr>
          <w:spacing w:val="-55"/>
        </w:rPr>
      </w:r>
      <w:r>
        <w:rPr>
          <w:spacing w:val="-1"/>
        </w:rPr>
        <w:t>极引入更具市场前景的业务团队和合作伙伴，不断升级军工装备产品结构，提升公司军工装备产</w:t>
      </w:r>
      <w:r>
        <w:rPr>
          <w:spacing w:val="-56"/>
        </w:rPr>
        <w:t> </w:t>
      </w:r>
      <w:r>
        <w:rPr>
          <w:spacing w:val="-56"/>
        </w:rPr>
      </w:r>
      <w:r>
        <w:rPr/>
        <w:t>品的技术含量，进而提高产业盈利能力。</w:t>
      </w:r>
    </w:p>
    <w:p>
      <w:pPr>
        <w:pStyle w:val="BodyText"/>
        <w:spacing w:line="272" w:lineRule="exact" w:before="26"/>
        <w:ind w:left="558"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电力体制改革对公司智慧能源产业的风险</w:t>
      </w:r>
      <w:r>
        <w:rPr>
          <w:w w:val="100"/>
        </w:rPr>
        <w:t> </w:t>
      </w:r>
      <w:r>
        <w:rPr>
          <w:spacing w:val="-2"/>
        </w:rPr>
        <w:t>经过两年多的推进，新一轮电力体制改革已全面进入攻坚期。政府相关报告中提出，要推进</w:t>
      </w:r>
    </w:p>
    <w:p>
      <w:pPr>
        <w:pStyle w:val="BodyText"/>
        <w:spacing w:line="272" w:lineRule="exact" w:before="1"/>
        <w:ind w:right="124"/>
        <w:jc w:val="left"/>
      </w:pPr>
      <w:r>
        <w:rPr>
          <w:spacing w:val="-6"/>
          <w:w w:val="100"/>
        </w:rPr>
        <w:t>能源生产和消费革命，下一步要加快电力市场和电力交易机构建设运行，有序放开增量配电业务，</w:t>
      </w:r>
      <w:r>
        <w:rPr>
          <w:w w:val="100"/>
        </w:rPr>
        <w:t> </w:t>
      </w:r>
      <w:r>
        <w:rPr>
          <w:spacing w:val="-1"/>
        </w:rPr>
        <w:t>加大售电侧改革力度。在此环境下，民营资本参与增量配电试点的呼声较高，但项目进展不如预</w:t>
      </w:r>
    </w:p>
    <w:p>
      <w:pPr>
        <w:pStyle w:val="BodyText"/>
        <w:spacing w:line="247" w:lineRule="exact"/>
        <w:ind w:right="0"/>
        <w:jc w:val="left"/>
      </w:pPr>
      <w:r>
        <w:rPr/>
        <w:t>期。</w:t>
      </w:r>
    </w:p>
    <w:p>
      <w:pPr>
        <w:pStyle w:val="BodyText"/>
        <w:spacing w:line="237" w:lineRule="auto"/>
        <w:ind w:right="128" w:firstLine="419"/>
        <w:jc w:val="both"/>
      </w:pPr>
      <w:r>
        <w:rPr>
          <w:spacing w:val="-2"/>
        </w:rPr>
        <w:t>应对措施：针对上述风险，首先，公司积极参与“电改”相关的文件讨论与起草，借助在细</w:t>
      </w:r>
      <w:r>
        <w:rPr>
          <w:w w:val="100"/>
        </w:rPr>
        <w:t> </w:t>
      </w:r>
      <w:r>
        <w:rPr>
          <w:spacing w:val="-1"/>
        </w:rPr>
        <w:t>分行业的影响力，努力参与相关规范及标准文件的编制，并呼吁电改配套文件尽快落地；其次，</w:t>
      </w:r>
      <w:r>
        <w:rPr>
          <w:spacing w:val="-56"/>
        </w:rPr>
        <w:t> </w:t>
      </w:r>
      <w:r>
        <w:rPr>
          <w:spacing w:val="-56"/>
        </w:rPr>
      </w:r>
      <w:r>
        <w:rPr>
          <w:spacing w:val="-1"/>
        </w:rPr>
        <w:t>公司相继在德国、美国等地设立能源互联网研究中心，并与清华大学海峡研究院开展战略合作，</w:t>
      </w:r>
      <w:r>
        <w:rPr>
          <w:spacing w:val="-55"/>
        </w:rPr>
        <w:t> </w:t>
      </w:r>
      <w:r>
        <w:rPr>
          <w:spacing w:val="-55"/>
        </w:rPr>
      </w:r>
      <w:r>
        <w:rPr>
          <w:spacing w:val="-1"/>
        </w:rPr>
        <w:t>通过研发带动技术进步及模式创新，在国内积极打造能源互联网示范园区，力争尽快形成成熟的</w:t>
      </w:r>
      <w:r>
        <w:rPr>
          <w:spacing w:val="-55"/>
        </w:rPr>
        <w:t> </w:t>
      </w:r>
      <w:r>
        <w:rPr>
          <w:spacing w:val="-55"/>
        </w:rPr>
      </w:r>
      <w:r>
        <w:rPr/>
        <w:t>可复制的运营模式。</w:t>
      </w:r>
    </w:p>
    <w:p>
      <w:pPr>
        <w:pStyle w:val="BodyText"/>
        <w:spacing w:line="272" w:lineRule="exact" w:before="26"/>
        <w:ind w:left="558" w:right="0"/>
        <w:jc w:val="left"/>
      </w:pPr>
      <w:r>
        <w:rPr>
          <w:rFonts w:ascii="Times New Roman" w:hAnsi="Times New Roman" w:cs="Times New Roman" w:eastAsia="Times New Roman" w:hint="default"/>
        </w:rPr>
        <w:t>2</w:t>
      </w:r>
      <w:r>
        <w:rPr/>
        <w:t>、市场竞争风险</w:t>
      </w:r>
      <w:r>
        <w:rPr>
          <w:w w:val="100"/>
        </w:rPr>
        <w:t> </w:t>
      </w:r>
      <w:r>
        <w:rPr>
          <w:spacing w:val="-2"/>
        </w:rPr>
        <w:t>随着军民融合和电力体制改革的不断深入，公司军工装备及智慧能源产业均面临市场竞争加</w:t>
      </w:r>
    </w:p>
    <w:p>
      <w:pPr>
        <w:pStyle w:val="BodyText"/>
        <w:spacing w:line="247" w:lineRule="exact"/>
        <w:ind w:right="0"/>
        <w:jc w:val="left"/>
      </w:pPr>
      <w:r>
        <w:rPr/>
        <w:t>剧的局面。</w:t>
      </w:r>
    </w:p>
    <w:p>
      <w:pPr>
        <w:pStyle w:val="BodyText"/>
        <w:spacing w:line="280" w:lineRule="exact"/>
        <w:ind w:left="558" w:right="0"/>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军工装备产业</w:t>
      </w:r>
    </w:p>
    <w:p>
      <w:pPr>
        <w:pStyle w:val="BodyText"/>
        <w:spacing w:line="230" w:lineRule="auto" w:before="1"/>
        <w:ind w:right="127" w:firstLine="419"/>
        <w:jc w:val="both"/>
      </w:pPr>
      <w:r>
        <w:rPr>
          <w:spacing w:val="-3"/>
        </w:rPr>
        <w:t>目前，竞争性招标的模式已在各兵种及总承单位广泛应用。</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6"/>
        </w:rPr>
        <w:t> </w:t>
      </w:r>
      <w:r>
        <w:rPr>
          <w:spacing w:val="-3"/>
        </w:rPr>
        <w:t>年，随着军队改革及军民融</w:t>
      </w:r>
      <w:r>
        <w:rPr>
          <w:w w:val="100"/>
        </w:rPr>
        <w:t> </w:t>
      </w:r>
      <w:r>
        <w:rPr>
          <w:spacing w:val="-2"/>
        </w:rPr>
        <w:t>合的继续深入推进，武器装备竞争性采购范围可能进一步扩大，公司将面临竞争进一步加剧的风</w:t>
      </w:r>
      <w:r>
        <w:rPr>
          <w:spacing w:val="-15"/>
        </w:rPr>
        <w:t> </w:t>
      </w:r>
      <w:r>
        <w:rPr>
          <w:spacing w:val="-15"/>
        </w:rPr>
      </w:r>
      <w:r>
        <w:rPr/>
        <w:t>险；同时由于军队改革和武器装备采购政策调整，公司亦将面临列装计划调整的风险。</w:t>
      </w:r>
    </w:p>
    <w:p>
      <w:pPr>
        <w:pStyle w:val="BodyText"/>
        <w:spacing w:line="237" w:lineRule="auto"/>
        <w:ind w:right="128" w:firstLine="419"/>
        <w:jc w:val="both"/>
      </w:pPr>
      <w:r>
        <w:rPr>
          <w:spacing w:val="-2"/>
        </w:rPr>
        <w:t>应对措施：面对竞争加剧的风险，公司将持续抓好技术创新和产品创新，加强科研生产的过</w:t>
      </w:r>
      <w:r>
        <w:rPr>
          <w:w w:val="100"/>
        </w:rPr>
        <w:t> </w:t>
      </w:r>
      <w:r>
        <w:rPr>
          <w:spacing w:val="-1"/>
        </w:rPr>
        <w:t>程保证能力，重点加强现有型号产品的保证能力，进一步提升科研生产任务履约能力，并积极拓</w:t>
      </w:r>
      <w:r>
        <w:rPr>
          <w:spacing w:val="-55"/>
        </w:rPr>
        <w:t> </w:t>
      </w:r>
      <w:r>
        <w:rPr>
          <w:spacing w:val="-55"/>
        </w:rPr>
      </w:r>
      <w:r>
        <w:rPr>
          <w:spacing w:val="-1"/>
        </w:rPr>
        <w:t>展军贸、军援市场，扩大市场份额。同时，采用优化设计方案、联合集采等多种措施降低制造成</w:t>
      </w:r>
      <w:r>
        <w:rPr>
          <w:spacing w:val="-55"/>
        </w:rPr>
        <w:t> </w:t>
      </w:r>
      <w:r>
        <w:rPr>
          <w:spacing w:val="-55"/>
        </w:rPr>
      </w:r>
      <w:r>
        <w:rPr>
          <w:spacing w:val="-1"/>
        </w:rPr>
        <w:t>本，提高产品的价格竞争力；面对客户列装计划调整风险，公司将充分利用清华长三角研究院及</w:t>
      </w:r>
      <w:r>
        <w:rPr>
          <w:spacing w:val="-55"/>
        </w:rPr>
        <w:t> </w:t>
      </w:r>
      <w:r>
        <w:rPr>
          <w:spacing w:val="-55"/>
        </w:rPr>
      </w:r>
      <w:r>
        <w:rPr>
          <w:spacing w:val="-1"/>
        </w:rPr>
        <w:t>专家团队的优势，加大政策研判力度，完善和改进风险预警和应急处置预案。此外，还将加强市</w:t>
      </w:r>
    </w:p>
    <w:p>
      <w:pPr>
        <w:spacing w:after="0" w:line="23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78" w:right="0"/>
        <w:jc w:val="left"/>
      </w:pPr>
      <w:r>
        <w:rPr>
          <w:spacing w:val="-1"/>
        </w:rPr>
        <w:t>场信息的收集和反馈，及时掌握用户变更信息，加大前瞻性项目研发的投入力度，储备符合军方</w:t>
      </w:r>
      <w:r>
        <w:rPr>
          <w:spacing w:val="-55"/>
        </w:rPr>
        <w:t> </w:t>
      </w:r>
      <w:r>
        <w:rPr>
          <w:spacing w:val="-55"/>
        </w:rPr>
      </w:r>
      <w:r>
        <w:rPr/>
        <w:t>需求的装备产品和技术。</w:t>
      </w:r>
    </w:p>
    <w:p>
      <w:pPr>
        <w:pStyle w:val="BodyText"/>
        <w:spacing w:line="274" w:lineRule="exact" w:before="22"/>
        <w:ind w:left="598" w:right="0"/>
        <w:jc w:val="left"/>
      </w:pPr>
      <w:r>
        <w:rPr>
          <w:rFonts w:ascii="Times New Roman" w:hAnsi="Times New Roman" w:cs="Times New Roman" w:eastAsia="Times New Roman" w:hint="default"/>
        </w:rPr>
        <w:t>2.2 </w:t>
      </w:r>
      <w:r>
        <w:rPr/>
        <w:t>智慧能源产业</w:t>
      </w:r>
      <w:r>
        <w:rPr>
          <w:w w:val="100"/>
        </w:rPr>
        <w:t> </w:t>
      </w:r>
      <w:r>
        <w:rPr>
          <w:spacing w:val="-2"/>
        </w:rPr>
        <w:t>公司主推的能源互联网业务在国内尚未形成成熟的商业模式，市场开发面临不确定性风险，</w:t>
      </w:r>
    </w:p>
    <w:p>
      <w:pPr>
        <w:pStyle w:val="BodyText"/>
        <w:spacing w:line="245" w:lineRule="exact"/>
        <w:ind w:left="598" w:right="0" w:hanging="420"/>
        <w:jc w:val="left"/>
      </w:pPr>
      <w:r>
        <w:rPr/>
        <w:t>尤其是在售电领域，拥有发电资源及两网旗下售电公司的竞争，将是公司面临的主要竞争压力。</w:t>
      </w:r>
    </w:p>
    <w:p>
      <w:pPr>
        <w:pStyle w:val="BodyText"/>
        <w:spacing w:line="237" w:lineRule="auto" w:before="2"/>
        <w:ind w:left="178" w:right="128" w:firstLine="419"/>
        <w:jc w:val="both"/>
      </w:pPr>
      <w:r>
        <w:rPr>
          <w:spacing w:val="-2"/>
        </w:rPr>
        <w:t>应对措施：公司将继续集合全球专业资源，积极开展在新能源、电网技术、电力市场、碳金</w:t>
      </w:r>
      <w:r>
        <w:rPr>
          <w:w w:val="100"/>
        </w:rPr>
        <w:t> </w:t>
      </w:r>
      <w:r>
        <w:rPr>
          <w:spacing w:val="-1"/>
        </w:rPr>
        <w:t>融等方面的创新。加速推进园区能源互联网项目进程，打造中国能源互联网示范项目，推出区域</w:t>
      </w:r>
      <w:r>
        <w:rPr>
          <w:spacing w:val="-55"/>
        </w:rPr>
        <w:t> </w:t>
      </w:r>
      <w:r>
        <w:rPr>
          <w:spacing w:val="-55"/>
        </w:rPr>
      </w:r>
      <w:r>
        <w:rPr/>
        <w:t>能源互联网管理平台等核心产品，逐步形成可复制的能源互联网模式，向全国市场推广。</w:t>
      </w:r>
    </w:p>
    <w:p>
      <w:pPr>
        <w:pStyle w:val="BodyText"/>
        <w:spacing w:line="274" w:lineRule="exact" w:before="22"/>
        <w:ind w:left="598" w:right="0"/>
        <w:jc w:val="left"/>
      </w:pPr>
      <w:r>
        <w:rPr>
          <w:rFonts w:ascii="Times New Roman" w:hAnsi="Times New Roman" w:cs="Times New Roman" w:eastAsia="Times New Roman" w:hint="default"/>
        </w:rPr>
        <w:t>3</w:t>
      </w:r>
      <w:r>
        <w:rPr/>
        <w:t>、并购整合风险</w:t>
      </w:r>
      <w:r>
        <w:rPr>
          <w:w w:val="100"/>
        </w:rPr>
        <w:t> </w:t>
      </w:r>
      <w:r>
        <w:rPr>
          <w:spacing w:val="-2"/>
        </w:rPr>
        <w:t>报告期内，公司仍坚持“内生外延、创新发展”的发展主题，围绕军工装备和智慧能源两大</w:t>
      </w:r>
    </w:p>
    <w:p>
      <w:pPr>
        <w:pStyle w:val="BodyText"/>
        <w:spacing w:line="253" w:lineRule="exact"/>
        <w:ind w:left="178" w:right="0"/>
        <w:jc w:val="left"/>
      </w:pPr>
      <w:r>
        <w:rPr>
          <w:spacing w:val="-3"/>
        </w:rPr>
        <w:t>核心业务，开展了一系列内、外资源整合。</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5"/>
        </w:rPr>
        <w:t> </w:t>
      </w:r>
      <w:r>
        <w:rPr/>
        <w:t>年公司仍将加大并购力度，重点是引入军工信息</w:t>
      </w:r>
    </w:p>
    <w:p>
      <w:pPr>
        <w:pStyle w:val="BodyText"/>
        <w:spacing w:line="265" w:lineRule="exact"/>
        <w:ind w:left="178" w:right="0"/>
        <w:jc w:val="left"/>
      </w:pPr>
      <w:r>
        <w:rPr/>
        <w:t>化相关企业。持续并购将使公司面临相应的风险：</w:t>
      </w:r>
    </w:p>
    <w:p>
      <w:pPr>
        <w:pStyle w:val="BodyText"/>
        <w:spacing w:line="274" w:lineRule="exact" w:before="24"/>
        <w:ind w:left="598" w:right="0"/>
        <w:jc w:val="left"/>
      </w:pPr>
      <w:r>
        <w:rPr>
          <w:rFonts w:ascii="Times New Roman" w:hAnsi="Times New Roman" w:cs="Times New Roman" w:eastAsia="Times New Roman" w:hint="default"/>
        </w:rPr>
        <w:t>3.1 </w:t>
      </w:r>
      <w:r>
        <w:rPr/>
        <w:t>并购标的公司业绩实现风险</w:t>
      </w:r>
      <w:r>
        <w:rPr>
          <w:w w:val="100"/>
        </w:rPr>
        <w:t> </w:t>
      </w:r>
      <w:r>
        <w:rPr>
          <w:spacing w:val="-2"/>
        </w:rPr>
        <w:t>并购引进的标的企业均存在数年的业绩对赌，在后续运营过程中，可能导致其盈利预测与未</w:t>
      </w:r>
    </w:p>
    <w:p>
      <w:pPr>
        <w:pStyle w:val="BodyText"/>
        <w:spacing w:line="245" w:lineRule="exact"/>
        <w:ind w:left="178" w:right="0"/>
        <w:jc w:val="left"/>
      </w:pPr>
      <w:r>
        <w:rPr/>
        <w:t>来实际经营成果出现差异，最终导致公司整体业绩出现不确定性。</w:t>
      </w:r>
    </w:p>
    <w:p>
      <w:pPr>
        <w:pStyle w:val="BodyText"/>
        <w:spacing w:line="237" w:lineRule="auto" w:before="2"/>
        <w:ind w:left="178" w:right="128" w:firstLine="419"/>
        <w:jc w:val="both"/>
      </w:pPr>
      <w:r>
        <w:rPr>
          <w:spacing w:val="-2"/>
        </w:rPr>
        <w:t>应对措施：公司将加强资源整合，通过对被并购企业提供技术、管理、市场、人力资源等多</w:t>
      </w:r>
      <w:r>
        <w:rPr>
          <w:w w:val="100"/>
        </w:rPr>
        <w:t> </w:t>
      </w:r>
      <w:r>
        <w:rPr>
          <w:spacing w:val="-1"/>
        </w:rPr>
        <w:t>方面的资源支持，帮助企业提升运营管理水平，提高产业链的协同效应，进而帮助并购企业实现</w:t>
      </w:r>
      <w:r>
        <w:rPr>
          <w:spacing w:val="-55"/>
        </w:rPr>
        <w:t> </w:t>
      </w:r>
      <w:r>
        <w:rPr>
          <w:spacing w:val="-55"/>
        </w:rPr>
      </w:r>
      <w:r>
        <w:rPr/>
        <w:t>业绩目标。</w:t>
      </w:r>
    </w:p>
    <w:p>
      <w:pPr>
        <w:pStyle w:val="BodyText"/>
        <w:spacing w:line="272" w:lineRule="exact" w:before="24"/>
        <w:ind w:left="598" w:right="0"/>
        <w:jc w:val="left"/>
      </w:pPr>
      <w:r>
        <w:rPr>
          <w:rFonts w:ascii="Times New Roman" w:hAnsi="Times New Roman" w:cs="Times New Roman" w:eastAsia="Times New Roman" w:hint="default"/>
        </w:rPr>
        <w:t>3.2 </w:t>
      </w:r>
      <w:r>
        <w:rPr/>
        <w:t>管理整合风险</w:t>
      </w:r>
      <w:r>
        <w:rPr>
          <w:w w:val="100"/>
        </w:rPr>
        <w:t> </w:t>
      </w:r>
      <w:r>
        <w:rPr>
          <w:spacing w:val="-2"/>
        </w:rPr>
        <w:t>公司现有两大主业的产品类型较多，异地管理跨度较大，管理难度也相应加大，随着并购企</w:t>
      </w:r>
    </w:p>
    <w:p>
      <w:pPr>
        <w:pStyle w:val="BodyText"/>
        <w:spacing w:line="272" w:lineRule="exact" w:before="1"/>
        <w:ind w:left="178" w:right="0"/>
        <w:jc w:val="left"/>
      </w:pPr>
      <w:r>
        <w:rPr>
          <w:spacing w:val="-1"/>
        </w:rPr>
        <w:t>业的逐步加入，公司必然面临并购企业的管理整合问题，这包括人力资源、财务、文化等多个方</w:t>
      </w:r>
      <w:r>
        <w:rPr>
          <w:spacing w:val="-55"/>
        </w:rPr>
        <w:t> </w:t>
      </w:r>
      <w:r>
        <w:rPr>
          <w:spacing w:val="-55"/>
        </w:rPr>
      </w:r>
      <w:r>
        <w:rPr>
          <w:spacing w:val="-1"/>
        </w:rPr>
        <w:t>面的融合问题，公司内部的组织架构复杂性将会提高，可能导致各项资源需要时间磨合才能达预</w:t>
      </w:r>
    </w:p>
    <w:p>
      <w:pPr>
        <w:pStyle w:val="BodyText"/>
        <w:spacing w:line="247" w:lineRule="exact"/>
        <w:ind w:left="178" w:right="0"/>
        <w:jc w:val="left"/>
      </w:pPr>
      <w:r>
        <w:rPr/>
        <w:t>期效果。</w:t>
      </w:r>
    </w:p>
    <w:p>
      <w:pPr>
        <w:pStyle w:val="BodyText"/>
        <w:spacing w:line="240" w:lineRule="auto"/>
        <w:ind w:left="178" w:right="130" w:firstLine="419"/>
        <w:jc w:val="both"/>
      </w:pPr>
      <w:r>
        <w:rPr>
          <w:spacing w:val="-2"/>
        </w:rPr>
        <w:t>应对措施：公司将通过对被并购企业员工的培训，加强企业文化体系建设，增强被并购企业</w:t>
      </w:r>
      <w:r>
        <w:rPr>
          <w:w w:val="100"/>
        </w:rPr>
        <w:t> </w:t>
      </w:r>
      <w:r>
        <w:rPr>
          <w:spacing w:val="-2"/>
        </w:rPr>
        <w:t>员工对公司文化的认同感；其次，公司将通过信息化管理手段帮助其提升运营水平和管理效率。</w:t>
      </w:r>
    </w:p>
    <w:p>
      <w:pPr>
        <w:spacing w:line="240" w:lineRule="auto" w:before="11"/>
        <w:rPr>
          <w:rFonts w:ascii="宋体" w:hAnsi="宋体" w:cs="宋体" w:eastAsia="宋体" w:hint="default"/>
          <w:sz w:val="22"/>
          <w:szCs w:val="22"/>
        </w:rPr>
      </w:pPr>
    </w:p>
    <w:p>
      <w:pPr>
        <w:pStyle w:val="Heading2"/>
        <w:tabs>
          <w:tab w:pos="1017" w:val="left" w:leader="none"/>
        </w:tabs>
        <w:spacing w:line="240" w:lineRule="auto" w:before="0"/>
        <w:ind w:left="17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936" w:val="left" w:leader="none"/>
        </w:tabs>
        <w:spacing w:line="240" w:lineRule="auto" w:before="56"/>
        <w:ind w:left="17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2"/>
        <w:spacing w:line="240" w:lineRule="auto" w:before="0"/>
        <w:ind w:left="178" w:right="0"/>
        <w:jc w:val="left"/>
        <w:rPr>
          <w:b w:val="0"/>
          <w:bCs w:val="0"/>
        </w:rPr>
      </w:pPr>
      <w:r>
        <w:rPr/>
        <w:t>四、公司因不适用准则规定或国家秘密、商业秘密等特殊原因，未按准则披露的情况和原因说明</w:t>
      </w:r>
      <w:r>
        <w:rPr>
          <w:b w:val="0"/>
          <w:bCs w:val="0"/>
        </w:rPr>
      </w:r>
    </w:p>
    <w:p>
      <w:pPr>
        <w:pStyle w:val="BodyText"/>
        <w:tabs>
          <w:tab w:pos="936" w:val="left" w:leader="none"/>
        </w:tabs>
        <w:spacing w:line="240" w:lineRule="auto" w:before="56"/>
        <w:ind w:left="17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1302" w:val="left" w:leader="none"/>
        </w:tabs>
        <w:spacing w:line="240" w:lineRule="auto" w:before="0"/>
        <w:ind w:left="42" w:right="0"/>
        <w:jc w:val="center"/>
        <w:rPr>
          <w:b w:val="0"/>
          <w:bCs w:val="0"/>
        </w:rPr>
      </w:pPr>
      <w:bookmarkStart w:name="_TOC_250007" w:id="5"/>
      <w:r>
        <w:rPr>
          <w:w w:val="95"/>
        </w:rPr>
        <w:t>第五节</w:t>
        <w:tab/>
      </w:r>
      <w:r>
        <w:rPr/>
        <w:t>重要事项</w:t>
      </w:r>
      <w:bookmarkEnd w:id="5"/>
      <w:r>
        <w:rPr>
          <w:b w:val="0"/>
          <w:bCs w:val="0"/>
        </w:rPr>
      </w:r>
    </w:p>
    <w:p>
      <w:pPr>
        <w:spacing w:line="240" w:lineRule="auto" w:before="5"/>
        <w:rPr>
          <w:rFonts w:ascii="黑体" w:hAnsi="黑体" w:cs="黑体" w:eastAsia="黑体" w:hint="default"/>
          <w:b/>
          <w:bCs/>
          <w:sz w:val="19"/>
          <w:szCs w:val="19"/>
        </w:rPr>
      </w:pPr>
    </w:p>
    <w:p>
      <w:pPr>
        <w:pStyle w:val="Heading2"/>
        <w:spacing w:line="240" w:lineRule="auto" w:before="0"/>
        <w:ind w:left="178" w:right="0"/>
        <w:jc w:val="left"/>
        <w:rPr>
          <w:b w:val="0"/>
          <w:bCs w:val="0"/>
        </w:rPr>
      </w:pPr>
      <w:r>
        <w:rPr/>
        <w:t>一、普通股利润分配或资本公积金转增预案</w:t>
      </w:r>
      <w:r>
        <w:rPr>
          <w:b w:val="0"/>
          <w:bCs w:val="0"/>
        </w:rPr>
      </w:r>
    </w:p>
    <w:p>
      <w:pPr>
        <w:pStyle w:val="Heading2"/>
        <w:spacing w:line="240" w:lineRule="auto" w:before="56"/>
        <w:ind w:left="17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924" w:val="left" w:leader="none"/>
        </w:tabs>
        <w:spacing w:line="281" w:lineRule="exact" w:before="32"/>
        <w:ind w:left="17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25" w:lineRule="auto" w:before="5"/>
        <w:ind w:left="178" w:right="130" w:firstLine="419"/>
        <w:jc w:val="both"/>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spacing w:val="-4"/>
          <w:w w:val="100"/>
        </w:rPr>
        <w:t>月，公司根据中国证监会《上市公司监管指引第</w:t>
      </w:r>
      <w:r>
        <w:rPr>
          <w:spacing w:val="-51"/>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spacing w:val="-10"/>
          <w:w w:val="100"/>
        </w:rPr>
        <w:t>号</w:t>
      </w:r>
      <w:r>
        <w:rPr>
          <w:rFonts w:ascii="Times New Roman" w:hAnsi="Times New Roman" w:cs="Times New Roman" w:eastAsia="Times New Roman" w:hint="default"/>
          <w:spacing w:val="-10"/>
          <w:w w:val="100"/>
        </w:rPr>
        <w:t>--</w:t>
      </w:r>
      <w:r>
        <w:rPr>
          <w:spacing w:val="-10"/>
          <w:w w:val="100"/>
        </w:rPr>
        <w:t>上市公司现金分红》（证监会</w:t>
      </w:r>
      <w:r>
        <w:rPr>
          <w:w w:val="100"/>
        </w:rPr>
        <w:t> </w:t>
      </w:r>
      <w:r>
        <w:rPr/>
        <w:t>公告</w:t>
      </w:r>
      <w:r>
        <w:rPr>
          <w:rFonts w:ascii="Times New Roman" w:hAnsi="Times New Roman" w:cs="Times New Roman" w:eastAsia="Times New Roman" w:hint="default"/>
        </w:rPr>
        <w:t>[2013]43</w:t>
      </w:r>
      <w:r>
        <w:rPr/>
        <w:t>）的要求及中国证监会江西监管局的有关文件精神，对《公司章程》中关于现金分</w:t>
      </w:r>
      <w:r>
        <w:rPr>
          <w:spacing w:val="-28"/>
        </w:rPr>
        <w:t> </w:t>
      </w:r>
      <w:r>
        <w:rPr>
          <w:spacing w:val="-28"/>
        </w:rPr>
      </w:r>
      <w:r>
        <w:rPr>
          <w:spacing w:val="-2"/>
        </w:rPr>
        <w:t>红相关条款进行了修订，并经公司第五届董事会第十六次会议、</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rFonts w:ascii="Times New Roman" w:hAnsi="Times New Roman" w:cs="Times New Roman" w:eastAsia="Times New Roman" w:hint="default"/>
          <w:spacing w:val="25"/>
        </w:rPr>
        <w:t> </w:t>
      </w:r>
      <w:r>
        <w:rPr>
          <w:spacing w:val="-2"/>
        </w:rPr>
        <w:t>年度股东大会审议通过。</w:t>
      </w:r>
    </w:p>
    <w:p>
      <w:pPr>
        <w:pStyle w:val="BodyText"/>
        <w:spacing w:line="272" w:lineRule="exact" w:before="13"/>
        <w:ind w:left="178" w:right="130" w:firstLine="419"/>
        <w:jc w:val="both"/>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10"/>
        </w:rPr>
        <w:t> </w:t>
      </w:r>
      <w:r>
        <w:rPr>
          <w:w w:val="100"/>
        </w:rPr>
        <w:t>年</w:t>
      </w:r>
      <w:r>
        <w:rPr>
          <w:spacing w:val="-6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0"/>
        </w:rPr>
        <w:t> </w:t>
      </w:r>
      <w:r>
        <w:rPr>
          <w:w w:val="100"/>
        </w:rPr>
        <w:t>月</w:t>
      </w:r>
      <w:r>
        <w:rPr>
          <w:spacing w:val="-6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0"/>
        </w:rPr>
        <w:t> </w:t>
      </w:r>
      <w:r>
        <w:rPr>
          <w:w w:val="100"/>
        </w:rPr>
        <w:t>日</w:t>
      </w:r>
      <w:r>
        <w:rPr>
          <w:spacing w:val="-3"/>
          <w:w w:val="100"/>
        </w:rPr>
        <w:t>召</w:t>
      </w:r>
      <w:r>
        <w:rPr>
          <w:w w:val="100"/>
        </w:rPr>
        <w:t>开的</w:t>
      </w:r>
      <w:r>
        <w:rPr>
          <w:spacing w:val="-62"/>
        </w:rPr>
        <w:t> </w:t>
      </w:r>
      <w:r>
        <w:rPr>
          <w:rFonts w:ascii="Times New Roman" w:hAnsi="Times New Roman" w:cs="Times New Roman" w:eastAsia="Times New Roman" w:hint="default"/>
          <w:w w:val="100"/>
        </w:rPr>
        <w:t>2014</w:t>
      </w:r>
      <w:r>
        <w:rPr>
          <w:rFonts w:ascii="Times New Roman" w:hAnsi="Times New Roman" w:cs="Times New Roman" w:eastAsia="Times New Roman" w:hint="default"/>
          <w:spacing w:val="-10"/>
        </w:rPr>
        <w:t> </w:t>
      </w:r>
      <w:r>
        <w:rPr>
          <w:w w:val="100"/>
        </w:rPr>
        <w:t>年</w:t>
      </w:r>
      <w:r>
        <w:rPr>
          <w:spacing w:val="-3"/>
          <w:w w:val="100"/>
        </w:rPr>
        <w:t>第</w:t>
      </w:r>
      <w:r>
        <w:rPr>
          <w:w w:val="100"/>
        </w:rPr>
        <w:t>一</w:t>
      </w:r>
      <w:r>
        <w:rPr>
          <w:spacing w:val="-3"/>
          <w:w w:val="100"/>
        </w:rPr>
        <w:t>次</w:t>
      </w:r>
      <w:r>
        <w:rPr>
          <w:w w:val="100"/>
        </w:rPr>
        <w:t>临</w:t>
      </w:r>
      <w:r>
        <w:rPr>
          <w:spacing w:val="-3"/>
          <w:w w:val="100"/>
        </w:rPr>
        <w:t>时</w:t>
      </w:r>
      <w:r>
        <w:rPr>
          <w:w w:val="100"/>
        </w:rPr>
        <w:t>股</w:t>
      </w:r>
      <w:r>
        <w:rPr>
          <w:spacing w:val="-3"/>
          <w:w w:val="100"/>
        </w:rPr>
        <w:t>东大</w:t>
      </w:r>
      <w:r>
        <w:rPr>
          <w:w w:val="100"/>
        </w:rPr>
        <w:t>会审</w:t>
      </w:r>
      <w:r>
        <w:rPr>
          <w:spacing w:val="-3"/>
          <w:w w:val="100"/>
        </w:rPr>
        <w:t>议</w:t>
      </w:r>
      <w:r>
        <w:rPr>
          <w:w w:val="100"/>
        </w:rPr>
        <w:t>通</w:t>
      </w:r>
      <w:r>
        <w:rPr>
          <w:spacing w:val="-108"/>
          <w:w w:val="100"/>
        </w:rPr>
        <w:t>过</w:t>
      </w:r>
      <w:r>
        <w:rPr>
          <w:w w:val="100"/>
        </w:rPr>
        <w:t>《</w:t>
      </w:r>
      <w:r>
        <w:rPr>
          <w:spacing w:val="-3"/>
          <w:w w:val="100"/>
        </w:rPr>
        <w:t>公</w:t>
      </w:r>
      <w:r>
        <w:rPr>
          <w:w w:val="100"/>
        </w:rPr>
        <w:t>司</w:t>
      </w:r>
      <w:r>
        <w:rPr>
          <w:spacing w:val="-3"/>
          <w:w w:val="100"/>
        </w:rPr>
        <w:t>未</w:t>
      </w:r>
      <w:r>
        <w:rPr>
          <w:w w:val="100"/>
        </w:rPr>
        <w:t>来</w:t>
      </w:r>
      <w:r>
        <w:rPr>
          <w:spacing w:val="-3"/>
          <w:w w:val="100"/>
        </w:rPr>
        <w:t>三</w:t>
      </w:r>
      <w:r>
        <w:rPr>
          <w:spacing w:val="-108"/>
          <w:w w:val="100"/>
        </w:rPr>
        <w:t>年</w:t>
      </w:r>
      <w:r>
        <w:rPr>
          <w:w w:val="100"/>
        </w:rPr>
        <w:t>（</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10"/>
        </w:rPr>
        <w:t> </w:t>
      </w:r>
      <w:r>
        <w:rPr>
          <w:w w:val="100"/>
        </w:rPr>
        <w:t>年</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2017</w:t>
      </w:r>
      <w:r>
        <w:rPr>
          <w:rFonts w:ascii="Times New Roman" w:hAnsi="Times New Roman" w:cs="Times New Roman" w:eastAsia="Times New Roman" w:hint="default"/>
          <w:w w:val="100"/>
        </w:rPr>
        <w:t> </w:t>
      </w:r>
      <w:r>
        <w:rPr>
          <w:w w:val="100"/>
        </w:rPr>
        <w:t>年）</w:t>
      </w:r>
      <w:r>
        <w:rPr>
          <w:spacing w:val="-3"/>
          <w:w w:val="100"/>
        </w:rPr>
        <w:t>股</w:t>
      </w:r>
      <w:r>
        <w:rPr>
          <w:w w:val="100"/>
        </w:rPr>
        <w:t>东</w:t>
      </w:r>
      <w:r>
        <w:rPr>
          <w:spacing w:val="-3"/>
          <w:w w:val="100"/>
        </w:rPr>
        <w:t>回</w:t>
      </w:r>
      <w:r>
        <w:rPr>
          <w:w w:val="100"/>
        </w:rPr>
        <w:t>报</w:t>
      </w:r>
      <w:r>
        <w:rPr>
          <w:spacing w:val="-3"/>
          <w:w w:val="100"/>
        </w:rPr>
        <w:t>规</w:t>
      </w:r>
      <w:r>
        <w:rPr>
          <w:w w:val="100"/>
        </w:rPr>
        <w:t>划</w:t>
      </w:r>
      <w:r>
        <w:rPr>
          <w:spacing w:val="-108"/>
          <w:w w:val="100"/>
        </w:rPr>
        <w:t>》</w:t>
      </w:r>
      <w:r>
        <w:rPr>
          <w:w w:val="100"/>
        </w:rPr>
        <w:t>，</w:t>
      </w:r>
      <w:r>
        <w:rPr>
          <w:spacing w:val="-3"/>
          <w:w w:val="100"/>
        </w:rPr>
        <w:t>明确</w:t>
      </w:r>
      <w:r>
        <w:rPr>
          <w:w w:val="100"/>
        </w:rPr>
        <w:t>了公</w:t>
      </w:r>
      <w:r>
        <w:rPr>
          <w:spacing w:val="-3"/>
          <w:w w:val="100"/>
        </w:rPr>
        <w:t>司</w:t>
      </w:r>
      <w:r>
        <w:rPr>
          <w:w w:val="100"/>
        </w:rPr>
        <w:t>现</w:t>
      </w:r>
      <w:r>
        <w:rPr>
          <w:spacing w:val="-3"/>
          <w:w w:val="100"/>
        </w:rPr>
        <w:t>金</w:t>
      </w:r>
      <w:r>
        <w:rPr>
          <w:w w:val="100"/>
        </w:rPr>
        <w:t>分</w:t>
      </w:r>
      <w:r>
        <w:rPr>
          <w:spacing w:val="-3"/>
          <w:w w:val="100"/>
        </w:rPr>
        <w:t>红</w:t>
      </w:r>
      <w:r>
        <w:rPr>
          <w:w w:val="100"/>
        </w:rPr>
        <w:t>的</w:t>
      </w:r>
      <w:r>
        <w:rPr>
          <w:spacing w:val="-3"/>
          <w:w w:val="100"/>
        </w:rPr>
        <w:t>时</w:t>
      </w:r>
      <w:r>
        <w:rPr>
          <w:w w:val="100"/>
        </w:rPr>
        <w:t>间</w:t>
      </w:r>
      <w:r>
        <w:rPr>
          <w:spacing w:val="-3"/>
          <w:w w:val="100"/>
        </w:rPr>
        <w:t>间</w:t>
      </w:r>
      <w:r>
        <w:rPr>
          <w:w w:val="100"/>
        </w:rPr>
        <w:t>隔、</w:t>
      </w:r>
      <w:r>
        <w:rPr>
          <w:spacing w:val="-3"/>
          <w:w w:val="100"/>
        </w:rPr>
        <w:t>现</w:t>
      </w:r>
      <w:r>
        <w:rPr>
          <w:w w:val="100"/>
        </w:rPr>
        <w:t>金</w:t>
      </w:r>
      <w:r>
        <w:rPr>
          <w:spacing w:val="-3"/>
          <w:w w:val="100"/>
        </w:rPr>
        <w:t>分</w:t>
      </w:r>
      <w:r>
        <w:rPr>
          <w:w w:val="100"/>
        </w:rPr>
        <w:t>红</w:t>
      </w:r>
      <w:r>
        <w:rPr>
          <w:spacing w:val="-3"/>
          <w:w w:val="100"/>
        </w:rPr>
        <w:t>的</w:t>
      </w:r>
      <w:r>
        <w:rPr>
          <w:w w:val="100"/>
        </w:rPr>
        <w:t>条</w:t>
      </w:r>
      <w:r>
        <w:rPr>
          <w:spacing w:val="-3"/>
          <w:w w:val="100"/>
        </w:rPr>
        <w:t>件</w:t>
      </w:r>
      <w:r>
        <w:rPr>
          <w:w w:val="100"/>
        </w:rPr>
        <w:t>和</w:t>
      </w:r>
      <w:r>
        <w:rPr>
          <w:spacing w:val="-3"/>
          <w:w w:val="100"/>
        </w:rPr>
        <w:t>最</w:t>
      </w:r>
      <w:r>
        <w:rPr>
          <w:w w:val="100"/>
        </w:rPr>
        <w:t>低比</w:t>
      </w:r>
      <w:r>
        <w:rPr>
          <w:spacing w:val="-3"/>
          <w:w w:val="100"/>
        </w:rPr>
        <w:t>例</w:t>
      </w:r>
      <w:r>
        <w:rPr>
          <w:w w:val="100"/>
        </w:rPr>
        <w:t>等。</w:t>
      </w:r>
    </w:p>
    <w:p>
      <w:pPr>
        <w:spacing w:line="240" w:lineRule="auto" w:before="12"/>
        <w:rPr>
          <w:rFonts w:ascii="宋体" w:hAnsi="宋体" w:cs="宋体" w:eastAsia="宋体" w:hint="default"/>
          <w:sz w:val="20"/>
          <w:szCs w:val="20"/>
        </w:rPr>
      </w:pPr>
    </w:p>
    <w:p>
      <w:pPr>
        <w:pStyle w:val="Heading2"/>
        <w:spacing w:line="240" w:lineRule="auto" w:before="0"/>
        <w:ind w:left="17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1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922"/>
        <w:gridCol w:w="1121"/>
        <w:gridCol w:w="1071"/>
        <w:gridCol w:w="1121"/>
        <w:gridCol w:w="1568"/>
        <w:gridCol w:w="1565"/>
        <w:gridCol w:w="1459"/>
      </w:tblGrid>
      <w:tr>
        <w:trPr>
          <w:trHeight w:val="82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44" w:right="242"/>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p>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红股数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4" w:right="0" w:hanging="8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p>
          <w:p>
            <w:pPr>
              <w:pStyle w:val="TableParagraph"/>
              <w:spacing w:line="272" w:lineRule="exact"/>
              <w:ind w:left="1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65" w:lineRule="exact"/>
              <w:ind w:left="11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50" w:right="5" w:firstLine="3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72" w:lineRule="exact" w:before="27"/>
              <w:ind w:left="146" w:right="144"/>
              <w:jc w:val="left"/>
              <w:rPr>
                <w:rFonts w:ascii="宋体" w:hAnsi="宋体" w:cs="宋体" w:eastAsia="宋体" w:hint="default"/>
                <w:sz w:val="21"/>
                <w:szCs w:val="21"/>
              </w:rPr>
            </w:pPr>
            <w:r>
              <w:rPr>
                <w:rFonts w:ascii="宋体" w:hAnsi="宋体" w:cs="宋体" w:eastAsia="宋体" w:hint="default"/>
                <w:sz w:val="21"/>
                <w:szCs w:val="21"/>
              </w:rPr>
              <w:t>报表中归属于</w:t>
            </w:r>
            <w:r>
              <w:rPr>
                <w:rFonts w:ascii="宋体" w:hAnsi="宋体" w:cs="宋体" w:eastAsia="宋体" w:hint="default"/>
                <w:w w:val="100"/>
                <w:sz w:val="21"/>
                <w:szCs w:val="21"/>
              </w:rPr>
              <w:t> </w:t>
            </w:r>
            <w:r>
              <w:rPr>
                <w:rFonts w:ascii="宋体" w:hAnsi="宋体" w:cs="宋体" w:eastAsia="宋体" w:hint="default"/>
                <w:sz w:val="21"/>
                <w:szCs w:val="21"/>
              </w:rPr>
              <w:t>上市公司普通</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72" w:lineRule="exact" w:before="27"/>
              <w:ind w:left="93" w:right="91"/>
              <w:jc w:val="left"/>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司普通股股东</w:t>
            </w:r>
          </w:p>
        </w:tc>
      </w:tr>
    </w:tbl>
    <w:p>
      <w:pPr>
        <w:spacing w:after="0" w:line="272" w:lineRule="exact"/>
        <w:jc w:val="left"/>
        <w:rPr>
          <w:rFonts w:ascii="宋体" w:hAnsi="宋体" w:cs="宋体" w:eastAsia="宋体" w:hint="default"/>
          <w:sz w:val="21"/>
          <w:szCs w:val="21"/>
        </w:rPr>
        <w:sectPr>
          <w:pgSz w:w="11910" w:h="16840"/>
          <w:pgMar w:header="882" w:footer="1195" w:top="1120" w:bottom="1380" w:left="162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922"/>
        <w:gridCol w:w="1121"/>
        <w:gridCol w:w="1071"/>
        <w:gridCol w:w="1121"/>
        <w:gridCol w:w="1568"/>
        <w:gridCol w:w="1565"/>
        <w:gridCol w:w="1459"/>
      </w:tblGrid>
      <w:tr>
        <w:trPr>
          <w:trHeight w:val="557" w:hRule="exact"/>
        </w:trPr>
        <w:tc>
          <w:tcPr>
            <w:tcW w:w="9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股股东的净利</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的净利润的比</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281"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w w:val="100"/>
                <w:sz w:val="21"/>
              </w:rPr>
              <w:t>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79,735,279.92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251,934,744.63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31.65</w:t>
            </w:r>
          </w:p>
        </w:tc>
      </w:tr>
      <w:tr>
        <w:trPr>
          <w:trHeight w:val="283"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w w:val="100"/>
                <w:sz w:val="21"/>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80,035,270.08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123,829,229.30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64.63</w:t>
            </w:r>
          </w:p>
        </w:tc>
      </w:tr>
      <w:tr>
        <w:trPr>
          <w:trHeight w:val="283"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w w:val="100"/>
                <w:sz w:val="21"/>
              </w:rPr>
              <w:t>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0.8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53,356,846.72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86,000,978.61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z w:val="21"/>
              </w:rPr>
              <w:t>62.04</w:t>
            </w:r>
          </w:p>
        </w:tc>
      </w:tr>
    </w:tbl>
    <w:p>
      <w:pPr>
        <w:pStyle w:val="BodyText"/>
        <w:spacing w:line="247" w:lineRule="exact"/>
        <w:ind w:left="59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5"/>
        </w:rPr>
        <w:t>年度，公司拟以</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日总股本</w:t>
      </w:r>
      <w:r>
        <w:rPr>
          <w:spacing w:val="-48"/>
        </w:rPr>
        <w:t> </w:t>
      </w:r>
      <w:r>
        <w:rPr>
          <w:rFonts w:ascii="Times New Roman" w:hAnsi="Times New Roman" w:cs="Times New Roman" w:eastAsia="Times New Roman" w:hint="default"/>
        </w:rPr>
        <w:t>666,960,584</w:t>
      </w:r>
      <w:r>
        <w:rPr>
          <w:rFonts w:ascii="Times New Roman" w:hAnsi="Times New Roman" w:cs="Times New Roman" w:eastAsia="Times New Roman" w:hint="default"/>
          <w:spacing w:val="1"/>
        </w:rPr>
        <w:t> </w:t>
      </w:r>
      <w:r>
        <w:rPr>
          <w:spacing w:val="-3"/>
        </w:rPr>
        <w:t>股，扣除回购实施股权激励尚未</w:t>
      </w:r>
    </w:p>
    <w:p>
      <w:pPr>
        <w:pStyle w:val="BodyText"/>
        <w:spacing w:line="272" w:lineRule="exact"/>
        <w:ind w:left="178" w:right="0"/>
        <w:jc w:val="left"/>
      </w:pPr>
      <w:r>
        <w:rPr/>
        <w:t>授予的股份</w:t>
      </w:r>
      <w:r>
        <w:rPr>
          <w:spacing w:val="-51"/>
        </w:rPr>
        <w:t> </w:t>
      </w:r>
      <w:r>
        <w:rPr>
          <w:rFonts w:ascii="Times New Roman" w:hAnsi="Times New Roman" w:cs="Times New Roman" w:eastAsia="Times New Roman" w:hint="default"/>
        </w:rPr>
        <w:t>2,499,918</w:t>
      </w:r>
      <w:r>
        <w:rPr>
          <w:rFonts w:ascii="Times New Roman" w:hAnsi="Times New Roman" w:cs="Times New Roman" w:eastAsia="Times New Roman" w:hint="default"/>
          <w:spacing w:val="2"/>
        </w:rPr>
        <w:t> </w:t>
      </w:r>
      <w:r>
        <w:rPr>
          <w:spacing w:val="-6"/>
        </w:rPr>
        <w:t>股，即</w:t>
      </w:r>
      <w:r>
        <w:rPr>
          <w:spacing w:val="-50"/>
        </w:rPr>
        <w:t> </w:t>
      </w:r>
      <w:r>
        <w:rPr>
          <w:rFonts w:ascii="Times New Roman" w:hAnsi="Times New Roman" w:cs="Times New Roman" w:eastAsia="Times New Roman" w:hint="default"/>
        </w:rPr>
        <w:t>664,460,666</w:t>
      </w:r>
      <w:r>
        <w:rPr>
          <w:rFonts w:ascii="Times New Roman" w:hAnsi="Times New Roman" w:cs="Times New Roman" w:eastAsia="Times New Roman" w:hint="default"/>
          <w:spacing w:val="-1"/>
        </w:rPr>
        <w:t> </w:t>
      </w:r>
      <w:r>
        <w:rPr>
          <w:spacing w:val="-3"/>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股派发现金红利</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5"/>
        </w:rPr>
        <w:t>元（含</w:t>
      </w:r>
    </w:p>
    <w:p>
      <w:pPr>
        <w:pStyle w:val="BodyText"/>
        <w:spacing w:line="272" w:lineRule="exact"/>
        <w:ind w:left="178" w:right="0"/>
        <w:jc w:val="left"/>
      </w:pPr>
      <w:r>
        <w:rPr>
          <w:w w:val="100"/>
        </w:rPr>
        <w:t>税</w:t>
      </w:r>
      <w:r>
        <w:rPr>
          <w:spacing w:val="-106"/>
          <w:w w:val="100"/>
        </w:rPr>
        <w:t>）</w:t>
      </w:r>
      <w:r>
        <w:rPr>
          <w:spacing w:val="-3"/>
          <w:w w:val="100"/>
        </w:rPr>
        <w:t>，</w:t>
      </w:r>
      <w:r>
        <w:rPr>
          <w:w w:val="100"/>
        </w:rPr>
        <w:t>共</w:t>
      </w:r>
      <w:r>
        <w:rPr>
          <w:spacing w:val="-3"/>
          <w:w w:val="100"/>
        </w:rPr>
        <w:t>计</w:t>
      </w:r>
      <w:r>
        <w:rPr>
          <w:w w:val="100"/>
        </w:rPr>
        <w:t>派</w:t>
      </w:r>
      <w:r>
        <w:rPr>
          <w:spacing w:val="-3"/>
          <w:w w:val="100"/>
        </w:rPr>
        <w:t>发</w:t>
      </w:r>
      <w:r>
        <w:rPr>
          <w:w w:val="100"/>
        </w:rPr>
        <w:t>现</w:t>
      </w:r>
      <w:r>
        <w:rPr>
          <w:spacing w:val="-3"/>
          <w:w w:val="100"/>
        </w:rPr>
        <w:t>金</w:t>
      </w:r>
      <w:r>
        <w:rPr>
          <w:w w:val="100"/>
        </w:rPr>
        <w:t>红利</w:t>
      </w:r>
      <w:r>
        <w:rPr>
          <w:spacing w:val="-43"/>
        </w:rPr>
        <w:t> </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9,735,</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79.92</w:t>
      </w:r>
      <w:r>
        <w:rPr>
          <w:rFonts w:ascii="Times New Roman" w:hAnsi="Times New Roman" w:cs="Times New Roman" w:eastAsia="Times New Roman" w:hint="default"/>
          <w:spacing w:val="7"/>
        </w:rPr>
        <w:t> </w:t>
      </w:r>
      <w:r>
        <w:rPr>
          <w:w w:val="100"/>
        </w:rPr>
        <w:t>元</w:t>
      </w:r>
      <w:r>
        <w:rPr>
          <w:spacing w:val="-3"/>
          <w:w w:val="100"/>
        </w:rPr>
        <w:t>；</w:t>
      </w:r>
      <w:r>
        <w:rPr>
          <w:w w:val="100"/>
        </w:rPr>
        <w:t>同</w:t>
      </w:r>
      <w:r>
        <w:rPr>
          <w:spacing w:val="-3"/>
          <w:w w:val="100"/>
        </w:rPr>
        <w:t>时，</w:t>
      </w:r>
      <w:r>
        <w:rPr>
          <w:w w:val="100"/>
        </w:rPr>
        <w:t>以</w:t>
      </w:r>
      <w:r>
        <w:rPr>
          <w:spacing w:val="-43"/>
        </w:rPr>
        <w:t> </w:t>
      </w:r>
      <w:r>
        <w:rPr>
          <w:rFonts w:ascii="Times New Roman" w:hAnsi="Times New Roman" w:cs="Times New Roman" w:eastAsia="Times New Roman" w:hint="default"/>
          <w:w w:val="100"/>
        </w:rPr>
        <w:t>664,4</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0,666</w:t>
      </w:r>
      <w:r>
        <w:rPr>
          <w:rFonts w:ascii="Times New Roman" w:hAnsi="Times New Roman" w:cs="Times New Roman" w:eastAsia="Times New Roman" w:hint="default"/>
          <w:spacing w:val="7"/>
        </w:rPr>
        <w:t> </w:t>
      </w:r>
      <w:r>
        <w:rPr>
          <w:w w:val="100"/>
        </w:rPr>
        <w:t>股</w:t>
      </w:r>
      <w:r>
        <w:rPr>
          <w:spacing w:val="-3"/>
          <w:w w:val="100"/>
        </w:rPr>
        <w:t>为</w:t>
      </w:r>
      <w:r>
        <w:rPr>
          <w:w w:val="100"/>
        </w:rPr>
        <w:t>基</w:t>
      </w:r>
      <w:r>
        <w:rPr>
          <w:spacing w:val="-3"/>
          <w:w w:val="100"/>
        </w:rPr>
        <w:t>数，</w:t>
      </w:r>
      <w:r>
        <w:rPr>
          <w:w w:val="100"/>
        </w:rPr>
        <w:t>对全</w:t>
      </w:r>
      <w:r>
        <w:rPr>
          <w:spacing w:val="-3"/>
          <w:w w:val="100"/>
        </w:rPr>
        <w:t>体</w:t>
      </w:r>
      <w:r>
        <w:rPr>
          <w:w w:val="100"/>
        </w:rPr>
        <w:t>股</w:t>
      </w:r>
      <w:r>
        <w:rPr>
          <w:spacing w:val="-3"/>
          <w:w w:val="100"/>
        </w:rPr>
        <w:t>东</w:t>
      </w:r>
      <w:r>
        <w:rPr>
          <w:w w:val="100"/>
        </w:rPr>
        <w:t>每</w:t>
      </w:r>
      <w:r>
        <w:rPr>
          <w:spacing w:val="-4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9"/>
        </w:rPr>
        <w:t> </w:t>
      </w:r>
      <w:r>
        <w:rPr>
          <w:w w:val="100"/>
        </w:rPr>
        <w:t>股</w:t>
      </w:r>
    </w:p>
    <w:p>
      <w:pPr>
        <w:pStyle w:val="BodyText"/>
        <w:spacing w:line="281" w:lineRule="exact"/>
        <w:ind w:left="178" w:right="0"/>
        <w:jc w:val="left"/>
      </w:pPr>
      <w:r>
        <w:rPr/>
        <w:t>派送红股</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股，剩余未分配利润结转至下一年度。</w:t>
      </w:r>
    </w:p>
    <w:p>
      <w:pPr>
        <w:pStyle w:val="Heading2"/>
        <w:spacing w:line="240" w:lineRule="auto" w:before="43"/>
        <w:ind w:left="17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left="17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74" w:lineRule="exact" w:before="67"/>
        <w:ind w:left="59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left="17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62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ind w:left="160" w:right="0"/>
        <w:jc w:val="left"/>
        <w:rPr>
          <w:b w:val="0"/>
          <w:bCs w:val="0"/>
        </w:rPr>
      </w:pPr>
      <w:r>
        <w:rPr/>
        <w:t>二、承诺事项履行情况</w:t>
      </w:r>
      <w:r>
        <w:rPr>
          <w:b w:val="0"/>
          <w:bCs w:val="0"/>
        </w:rPr>
      </w:r>
    </w:p>
    <w:p>
      <w:pPr>
        <w:pStyle w:val="Heading2"/>
        <w:tabs>
          <w:tab w:pos="726" w:val="left" w:leader="none"/>
        </w:tabs>
        <w:spacing w:line="240" w:lineRule="auto" w:before="56"/>
        <w:ind w:left="16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160"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670"/>
        <w:gridCol w:w="487"/>
        <w:gridCol w:w="1414"/>
        <w:gridCol w:w="6637"/>
        <w:gridCol w:w="1983"/>
        <w:gridCol w:w="487"/>
        <w:gridCol w:w="526"/>
        <w:gridCol w:w="965"/>
        <w:gridCol w:w="780"/>
      </w:tblGrid>
      <w:tr>
        <w:trPr>
          <w:trHeight w:val="137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17" w:right="118"/>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8" w:right="24"/>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103" w:right="3099"/>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8" w:right="2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47" w:right="4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55" w:right="55"/>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67" w:right="69"/>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370"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37" w:lineRule="auto"/>
              <w:ind w:left="21" w:right="214"/>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盈利</w:t>
            </w:r>
          </w:p>
          <w:p>
            <w:pPr>
              <w:pStyle w:val="TableParagraph"/>
              <w:spacing w:line="237" w:lineRule="auto"/>
              <w:ind w:left="23" w:right="29"/>
              <w:jc w:val="both"/>
              <w:rPr>
                <w:rFonts w:ascii="宋体" w:hAnsi="宋体" w:cs="宋体" w:eastAsia="宋体" w:hint="default"/>
                <w:sz w:val="21"/>
                <w:szCs w:val="21"/>
              </w:rPr>
            </w:pPr>
            <w:r>
              <w:rPr>
                <w:rFonts w:ascii="宋体" w:hAnsi="宋体" w:cs="宋体" w:eastAsia="宋体" w:hint="default"/>
                <w:sz w:val="21"/>
                <w:szCs w:val="21"/>
              </w:rPr>
              <w:t>预测</w:t>
            </w:r>
            <w:r>
              <w:rPr>
                <w:rFonts w:ascii="宋体" w:hAnsi="宋体" w:cs="宋体" w:eastAsia="宋体" w:hint="default"/>
                <w:spacing w:val="-103"/>
                <w:sz w:val="21"/>
                <w:szCs w:val="21"/>
              </w:rPr>
              <w:t> </w:t>
            </w:r>
            <w:r>
              <w:rPr>
                <w:rFonts w:ascii="宋体" w:hAnsi="宋体" w:cs="宋体" w:eastAsia="宋体" w:hint="default"/>
                <w:sz w:val="21"/>
                <w:szCs w:val="21"/>
              </w:rPr>
              <w:t>及补</w:t>
            </w:r>
            <w:r>
              <w:rPr>
                <w:rFonts w:ascii="宋体" w:hAnsi="宋体" w:cs="宋体" w:eastAsia="宋体" w:hint="default"/>
                <w:spacing w:val="-103"/>
                <w:sz w:val="21"/>
                <w:szCs w:val="21"/>
              </w:rPr>
              <w:t> </w:t>
            </w:r>
            <w:r>
              <w:rPr>
                <w:rFonts w:ascii="宋体" w:hAnsi="宋体" w:cs="宋体" w:eastAsia="宋体" w:hint="default"/>
                <w:sz w:val="21"/>
                <w:szCs w:val="21"/>
              </w:rPr>
              <w:t>偿</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胡健、</w:t>
            </w:r>
            <w:r>
              <w:rPr>
                <w:rFonts w:ascii="宋体" w:hAnsi="宋体" w:cs="宋体" w:eastAsia="宋体" w:hint="default"/>
                <w:spacing w:val="-75"/>
                <w:sz w:val="21"/>
                <w:szCs w:val="21"/>
              </w:rPr>
              <w:t> </w:t>
            </w:r>
            <w:r>
              <w:rPr>
                <w:rFonts w:ascii="宋体" w:hAnsi="宋体" w:cs="宋体" w:eastAsia="宋体" w:hint="default"/>
                <w:spacing w:val="11"/>
                <w:sz w:val="21"/>
                <w:szCs w:val="21"/>
              </w:rPr>
              <w:t>宁波杰</w:t>
            </w:r>
          </w:p>
          <w:p>
            <w:pPr>
              <w:pStyle w:val="TableParagraph"/>
              <w:spacing w:line="240" w:lineRule="auto"/>
              <w:ind w:left="23" w:right="18"/>
              <w:jc w:val="left"/>
              <w:rPr>
                <w:rFonts w:ascii="宋体" w:hAnsi="宋体" w:cs="宋体" w:eastAsia="宋体" w:hint="default"/>
                <w:sz w:val="21"/>
                <w:szCs w:val="21"/>
              </w:rPr>
            </w:pPr>
            <w:r>
              <w:rPr>
                <w:rFonts w:ascii="宋体" w:hAnsi="宋体" w:cs="宋体" w:eastAsia="宋体" w:hint="default"/>
                <w:spacing w:val="9"/>
                <w:sz w:val="21"/>
                <w:szCs w:val="21"/>
              </w:rPr>
              <w:t>赢、</w:t>
            </w:r>
            <w:r>
              <w:rPr>
                <w:rFonts w:ascii="宋体" w:hAnsi="宋体" w:cs="宋体" w:eastAsia="宋体" w:hint="default"/>
                <w:spacing w:val="-78"/>
                <w:sz w:val="21"/>
                <w:szCs w:val="21"/>
              </w:rPr>
              <w:t> </w:t>
            </w:r>
            <w:r>
              <w:rPr>
                <w:rFonts w:ascii="宋体" w:hAnsi="宋体" w:cs="宋体" w:eastAsia="宋体" w:hint="default"/>
                <w:spacing w:val="12"/>
                <w:sz w:val="21"/>
                <w:szCs w:val="21"/>
              </w:rPr>
              <w:t>宁波杰宝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等八位股东</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博辕信息</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年度、</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年度实现的扣除非经</w:t>
            </w:r>
          </w:p>
          <w:p>
            <w:pPr>
              <w:pStyle w:val="TableParagraph"/>
              <w:spacing w:line="237" w:lineRule="auto"/>
              <w:ind w:left="23" w:right="17"/>
              <w:jc w:val="both"/>
              <w:rPr>
                <w:rFonts w:ascii="宋体" w:hAnsi="宋体" w:cs="宋体" w:eastAsia="宋体" w:hint="default"/>
                <w:sz w:val="21"/>
                <w:szCs w:val="21"/>
              </w:rPr>
            </w:pPr>
            <w:r>
              <w:rPr>
                <w:rFonts w:ascii="宋体" w:hAnsi="宋体" w:cs="宋体" w:eastAsia="宋体" w:hint="default"/>
                <w:sz w:val="21"/>
                <w:szCs w:val="21"/>
              </w:rPr>
              <w:t>常性损益后归属于母公司所有者的净利润数分别为人民币</w:t>
            </w:r>
            <w:r>
              <w:rPr>
                <w:rFonts w:ascii="宋体" w:hAnsi="宋体" w:cs="宋体" w:eastAsia="宋体" w:hint="default"/>
                <w:spacing w:val="35"/>
                <w:sz w:val="21"/>
                <w:szCs w:val="21"/>
              </w:rPr>
              <w:t> </w:t>
            </w:r>
            <w:r>
              <w:rPr>
                <w:rFonts w:ascii="宋体" w:hAnsi="宋体" w:cs="宋体" w:eastAsia="宋体" w:hint="default"/>
                <w:sz w:val="21"/>
                <w:szCs w:val="21"/>
              </w:rPr>
              <w:t>3,500.00</w:t>
            </w:r>
            <w:r>
              <w:rPr>
                <w:rFonts w:ascii="宋体" w:hAnsi="宋体" w:cs="宋体" w:eastAsia="宋体" w:hint="default"/>
                <w:spacing w:val="30"/>
                <w:sz w:val="21"/>
                <w:szCs w:val="21"/>
              </w:rPr>
              <w:t> </w:t>
            </w:r>
            <w:r>
              <w:rPr>
                <w:rFonts w:ascii="宋体" w:hAnsi="宋体" w:cs="宋体" w:eastAsia="宋体" w:hint="default"/>
                <w:sz w:val="21"/>
                <w:szCs w:val="21"/>
              </w:rPr>
              <w:t>万</w:t>
            </w:r>
            <w:r>
              <w:rPr>
                <w:rFonts w:ascii="宋体" w:hAnsi="宋体" w:cs="宋体" w:eastAsia="宋体" w:hint="default"/>
                <w:spacing w:val="-101"/>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5,500.00</w:t>
            </w:r>
            <w:r>
              <w:rPr>
                <w:rFonts w:ascii="宋体" w:hAnsi="宋体" w:cs="宋体" w:eastAsia="宋体" w:hint="default"/>
                <w:spacing w:val="-40"/>
                <w:sz w:val="21"/>
                <w:szCs w:val="21"/>
              </w:rPr>
              <w:t> </w:t>
            </w:r>
            <w:r>
              <w:rPr>
                <w:rFonts w:ascii="宋体" w:hAnsi="宋体" w:cs="宋体" w:eastAsia="宋体" w:hint="default"/>
                <w:spacing w:val="-3"/>
                <w:sz w:val="21"/>
                <w:szCs w:val="21"/>
              </w:rPr>
              <w:t>万元、</w:t>
            </w:r>
            <w:r>
              <w:rPr>
                <w:rFonts w:ascii="宋体" w:hAnsi="宋体" w:cs="宋体" w:eastAsia="宋体" w:hint="default"/>
                <w:spacing w:val="-3"/>
                <w:sz w:val="21"/>
                <w:szCs w:val="21"/>
              </w:rPr>
              <w:t>7,150.00</w:t>
            </w:r>
            <w:r>
              <w:rPr>
                <w:rFonts w:ascii="宋体" w:hAnsi="宋体" w:cs="宋体" w:eastAsia="宋体" w:hint="default"/>
                <w:spacing w:val="-38"/>
                <w:sz w:val="21"/>
                <w:szCs w:val="21"/>
              </w:rPr>
              <w:t> </w:t>
            </w:r>
            <w:r>
              <w:rPr>
                <w:rFonts w:ascii="宋体" w:hAnsi="宋体" w:cs="宋体" w:eastAsia="宋体" w:hint="default"/>
                <w:spacing w:val="-4"/>
                <w:sz w:val="21"/>
                <w:szCs w:val="21"/>
              </w:rPr>
              <w:t>万元、</w:t>
            </w:r>
            <w:r>
              <w:rPr>
                <w:rFonts w:ascii="宋体" w:hAnsi="宋体" w:cs="宋体" w:eastAsia="宋体" w:hint="default"/>
                <w:spacing w:val="-4"/>
                <w:sz w:val="21"/>
                <w:szCs w:val="21"/>
              </w:rPr>
              <w:t>9,295.00</w:t>
            </w:r>
            <w:r>
              <w:rPr>
                <w:rFonts w:ascii="宋体" w:hAnsi="宋体" w:cs="宋体" w:eastAsia="宋体" w:hint="default"/>
                <w:spacing w:val="-36"/>
                <w:sz w:val="21"/>
                <w:szCs w:val="21"/>
              </w:rPr>
              <w:t> </w:t>
            </w:r>
            <w:r>
              <w:rPr>
                <w:rFonts w:ascii="宋体" w:hAnsi="宋体" w:cs="宋体" w:eastAsia="宋体" w:hint="default"/>
                <w:spacing w:val="-4"/>
                <w:sz w:val="21"/>
                <w:szCs w:val="21"/>
              </w:rPr>
              <w:t>万元。如果实现扣非净利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润指标低于上述承诺内容，则上述补偿责任人将按照签署的《利润承诺</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补偿协议书》的约定进行补偿。</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日，承诺期限至</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盈利</w:t>
            </w:r>
          </w:p>
          <w:p>
            <w:pPr>
              <w:pStyle w:val="TableParagraph"/>
              <w:spacing w:line="237" w:lineRule="auto" w:before="2"/>
              <w:ind w:left="23" w:right="29"/>
              <w:jc w:val="both"/>
              <w:rPr>
                <w:rFonts w:ascii="宋体" w:hAnsi="宋体" w:cs="宋体" w:eastAsia="宋体" w:hint="default"/>
                <w:sz w:val="21"/>
                <w:szCs w:val="21"/>
              </w:rPr>
            </w:pPr>
            <w:r>
              <w:rPr>
                <w:rFonts w:ascii="宋体" w:hAnsi="宋体" w:cs="宋体" w:eastAsia="宋体" w:hint="default"/>
                <w:sz w:val="21"/>
                <w:szCs w:val="21"/>
              </w:rPr>
              <w:t>预测</w:t>
            </w:r>
            <w:r>
              <w:rPr>
                <w:rFonts w:ascii="宋体" w:hAnsi="宋体" w:cs="宋体" w:eastAsia="宋体" w:hint="default"/>
                <w:spacing w:val="-103"/>
                <w:sz w:val="21"/>
                <w:szCs w:val="21"/>
              </w:rPr>
              <w:t> </w:t>
            </w:r>
            <w:r>
              <w:rPr>
                <w:rFonts w:ascii="宋体" w:hAnsi="宋体" w:cs="宋体" w:eastAsia="宋体" w:hint="default"/>
                <w:sz w:val="21"/>
                <w:szCs w:val="21"/>
              </w:rPr>
              <w:t>及补</w:t>
            </w:r>
            <w:r>
              <w:rPr>
                <w:rFonts w:ascii="宋体" w:hAnsi="宋体" w:cs="宋体" w:eastAsia="宋体" w:hint="default"/>
                <w:spacing w:val="-103"/>
                <w:sz w:val="21"/>
                <w:szCs w:val="21"/>
              </w:rPr>
              <w:t> </w:t>
            </w:r>
            <w:r>
              <w:rPr>
                <w:rFonts w:ascii="宋体" w:hAnsi="宋体" w:cs="宋体" w:eastAsia="宋体" w:hint="default"/>
                <w:sz w:val="21"/>
                <w:szCs w:val="21"/>
              </w:rPr>
              <w:t>偿</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4"/>
              <w:jc w:val="left"/>
              <w:rPr>
                <w:rFonts w:ascii="宋体" w:hAnsi="宋体" w:cs="宋体" w:eastAsia="宋体" w:hint="default"/>
                <w:sz w:val="21"/>
                <w:szCs w:val="21"/>
              </w:rPr>
            </w:pPr>
            <w:r>
              <w:rPr>
                <w:rFonts w:ascii="宋体" w:hAnsi="宋体" w:cs="宋体" w:eastAsia="宋体" w:hint="default"/>
                <w:spacing w:val="-10"/>
                <w:sz w:val="21"/>
                <w:szCs w:val="21"/>
              </w:rPr>
              <w:t>胡健、余弓卜、</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博辕</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spacing w:val="-89"/>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55"/>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实</w:t>
            </w:r>
            <w:r>
              <w:rPr>
                <w:rFonts w:ascii="宋体" w:hAnsi="宋体" w:cs="宋体" w:eastAsia="宋体" w:hint="default"/>
                <w:w w:val="100"/>
                <w:sz w:val="21"/>
                <w:szCs w:val="21"/>
              </w:rPr>
              <w:t>现</w:t>
            </w:r>
            <w:r>
              <w:rPr>
                <w:rFonts w:ascii="宋体" w:hAnsi="宋体" w:cs="宋体" w:eastAsia="宋体" w:hint="default"/>
                <w:spacing w:val="-3"/>
                <w:w w:val="100"/>
                <w:sz w:val="21"/>
                <w:szCs w:val="21"/>
              </w:rPr>
              <w:t>的</w:t>
            </w:r>
            <w:r>
              <w:rPr>
                <w:rFonts w:ascii="宋体" w:hAnsi="宋体" w:cs="宋体" w:eastAsia="宋体" w:hint="default"/>
                <w:w w:val="100"/>
                <w:sz w:val="21"/>
                <w:szCs w:val="21"/>
              </w:rPr>
              <w:t>扣</w:t>
            </w:r>
            <w:r>
              <w:rPr>
                <w:rFonts w:ascii="宋体" w:hAnsi="宋体" w:cs="宋体" w:eastAsia="宋体" w:hint="default"/>
                <w:spacing w:val="-3"/>
                <w:w w:val="100"/>
                <w:sz w:val="21"/>
                <w:szCs w:val="21"/>
              </w:rPr>
              <w:t>除</w:t>
            </w:r>
            <w:r>
              <w:rPr>
                <w:rFonts w:ascii="宋体" w:hAnsi="宋体" w:cs="宋体" w:eastAsia="宋体" w:hint="default"/>
                <w:w w:val="100"/>
                <w:sz w:val="21"/>
                <w:szCs w:val="21"/>
              </w:rPr>
              <w:t>非</w:t>
            </w:r>
            <w:r>
              <w:rPr>
                <w:rFonts w:ascii="宋体" w:hAnsi="宋体" w:cs="宋体" w:eastAsia="宋体" w:hint="default"/>
                <w:spacing w:val="-3"/>
                <w:w w:val="100"/>
                <w:sz w:val="21"/>
                <w:szCs w:val="21"/>
              </w:rPr>
              <w:t>经</w:t>
            </w:r>
            <w:r>
              <w:rPr>
                <w:rFonts w:ascii="宋体" w:hAnsi="宋体" w:cs="宋体" w:eastAsia="宋体" w:hint="default"/>
                <w:w w:val="100"/>
                <w:sz w:val="21"/>
                <w:szCs w:val="21"/>
              </w:rPr>
              <w:t>常</w:t>
            </w:r>
            <w:r>
              <w:rPr>
                <w:rFonts w:ascii="宋体" w:hAnsi="宋体" w:cs="宋体" w:eastAsia="宋体" w:hint="default"/>
                <w:spacing w:val="-3"/>
                <w:w w:val="100"/>
                <w:sz w:val="21"/>
                <w:szCs w:val="21"/>
              </w:rPr>
              <w:t>性</w:t>
            </w:r>
            <w:r>
              <w:rPr>
                <w:rFonts w:ascii="宋体" w:hAnsi="宋体" w:cs="宋体" w:eastAsia="宋体" w:hint="default"/>
                <w:w w:val="100"/>
                <w:sz w:val="21"/>
                <w:szCs w:val="21"/>
              </w:rPr>
              <w:t>损益</w:t>
            </w:r>
            <w:r>
              <w:rPr>
                <w:rFonts w:ascii="宋体" w:hAnsi="宋体" w:cs="宋体" w:eastAsia="宋体" w:hint="default"/>
                <w:spacing w:val="-3"/>
                <w:w w:val="100"/>
                <w:sz w:val="21"/>
                <w:szCs w:val="21"/>
              </w:rPr>
              <w:t>后</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母</w:t>
            </w:r>
            <w:r>
              <w:rPr>
                <w:rFonts w:ascii="宋体" w:hAnsi="宋体" w:cs="宋体" w:eastAsia="宋体" w:hint="default"/>
                <w:w w:val="100"/>
                <w:sz w:val="21"/>
                <w:szCs w:val="21"/>
              </w:rPr>
              <w:t>公司</w:t>
            </w:r>
          </w:p>
          <w:p>
            <w:pPr>
              <w:pStyle w:val="TableParagraph"/>
              <w:spacing w:line="237" w:lineRule="auto" w:before="2"/>
              <w:ind w:left="23" w:right="17"/>
              <w:jc w:val="both"/>
              <w:rPr>
                <w:rFonts w:ascii="宋体" w:hAnsi="宋体" w:cs="宋体" w:eastAsia="宋体" w:hint="default"/>
                <w:sz w:val="21"/>
                <w:szCs w:val="21"/>
              </w:rPr>
            </w:pPr>
            <w:r>
              <w:rPr>
                <w:rFonts w:ascii="宋体" w:hAnsi="宋体" w:cs="宋体" w:eastAsia="宋体" w:hint="default"/>
                <w:sz w:val="21"/>
                <w:szCs w:val="21"/>
              </w:rPr>
              <w:t>所有者的净利润数分别为人民币</w:t>
            </w:r>
            <w:r>
              <w:rPr>
                <w:rFonts w:ascii="宋体" w:hAnsi="宋体" w:cs="宋体" w:eastAsia="宋体" w:hint="default"/>
                <w:spacing w:val="-48"/>
                <w:sz w:val="21"/>
                <w:szCs w:val="21"/>
              </w:rPr>
              <w:t> </w:t>
            </w:r>
            <w:r>
              <w:rPr>
                <w:rFonts w:ascii="宋体" w:hAnsi="宋体" w:cs="宋体" w:eastAsia="宋体" w:hint="default"/>
                <w:sz w:val="21"/>
                <w:szCs w:val="21"/>
              </w:rPr>
              <w:t>10,689.25</w:t>
            </w:r>
            <w:r>
              <w:rPr>
                <w:rFonts w:ascii="宋体" w:hAnsi="宋体" w:cs="宋体" w:eastAsia="宋体" w:hint="default"/>
                <w:spacing w:val="-48"/>
                <w:sz w:val="21"/>
                <w:szCs w:val="21"/>
              </w:rPr>
              <w:t> </w:t>
            </w:r>
            <w:r>
              <w:rPr>
                <w:rFonts w:ascii="宋体" w:hAnsi="宋体" w:cs="宋体" w:eastAsia="宋体" w:hint="default"/>
                <w:spacing w:val="-5"/>
                <w:sz w:val="21"/>
                <w:szCs w:val="21"/>
              </w:rPr>
              <w:t>万元、</w:t>
            </w:r>
            <w:r>
              <w:rPr>
                <w:rFonts w:ascii="宋体" w:hAnsi="宋体" w:cs="宋体" w:eastAsia="宋体" w:hint="default"/>
                <w:spacing w:val="-5"/>
                <w:sz w:val="21"/>
                <w:szCs w:val="21"/>
              </w:rPr>
              <w:t>12,292.64</w:t>
            </w:r>
            <w:r>
              <w:rPr>
                <w:rFonts w:ascii="宋体" w:hAnsi="宋体" w:cs="宋体" w:eastAsia="宋体" w:hint="default"/>
                <w:spacing w:val="-50"/>
                <w:sz w:val="21"/>
                <w:szCs w:val="21"/>
              </w:rPr>
              <w:t> </w:t>
            </w:r>
            <w:r>
              <w:rPr>
                <w:rFonts w:ascii="宋体" w:hAnsi="宋体" w:cs="宋体" w:eastAsia="宋体" w:hint="default"/>
                <w:spacing w:val="-10"/>
                <w:sz w:val="21"/>
                <w:szCs w:val="21"/>
              </w:rPr>
              <w:t>万元。如果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实现扣非净利润指标低于上述承诺内容，则上述补偿责任人将按照签署</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的《利润承诺补偿协议书》的约定进行补偿。</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日，承诺期限至</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6"/>
              <w:ind w:left="23" w:right="29"/>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44"/>
                <w:sz w:val="21"/>
                <w:szCs w:val="21"/>
              </w:rPr>
              <w:t> </w:t>
            </w:r>
            <w:r>
              <w:rPr>
                <w:rFonts w:ascii="宋体" w:hAnsi="宋体" w:cs="宋体" w:eastAsia="宋体" w:hint="default"/>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z w:val="21"/>
                <w:szCs w:val="21"/>
              </w:rPr>
              <w:t>日披露的《公司关于发行股份购买资产相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关承诺事项的公告》（公告编号：临</w:t>
            </w:r>
            <w:r>
              <w:rPr>
                <w:rFonts w:ascii="宋体" w:hAnsi="宋体" w:cs="宋体" w:eastAsia="宋体" w:hint="default"/>
                <w:spacing w:val="-61"/>
                <w:sz w:val="21"/>
                <w:szCs w:val="21"/>
              </w:rPr>
              <w:t> </w:t>
            </w:r>
            <w:r>
              <w:rPr>
                <w:rFonts w:ascii="宋体" w:hAnsi="宋体" w:cs="宋体" w:eastAsia="宋体" w:hint="default"/>
                <w:sz w:val="21"/>
                <w:szCs w:val="21"/>
              </w:rPr>
              <w:t>2016-017</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before="26"/>
              <w:ind w:left="21" w:right="19"/>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日，承诺期限：</w:t>
            </w:r>
            <w:r>
              <w:rPr>
                <w:rFonts w:ascii="宋体" w:hAnsi="宋体" w:cs="宋体" w:eastAsia="宋体" w:hint="default"/>
                <w:w w:val="100"/>
                <w:sz w:val="21"/>
                <w:szCs w:val="21"/>
              </w:rPr>
              <w:t> </w:t>
            </w:r>
            <w:r>
              <w:rPr>
                <w:rFonts w:ascii="宋体" w:hAnsi="宋体" w:cs="宋体" w:eastAsia="宋体" w:hint="default"/>
                <w:sz w:val="21"/>
                <w:szCs w:val="21"/>
              </w:rPr>
              <w:t>长期有效</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23" w:right="29"/>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胡健、</w:t>
            </w:r>
            <w:r>
              <w:rPr>
                <w:rFonts w:ascii="宋体" w:hAnsi="宋体" w:cs="宋体" w:eastAsia="宋体" w:hint="default"/>
                <w:spacing w:val="-75"/>
                <w:sz w:val="21"/>
                <w:szCs w:val="21"/>
              </w:rPr>
              <w:t> </w:t>
            </w:r>
            <w:r>
              <w:rPr>
                <w:rFonts w:ascii="宋体" w:hAnsi="宋体" w:cs="宋体" w:eastAsia="宋体" w:hint="default"/>
                <w:spacing w:val="11"/>
                <w:sz w:val="21"/>
                <w:szCs w:val="21"/>
              </w:rPr>
              <w:t>宁波杰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赢等四位股东</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44"/>
                <w:sz w:val="21"/>
                <w:szCs w:val="21"/>
              </w:rPr>
              <w:t> </w:t>
            </w:r>
            <w:r>
              <w:rPr>
                <w:rFonts w:ascii="宋体" w:hAnsi="宋体" w:cs="宋体" w:eastAsia="宋体" w:hint="default"/>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z w:val="21"/>
                <w:szCs w:val="21"/>
              </w:rPr>
              <w:t>日披露的《公司关于发行股份购买资产相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关承诺事项的公告》（公告编号：临</w:t>
            </w:r>
            <w:r>
              <w:rPr>
                <w:rFonts w:ascii="宋体" w:hAnsi="宋体" w:cs="宋体" w:eastAsia="宋体" w:hint="default"/>
                <w:spacing w:val="-61"/>
                <w:sz w:val="21"/>
                <w:szCs w:val="21"/>
              </w:rPr>
              <w:t> </w:t>
            </w:r>
            <w:r>
              <w:rPr>
                <w:rFonts w:ascii="宋体" w:hAnsi="宋体" w:cs="宋体" w:eastAsia="宋体" w:hint="default"/>
                <w:sz w:val="21"/>
                <w:szCs w:val="21"/>
              </w:rPr>
              <w:t>2016-017</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before="27"/>
              <w:ind w:left="21" w:right="19"/>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pacing w:val="2"/>
                <w:sz w:val="21"/>
                <w:szCs w:val="21"/>
              </w:rPr>
              <w:t>日，承诺期限</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长期有效</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23" w:right="2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44"/>
                <w:sz w:val="21"/>
                <w:szCs w:val="21"/>
              </w:rPr>
              <w:t> </w:t>
            </w:r>
            <w:r>
              <w:rPr>
                <w:rFonts w:ascii="宋体" w:hAnsi="宋体" w:cs="宋体" w:eastAsia="宋体" w:hint="default"/>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z w:val="21"/>
                <w:szCs w:val="21"/>
              </w:rPr>
              <w:t>日披露的《公司关于发行股份购买资产相</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关承诺事项的公告》（公告编号：临</w:t>
            </w:r>
            <w:r>
              <w:rPr>
                <w:rFonts w:ascii="宋体" w:hAnsi="宋体" w:cs="宋体" w:eastAsia="宋体" w:hint="default"/>
                <w:spacing w:val="-61"/>
                <w:sz w:val="21"/>
                <w:szCs w:val="21"/>
              </w:rPr>
              <w:t> </w:t>
            </w:r>
            <w:r>
              <w:rPr>
                <w:rFonts w:ascii="宋体" w:hAnsi="宋体" w:cs="宋体" w:eastAsia="宋体" w:hint="default"/>
                <w:sz w:val="21"/>
                <w:szCs w:val="21"/>
              </w:rPr>
              <w:t>2016-017</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40" w:lineRule="auto"/>
              <w:ind w:left="21" w:right="19"/>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日，承诺期限：</w:t>
            </w:r>
            <w:r>
              <w:rPr>
                <w:rFonts w:ascii="宋体" w:hAnsi="宋体" w:cs="宋体" w:eastAsia="宋体" w:hint="default"/>
                <w:w w:val="100"/>
                <w:sz w:val="21"/>
                <w:szCs w:val="21"/>
              </w:rPr>
              <w:t> </w:t>
            </w:r>
            <w:r>
              <w:rPr>
                <w:rFonts w:ascii="宋体" w:hAnsi="宋体" w:cs="宋体" w:eastAsia="宋体" w:hint="default"/>
                <w:sz w:val="21"/>
                <w:szCs w:val="21"/>
              </w:rPr>
              <w:t>长期有效</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23" w:right="2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胡健、</w:t>
            </w:r>
            <w:r>
              <w:rPr>
                <w:rFonts w:ascii="宋体" w:hAnsi="宋体" w:cs="宋体" w:eastAsia="宋体" w:hint="default"/>
                <w:spacing w:val="-75"/>
                <w:sz w:val="21"/>
                <w:szCs w:val="21"/>
              </w:rPr>
              <w:t> </w:t>
            </w:r>
            <w:r>
              <w:rPr>
                <w:rFonts w:ascii="宋体" w:hAnsi="宋体" w:cs="宋体" w:eastAsia="宋体" w:hint="default"/>
                <w:spacing w:val="11"/>
                <w:sz w:val="21"/>
                <w:szCs w:val="21"/>
              </w:rPr>
              <w:t>宁波杰</w:t>
            </w:r>
          </w:p>
          <w:p>
            <w:pPr>
              <w:pStyle w:val="TableParagraph"/>
              <w:spacing w:line="272" w:lineRule="exact" w:before="27"/>
              <w:ind w:left="23" w:right="18"/>
              <w:jc w:val="left"/>
              <w:rPr>
                <w:rFonts w:ascii="宋体" w:hAnsi="宋体" w:cs="宋体" w:eastAsia="宋体" w:hint="default"/>
                <w:sz w:val="21"/>
                <w:szCs w:val="21"/>
              </w:rPr>
            </w:pPr>
            <w:r>
              <w:rPr>
                <w:rFonts w:ascii="宋体" w:hAnsi="宋体" w:cs="宋体" w:eastAsia="宋体" w:hint="default"/>
                <w:spacing w:val="9"/>
                <w:sz w:val="21"/>
                <w:szCs w:val="21"/>
              </w:rPr>
              <w:t>赢、</w:t>
            </w:r>
            <w:r>
              <w:rPr>
                <w:rFonts w:ascii="宋体" w:hAnsi="宋体" w:cs="宋体" w:eastAsia="宋体" w:hint="default"/>
                <w:spacing w:val="-78"/>
                <w:sz w:val="21"/>
                <w:szCs w:val="21"/>
              </w:rPr>
              <w:t> </w:t>
            </w:r>
            <w:r>
              <w:rPr>
                <w:rFonts w:ascii="宋体" w:hAnsi="宋体" w:cs="宋体" w:eastAsia="宋体" w:hint="default"/>
                <w:spacing w:val="12"/>
                <w:sz w:val="21"/>
                <w:szCs w:val="21"/>
              </w:rPr>
              <w:t>宁波杰宝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等十六位股东</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44"/>
                <w:sz w:val="21"/>
                <w:szCs w:val="21"/>
              </w:rPr>
              <w:t> </w:t>
            </w:r>
            <w:r>
              <w:rPr>
                <w:rFonts w:ascii="宋体" w:hAnsi="宋体" w:cs="宋体" w:eastAsia="宋体" w:hint="default"/>
                <w:sz w:val="21"/>
                <w:szCs w:val="21"/>
              </w:rPr>
              <w:t>2016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27</w:t>
            </w:r>
            <w:r>
              <w:rPr>
                <w:rFonts w:ascii="宋体" w:hAnsi="宋体" w:cs="宋体" w:eastAsia="宋体" w:hint="default"/>
                <w:spacing w:val="-42"/>
                <w:sz w:val="21"/>
                <w:szCs w:val="21"/>
              </w:rPr>
              <w:t> </w:t>
            </w:r>
            <w:r>
              <w:rPr>
                <w:rFonts w:ascii="宋体" w:hAnsi="宋体" w:cs="宋体" w:eastAsia="宋体" w:hint="default"/>
                <w:sz w:val="21"/>
                <w:szCs w:val="21"/>
              </w:rPr>
              <w:t>日披露的《公司关于发行股份购买资产相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关承诺事项的公告》（公告编号：临</w:t>
            </w:r>
            <w:r>
              <w:rPr>
                <w:rFonts w:ascii="宋体" w:hAnsi="宋体" w:cs="宋体" w:eastAsia="宋体" w:hint="default"/>
                <w:spacing w:val="-61"/>
                <w:sz w:val="21"/>
                <w:szCs w:val="21"/>
              </w:rPr>
              <w:t> </w:t>
            </w:r>
            <w:r>
              <w:rPr>
                <w:rFonts w:ascii="宋体" w:hAnsi="宋体" w:cs="宋体" w:eastAsia="宋体" w:hint="default"/>
                <w:sz w:val="21"/>
                <w:szCs w:val="21"/>
              </w:rPr>
              <w:t>2016-017</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70" w:type="dxa"/>
            <w:vMerge/>
            <w:tcBorders>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泰豪集团、</w:t>
            </w:r>
            <w:r>
              <w:rPr>
                <w:rFonts w:ascii="宋体" w:hAnsi="宋体" w:cs="宋体" w:eastAsia="宋体" w:hint="default"/>
                <w:spacing w:val="-71"/>
                <w:sz w:val="21"/>
                <w:szCs w:val="21"/>
              </w:rPr>
              <w:t> </w:t>
            </w:r>
            <w:r>
              <w:rPr>
                <w:rFonts w:ascii="宋体" w:hAnsi="宋体" w:cs="宋体" w:eastAsia="宋体" w:hint="default"/>
                <w:sz w:val="21"/>
                <w:szCs w:val="21"/>
              </w:rPr>
              <w:t>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健、</w:t>
            </w:r>
            <w:r>
              <w:rPr>
                <w:rFonts w:ascii="宋体" w:hAnsi="宋体" w:cs="宋体" w:eastAsia="宋体" w:hint="default"/>
                <w:spacing w:val="-72"/>
                <w:sz w:val="21"/>
                <w:szCs w:val="21"/>
              </w:rPr>
              <w:t> </w:t>
            </w:r>
            <w:r>
              <w:rPr>
                <w:rFonts w:ascii="宋体" w:hAnsi="宋体" w:cs="宋体" w:eastAsia="宋体" w:hint="default"/>
                <w:spacing w:val="12"/>
                <w:sz w:val="21"/>
                <w:szCs w:val="21"/>
              </w:rPr>
              <w:t>谢建军、</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因本次认购募集配套资金持有的股票自发行结束之日起</w:t>
            </w:r>
            <w:r>
              <w:rPr>
                <w:rFonts w:ascii="宋体" w:hAnsi="宋体" w:cs="宋体" w:eastAsia="宋体" w:hint="default"/>
                <w:spacing w:val="-73"/>
                <w:sz w:val="21"/>
                <w:szCs w:val="21"/>
              </w:rPr>
              <w:t> </w:t>
            </w:r>
            <w:r>
              <w:rPr>
                <w:rFonts w:ascii="宋体" w:hAnsi="宋体" w:cs="宋体" w:eastAsia="宋体" w:hint="default"/>
                <w:sz w:val="21"/>
                <w:szCs w:val="21"/>
              </w:rPr>
              <w:t>36</w:t>
            </w:r>
            <w:r>
              <w:rPr>
                <w:rFonts w:ascii="宋体" w:hAnsi="宋体" w:cs="宋体" w:eastAsia="宋体" w:hint="default"/>
                <w:spacing w:val="-73"/>
                <w:sz w:val="21"/>
                <w:szCs w:val="21"/>
              </w:rPr>
              <w:t> </w:t>
            </w:r>
            <w:r>
              <w:rPr>
                <w:rFonts w:ascii="宋体" w:hAnsi="宋体" w:cs="宋体" w:eastAsia="宋体" w:hint="default"/>
                <w:sz w:val="21"/>
                <w:szCs w:val="21"/>
              </w:rPr>
              <w:t>个月内不能转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让。限售期内，如因泰豪科技实施送红股、资本公积金转增股本事项而</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日；承诺期限至</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7"/>
          <w:footerReference w:type="default" r:id="rId18"/>
          <w:pgSz w:w="16840" w:h="11910" w:orient="landscape"/>
          <w:pgMar w:header="882" w:footer="1195" w:top="1120" w:bottom="1380" w:left="1280" w:right="1380"/>
          <w:pgNumType w:start="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670"/>
        <w:gridCol w:w="487"/>
        <w:gridCol w:w="1414"/>
        <w:gridCol w:w="6637"/>
        <w:gridCol w:w="1983"/>
        <w:gridCol w:w="487"/>
        <w:gridCol w:w="526"/>
        <w:gridCol w:w="965"/>
        <w:gridCol w:w="780"/>
      </w:tblGrid>
      <w:tr>
        <w:trPr>
          <w:trHeight w:val="281" w:hRule="exact"/>
        </w:trPr>
        <w:tc>
          <w:tcPr>
            <w:tcW w:w="670" w:type="dxa"/>
            <w:vMerge w:val="restart"/>
            <w:tcBorders>
              <w:top w:val="single" w:sz="4" w:space="0" w:color="000000"/>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张磊、李峰</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增持的泰豪科技股份，亦应遵守上述限售期限的约定。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369"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李爱明、宁波</w:t>
            </w:r>
          </w:p>
          <w:p>
            <w:pPr>
              <w:pStyle w:val="TableParagraph"/>
              <w:spacing w:line="240" w:lineRule="auto"/>
              <w:ind w:left="23" w:right="18"/>
              <w:jc w:val="left"/>
              <w:rPr>
                <w:rFonts w:ascii="宋体" w:hAnsi="宋体" w:cs="宋体" w:eastAsia="宋体" w:hint="default"/>
                <w:sz w:val="21"/>
                <w:szCs w:val="21"/>
              </w:rPr>
            </w:pPr>
            <w:r>
              <w:rPr>
                <w:rFonts w:ascii="宋体" w:hAnsi="宋体" w:cs="宋体" w:eastAsia="宋体" w:hint="default"/>
                <w:spacing w:val="12"/>
                <w:sz w:val="21"/>
                <w:szCs w:val="21"/>
              </w:rPr>
              <w:t>杰赢、</w:t>
            </w:r>
            <w:r>
              <w:rPr>
                <w:rFonts w:ascii="宋体" w:hAnsi="宋体" w:cs="宋体" w:eastAsia="宋体" w:hint="default"/>
                <w:spacing w:val="-80"/>
                <w:sz w:val="21"/>
                <w:szCs w:val="21"/>
              </w:rPr>
              <w:t> </w:t>
            </w:r>
            <w:r>
              <w:rPr>
                <w:rFonts w:ascii="宋体" w:hAnsi="宋体" w:cs="宋体" w:eastAsia="宋体" w:hint="default"/>
                <w:spacing w:val="11"/>
                <w:sz w:val="21"/>
                <w:szCs w:val="21"/>
              </w:rPr>
              <w:t>宁波杰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宝等五位股东</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因发行股份购买资产取得的泰豪科技股份自股票上市之日起</w:t>
            </w:r>
            <w:r>
              <w:rPr>
                <w:rFonts w:ascii="宋体" w:hAnsi="宋体" w:cs="宋体" w:eastAsia="宋体" w:hint="default"/>
                <w:spacing w:val="-73"/>
                <w:sz w:val="21"/>
                <w:szCs w:val="21"/>
              </w:rPr>
              <w:t> </w:t>
            </w:r>
            <w:r>
              <w:rPr>
                <w:rFonts w:ascii="宋体" w:hAnsi="宋体" w:cs="宋体" w:eastAsia="宋体" w:hint="default"/>
                <w:sz w:val="21"/>
                <w:szCs w:val="21"/>
              </w:rPr>
              <w:t>12</w:t>
            </w:r>
            <w:r>
              <w:rPr>
                <w:rFonts w:ascii="宋体" w:hAnsi="宋体" w:cs="宋体" w:eastAsia="宋体" w:hint="default"/>
                <w:spacing w:val="-73"/>
                <w:sz w:val="21"/>
                <w:szCs w:val="21"/>
              </w:rPr>
              <w:t> </w:t>
            </w:r>
            <w:r>
              <w:rPr>
                <w:rFonts w:ascii="宋体" w:hAnsi="宋体" w:cs="宋体" w:eastAsia="宋体" w:hint="default"/>
                <w:sz w:val="21"/>
                <w:szCs w:val="21"/>
              </w:rPr>
              <w:t>个月内不</w:t>
            </w:r>
          </w:p>
          <w:p>
            <w:pPr>
              <w:pStyle w:val="TableParagraph"/>
              <w:spacing w:line="237" w:lineRule="auto"/>
              <w:ind w:left="23" w:right="-8"/>
              <w:jc w:val="both"/>
              <w:rPr>
                <w:rFonts w:ascii="宋体" w:hAnsi="宋体" w:cs="宋体" w:eastAsia="宋体" w:hint="default"/>
                <w:sz w:val="21"/>
                <w:szCs w:val="21"/>
              </w:rPr>
            </w:pPr>
            <w:r>
              <w:rPr>
                <w:rFonts w:ascii="宋体" w:hAnsi="宋体" w:cs="宋体" w:eastAsia="宋体" w:hint="default"/>
                <w:sz w:val="21"/>
                <w:szCs w:val="21"/>
              </w:rPr>
              <w:t>得转让，上述限售期届满之日起根据如下方式分三次解禁：自上市之日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起满</w:t>
            </w:r>
            <w:r>
              <w:rPr>
                <w:rFonts w:ascii="宋体" w:hAnsi="宋体" w:cs="宋体" w:eastAsia="宋体" w:hint="default"/>
                <w:spacing w:val="-36"/>
                <w:sz w:val="21"/>
                <w:szCs w:val="21"/>
              </w:rPr>
              <w:t> </w:t>
            </w:r>
            <w:r>
              <w:rPr>
                <w:rFonts w:ascii="宋体" w:hAnsi="宋体" w:cs="宋体" w:eastAsia="宋体" w:hint="default"/>
                <w:sz w:val="21"/>
                <w:szCs w:val="21"/>
              </w:rPr>
              <w:t>12</w:t>
            </w:r>
            <w:r>
              <w:rPr>
                <w:rFonts w:ascii="宋体" w:hAnsi="宋体" w:cs="宋体" w:eastAsia="宋体" w:hint="default"/>
                <w:spacing w:val="-38"/>
                <w:sz w:val="21"/>
                <w:szCs w:val="21"/>
              </w:rPr>
              <w:t> </w:t>
            </w:r>
            <w:r>
              <w:rPr>
                <w:rFonts w:ascii="宋体" w:hAnsi="宋体" w:cs="宋体" w:eastAsia="宋体" w:hint="default"/>
                <w:sz w:val="21"/>
                <w:szCs w:val="21"/>
              </w:rPr>
              <w:t>个月且</w:t>
            </w:r>
            <w:r>
              <w:rPr>
                <w:rFonts w:ascii="宋体" w:hAnsi="宋体" w:cs="宋体" w:eastAsia="宋体" w:hint="default"/>
                <w:spacing w:val="-35"/>
                <w:sz w:val="21"/>
                <w:szCs w:val="21"/>
              </w:rPr>
              <w:t> </w:t>
            </w:r>
            <w:r>
              <w:rPr>
                <w:rFonts w:ascii="宋体" w:hAnsi="宋体" w:cs="宋体" w:eastAsia="宋体" w:hint="default"/>
                <w:sz w:val="21"/>
                <w:szCs w:val="21"/>
              </w:rPr>
              <w:t>2016</w:t>
            </w:r>
            <w:r>
              <w:rPr>
                <w:rFonts w:ascii="宋体" w:hAnsi="宋体" w:cs="宋体" w:eastAsia="宋体" w:hint="default"/>
                <w:spacing w:val="-36"/>
                <w:sz w:val="21"/>
                <w:szCs w:val="21"/>
              </w:rPr>
              <w:t> </w:t>
            </w:r>
            <w:r>
              <w:rPr>
                <w:rFonts w:ascii="宋体" w:hAnsi="宋体" w:cs="宋体" w:eastAsia="宋体" w:hint="default"/>
                <w:sz w:val="21"/>
                <w:szCs w:val="21"/>
              </w:rPr>
              <w:t>年度的《专项审核报告》出具后，解禁额度为各自</w:t>
            </w:r>
            <w:r>
              <w:rPr>
                <w:rFonts w:ascii="宋体" w:hAnsi="宋体" w:cs="宋体" w:eastAsia="宋体" w:hint="default"/>
                <w:w w:val="100"/>
                <w:sz w:val="21"/>
                <w:szCs w:val="21"/>
              </w:rPr>
              <w:t> </w:t>
            </w:r>
            <w:r>
              <w:rPr>
                <w:rFonts w:ascii="宋体" w:hAnsi="宋体" w:cs="宋体" w:eastAsia="宋体" w:hint="default"/>
                <w:sz w:val="21"/>
                <w:szCs w:val="21"/>
              </w:rPr>
              <w:t>因本次发行股份购买资产所获得的泰豪科技股份总数的</w:t>
            </w:r>
            <w:r>
              <w:rPr>
                <w:rFonts w:ascii="宋体" w:hAnsi="宋体" w:cs="宋体" w:eastAsia="宋体" w:hint="default"/>
                <w:spacing w:val="-40"/>
                <w:sz w:val="21"/>
                <w:szCs w:val="21"/>
              </w:rPr>
              <w:t> </w:t>
            </w:r>
            <w:r>
              <w:rPr>
                <w:rFonts w:ascii="宋体" w:hAnsi="宋体" w:cs="宋体" w:eastAsia="宋体" w:hint="default"/>
                <w:sz w:val="21"/>
                <w:szCs w:val="21"/>
              </w:rPr>
              <w:t>25.00%</w:t>
            </w:r>
            <w:r>
              <w:rPr>
                <w:rFonts w:ascii="宋体" w:hAnsi="宋体" w:cs="宋体" w:eastAsia="宋体" w:hint="default"/>
                <w:sz w:val="21"/>
                <w:szCs w:val="21"/>
              </w:rPr>
              <w:t>；自上市</w:t>
            </w:r>
            <w:r>
              <w:rPr>
                <w:rFonts w:ascii="宋体" w:hAnsi="宋体" w:cs="宋体" w:eastAsia="宋体" w:hint="default"/>
                <w:w w:val="100"/>
                <w:sz w:val="21"/>
                <w:szCs w:val="21"/>
              </w:rPr>
              <w:t> </w:t>
            </w:r>
            <w:r>
              <w:rPr>
                <w:rFonts w:ascii="宋体" w:hAnsi="宋体" w:cs="宋体" w:eastAsia="宋体" w:hint="default"/>
                <w:sz w:val="21"/>
                <w:szCs w:val="21"/>
              </w:rPr>
              <w:t>之日起满</w:t>
            </w:r>
            <w:r>
              <w:rPr>
                <w:rFonts w:ascii="宋体" w:hAnsi="宋体" w:cs="宋体" w:eastAsia="宋体" w:hint="default"/>
                <w:spacing w:val="-35"/>
                <w:sz w:val="21"/>
                <w:szCs w:val="21"/>
              </w:rPr>
              <w:t> </w:t>
            </w:r>
            <w:r>
              <w:rPr>
                <w:rFonts w:ascii="宋体" w:hAnsi="宋体" w:cs="宋体" w:eastAsia="宋体" w:hint="default"/>
                <w:sz w:val="21"/>
                <w:szCs w:val="21"/>
              </w:rPr>
              <w:t>24</w:t>
            </w:r>
            <w:r>
              <w:rPr>
                <w:rFonts w:ascii="宋体" w:hAnsi="宋体" w:cs="宋体" w:eastAsia="宋体" w:hint="default"/>
                <w:spacing w:val="-38"/>
                <w:sz w:val="21"/>
                <w:szCs w:val="21"/>
              </w:rPr>
              <w:t> </w:t>
            </w:r>
            <w:r>
              <w:rPr>
                <w:rFonts w:ascii="宋体" w:hAnsi="宋体" w:cs="宋体" w:eastAsia="宋体" w:hint="default"/>
                <w:sz w:val="21"/>
                <w:szCs w:val="21"/>
              </w:rPr>
              <w:t>个月且</w:t>
            </w:r>
            <w:r>
              <w:rPr>
                <w:rFonts w:ascii="宋体" w:hAnsi="宋体" w:cs="宋体" w:eastAsia="宋体" w:hint="default"/>
                <w:spacing w:val="-36"/>
                <w:sz w:val="21"/>
                <w:szCs w:val="21"/>
              </w:rPr>
              <w:t> </w:t>
            </w:r>
            <w:r>
              <w:rPr>
                <w:rFonts w:ascii="宋体" w:hAnsi="宋体" w:cs="宋体" w:eastAsia="宋体" w:hint="default"/>
                <w:sz w:val="21"/>
                <w:szCs w:val="21"/>
              </w:rPr>
              <w:t>2017</w:t>
            </w:r>
            <w:r>
              <w:rPr>
                <w:rFonts w:ascii="宋体" w:hAnsi="宋体" w:cs="宋体" w:eastAsia="宋体" w:hint="default"/>
                <w:spacing w:val="-38"/>
                <w:sz w:val="21"/>
                <w:szCs w:val="21"/>
              </w:rPr>
              <w:t> </w:t>
            </w:r>
            <w:r>
              <w:rPr>
                <w:rFonts w:ascii="宋体" w:hAnsi="宋体" w:cs="宋体" w:eastAsia="宋体" w:hint="default"/>
                <w:sz w:val="21"/>
                <w:szCs w:val="21"/>
              </w:rPr>
              <w:t>年度的《专项审核报告》出具后，解禁额度为</w:t>
            </w:r>
            <w:r>
              <w:rPr>
                <w:rFonts w:ascii="宋体" w:hAnsi="宋体" w:cs="宋体" w:eastAsia="宋体" w:hint="default"/>
                <w:w w:val="100"/>
                <w:sz w:val="21"/>
                <w:szCs w:val="21"/>
              </w:rPr>
              <w:t> </w:t>
            </w:r>
            <w:r>
              <w:rPr>
                <w:rFonts w:ascii="宋体" w:hAnsi="宋体" w:cs="宋体" w:eastAsia="宋体" w:hint="default"/>
                <w:sz w:val="21"/>
                <w:szCs w:val="21"/>
              </w:rPr>
              <w:t>各自因本次发行股份购买资产所获得的泰豪科技股份总数的</w:t>
            </w:r>
            <w:r>
              <w:rPr>
                <w:rFonts w:ascii="宋体" w:hAnsi="宋体" w:cs="宋体" w:eastAsia="宋体" w:hint="default"/>
                <w:spacing w:val="-41"/>
                <w:sz w:val="21"/>
                <w:szCs w:val="21"/>
              </w:rPr>
              <w:t> </w:t>
            </w:r>
            <w:r>
              <w:rPr>
                <w:rFonts w:ascii="宋体" w:hAnsi="宋体" w:cs="宋体" w:eastAsia="宋体" w:hint="default"/>
                <w:sz w:val="21"/>
                <w:szCs w:val="21"/>
              </w:rPr>
              <w:t>10.00%</w:t>
            </w:r>
            <w:r>
              <w:rPr>
                <w:rFonts w:ascii="宋体" w:hAnsi="宋体" w:cs="宋体" w:eastAsia="宋体" w:hint="default"/>
                <w:sz w:val="21"/>
                <w:szCs w:val="21"/>
              </w:rPr>
              <w:t>；自</w:t>
            </w:r>
            <w:r>
              <w:rPr>
                <w:rFonts w:ascii="宋体" w:hAnsi="宋体" w:cs="宋体" w:eastAsia="宋体" w:hint="default"/>
                <w:spacing w:val="-3"/>
                <w:w w:val="100"/>
                <w:sz w:val="21"/>
                <w:szCs w:val="21"/>
              </w:rPr>
              <w:t> </w:t>
            </w:r>
            <w:r>
              <w:rPr>
                <w:rFonts w:ascii="宋体" w:hAnsi="宋体" w:cs="宋体" w:eastAsia="宋体" w:hint="default"/>
                <w:sz w:val="21"/>
                <w:szCs w:val="21"/>
              </w:rPr>
              <w:t>上市之日起满</w:t>
            </w:r>
            <w:r>
              <w:rPr>
                <w:rFonts w:ascii="宋体" w:hAnsi="宋体" w:cs="宋体" w:eastAsia="宋体" w:hint="default"/>
                <w:spacing w:val="-35"/>
                <w:sz w:val="21"/>
                <w:szCs w:val="21"/>
              </w:rPr>
              <w:t> </w:t>
            </w:r>
            <w:r>
              <w:rPr>
                <w:rFonts w:ascii="宋体" w:hAnsi="宋体" w:cs="宋体" w:eastAsia="宋体" w:hint="default"/>
                <w:sz w:val="21"/>
                <w:szCs w:val="21"/>
              </w:rPr>
              <w:t>36</w:t>
            </w:r>
            <w:r>
              <w:rPr>
                <w:rFonts w:ascii="宋体" w:hAnsi="宋体" w:cs="宋体" w:eastAsia="宋体" w:hint="default"/>
                <w:spacing w:val="-38"/>
                <w:sz w:val="21"/>
                <w:szCs w:val="21"/>
              </w:rPr>
              <w:t> </w:t>
            </w:r>
            <w:r>
              <w:rPr>
                <w:rFonts w:ascii="宋体" w:hAnsi="宋体" w:cs="宋体" w:eastAsia="宋体" w:hint="default"/>
                <w:sz w:val="21"/>
                <w:szCs w:val="21"/>
              </w:rPr>
              <w:t>个月且</w:t>
            </w:r>
            <w:r>
              <w:rPr>
                <w:rFonts w:ascii="宋体" w:hAnsi="宋体" w:cs="宋体" w:eastAsia="宋体" w:hint="default"/>
                <w:spacing w:val="-36"/>
                <w:sz w:val="21"/>
                <w:szCs w:val="21"/>
              </w:rPr>
              <w:t> </w:t>
            </w:r>
            <w:r>
              <w:rPr>
                <w:rFonts w:ascii="宋体" w:hAnsi="宋体" w:cs="宋体" w:eastAsia="宋体" w:hint="default"/>
                <w:sz w:val="21"/>
                <w:szCs w:val="21"/>
              </w:rPr>
              <w:t>2018</w:t>
            </w:r>
            <w:r>
              <w:rPr>
                <w:rFonts w:ascii="宋体" w:hAnsi="宋体" w:cs="宋体" w:eastAsia="宋体" w:hint="default"/>
                <w:spacing w:val="-36"/>
                <w:sz w:val="21"/>
                <w:szCs w:val="21"/>
              </w:rPr>
              <w:t> </w:t>
            </w:r>
            <w:r>
              <w:rPr>
                <w:rFonts w:ascii="宋体" w:hAnsi="宋体" w:cs="宋体" w:eastAsia="宋体" w:hint="default"/>
                <w:sz w:val="21"/>
                <w:szCs w:val="21"/>
              </w:rPr>
              <w:t>年度的《专项审核报告》出具后，解禁额</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spacing w:val="-74"/>
                <w:sz w:val="21"/>
                <w:szCs w:val="21"/>
              </w:rPr>
              <w:t> </w:t>
            </w:r>
            <w:r>
              <w:rPr>
                <w:rFonts w:ascii="宋体" w:hAnsi="宋体" w:cs="宋体" w:eastAsia="宋体" w:hint="default"/>
                <w:spacing w:val="16"/>
                <w:sz w:val="21"/>
                <w:szCs w:val="21"/>
              </w:rPr>
              <w:t>为各自因</w:t>
            </w:r>
            <w:r>
              <w:rPr>
                <w:rFonts w:ascii="宋体" w:hAnsi="宋体" w:cs="宋体" w:eastAsia="宋体" w:hint="default"/>
                <w:spacing w:val="-74"/>
                <w:sz w:val="21"/>
                <w:szCs w:val="21"/>
              </w:rPr>
              <w:t> </w:t>
            </w:r>
            <w:r>
              <w:rPr>
                <w:rFonts w:ascii="宋体" w:hAnsi="宋体" w:cs="宋体" w:eastAsia="宋体" w:hint="default"/>
                <w:spacing w:val="14"/>
                <w:sz w:val="21"/>
                <w:szCs w:val="21"/>
              </w:rPr>
              <w:t>本次发</w:t>
            </w:r>
            <w:r>
              <w:rPr>
                <w:rFonts w:ascii="宋体" w:hAnsi="宋体" w:cs="宋体" w:eastAsia="宋体" w:hint="default"/>
                <w:spacing w:val="-74"/>
                <w:sz w:val="21"/>
                <w:szCs w:val="21"/>
              </w:rPr>
              <w:t> </w:t>
            </w:r>
            <w:r>
              <w:rPr>
                <w:rFonts w:ascii="宋体" w:hAnsi="宋体" w:cs="宋体" w:eastAsia="宋体" w:hint="default"/>
                <w:spacing w:val="14"/>
                <w:sz w:val="21"/>
                <w:szCs w:val="21"/>
              </w:rPr>
              <w:t>行股份</w:t>
            </w:r>
            <w:r>
              <w:rPr>
                <w:rFonts w:ascii="宋体" w:hAnsi="宋体" w:cs="宋体" w:eastAsia="宋体" w:hint="default"/>
                <w:spacing w:val="-74"/>
                <w:sz w:val="21"/>
                <w:szCs w:val="21"/>
              </w:rPr>
              <w:t> </w:t>
            </w:r>
            <w:r>
              <w:rPr>
                <w:rFonts w:ascii="宋体" w:hAnsi="宋体" w:cs="宋体" w:eastAsia="宋体" w:hint="default"/>
                <w:spacing w:val="16"/>
                <w:sz w:val="21"/>
                <w:szCs w:val="21"/>
              </w:rPr>
              <w:t>购买资产</w:t>
            </w:r>
            <w:r>
              <w:rPr>
                <w:rFonts w:ascii="宋体" w:hAnsi="宋体" w:cs="宋体" w:eastAsia="宋体" w:hint="default"/>
                <w:spacing w:val="-74"/>
                <w:sz w:val="21"/>
                <w:szCs w:val="21"/>
              </w:rPr>
              <w:t> </w:t>
            </w:r>
            <w:r>
              <w:rPr>
                <w:rFonts w:ascii="宋体" w:hAnsi="宋体" w:cs="宋体" w:eastAsia="宋体" w:hint="default"/>
                <w:spacing w:val="14"/>
                <w:sz w:val="21"/>
                <w:szCs w:val="21"/>
              </w:rPr>
              <w:t>所获得</w:t>
            </w:r>
            <w:r>
              <w:rPr>
                <w:rFonts w:ascii="宋体" w:hAnsi="宋体" w:cs="宋体" w:eastAsia="宋体" w:hint="default"/>
                <w:spacing w:val="-74"/>
                <w:sz w:val="21"/>
                <w:szCs w:val="21"/>
              </w:rPr>
              <w:t> </w:t>
            </w:r>
            <w:r>
              <w:rPr>
                <w:rFonts w:ascii="宋体" w:hAnsi="宋体" w:cs="宋体" w:eastAsia="宋体" w:hint="default"/>
                <w:spacing w:val="14"/>
                <w:sz w:val="21"/>
                <w:szCs w:val="21"/>
              </w:rPr>
              <w:t>的泰豪</w:t>
            </w:r>
            <w:r>
              <w:rPr>
                <w:rFonts w:ascii="宋体" w:hAnsi="宋体" w:cs="宋体" w:eastAsia="宋体" w:hint="default"/>
                <w:spacing w:val="-74"/>
                <w:sz w:val="21"/>
                <w:szCs w:val="21"/>
              </w:rPr>
              <w:t> </w:t>
            </w:r>
            <w:r>
              <w:rPr>
                <w:rFonts w:ascii="宋体" w:hAnsi="宋体" w:cs="宋体" w:eastAsia="宋体" w:hint="default"/>
                <w:spacing w:val="16"/>
                <w:sz w:val="21"/>
                <w:szCs w:val="21"/>
              </w:rPr>
              <w:t>科技股份</w:t>
            </w:r>
            <w:r>
              <w:rPr>
                <w:rFonts w:ascii="宋体" w:hAnsi="宋体" w:cs="宋体" w:eastAsia="宋体" w:hint="default"/>
                <w:spacing w:val="-74"/>
                <w:sz w:val="21"/>
                <w:szCs w:val="21"/>
              </w:rPr>
              <w:t> </w:t>
            </w:r>
            <w:r>
              <w:rPr>
                <w:rFonts w:ascii="宋体" w:hAnsi="宋体" w:cs="宋体" w:eastAsia="宋体" w:hint="default"/>
                <w:sz w:val="21"/>
                <w:szCs w:val="21"/>
              </w:rPr>
              <w:t>总</w:t>
            </w:r>
            <w:r>
              <w:rPr>
                <w:rFonts w:ascii="宋体" w:hAnsi="宋体" w:cs="宋体" w:eastAsia="宋体" w:hint="default"/>
                <w:spacing w:val="-71"/>
                <w:sz w:val="21"/>
                <w:szCs w:val="21"/>
              </w:rPr>
              <w:t> </w:t>
            </w:r>
            <w:r>
              <w:rPr>
                <w:rFonts w:ascii="宋体" w:hAnsi="宋体" w:cs="宋体" w:eastAsia="宋体" w:hint="default"/>
                <w:spacing w:val="12"/>
                <w:sz w:val="21"/>
                <w:szCs w:val="21"/>
              </w:rPr>
              <w:t>数的</w:t>
            </w:r>
            <w:r>
              <w:rPr>
                <w:rFonts w:ascii="宋体" w:hAnsi="宋体" w:cs="宋体" w:eastAsia="宋体" w:hint="default"/>
                <w:spacing w:val="-93"/>
                <w:sz w:val="21"/>
                <w:szCs w:val="21"/>
              </w:rPr>
              <w:t> </w:t>
            </w:r>
            <w:r>
              <w:rPr>
                <w:rFonts w:ascii="宋体" w:hAnsi="宋体" w:cs="宋体" w:eastAsia="宋体" w:hint="default"/>
                <w:sz w:val="21"/>
                <w:szCs w:val="21"/>
              </w:rPr>
              <w:t>65.00%</w:t>
            </w:r>
            <w:r>
              <w:rPr>
                <w:rFonts w:ascii="宋体" w:hAnsi="宋体" w:cs="宋体" w:eastAsia="宋体" w:hint="default"/>
                <w:sz w:val="21"/>
                <w:szCs w:val="21"/>
              </w:rPr>
              <w:t>。股份解禁前，如需实施股份补偿的，则当年解禁的股份数为：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6"/>
                <w:sz w:val="21"/>
                <w:szCs w:val="21"/>
              </w:rPr>
              <w:t>上述股东认购的泰豪科技股份总数×当年解禁比例—当年应补偿股份</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数。其中，第一次解禁时还应扣除上述股东因履行 </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年度业绩补偿义</w:t>
            </w:r>
          </w:p>
          <w:p>
            <w:pPr>
              <w:pStyle w:val="TableParagraph"/>
              <w:spacing w:line="237" w:lineRule="auto" w:before="1"/>
              <w:ind w:left="23" w:right="17"/>
              <w:jc w:val="both"/>
              <w:rPr>
                <w:rFonts w:ascii="宋体" w:hAnsi="宋体" w:cs="宋体" w:eastAsia="宋体" w:hint="default"/>
                <w:sz w:val="21"/>
                <w:szCs w:val="21"/>
              </w:rPr>
            </w:pPr>
            <w:r>
              <w:rPr>
                <w:rFonts w:ascii="宋体" w:hAnsi="宋体" w:cs="宋体" w:eastAsia="宋体" w:hint="default"/>
                <w:spacing w:val="-5"/>
                <w:sz w:val="21"/>
                <w:szCs w:val="21"/>
              </w:rPr>
              <w:t>务已补偿的股份数（如有）。当年扣减后可解锁的股份数量小于或等于 </w:t>
            </w:r>
            <w:r>
              <w:rPr>
                <w:rFonts w:ascii="宋体" w:hAnsi="宋体" w:cs="宋体" w:eastAsia="宋体" w:hint="default"/>
                <w:sz w:val="21"/>
                <w:szCs w:val="21"/>
              </w:rPr>
              <w:t>0</w:t>
            </w:r>
            <w:r>
              <w:rPr>
                <w:rFonts w:ascii="宋体" w:hAnsi="宋体" w:cs="宋体" w:eastAsia="宋体" w:hint="default"/>
                <w:spacing w:val="-95"/>
                <w:sz w:val="21"/>
                <w:szCs w:val="21"/>
              </w:rPr>
              <w:t> </w:t>
            </w:r>
            <w:r>
              <w:rPr>
                <w:rFonts w:ascii="宋体" w:hAnsi="宋体" w:cs="宋体" w:eastAsia="宋体" w:hint="default"/>
                <w:spacing w:val="-4"/>
                <w:sz w:val="21"/>
                <w:szCs w:val="21"/>
              </w:rPr>
              <w:t>的，则上述股东各自当年可解锁的股份数为</w:t>
            </w:r>
            <w:r>
              <w:rPr>
                <w:rFonts w:ascii="宋体" w:hAnsi="宋体" w:cs="宋体" w:eastAsia="宋体" w:hint="default"/>
                <w:spacing w:val="-20"/>
                <w:sz w:val="21"/>
                <w:szCs w:val="21"/>
              </w:rPr>
              <w:t> </w:t>
            </w:r>
            <w:r>
              <w:rPr>
                <w:rFonts w:ascii="宋体" w:hAnsi="宋体" w:cs="宋体" w:eastAsia="宋体" w:hint="default"/>
                <w:spacing w:val="-5"/>
                <w:sz w:val="21"/>
                <w:szCs w:val="21"/>
              </w:rPr>
              <w:t>0</w:t>
            </w:r>
            <w:r>
              <w:rPr>
                <w:rFonts w:ascii="宋体" w:hAnsi="宋体" w:cs="宋体" w:eastAsia="宋体" w:hint="default"/>
                <w:spacing w:val="-5"/>
                <w:sz w:val="21"/>
                <w:szCs w:val="21"/>
              </w:rPr>
              <w:t>，且次年可解锁的股份数量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还应扣减该差额的绝对值。限售期内，如因泰豪科技实施送红股、资本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公积金转增股本事项而增持的泰豪科技股份，亦应遵守上述限售期限的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约定。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日，承诺期限至</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670" w:type="dxa"/>
            <w:vMerge/>
            <w:tcBorders>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4"/>
              <w:jc w:val="left"/>
              <w:rPr>
                <w:rFonts w:ascii="宋体" w:hAnsi="宋体" w:cs="宋体" w:eastAsia="宋体" w:hint="default"/>
                <w:sz w:val="21"/>
                <w:szCs w:val="21"/>
              </w:rPr>
            </w:pPr>
            <w:r>
              <w:rPr>
                <w:rFonts w:ascii="宋体" w:hAnsi="宋体" w:cs="宋体" w:eastAsia="宋体" w:hint="default"/>
                <w:spacing w:val="-10"/>
                <w:sz w:val="21"/>
                <w:szCs w:val="21"/>
              </w:rPr>
              <w:t>胡健、余弓卜、</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因本次发行股份购买资产持有的股票自上市之日起</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6"/>
                <w:sz w:val="21"/>
                <w:szCs w:val="21"/>
              </w:rPr>
              <w:t>个月不能转让，自</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pacing w:val="-3"/>
                <w:sz w:val="21"/>
                <w:szCs w:val="21"/>
              </w:rPr>
              <w:t>个月限售期届满之日起根据如下方式分五次解禁：自上市之日起满</w:t>
            </w:r>
            <w:r>
              <w:rPr>
                <w:rFonts w:ascii="宋体" w:hAnsi="宋体" w:cs="宋体" w:eastAsia="宋体" w:hint="default"/>
                <w:spacing w:val="-60"/>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37" w:lineRule="auto"/>
              <w:ind w:left="23" w:right="21"/>
              <w:jc w:val="left"/>
              <w:rPr>
                <w:rFonts w:ascii="宋体" w:hAnsi="宋体" w:cs="宋体" w:eastAsia="宋体" w:hint="default"/>
                <w:sz w:val="21"/>
                <w:szCs w:val="21"/>
              </w:rPr>
            </w:pPr>
            <w:r>
              <w:rPr>
                <w:rFonts w:ascii="宋体" w:hAnsi="宋体" w:cs="宋体" w:eastAsia="宋体" w:hint="default"/>
                <w:sz w:val="21"/>
                <w:szCs w:val="21"/>
              </w:rPr>
              <w:t>个月且</w:t>
            </w:r>
            <w:r>
              <w:rPr>
                <w:rFonts w:ascii="宋体" w:hAnsi="宋体" w:cs="宋体" w:eastAsia="宋体" w:hint="default"/>
                <w:spacing w:val="-39"/>
                <w:sz w:val="21"/>
                <w:szCs w:val="21"/>
              </w:rPr>
              <w:t> </w:t>
            </w:r>
            <w:r>
              <w:rPr>
                <w:rFonts w:ascii="宋体" w:hAnsi="宋体" w:cs="宋体" w:eastAsia="宋体" w:hint="default"/>
                <w:sz w:val="21"/>
                <w:szCs w:val="21"/>
              </w:rPr>
              <w:t>2016</w:t>
            </w:r>
            <w:r>
              <w:rPr>
                <w:rFonts w:ascii="宋体" w:hAnsi="宋体" w:cs="宋体" w:eastAsia="宋体" w:hint="default"/>
                <w:spacing w:val="-38"/>
                <w:sz w:val="21"/>
                <w:szCs w:val="21"/>
              </w:rPr>
              <w:t> </w:t>
            </w:r>
            <w:r>
              <w:rPr>
                <w:rFonts w:ascii="宋体" w:hAnsi="宋体" w:cs="宋体" w:eastAsia="宋体" w:hint="default"/>
                <w:spacing w:val="-3"/>
                <w:sz w:val="21"/>
                <w:szCs w:val="21"/>
              </w:rPr>
              <w:t>年度的博辕信息《专项审核报告》出具后，解禁额度为各自</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因本次发行股份购买资产所获得的泰豪科技股份总数的</w:t>
            </w:r>
            <w:r>
              <w:rPr>
                <w:rFonts w:ascii="宋体" w:hAnsi="宋体" w:cs="宋体" w:eastAsia="宋体" w:hint="default"/>
                <w:spacing w:val="-41"/>
                <w:sz w:val="21"/>
                <w:szCs w:val="21"/>
              </w:rPr>
              <w:t> </w:t>
            </w:r>
            <w:r>
              <w:rPr>
                <w:rFonts w:ascii="宋体" w:hAnsi="宋体" w:cs="宋体" w:eastAsia="宋体" w:hint="default"/>
                <w:sz w:val="21"/>
                <w:szCs w:val="21"/>
              </w:rPr>
              <w:t>25.00%</w:t>
            </w:r>
            <w:r>
              <w:rPr>
                <w:rFonts w:ascii="宋体" w:hAnsi="宋体" w:cs="宋体" w:eastAsia="宋体" w:hint="default"/>
                <w:sz w:val="21"/>
                <w:szCs w:val="21"/>
              </w:rPr>
              <w:t>；自上市</w:t>
            </w:r>
            <w:r>
              <w:rPr>
                <w:rFonts w:ascii="宋体" w:hAnsi="宋体" w:cs="宋体" w:eastAsia="宋体" w:hint="default"/>
                <w:w w:val="100"/>
                <w:sz w:val="21"/>
                <w:szCs w:val="21"/>
              </w:rPr>
              <w:t> </w:t>
            </w:r>
            <w:r>
              <w:rPr>
                <w:rFonts w:ascii="宋体" w:hAnsi="宋体" w:cs="宋体" w:eastAsia="宋体" w:hint="default"/>
                <w:sz w:val="21"/>
                <w:szCs w:val="21"/>
              </w:rPr>
              <w:t>之日起满</w:t>
            </w:r>
            <w:r>
              <w:rPr>
                <w:rFonts w:ascii="宋体" w:hAnsi="宋体" w:cs="宋体" w:eastAsia="宋体" w:hint="default"/>
                <w:spacing w:val="-35"/>
                <w:sz w:val="21"/>
                <w:szCs w:val="21"/>
              </w:rPr>
              <w:t> </w:t>
            </w:r>
            <w:r>
              <w:rPr>
                <w:rFonts w:ascii="宋体" w:hAnsi="宋体" w:cs="宋体" w:eastAsia="宋体" w:hint="default"/>
                <w:sz w:val="21"/>
                <w:szCs w:val="21"/>
              </w:rPr>
              <w:t>24</w:t>
            </w:r>
            <w:r>
              <w:rPr>
                <w:rFonts w:ascii="宋体" w:hAnsi="宋体" w:cs="宋体" w:eastAsia="宋体" w:hint="default"/>
                <w:spacing w:val="-38"/>
                <w:sz w:val="21"/>
                <w:szCs w:val="21"/>
              </w:rPr>
              <w:t> </w:t>
            </w:r>
            <w:r>
              <w:rPr>
                <w:rFonts w:ascii="宋体" w:hAnsi="宋体" w:cs="宋体" w:eastAsia="宋体" w:hint="default"/>
                <w:sz w:val="21"/>
                <w:szCs w:val="21"/>
              </w:rPr>
              <w:t>个月且</w:t>
            </w:r>
            <w:r>
              <w:rPr>
                <w:rFonts w:ascii="宋体" w:hAnsi="宋体" w:cs="宋体" w:eastAsia="宋体" w:hint="default"/>
                <w:spacing w:val="-36"/>
                <w:sz w:val="21"/>
                <w:szCs w:val="21"/>
              </w:rPr>
              <w:t> </w:t>
            </w:r>
            <w:r>
              <w:rPr>
                <w:rFonts w:ascii="宋体" w:hAnsi="宋体" w:cs="宋体" w:eastAsia="宋体" w:hint="default"/>
                <w:sz w:val="21"/>
                <w:szCs w:val="21"/>
              </w:rPr>
              <w:t>2017</w:t>
            </w:r>
            <w:r>
              <w:rPr>
                <w:rFonts w:ascii="宋体" w:hAnsi="宋体" w:cs="宋体" w:eastAsia="宋体" w:hint="default"/>
                <w:spacing w:val="-38"/>
                <w:sz w:val="21"/>
                <w:szCs w:val="21"/>
              </w:rPr>
              <w:t> </w:t>
            </w:r>
            <w:r>
              <w:rPr>
                <w:rFonts w:ascii="宋体" w:hAnsi="宋体" w:cs="宋体" w:eastAsia="宋体" w:hint="default"/>
                <w:sz w:val="21"/>
                <w:szCs w:val="21"/>
              </w:rPr>
              <w:t>年度的《专项审核报告》出具后，解禁额度为</w:t>
            </w:r>
            <w:r>
              <w:rPr>
                <w:rFonts w:ascii="宋体" w:hAnsi="宋体" w:cs="宋体" w:eastAsia="宋体" w:hint="default"/>
                <w:w w:val="100"/>
                <w:sz w:val="21"/>
                <w:szCs w:val="21"/>
              </w:rPr>
              <w:t> </w:t>
            </w:r>
            <w:r>
              <w:rPr>
                <w:rFonts w:ascii="宋体" w:hAnsi="宋体" w:cs="宋体" w:eastAsia="宋体" w:hint="default"/>
                <w:sz w:val="21"/>
                <w:szCs w:val="21"/>
              </w:rPr>
              <w:t>各自因本次发行股份购买资产所获得的泰豪科技股份总数的</w:t>
            </w:r>
            <w:r>
              <w:rPr>
                <w:rFonts w:ascii="宋体" w:hAnsi="宋体" w:cs="宋体" w:eastAsia="宋体" w:hint="default"/>
                <w:spacing w:val="-43"/>
                <w:sz w:val="21"/>
                <w:szCs w:val="21"/>
              </w:rPr>
              <w:t> </w:t>
            </w:r>
            <w:r>
              <w:rPr>
                <w:rFonts w:ascii="宋体" w:hAnsi="宋体" w:cs="宋体" w:eastAsia="宋体" w:hint="default"/>
                <w:sz w:val="21"/>
                <w:szCs w:val="21"/>
              </w:rPr>
              <w:t>10.00%</w:t>
            </w:r>
            <w:r>
              <w:rPr>
                <w:rFonts w:ascii="宋体" w:hAnsi="宋体" w:cs="宋体" w:eastAsia="宋体" w:hint="default"/>
                <w:sz w:val="21"/>
                <w:szCs w:val="21"/>
              </w:rPr>
              <w:t>；自</w:t>
            </w:r>
            <w:r>
              <w:rPr>
                <w:rFonts w:ascii="宋体" w:hAnsi="宋体" w:cs="宋体" w:eastAsia="宋体" w:hint="default"/>
                <w:spacing w:val="-3"/>
                <w:w w:val="100"/>
                <w:sz w:val="21"/>
                <w:szCs w:val="21"/>
              </w:rPr>
              <w:t> </w:t>
            </w:r>
            <w:r>
              <w:rPr>
                <w:rFonts w:ascii="宋体" w:hAnsi="宋体" w:cs="宋体" w:eastAsia="宋体" w:hint="default"/>
                <w:sz w:val="21"/>
                <w:szCs w:val="21"/>
              </w:rPr>
              <w:t>上市之日起满</w:t>
            </w:r>
            <w:r>
              <w:rPr>
                <w:rFonts w:ascii="宋体" w:hAnsi="宋体" w:cs="宋体" w:eastAsia="宋体" w:hint="default"/>
                <w:spacing w:val="-47"/>
                <w:sz w:val="21"/>
                <w:szCs w:val="21"/>
              </w:rPr>
              <w:t> </w:t>
            </w:r>
            <w:r>
              <w:rPr>
                <w:rFonts w:ascii="宋体" w:hAnsi="宋体" w:cs="宋体" w:eastAsia="宋体" w:hint="default"/>
                <w:sz w:val="21"/>
                <w:szCs w:val="21"/>
              </w:rPr>
              <w:t>36</w:t>
            </w:r>
            <w:r>
              <w:rPr>
                <w:rFonts w:ascii="宋体" w:hAnsi="宋体" w:cs="宋体" w:eastAsia="宋体" w:hint="default"/>
                <w:spacing w:val="-48"/>
                <w:sz w:val="21"/>
                <w:szCs w:val="21"/>
              </w:rPr>
              <w:t> </w:t>
            </w:r>
            <w:r>
              <w:rPr>
                <w:rFonts w:ascii="宋体" w:hAnsi="宋体" w:cs="宋体" w:eastAsia="宋体" w:hint="default"/>
                <w:sz w:val="21"/>
                <w:szCs w:val="21"/>
              </w:rPr>
              <w:t>个月且</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pacing w:val="-4"/>
                <w:sz w:val="21"/>
                <w:szCs w:val="21"/>
              </w:rPr>
              <w:t>年度的博辕信息《专项审核报告》出具后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解禁额度为各自因本次发行股份购买资产所获得的泰豪科技股份总数的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15.00%</w:t>
            </w:r>
            <w:r>
              <w:rPr>
                <w:rFonts w:ascii="宋体" w:hAnsi="宋体" w:cs="宋体" w:eastAsia="宋体" w:hint="default"/>
                <w:sz w:val="21"/>
                <w:szCs w:val="21"/>
              </w:rPr>
              <w:t>；自上市之日起满</w:t>
            </w:r>
            <w:r>
              <w:rPr>
                <w:rFonts w:ascii="宋体" w:hAnsi="宋体" w:cs="宋体" w:eastAsia="宋体" w:hint="default"/>
                <w:spacing w:val="-38"/>
                <w:sz w:val="21"/>
                <w:szCs w:val="21"/>
              </w:rPr>
              <w:t> </w:t>
            </w:r>
            <w:r>
              <w:rPr>
                <w:rFonts w:ascii="宋体" w:hAnsi="宋体" w:cs="宋体" w:eastAsia="宋体" w:hint="default"/>
                <w:sz w:val="21"/>
                <w:szCs w:val="21"/>
              </w:rPr>
              <w:t>48</w:t>
            </w:r>
            <w:r>
              <w:rPr>
                <w:rFonts w:ascii="宋体" w:hAnsi="宋体" w:cs="宋体" w:eastAsia="宋体" w:hint="default"/>
                <w:spacing w:val="-36"/>
                <w:sz w:val="21"/>
                <w:szCs w:val="21"/>
              </w:rPr>
              <w:t> </w:t>
            </w:r>
            <w:r>
              <w:rPr>
                <w:rFonts w:ascii="宋体" w:hAnsi="宋体" w:cs="宋体" w:eastAsia="宋体" w:hint="default"/>
                <w:sz w:val="21"/>
                <w:szCs w:val="21"/>
              </w:rPr>
              <w:t>个月且</w:t>
            </w:r>
            <w:r>
              <w:rPr>
                <w:rFonts w:ascii="宋体" w:hAnsi="宋体" w:cs="宋体" w:eastAsia="宋体" w:hint="default"/>
                <w:spacing w:val="-36"/>
                <w:sz w:val="21"/>
                <w:szCs w:val="21"/>
              </w:rPr>
              <w:t> </w:t>
            </w:r>
            <w:r>
              <w:rPr>
                <w:rFonts w:ascii="宋体" w:hAnsi="宋体" w:cs="宋体" w:eastAsia="宋体" w:hint="default"/>
                <w:sz w:val="21"/>
                <w:szCs w:val="21"/>
              </w:rPr>
              <w:t>2019</w:t>
            </w:r>
            <w:r>
              <w:rPr>
                <w:rFonts w:ascii="宋体" w:hAnsi="宋体" w:cs="宋体" w:eastAsia="宋体" w:hint="default"/>
                <w:spacing w:val="-36"/>
                <w:sz w:val="21"/>
                <w:szCs w:val="21"/>
              </w:rPr>
              <w:t> </w:t>
            </w:r>
            <w:r>
              <w:rPr>
                <w:rFonts w:ascii="宋体" w:hAnsi="宋体" w:cs="宋体" w:eastAsia="宋体" w:hint="default"/>
                <w:sz w:val="21"/>
                <w:szCs w:val="21"/>
              </w:rPr>
              <w:t>年度的博辕信息《专项审核报</w:t>
            </w:r>
            <w:r>
              <w:rPr>
                <w:rFonts w:ascii="宋体" w:hAnsi="宋体" w:cs="宋体" w:eastAsia="宋体" w:hint="default"/>
                <w:w w:val="100"/>
                <w:sz w:val="21"/>
                <w:szCs w:val="21"/>
              </w:rPr>
              <w:t> </w:t>
            </w:r>
            <w:r>
              <w:rPr>
                <w:rFonts w:ascii="宋体" w:hAnsi="宋体" w:cs="宋体" w:eastAsia="宋体" w:hint="default"/>
                <w:sz w:val="21"/>
                <w:szCs w:val="21"/>
              </w:rPr>
              <w:t>告》出具后，解禁额度为各自因本次发行股份购买资产所获得的泰豪科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技股份总数的</w:t>
            </w:r>
            <w:r>
              <w:rPr>
                <w:rFonts w:ascii="宋体" w:hAnsi="宋体" w:cs="宋体" w:eastAsia="宋体" w:hint="default"/>
                <w:spacing w:val="-50"/>
                <w:sz w:val="21"/>
                <w:szCs w:val="21"/>
              </w:rPr>
              <w:t> </w:t>
            </w:r>
            <w:r>
              <w:rPr>
                <w:rFonts w:ascii="宋体" w:hAnsi="宋体" w:cs="宋体" w:eastAsia="宋体" w:hint="default"/>
                <w:sz w:val="21"/>
                <w:szCs w:val="21"/>
              </w:rPr>
              <w:t>25.00%</w:t>
            </w:r>
            <w:r>
              <w:rPr>
                <w:rFonts w:ascii="宋体" w:hAnsi="宋体" w:cs="宋体" w:eastAsia="宋体" w:hint="default"/>
                <w:sz w:val="21"/>
                <w:szCs w:val="21"/>
              </w:rPr>
              <w:t>；自上市之日起满</w:t>
            </w:r>
            <w:r>
              <w:rPr>
                <w:rFonts w:ascii="宋体" w:hAnsi="宋体" w:cs="宋体" w:eastAsia="宋体" w:hint="default"/>
                <w:spacing w:val="-51"/>
                <w:sz w:val="21"/>
                <w:szCs w:val="21"/>
              </w:rPr>
              <w:t> </w:t>
            </w:r>
            <w:r>
              <w:rPr>
                <w:rFonts w:ascii="宋体" w:hAnsi="宋体" w:cs="宋体" w:eastAsia="宋体" w:hint="default"/>
                <w:sz w:val="21"/>
                <w:szCs w:val="21"/>
              </w:rPr>
              <w:t>60</w:t>
            </w:r>
            <w:r>
              <w:rPr>
                <w:rFonts w:ascii="宋体" w:hAnsi="宋体" w:cs="宋体" w:eastAsia="宋体" w:hint="default"/>
                <w:spacing w:val="-50"/>
                <w:sz w:val="21"/>
                <w:szCs w:val="21"/>
              </w:rPr>
              <w:t> </w:t>
            </w:r>
            <w:r>
              <w:rPr>
                <w:rFonts w:ascii="宋体" w:hAnsi="宋体" w:cs="宋体" w:eastAsia="宋体" w:hint="default"/>
                <w:sz w:val="21"/>
                <w:szCs w:val="21"/>
              </w:rPr>
              <w:t>个月且</w:t>
            </w:r>
            <w:r>
              <w:rPr>
                <w:rFonts w:ascii="宋体" w:hAnsi="宋体" w:cs="宋体" w:eastAsia="宋体" w:hint="default"/>
                <w:spacing w:val="-50"/>
                <w:sz w:val="21"/>
                <w:szCs w:val="21"/>
              </w:rPr>
              <w:t> </w:t>
            </w:r>
            <w:r>
              <w:rPr>
                <w:rFonts w:ascii="宋体" w:hAnsi="宋体" w:cs="宋体" w:eastAsia="宋体" w:hint="default"/>
                <w:sz w:val="21"/>
                <w:szCs w:val="21"/>
              </w:rPr>
              <w:t>2020</w:t>
            </w:r>
            <w:r>
              <w:rPr>
                <w:rFonts w:ascii="宋体" w:hAnsi="宋体" w:cs="宋体" w:eastAsia="宋体" w:hint="default"/>
                <w:spacing w:val="-50"/>
                <w:sz w:val="21"/>
                <w:szCs w:val="21"/>
              </w:rPr>
              <w:t> </w:t>
            </w:r>
            <w:r>
              <w:rPr>
                <w:rFonts w:ascii="宋体" w:hAnsi="宋体" w:cs="宋体" w:eastAsia="宋体" w:hint="default"/>
                <w:sz w:val="21"/>
                <w:szCs w:val="21"/>
              </w:rPr>
              <w:t>年度的博辕信息</w:t>
            </w:r>
          </w:p>
          <w:p>
            <w:pPr>
              <w:pStyle w:val="TableParagraph"/>
              <w:spacing w:line="237" w:lineRule="auto" w:before="1"/>
              <w:ind w:left="23" w:right="21"/>
              <w:jc w:val="both"/>
              <w:rPr>
                <w:rFonts w:ascii="宋体" w:hAnsi="宋体" w:cs="宋体" w:eastAsia="宋体" w:hint="default"/>
                <w:sz w:val="21"/>
                <w:szCs w:val="21"/>
              </w:rPr>
            </w:pPr>
            <w:r>
              <w:rPr>
                <w:rFonts w:ascii="宋体" w:hAnsi="宋体" w:cs="宋体" w:eastAsia="宋体" w:hint="default"/>
                <w:sz w:val="21"/>
                <w:szCs w:val="21"/>
              </w:rPr>
              <w:t>《专项审核报告》和《减值测试报告》出具后，解禁额度为各自因本次</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发行股份购买资产所获得的泰豪科技股份总数的</w:t>
            </w:r>
            <w:r>
              <w:rPr>
                <w:rFonts w:ascii="宋体" w:hAnsi="宋体" w:cs="宋体" w:eastAsia="宋体" w:hint="default"/>
                <w:spacing w:val="-41"/>
                <w:sz w:val="21"/>
                <w:szCs w:val="21"/>
              </w:rPr>
              <w:t> </w:t>
            </w:r>
            <w:r>
              <w:rPr>
                <w:rFonts w:ascii="宋体" w:hAnsi="宋体" w:cs="宋体" w:eastAsia="宋体" w:hint="default"/>
                <w:sz w:val="21"/>
                <w:szCs w:val="21"/>
              </w:rPr>
              <w:t>25.00%</w:t>
            </w:r>
            <w:r>
              <w:rPr>
                <w:rFonts w:ascii="宋体" w:hAnsi="宋体" w:cs="宋体" w:eastAsia="宋体" w:hint="default"/>
                <w:sz w:val="21"/>
                <w:szCs w:val="21"/>
              </w:rPr>
              <w:t>。其中，第一次</w:t>
            </w:r>
            <w:r>
              <w:rPr>
                <w:rFonts w:ascii="宋体" w:hAnsi="宋体" w:cs="宋体" w:eastAsia="宋体" w:hint="default"/>
                <w:w w:val="100"/>
                <w:sz w:val="21"/>
                <w:szCs w:val="21"/>
              </w:rPr>
              <w:t> </w:t>
            </w:r>
            <w:r>
              <w:rPr>
                <w:rFonts w:ascii="宋体" w:hAnsi="宋体" w:cs="宋体" w:eastAsia="宋体" w:hint="default"/>
                <w:sz w:val="21"/>
                <w:szCs w:val="21"/>
              </w:rPr>
              <w:t>解禁时还应扣除上述股东因履行</w:t>
            </w:r>
            <w:r>
              <w:rPr>
                <w:rFonts w:ascii="宋体" w:hAnsi="宋体" w:cs="宋体" w:eastAsia="宋体" w:hint="default"/>
                <w:spacing w:val="-73"/>
                <w:sz w:val="21"/>
                <w:szCs w:val="21"/>
              </w:rPr>
              <w:t> </w:t>
            </w:r>
            <w:r>
              <w:rPr>
                <w:rFonts w:ascii="宋体" w:hAnsi="宋体" w:cs="宋体" w:eastAsia="宋体" w:hint="default"/>
                <w:sz w:val="21"/>
                <w:szCs w:val="21"/>
              </w:rPr>
              <w:t>2015</w:t>
            </w:r>
            <w:r>
              <w:rPr>
                <w:rFonts w:ascii="宋体" w:hAnsi="宋体" w:cs="宋体" w:eastAsia="宋体" w:hint="default"/>
                <w:spacing w:val="-73"/>
                <w:sz w:val="21"/>
                <w:szCs w:val="21"/>
              </w:rPr>
              <w:t> </w:t>
            </w:r>
            <w:r>
              <w:rPr>
                <w:rFonts w:ascii="宋体" w:hAnsi="宋体" w:cs="宋体" w:eastAsia="宋体" w:hint="default"/>
                <w:sz w:val="21"/>
                <w:szCs w:val="21"/>
              </w:rPr>
              <w:t>年度业绩补偿义务已补偿的股份数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日，承诺期限至</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8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670"/>
        <w:gridCol w:w="487"/>
        <w:gridCol w:w="1414"/>
        <w:gridCol w:w="6637"/>
        <w:gridCol w:w="1983"/>
        <w:gridCol w:w="487"/>
        <w:gridCol w:w="526"/>
        <w:gridCol w:w="965"/>
        <w:gridCol w:w="780"/>
      </w:tblGrid>
      <w:tr>
        <w:trPr>
          <w:trHeight w:val="1099" w:hRule="exact"/>
        </w:trPr>
        <w:tc>
          <w:tcPr>
            <w:tcW w:w="670" w:type="dxa"/>
            <w:vMerge w:val="restart"/>
            <w:tcBorders>
              <w:top w:val="single" w:sz="4" w:space="0" w:color="000000"/>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（如有）。当年扣减后可解锁的股份数量小于或等于 </w:t>
            </w:r>
            <w:r>
              <w:rPr>
                <w:rFonts w:ascii="宋体" w:hAnsi="宋体" w:cs="宋体" w:eastAsia="宋体" w:hint="default"/>
                <w:sz w:val="21"/>
                <w:szCs w:val="21"/>
              </w:rPr>
              <w:t>0</w:t>
            </w:r>
            <w:r>
              <w:rPr>
                <w:rFonts w:ascii="宋体" w:hAnsi="宋体" w:cs="宋体" w:eastAsia="宋体" w:hint="default"/>
                <w:spacing w:val="-41"/>
                <w:sz w:val="21"/>
                <w:szCs w:val="21"/>
              </w:rPr>
              <w:t> </w:t>
            </w:r>
            <w:r>
              <w:rPr>
                <w:rFonts w:ascii="宋体" w:hAnsi="宋体" w:cs="宋体" w:eastAsia="宋体" w:hint="default"/>
                <w:sz w:val="21"/>
                <w:szCs w:val="21"/>
              </w:rPr>
              <w:t>的，则上述股东</w:t>
            </w:r>
          </w:p>
          <w:p>
            <w:pPr>
              <w:pStyle w:val="TableParagraph"/>
              <w:spacing w:line="237" w:lineRule="auto"/>
              <w:ind w:left="23" w:right="17"/>
              <w:jc w:val="both"/>
              <w:rPr>
                <w:rFonts w:ascii="宋体" w:hAnsi="宋体" w:cs="宋体" w:eastAsia="宋体" w:hint="default"/>
                <w:sz w:val="21"/>
                <w:szCs w:val="21"/>
              </w:rPr>
            </w:pPr>
            <w:r>
              <w:rPr>
                <w:rFonts w:ascii="宋体" w:hAnsi="宋体" w:cs="宋体" w:eastAsia="宋体" w:hint="default"/>
                <w:spacing w:val="-2"/>
                <w:w w:val="100"/>
                <w:sz w:val="21"/>
                <w:szCs w:val="21"/>
              </w:rPr>
              <w:t>各自当年可解锁的股份数为</w:t>
            </w:r>
            <w:r>
              <w:rPr>
                <w:rFonts w:ascii="宋体" w:hAnsi="宋体" w:cs="宋体" w:eastAsia="宋体" w:hint="default"/>
                <w:spacing w:val="-44"/>
                <w:w w:val="100"/>
                <w:sz w:val="21"/>
                <w:szCs w:val="21"/>
              </w:rPr>
              <w:t> </w:t>
            </w:r>
            <w:r>
              <w:rPr>
                <w:rFonts w:ascii="宋体" w:hAnsi="宋体" w:cs="宋体" w:eastAsia="宋体" w:hint="default"/>
                <w:spacing w:val="-6"/>
                <w:w w:val="100"/>
                <w:sz w:val="21"/>
                <w:szCs w:val="21"/>
              </w:rPr>
              <w:t>0</w:t>
            </w:r>
            <w:r>
              <w:rPr>
                <w:rFonts w:ascii="宋体" w:hAnsi="宋体" w:cs="宋体" w:eastAsia="宋体" w:hint="default"/>
                <w:spacing w:val="-6"/>
                <w:w w:val="100"/>
                <w:sz w:val="21"/>
                <w:szCs w:val="21"/>
              </w:rPr>
              <w:t>，且次年可解锁的股份数量还应扣减该差额</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的绝对值。限售期内，如因泰豪科技实施送红股、资本公积金转增股本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事项而增持的泰豪科技股份，亦应遵守上述限售期限的约定。</w:t>
            </w:r>
          </w:p>
        </w:tc>
        <w:tc>
          <w:tcPr>
            <w:tcW w:w="198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浙江赛盛、</w:t>
            </w:r>
            <w:r>
              <w:rPr>
                <w:rFonts w:ascii="宋体" w:hAnsi="宋体" w:cs="宋体" w:eastAsia="宋体" w:hint="default"/>
                <w:spacing w:val="-71"/>
                <w:sz w:val="21"/>
                <w:szCs w:val="21"/>
              </w:rPr>
              <w:t> </w:t>
            </w:r>
            <w:r>
              <w:rPr>
                <w:rFonts w:ascii="宋体" w:hAnsi="宋体" w:cs="宋体" w:eastAsia="宋体" w:hint="default"/>
                <w:sz w:val="21"/>
                <w:szCs w:val="21"/>
              </w:rPr>
              <w:t>宁</w:t>
            </w:r>
          </w:p>
          <w:p>
            <w:pPr>
              <w:pStyle w:val="TableParagraph"/>
              <w:spacing w:line="240" w:lineRule="auto"/>
              <w:ind w:left="23" w:right="18"/>
              <w:jc w:val="left"/>
              <w:rPr>
                <w:rFonts w:ascii="宋体" w:hAnsi="宋体" w:cs="宋体" w:eastAsia="宋体" w:hint="default"/>
                <w:sz w:val="21"/>
                <w:szCs w:val="21"/>
              </w:rPr>
            </w:pPr>
            <w:r>
              <w:rPr>
                <w:rFonts w:ascii="宋体" w:hAnsi="宋体" w:cs="宋体" w:eastAsia="宋体" w:hint="default"/>
                <w:spacing w:val="14"/>
                <w:sz w:val="21"/>
                <w:szCs w:val="21"/>
              </w:rPr>
              <w:t>波赛伯乐等七</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位股东</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因发行股份购买资产取得的泰豪科技股份自股票上市之日起</w:t>
            </w:r>
            <w:r>
              <w:rPr>
                <w:rFonts w:ascii="宋体" w:hAnsi="宋体" w:cs="宋体" w:eastAsia="宋体" w:hint="default"/>
                <w:spacing w:val="-73"/>
                <w:sz w:val="21"/>
                <w:szCs w:val="21"/>
              </w:rPr>
              <w:t> </w:t>
            </w:r>
            <w:r>
              <w:rPr>
                <w:rFonts w:ascii="宋体" w:hAnsi="宋体" w:cs="宋体" w:eastAsia="宋体" w:hint="default"/>
                <w:sz w:val="21"/>
                <w:szCs w:val="21"/>
              </w:rPr>
              <w:t>12</w:t>
            </w:r>
            <w:r>
              <w:rPr>
                <w:rFonts w:ascii="宋体" w:hAnsi="宋体" w:cs="宋体" w:eastAsia="宋体" w:hint="default"/>
                <w:spacing w:val="-73"/>
                <w:sz w:val="21"/>
                <w:szCs w:val="21"/>
              </w:rPr>
              <w:t> </w:t>
            </w:r>
            <w:r>
              <w:rPr>
                <w:rFonts w:ascii="宋体" w:hAnsi="宋体" w:cs="宋体" w:eastAsia="宋体" w:hint="default"/>
                <w:sz w:val="21"/>
                <w:szCs w:val="21"/>
              </w:rPr>
              <w:t>个月内不</w:t>
            </w:r>
          </w:p>
          <w:p>
            <w:pPr>
              <w:pStyle w:val="TableParagraph"/>
              <w:spacing w:line="240" w:lineRule="auto"/>
              <w:ind w:left="23" w:right="24"/>
              <w:jc w:val="left"/>
              <w:rPr>
                <w:rFonts w:ascii="宋体" w:hAnsi="宋体" w:cs="宋体" w:eastAsia="宋体" w:hint="default"/>
                <w:sz w:val="21"/>
                <w:szCs w:val="21"/>
              </w:rPr>
            </w:pPr>
            <w:r>
              <w:rPr>
                <w:rFonts w:ascii="宋体" w:hAnsi="宋体" w:cs="宋体" w:eastAsia="宋体" w:hint="default"/>
                <w:sz w:val="21"/>
                <w:szCs w:val="21"/>
              </w:rPr>
              <w:t>得转让。限售期内，如因泰豪科技实施送红股、资本公积金转增股本事</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项而增持的泰豪科技股份，亦应遵守上述限售期限的约定。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日，承诺期限至</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浙江中赢</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因发行股份购买资产取得的泰豪科技股份自股票上市之日起</w:t>
            </w:r>
            <w:r>
              <w:rPr>
                <w:rFonts w:ascii="宋体" w:hAnsi="宋体" w:cs="宋体" w:eastAsia="宋体" w:hint="default"/>
                <w:spacing w:val="-73"/>
                <w:sz w:val="21"/>
                <w:szCs w:val="21"/>
              </w:rPr>
              <w:t> </w:t>
            </w:r>
            <w:r>
              <w:rPr>
                <w:rFonts w:ascii="宋体" w:hAnsi="宋体" w:cs="宋体" w:eastAsia="宋体" w:hint="default"/>
                <w:sz w:val="21"/>
                <w:szCs w:val="21"/>
              </w:rPr>
              <w:t>36</w:t>
            </w:r>
            <w:r>
              <w:rPr>
                <w:rFonts w:ascii="宋体" w:hAnsi="宋体" w:cs="宋体" w:eastAsia="宋体" w:hint="default"/>
                <w:spacing w:val="-73"/>
                <w:sz w:val="21"/>
                <w:szCs w:val="21"/>
              </w:rPr>
              <w:t> </w:t>
            </w:r>
            <w:r>
              <w:rPr>
                <w:rFonts w:ascii="宋体" w:hAnsi="宋体" w:cs="宋体" w:eastAsia="宋体" w:hint="default"/>
                <w:sz w:val="21"/>
                <w:szCs w:val="21"/>
              </w:rPr>
              <w:t>个月内不</w:t>
            </w:r>
          </w:p>
          <w:p>
            <w:pPr>
              <w:pStyle w:val="TableParagraph"/>
              <w:spacing w:line="240" w:lineRule="auto"/>
              <w:ind w:left="23" w:right="24"/>
              <w:jc w:val="left"/>
              <w:rPr>
                <w:rFonts w:ascii="宋体" w:hAnsi="宋体" w:cs="宋体" w:eastAsia="宋体" w:hint="default"/>
                <w:sz w:val="21"/>
                <w:szCs w:val="21"/>
              </w:rPr>
            </w:pPr>
            <w:r>
              <w:rPr>
                <w:rFonts w:ascii="宋体" w:hAnsi="宋体" w:cs="宋体" w:eastAsia="宋体" w:hint="default"/>
                <w:sz w:val="21"/>
                <w:szCs w:val="21"/>
              </w:rPr>
              <w:t>得转让。限售期内，如因泰豪科技实施送红股、资本公积金转增股本事</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项而增持的泰豪科技股份，亦应遵守上述限售期限的约定。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68"/>
                <w:sz w:val="21"/>
                <w:szCs w:val="21"/>
              </w:rPr>
              <w:t> </w:t>
            </w:r>
            <w:r>
              <w:rPr>
                <w:rFonts w:ascii="宋体" w:hAnsi="宋体" w:cs="宋体" w:eastAsia="宋体" w:hint="default"/>
                <w:sz w:val="21"/>
                <w:szCs w:val="21"/>
              </w:rPr>
              <w:t>日，承诺期限至</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胡健、</w:t>
            </w:r>
            <w:r>
              <w:rPr>
                <w:rFonts w:ascii="宋体" w:hAnsi="宋体" w:cs="宋体" w:eastAsia="宋体" w:hint="default"/>
                <w:spacing w:val="-75"/>
                <w:sz w:val="21"/>
                <w:szCs w:val="21"/>
              </w:rPr>
              <w:t> </w:t>
            </w:r>
            <w:r>
              <w:rPr>
                <w:rFonts w:ascii="宋体" w:hAnsi="宋体" w:cs="宋体" w:eastAsia="宋体" w:hint="default"/>
                <w:spacing w:val="11"/>
                <w:sz w:val="21"/>
                <w:szCs w:val="21"/>
              </w:rPr>
              <w:t>余弓卜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等六位股东</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任职期限及竞业禁止的承诺，具体内容详见</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27</w:t>
            </w:r>
            <w:r>
              <w:rPr>
                <w:rFonts w:ascii="宋体" w:hAnsi="宋体" w:cs="宋体" w:eastAsia="宋体" w:hint="default"/>
                <w:spacing w:val="-47"/>
                <w:sz w:val="21"/>
                <w:szCs w:val="21"/>
              </w:rPr>
              <w:t> </w:t>
            </w:r>
            <w:r>
              <w:rPr>
                <w:rFonts w:ascii="宋体" w:hAnsi="宋体" w:cs="宋体" w:eastAsia="宋体" w:hint="default"/>
                <w:spacing w:val="-14"/>
                <w:sz w:val="21"/>
                <w:szCs w:val="21"/>
              </w:rPr>
              <w:t>日披露的《公</w:t>
            </w:r>
          </w:p>
          <w:p>
            <w:pPr>
              <w:pStyle w:val="TableParagraph"/>
              <w:spacing w:line="272" w:lineRule="exact" w:before="27"/>
              <w:ind w:left="23" w:right="22"/>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pacing w:val="16"/>
                <w:sz w:val="21"/>
                <w:szCs w:val="21"/>
              </w:rPr>
              <w:t>关于发行</w:t>
            </w:r>
            <w:r>
              <w:rPr>
                <w:rFonts w:ascii="宋体" w:hAnsi="宋体" w:cs="宋体" w:eastAsia="宋体" w:hint="default"/>
                <w:spacing w:val="-74"/>
                <w:sz w:val="21"/>
                <w:szCs w:val="21"/>
              </w:rPr>
              <w:t> </w:t>
            </w:r>
            <w:r>
              <w:rPr>
                <w:rFonts w:ascii="宋体" w:hAnsi="宋体" w:cs="宋体" w:eastAsia="宋体" w:hint="default"/>
                <w:spacing w:val="14"/>
                <w:sz w:val="21"/>
                <w:szCs w:val="21"/>
              </w:rPr>
              <w:t>股份购</w:t>
            </w:r>
            <w:r>
              <w:rPr>
                <w:rFonts w:ascii="宋体" w:hAnsi="宋体" w:cs="宋体" w:eastAsia="宋体" w:hint="default"/>
                <w:spacing w:val="-74"/>
                <w:sz w:val="21"/>
                <w:szCs w:val="21"/>
              </w:rPr>
              <w:t> </w:t>
            </w:r>
            <w:r>
              <w:rPr>
                <w:rFonts w:ascii="宋体" w:hAnsi="宋体" w:cs="宋体" w:eastAsia="宋体" w:hint="default"/>
                <w:spacing w:val="14"/>
                <w:sz w:val="21"/>
                <w:szCs w:val="21"/>
              </w:rPr>
              <w:t>买资产</w:t>
            </w:r>
            <w:r>
              <w:rPr>
                <w:rFonts w:ascii="宋体" w:hAnsi="宋体" w:cs="宋体" w:eastAsia="宋体" w:hint="default"/>
                <w:spacing w:val="-74"/>
                <w:sz w:val="21"/>
                <w:szCs w:val="21"/>
              </w:rPr>
              <w:t> </w:t>
            </w:r>
            <w:r>
              <w:rPr>
                <w:rFonts w:ascii="宋体" w:hAnsi="宋体" w:cs="宋体" w:eastAsia="宋体" w:hint="default"/>
                <w:spacing w:val="16"/>
                <w:sz w:val="21"/>
                <w:szCs w:val="21"/>
              </w:rPr>
              <w:t>相关承诺</w:t>
            </w:r>
            <w:r>
              <w:rPr>
                <w:rFonts w:ascii="宋体" w:hAnsi="宋体" w:cs="宋体" w:eastAsia="宋体" w:hint="default"/>
                <w:spacing w:val="-74"/>
                <w:sz w:val="21"/>
                <w:szCs w:val="21"/>
              </w:rPr>
              <w:t> </w:t>
            </w:r>
            <w:r>
              <w:rPr>
                <w:rFonts w:ascii="宋体" w:hAnsi="宋体" w:cs="宋体" w:eastAsia="宋体" w:hint="default"/>
                <w:spacing w:val="14"/>
                <w:sz w:val="21"/>
                <w:szCs w:val="21"/>
              </w:rPr>
              <w:t>事项的</w:t>
            </w:r>
            <w:r>
              <w:rPr>
                <w:rFonts w:ascii="宋体" w:hAnsi="宋体" w:cs="宋体" w:eastAsia="宋体" w:hint="default"/>
                <w:spacing w:val="-74"/>
                <w:sz w:val="21"/>
                <w:szCs w:val="21"/>
              </w:rPr>
              <w:t> </w:t>
            </w:r>
            <w:r>
              <w:rPr>
                <w:rFonts w:ascii="宋体" w:hAnsi="宋体" w:cs="宋体" w:eastAsia="宋体" w:hint="default"/>
                <w:spacing w:val="14"/>
                <w:sz w:val="21"/>
                <w:szCs w:val="21"/>
              </w:rPr>
              <w:t>公告》</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公告编</w:t>
            </w:r>
            <w:r>
              <w:rPr>
                <w:rFonts w:ascii="宋体" w:hAnsi="宋体" w:cs="宋体" w:eastAsia="宋体" w:hint="default"/>
                <w:spacing w:val="-74"/>
                <w:sz w:val="21"/>
                <w:szCs w:val="21"/>
              </w:rPr>
              <w:t> </w:t>
            </w:r>
            <w:r>
              <w:rPr>
                <w:rFonts w:ascii="宋体" w:hAnsi="宋体" w:cs="宋体" w:eastAsia="宋体" w:hint="default"/>
                <w:spacing w:val="11"/>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2016-017</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pacing w:val="2"/>
                <w:sz w:val="21"/>
                <w:szCs w:val="21"/>
              </w:rPr>
              <w:t>日</w:t>
            </w:r>
            <w:r>
              <w:rPr>
                <w:rFonts w:ascii="宋体" w:hAnsi="宋体" w:cs="宋体" w:eastAsia="宋体" w:hint="default"/>
                <w:spacing w:val="2"/>
                <w:sz w:val="21"/>
                <w:szCs w:val="21"/>
              </w:rPr>
              <w:t>,</w:t>
            </w:r>
            <w:r>
              <w:rPr>
                <w:rFonts w:ascii="宋体" w:hAnsi="宋体" w:cs="宋体" w:eastAsia="宋体" w:hint="default"/>
                <w:spacing w:val="2"/>
                <w:sz w:val="21"/>
                <w:szCs w:val="21"/>
              </w:rPr>
              <w:t>承诺有效期</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70" w:type="dxa"/>
            <w:vMerge/>
            <w:tcBorders>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胡健、</w:t>
            </w:r>
            <w:r>
              <w:rPr>
                <w:rFonts w:ascii="宋体" w:hAnsi="宋体" w:cs="宋体" w:eastAsia="宋体" w:hint="default"/>
                <w:spacing w:val="-75"/>
                <w:sz w:val="21"/>
                <w:szCs w:val="21"/>
              </w:rPr>
              <w:t> </w:t>
            </w:r>
            <w:r>
              <w:rPr>
                <w:rFonts w:ascii="宋体" w:hAnsi="宋体" w:cs="宋体" w:eastAsia="宋体" w:hint="default"/>
                <w:spacing w:val="11"/>
                <w:sz w:val="21"/>
                <w:szCs w:val="21"/>
              </w:rPr>
              <w:t>宁波杰</w:t>
            </w:r>
          </w:p>
          <w:p>
            <w:pPr>
              <w:pStyle w:val="TableParagraph"/>
              <w:spacing w:line="240" w:lineRule="auto"/>
              <w:ind w:left="23" w:right="18"/>
              <w:jc w:val="left"/>
              <w:rPr>
                <w:rFonts w:ascii="宋体" w:hAnsi="宋体" w:cs="宋体" w:eastAsia="宋体" w:hint="default"/>
                <w:sz w:val="21"/>
                <w:szCs w:val="21"/>
              </w:rPr>
            </w:pPr>
            <w:r>
              <w:rPr>
                <w:rFonts w:ascii="宋体" w:hAnsi="宋体" w:cs="宋体" w:eastAsia="宋体" w:hint="default"/>
                <w:spacing w:val="9"/>
                <w:sz w:val="21"/>
                <w:szCs w:val="21"/>
              </w:rPr>
              <w:t>宝、</w:t>
            </w:r>
            <w:r>
              <w:rPr>
                <w:rFonts w:ascii="宋体" w:hAnsi="宋体" w:cs="宋体" w:eastAsia="宋体" w:hint="default"/>
                <w:spacing w:val="-78"/>
                <w:sz w:val="21"/>
                <w:szCs w:val="21"/>
              </w:rPr>
              <w:t> </w:t>
            </w:r>
            <w:r>
              <w:rPr>
                <w:rFonts w:ascii="宋体" w:hAnsi="宋体" w:cs="宋体" w:eastAsia="宋体" w:hint="default"/>
                <w:spacing w:val="12"/>
                <w:sz w:val="21"/>
                <w:szCs w:val="21"/>
              </w:rPr>
              <w:t>宁波杰赢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等十六位股东</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已履行出资义务等的承诺，具体内容详见</w:t>
            </w:r>
            <w:r>
              <w:rPr>
                <w:rFonts w:ascii="宋体" w:hAnsi="宋体" w:cs="宋体" w:eastAsia="宋体" w:hint="default"/>
                <w:spacing w:val="-41"/>
                <w:sz w:val="21"/>
                <w:szCs w:val="21"/>
              </w:rPr>
              <w:t>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27</w:t>
            </w:r>
            <w:r>
              <w:rPr>
                <w:rFonts w:ascii="宋体" w:hAnsi="宋体" w:cs="宋体" w:eastAsia="宋体" w:hint="default"/>
                <w:spacing w:val="-43"/>
                <w:sz w:val="21"/>
                <w:szCs w:val="21"/>
              </w:rPr>
              <w:t> </w:t>
            </w:r>
            <w:r>
              <w:rPr>
                <w:rFonts w:ascii="宋体" w:hAnsi="宋体" w:cs="宋体" w:eastAsia="宋体" w:hint="default"/>
                <w:sz w:val="21"/>
                <w:szCs w:val="21"/>
              </w:rPr>
              <w:t>日披露的《公</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pacing w:val="16"/>
                <w:sz w:val="21"/>
                <w:szCs w:val="21"/>
              </w:rPr>
              <w:t>关于发行</w:t>
            </w:r>
            <w:r>
              <w:rPr>
                <w:rFonts w:ascii="宋体" w:hAnsi="宋体" w:cs="宋体" w:eastAsia="宋体" w:hint="default"/>
                <w:spacing w:val="-74"/>
                <w:sz w:val="21"/>
                <w:szCs w:val="21"/>
              </w:rPr>
              <w:t> </w:t>
            </w:r>
            <w:r>
              <w:rPr>
                <w:rFonts w:ascii="宋体" w:hAnsi="宋体" w:cs="宋体" w:eastAsia="宋体" w:hint="default"/>
                <w:spacing w:val="14"/>
                <w:sz w:val="21"/>
                <w:szCs w:val="21"/>
              </w:rPr>
              <w:t>股份购</w:t>
            </w:r>
            <w:r>
              <w:rPr>
                <w:rFonts w:ascii="宋体" w:hAnsi="宋体" w:cs="宋体" w:eastAsia="宋体" w:hint="default"/>
                <w:spacing w:val="-74"/>
                <w:sz w:val="21"/>
                <w:szCs w:val="21"/>
              </w:rPr>
              <w:t> </w:t>
            </w:r>
            <w:r>
              <w:rPr>
                <w:rFonts w:ascii="宋体" w:hAnsi="宋体" w:cs="宋体" w:eastAsia="宋体" w:hint="default"/>
                <w:spacing w:val="14"/>
                <w:sz w:val="21"/>
                <w:szCs w:val="21"/>
              </w:rPr>
              <w:t>买资产</w:t>
            </w:r>
            <w:r>
              <w:rPr>
                <w:rFonts w:ascii="宋体" w:hAnsi="宋体" w:cs="宋体" w:eastAsia="宋体" w:hint="default"/>
                <w:spacing w:val="-74"/>
                <w:sz w:val="21"/>
                <w:szCs w:val="21"/>
              </w:rPr>
              <w:t> </w:t>
            </w:r>
            <w:r>
              <w:rPr>
                <w:rFonts w:ascii="宋体" w:hAnsi="宋体" w:cs="宋体" w:eastAsia="宋体" w:hint="default"/>
                <w:spacing w:val="16"/>
                <w:sz w:val="21"/>
                <w:szCs w:val="21"/>
              </w:rPr>
              <w:t>相关承诺</w:t>
            </w:r>
            <w:r>
              <w:rPr>
                <w:rFonts w:ascii="宋体" w:hAnsi="宋体" w:cs="宋体" w:eastAsia="宋体" w:hint="default"/>
                <w:spacing w:val="-74"/>
                <w:sz w:val="21"/>
                <w:szCs w:val="21"/>
              </w:rPr>
              <w:t> </w:t>
            </w:r>
            <w:r>
              <w:rPr>
                <w:rFonts w:ascii="宋体" w:hAnsi="宋体" w:cs="宋体" w:eastAsia="宋体" w:hint="default"/>
                <w:spacing w:val="14"/>
                <w:sz w:val="21"/>
                <w:szCs w:val="21"/>
              </w:rPr>
              <w:t>事项的</w:t>
            </w:r>
            <w:r>
              <w:rPr>
                <w:rFonts w:ascii="宋体" w:hAnsi="宋体" w:cs="宋体" w:eastAsia="宋体" w:hint="default"/>
                <w:spacing w:val="-74"/>
                <w:sz w:val="21"/>
                <w:szCs w:val="21"/>
              </w:rPr>
              <w:t> </w:t>
            </w:r>
            <w:r>
              <w:rPr>
                <w:rFonts w:ascii="宋体" w:hAnsi="宋体" w:cs="宋体" w:eastAsia="宋体" w:hint="default"/>
                <w:spacing w:val="14"/>
                <w:sz w:val="21"/>
                <w:szCs w:val="21"/>
              </w:rPr>
              <w:t>公告》</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公告编</w:t>
            </w:r>
            <w:r>
              <w:rPr>
                <w:rFonts w:ascii="宋体" w:hAnsi="宋体" w:cs="宋体" w:eastAsia="宋体" w:hint="default"/>
                <w:spacing w:val="-74"/>
                <w:sz w:val="21"/>
                <w:szCs w:val="21"/>
              </w:rPr>
              <w:t> </w:t>
            </w:r>
            <w:r>
              <w:rPr>
                <w:rFonts w:ascii="宋体" w:hAnsi="宋体" w:cs="宋体" w:eastAsia="宋体" w:hint="default"/>
                <w:spacing w:val="11"/>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2016-017</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40" w:lineRule="auto"/>
              <w:ind w:left="21" w:right="2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pacing w:val="-10"/>
                <w:sz w:val="21"/>
                <w:szCs w:val="21"/>
              </w:rPr>
              <w:t>日</w:t>
            </w:r>
            <w:r>
              <w:rPr>
                <w:rFonts w:ascii="宋体" w:hAnsi="宋体" w:cs="宋体" w:eastAsia="宋体" w:hint="default"/>
                <w:spacing w:val="-10"/>
                <w:sz w:val="21"/>
                <w:szCs w:val="21"/>
              </w:rPr>
              <w:t>,</w:t>
            </w:r>
            <w:r>
              <w:rPr>
                <w:rFonts w:ascii="宋体" w:hAnsi="宋体" w:cs="宋体" w:eastAsia="宋体" w:hint="default"/>
                <w:spacing w:val="-10"/>
                <w:sz w:val="21"/>
                <w:szCs w:val="21"/>
              </w:rPr>
              <w:t>承诺期限：长</w:t>
            </w:r>
            <w:r>
              <w:rPr>
                <w:rFonts w:ascii="宋体" w:hAnsi="宋体" w:cs="宋体" w:eastAsia="宋体" w:hint="default"/>
                <w:w w:val="100"/>
                <w:sz w:val="21"/>
                <w:szCs w:val="21"/>
              </w:rPr>
              <w:t> </w:t>
            </w:r>
            <w:r>
              <w:rPr>
                <w:rFonts w:ascii="宋体" w:hAnsi="宋体" w:cs="宋体" w:eastAsia="宋体" w:hint="default"/>
                <w:sz w:val="21"/>
                <w:szCs w:val="21"/>
              </w:rPr>
              <w:t>期有效</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37" w:lineRule="auto"/>
              <w:ind w:left="21" w:right="214"/>
              <w:jc w:val="both"/>
              <w:rPr>
                <w:rFonts w:ascii="宋体" w:hAnsi="宋体" w:cs="宋体" w:eastAsia="宋体" w:hint="default"/>
                <w:sz w:val="21"/>
                <w:szCs w:val="21"/>
              </w:rPr>
            </w:pPr>
            <w:r>
              <w:rPr>
                <w:rFonts w:ascii="宋体" w:hAnsi="宋体" w:cs="宋体" w:eastAsia="宋体" w:hint="default"/>
                <w:sz w:val="21"/>
                <w:szCs w:val="21"/>
              </w:rPr>
              <w:t>与再</w:t>
            </w:r>
            <w:r>
              <w:rPr>
                <w:rFonts w:ascii="宋体" w:hAnsi="宋体" w:cs="宋体" w:eastAsia="宋体" w:hint="default"/>
                <w:spacing w:val="-103"/>
                <w:sz w:val="21"/>
                <w:szCs w:val="21"/>
              </w:rPr>
              <w:t> </w:t>
            </w:r>
            <w:r>
              <w:rPr>
                <w:rFonts w:ascii="宋体" w:hAnsi="宋体" w:cs="宋体" w:eastAsia="宋体" w:hint="default"/>
                <w:sz w:val="21"/>
                <w:szCs w:val="21"/>
              </w:rPr>
              <w:t>融资</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23" w:right="29"/>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具体内容详见公司</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pacing w:val="-7"/>
                <w:sz w:val="21"/>
                <w:szCs w:val="21"/>
              </w:rPr>
              <w:t>日披露的《公司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年非公开发行股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票预案》</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10</w:t>
            </w:r>
            <w:r>
              <w:rPr>
                <w:rFonts w:ascii="宋体" w:hAnsi="宋体" w:cs="宋体" w:eastAsia="宋体" w:hint="default"/>
                <w:sz w:val="21"/>
                <w:szCs w:val="21"/>
              </w:rPr>
            </w:r>
          </w:p>
          <w:p>
            <w:pPr>
              <w:pStyle w:val="TableParagraph"/>
              <w:spacing w:line="272" w:lineRule="exact" w:before="27"/>
              <w:ind w:left="21" w:right="-46"/>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5"/>
                <w:sz w:val="21"/>
                <w:szCs w:val="21"/>
              </w:rPr>
              <w:t> </w:t>
            </w:r>
            <w:r>
              <w:rPr>
                <w:rFonts w:ascii="宋体" w:hAnsi="宋体" w:cs="宋体" w:eastAsia="宋体" w:hint="default"/>
                <w:sz w:val="21"/>
                <w:szCs w:val="21"/>
              </w:rPr>
              <w:t>日；承诺期限：</w:t>
            </w:r>
            <w:r>
              <w:rPr>
                <w:rFonts w:ascii="宋体" w:hAnsi="宋体" w:cs="宋体" w:eastAsia="宋体" w:hint="default"/>
                <w:w w:val="100"/>
                <w:sz w:val="21"/>
                <w:szCs w:val="21"/>
              </w:rPr>
              <w:t> </w:t>
            </w:r>
            <w:r>
              <w:rPr>
                <w:rFonts w:ascii="宋体" w:hAnsi="宋体" w:cs="宋体" w:eastAsia="宋体" w:hint="default"/>
                <w:sz w:val="21"/>
                <w:szCs w:val="21"/>
              </w:rPr>
              <w:t>长期有效</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40" w:lineRule="auto"/>
              <w:ind w:left="23" w:right="29"/>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46"/>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17</w:t>
            </w:r>
            <w:r>
              <w:rPr>
                <w:rFonts w:ascii="宋体" w:hAnsi="宋体" w:cs="宋体" w:eastAsia="宋体" w:hint="default"/>
                <w:spacing w:val="-49"/>
                <w:sz w:val="21"/>
                <w:szCs w:val="21"/>
              </w:rPr>
              <w:t> </w:t>
            </w:r>
            <w:r>
              <w:rPr>
                <w:rFonts w:ascii="宋体" w:hAnsi="宋体" w:cs="宋体" w:eastAsia="宋体" w:hint="default"/>
                <w:spacing w:val="-4"/>
                <w:sz w:val="21"/>
                <w:szCs w:val="21"/>
              </w:rPr>
              <w:t>日披露的《泰豪科技股份有限公司详式权</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益变动报告书》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 </w:t>
            </w: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pacing w:val="-3"/>
                <w:sz w:val="21"/>
                <w:szCs w:val="21"/>
              </w:rPr>
              <w:t>10</w:t>
            </w:r>
            <w:r>
              <w:rPr>
                <w:rFonts w:ascii="宋体" w:hAnsi="宋体" w:cs="宋体" w:eastAsia="宋体" w:hint="default"/>
                <w:sz w:val="21"/>
                <w:szCs w:val="21"/>
              </w:rPr>
            </w:r>
          </w:p>
          <w:p>
            <w:pPr>
              <w:pStyle w:val="TableParagraph"/>
              <w:spacing w:line="240" w:lineRule="auto"/>
              <w:ind w:left="21" w:right="-46"/>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5"/>
                <w:sz w:val="21"/>
                <w:szCs w:val="21"/>
              </w:rPr>
              <w:t> </w:t>
            </w:r>
            <w:r>
              <w:rPr>
                <w:rFonts w:ascii="宋体" w:hAnsi="宋体" w:cs="宋体" w:eastAsia="宋体" w:hint="default"/>
                <w:sz w:val="21"/>
                <w:szCs w:val="21"/>
              </w:rPr>
              <w:t>日；承诺期限：</w:t>
            </w:r>
            <w:r>
              <w:rPr>
                <w:rFonts w:ascii="宋体" w:hAnsi="宋体" w:cs="宋体" w:eastAsia="宋体" w:hint="default"/>
                <w:w w:val="100"/>
                <w:sz w:val="21"/>
                <w:szCs w:val="21"/>
              </w:rPr>
              <w:t> </w:t>
            </w:r>
            <w:r>
              <w:rPr>
                <w:rFonts w:ascii="宋体" w:hAnsi="宋体" w:cs="宋体" w:eastAsia="宋体" w:hint="default"/>
                <w:sz w:val="21"/>
                <w:szCs w:val="21"/>
              </w:rPr>
              <w:t>长期有效</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泰豪集团</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15"/>
              <w:jc w:val="left"/>
              <w:rPr>
                <w:rFonts w:ascii="宋体" w:hAnsi="宋体" w:cs="宋体" w:eastAsia="宋体" w:hint="default"/>
                <w:sz w:val="21"/>
                <w:szCs w:val="21"/>
              </w:rPr>
            </w:pPr>
            <w:r>
              <w:rPr>
                <w:rFonts w:ascii="宋体" w:hAnsi="宋体" w:cs="宋体" w:eastAsia="宋体" w:hint="default"/>
                <w:sz w:val="21"/>
                <w:szCs w:val="21"/>
              </w:rPr>
              <w:t>在泰豪科技此次非公开发行股票的限售期内（自泰豪科技非公开发行股</w:t>
            </w:r>
          </w:p>
          <w:p>
            <w:pPr>
              <w:pStyle w:val="TableParagraph"/>
              <w:spacing w:line="273" w:lineRule="exact"/>
              <w:ind w:left="23" w:right="-15"/>
              <w:jc w:val="left"/>
              <w:rPr>
                <w:rFonts w:ascii="宋体" w:hAnsi="宋体" w:cs="宋体" w:eastAsia="宋体" w:hint="default"/>
                <w:sz w:val="21"/>
                <w:szCs w:val="21"/>
              </w:rPr>
            </w:pPr>
            <w:r>
              <w:rPr>
                <w:rFonts w:ascii="宋体" w:hAnsi="宋体" w:cs="宋体" w:eastAsia="宋体" w:hint="default"/>
                <w:sz w:val="21"/>
                <w:szCs w:val="21"/>
              </w:rPr>
              <w:t>票上市之日起</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7"/>
                <w:sz w:val="21"/>
                <w:szCs w:val="21"/>
              </w:rPr>
              <w:t> </w:t>
            </w:r>
            <w:r>
              <w:rPr>
                <w:rFonts w:ascii="宋体" w:hAnsi="宋体" w:cs="宋体" w:eastAsia="宋体" w:hint="default"/>
                <w:sz w:val="21"/>
                <w:szCs w:val="21"/>
              </w:rPr>
              <w:t>个月内），本公司不得转让此次认购的泰豪科技股份。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宋体" w:hAnsi="宋体" w:cs="宋体" w:eastAsia="宋体" w:hint="default"/>
                <w:sz w:val="21"/>
                <w:szCs w:val="21"/>
              </w:rPr>
              <w:t>2015</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w:t>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37"/>
                <w:sz w:val="21"/>
                <w:szCs w:val="21"/>
              </w:rPr>
              <w:t> </w:t>
            </w:r>
            <w:r>
              <w:rPr>
                <w:rFonts w:ascii="宋体" w:hAnsi="宋体" w:cs="宋体" w:eastAsia="宋体" w:hint="default"/>
                <w:spacing w:val="15"/>
                <w:sz w:val="21"/>
                <w:szCs w:val="21"/>
              </w:rPr>
              <w:t>日，承诺期限至</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670" w:type="dxa"/>
            <w:vMerge/>
            <w:tcBorders>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海外控股</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在非公开发行股票的限售期内（自泰豪科技非公开发行股票上市之日起</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
                <w:sz w:val="21"/>
                <w:szCs w:val="21"/>
              </w:rPr>
              <w:t> </w:t>
            </w:r>
            <w:r>
              <w:rPr>
                <w:rFonts w:ascii="宋体" w:hAnsi="宋体" w:cs="宋体" w:eastAsia="宋体" w:hint="default"/>
                <w:spacing w:val="-2"/>
                <w:sz w:val="21"/>
                <w:szCs w:val="21"/>
              </w:rPr>
              <w:t>个月内），本公司不得转让此次认购的泰豪科技股份的承诺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宋体" w:hAnsi="宋体" w:cs="宋体" w:eastAsia="宋体" w:hint="default"/>
                <w:sz w:val="21"/>
                <w:szCs w:val="21"/>
              </w:rPr>
              <w:t>2015</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3</w:t>
            </w:r>
            <w:r>
              <w:rPr>
                <w:rFonts w:ascii="宋体" w:hAnsi="宋体" w:cs="宋体" w:eastAsia="宋体" w:hint="default"/>
                <w:spacing w:val="-71"/>
                <w:sz w:val="21"/>
                <w:szCs w:val="21"/>
              </w:rPr>
              <w:t> </w:t>
            </w:r>
            <w:r>
              <w:rPr>
                <w:rFonts w:ascii="宋体" w:hAnsi="宋体" w:cs="宋体" w:eastAsia="宋体" w:hint="default"/>
                <w:sz w:val="21"/>
                <w:szCs w:val="21"/>
              </w:rPr>
              <w:t>月</w:t>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37"/>
                <w:sz w:val="21"/>
                <w:szCs w:val="21"/>
              </w:rPr>
              <w:t> </w:t>
            </w:r>
            <w:r>
              <w:rPr>
                <w:rFonts w:ascii="宋体" w:hAnsi="宋体" w:cs="宋体" w:eastAsia="宋体" w:hint="default"/>
                <w:spacing w:val="15"/>
                <w:sz w:val="21"/>
                <w:szCs w:val="21"/>
              </w:rPr>
              <w:t>日，承诺期限至</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与股</w:t>
            </w:r>
          </w:p>
          <w:p>
            <w:pPr>
              <w:pStyle w:val="TableParagraph"/>
              <w:spacing w:line="240" w:lineRule="auto"/>
              <w:ind w:left="21" w:right="214"/>
              <w:jc w:val="left"/>
              <w:rPr>
                <w:rFonts w:ascii="宋体" w:hAnsi="宋体" w:cs="宋体" w:eastAsia="宋体" w:hint="default"/>
                <w:sz w:val="21"/>
                <w:szCs w:val="21"/>
              </w:rPr>
            </w:pPr>
            <w:r>
              <w:rPr>
                <w:rFonts w:ascii="宋体" w:hAnsi="宋体" w:cs="宋体" w:eastAsia="宋体" w:hint="default"/>
                <w:sz w:val="21"/>
                <w:szCs w:val="21"/>
              </w:rPr>
              <w:t>权激</w:t>
            </w:r>
            <w:r>
              <w:rPr>
                <w:rFonts w:ascii="宋体" w:hAnsi="宋体" w:cs="宋体" w:eastAsia="宋体" w:hint="default"/>
                <w:spacing w:val="-103"/>
                <w:sz w:val="21"/>
                <w:szCs w:val="21"/>
              </w:rPr>
              <w:t> </w:t>
            </w:r>
            <w:r>
              <w:rPr>
                <w:rFonts w:ascii="宋体" w:hAnsi="宋体" w:cs="宋体" w:eastAsia="宋体" w:hint="default"/>
                <w:sz w:val="21"/>
                <w:szCs w:val="21"/>
              </w:rPr>
              <w:t>励相</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泰豪科技股份</w:t>
            </w:r>
          </w:p>
          <w:p>
            <w:pPr>
              <w:pStyle w:val="TableParagraph"/>
              <w:spacing w:line="240" w:lineRule="auto"/>
              <w:ind w:left="23" w:right="17"/>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6"/>
                <w:sz w:val="21"/>
                <w:szCs w:val="21"/>
              </w:rPr>
              <w:t> </w:t>
            </w:r>
            <w:r>
              <w:rPr>
                <w:rFonts w:ascii="宋体" w:hAnsi="宋体" w:cs="宋体" w:eastAsia="宋体" w:hint="default"/>
                <w:sz w:val="21"/>
                <w:szCs w:val="21"/>
              </w:rPr>
              <w:t>2017</w:t>
            </w:r>
            <w:r>
              <w:rPr>
                <w:rFonts w:ascii="宋体" w:hAnsi="宋体" w:cs="宋体" w:eastAsia="宋体" w:hint="default"/>
                <w:w w:val="100"/>
                <w:sz w:val="21"/>
                <w:szCs w:val="21"/>
              </w:rPr>
              <w:t> </w:t>
            </w:r>
            <w:r>
              <w:rPr>
                <w:rFonts w:ascii="宋体" w:hAnsi="宋体" w:cs="宋体" w:eastAsia="宋体" w:hint="default"/>
                <w:spacing w:val="14"/>
                <w:sz w:val="21"/>
                <w:szCs w:val="21"/>
              </w:rPr>
              <w:t>年限制性股票</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、本激励计划的有效期内，公司各年度归属于上市公司股东的净利润及</w:t>
            </w:r>
          </w:p>
          <w:p>
            <w:pPr>
              <w:pStyle w:val="TableParagraph"/>
              <w:spacing w:line="240" w:lineRule="auto"/>
              <w:ind w:left="23" w:right="17"/>
              <w:jc w:val="left"/>
              <w:rPr>
                <w:rFonts w:ascii="宋体" w:hAnsi="宋体" w:cs="宋体" w:eastAsia="宋体" w:hint="default"/>
                <w:sz w:val="21"/>
                <w:szCs w:val="21"/>
              </w:rPr>
            </w:pPr>
            <w:r>
              <w:rPr>
                <w:rFonts w:ascii="宋体" w:hAnsi="宋体" w:cs="宋体" w:eastAsia="宋体" w:hint="default"/>
                <w:sz w:val="21"/>
                <w:szCs w:val="21"/>
              </w:rPr>
              <w:t>扣除非经常性损益后的归属于上市公司股东的净利润均不得低于授予日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8"/>
                <w:sz w:val="21"/>
                <w:szCs w:val="21"/>
              </w:rPr>
              <w:t>前最近三个会计年度的平均水平且不得为负。</w:t>
            </w:r>
            <w:r>
              <w:rPr>
                <w:rFonts w:ascii="宋体" w:hAnsi="宋体" w:cs="宋体" w:eastAsia="宋体" w:hint="default"/>
                <w:spacing w:val="-8"/>
                <w:sz w:val="21"/>
                <w:szCs w:val="21"/>
              </w:rPr>
              <w:t>2</w:t>
            </w:r>
            <w:r>
              <w:rPr>
                <w:rFonts w:ascii="宋体" w:hAnsi="宋体" w:cs="宋体" w:eastAsia="宋体" w:hint="default"/>
                <w:spacing w:val="-8"/>
                <w:sz w:val="21"/>
                <w:szCs w:val="21"/>
              </w:rPr>
              <w:t>、以公司</w:t>
            </w:r>
            <w:r>
              <w:rPr>
                <w:rFonts w:ascii="宋体" w:hAnsi="宋体" w:cs="宋体" w:eastAsia="宋体" w:hint="default"/>
                <w:spacing w:val="10"/>
                <w:sz w:val="21"/>
                <w:szCs w:val="21"/>
              </w:rPr>
              <w:t> </w:t>
            </w:r>
            <w:r>
              <w:rPr>
                <w:rFonts w:ascii="宋体" w:hAnsi="宋体" w:cs="宋体" w:eastAsia="宋体" w:hint="default"/>
                <w:spacing w:val="-12"/>
                <w:sz w:val="21"/>
                <w:szCs w:val="21"/>
              </w:rPr>
              <w:t>2014</w:t>
            </w:r>
            <w:r>
              <w:rPr>
                <w:rFonts w:ascii="宋体" w:hAnsi="宋体" w:cs="宋体" w:eastAsia="宋体" w:hint="default"/>
                <w:spacing w:val="-12"/>
                <w:sz w:val="21"/>
                <w:szCs w:val="21"/>
              </w:rPr>
              <w:t>、</w:t>
            </w:r>
            <w:r>
              <w:rPr>
                <w:rFonts w:ascii="宋体" w:hAnsi="宋体" w:cs="宋体" w:eastAsia="宋体" w:hint="default"/>
                <w:spacing w:val="-12"/>
                <w:sz w:val="21"/>
                <w:szCs w:val="21"/>
              </w:rPr>
              <w:t>2015</w:t>
            </w:r>
            <w:r>
              <w:rPr>
                <w:rFonts w:ascii="宋体" w:hAnsi="宋体" w:cs="宋体" w:eastAsia="宋体" w:hint="default"/>
                <w:spacing w:val="-12"/>
                <w:sz w:val="21"/>
                <w:szCs w:val="21"/>
              </w:rPr>
              <w:t>、</w:t>
            </w:r>
            <w:r>
              <w:rPr>
                <w:rFonts w:ascii="宋体" w:hAnsi="宋体" w:cs="宋体" w:eastAsia="宋体" w:hint="default"/>
                <w:spacing w:val="-12"/>
                <w:sz w:val="21"/>
                <w:szCs w:val="21"/>
              </w:rPr>
              <w:t>2016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8</w:t>
            </w:r>
            <w:r>
              <w:rPr>
                <w:rFonts w:ascii="宋体" w:hAnsi="宋体" w:cs="宋体" w:eastAsia="宋体" w:hint="default"/>
                <w:spacing w:val="-71"/>
                <w:sz w:val="21"/>
                <w:szCs w:val="21"/>
              </w:rPr>
              <w:t> </w:t>
            </w:r>
            <w:r>
              <w:rPr>
                <w:rFonts w:ascii="宋体" w:hAnsi="宋体" w:cs="宋体" w:eastAsia="宋体" w:hint="default"/>
                <w:sz w:val="21"/>
                <w:szCs w:val="21"/>
              </w:rPr>
              <w:t>月</w:t>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7"/>
                <w:sz w:val="21"/>
                <w:szCs w:val="21"/>
              </w:rPr>
              <w:t> </w:t>
            </w:r>
            <w:r>
              <w:rPr>
                <w:rFonts w:ascii="宋体" w:hAnsi="宋体" w:cs="宋体" w:eastAsia="宋体" w:hint="default"/>
                <w:spacing w:val="15"/>
                <w:sz w:val="21"/>
                <w:szCs w:val="21"/>
              </w:rPr>
              <w:t>日；承诺期限至</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6840" w:h="11910" w:orient="landscape"/>
          <w:pgMar w:footer="1195" w:header="882" w:top="1120" w:bottom="1380" w:left="1280" w:right="138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670"/>
        <w:gridCol w:w="487"/>
        <w:gridCol w:w="1414"/>
        <w:gridCol w:w="6637"/>
        <w:gridCol w:w="1983"/>
        <w:gridCol w:w="487"/>
        <w:gridCol w:w="526"/>
        <w:gridCol w:w="965"/>
        <w:gridCol w:w="780"/>
      </w:tblGrid>
      <w:tr>
        <w:trPr>
          <w:trHeight w:val="1099"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关的</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48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激励计划被激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励对象</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年度平均净利润为基数，</w:t>
            </w:r>
            <w:r>
              <w:rPr>
                <w:rFonts w:ascii="宋体" w:hAnsi="宋体" w:cs="宋体" w:eastAsia="宋体" w:hint="default"/>
                <w:sz w:val="21"/>
                <w:szCs w:val="21"/>
              </w:rPr>
              <w:t>2017 </w:t>
            </w:r>
            <w:r>
              <w:rPr>
                <w:rFonts w:ascii="宋体" w:hAnsi="宋体" w:cs="宋体" w:eastAsia="宋体" w:hint="default"/>
                <w:sz w:val="21"/>
                <w:szCs w:val="21"/>
              </w:rPr>
              <w:t>年公司净利润增长率不低于</w:t>
            </w:r>
            <w:r>
              <w:rPr>
                <w:rFonts w:ascii="宋体" w:hAnsi="宋体" w:cs="宋体" w:eastAsia="宋体" w:hint="default"/>
                <w:spacing w:val="69"/>
                <w:sz w:val="21"/>
                <w:szCs w:val="21"/>
              </w:rPr>
              <w:t> </w:t>
            </w:r>
            <w:r>
              <w:rPr>
                <w:rFonts w:ascii="宋体" w:hAnsi="宋体" w:cs="宋体" w:eastAsia="宋体" w:hint="default"/>
                <w:sz w:val="21"/>
                <w:szCs w:val="21"/>
              </w:rPr>
              <w:t>100%</w:t>
            </w:r>
            <w:r>
              <w:rPr>
                <w:rFonts w:ascii="宋体" w:hAnsi="宋体" w:cs="宋体" w:eastAsia="宋体" w:hint="default"/>
                <w:sz w:val="21"/>
                <w:szCs w:val="21"/>
              </w:rPr>
              <w:t>、</w:t>
            </w:r>
            <w:r>
              <w:rPr>
                <w:rFonts w:ascii="宋体" w:hAnsi="宋体" w:cs="宋体" w:eastAsia="宋体" w:hint="default"/>
                <w:sz w:val="21"/>
                <w:szCs w:val="21"/>
              </w:rPr>
              <w:t>2018</w:t>
            </w:r>
          </w:p>
          <w:p>
            <w:pPr>
              <w:pStyle w:val="TableParagraph"/>
              <w:spacing w:line="237" w:lineRule="auto"/>
              <w:ind w:left="23" w:right="23"/>
              <w:jc w:val="both"/>
              <w:rPr>
                <w:rFonts w:ascii="宋体" w:hAnsi="宋体" w:cs="宋体" w:eastAsia="宋体" w:hint="default"/>
                <w:sz w:val="21"/>
                <w:szCs w:val="21"/>
              </w:rPr>
            </w:pPr>
            <w:r>
              <w:rPr>
                <w:rFonts w:ascii="宋体" w:hAnsi="宋体" w:cs="宋体" w:eastAsia="宋体" w:hint="default"/>
                <w:spacing w:val="7"/>
                <w:sz w:val="21"/>
                <w:szCs w:val="21"/>
              </w:rPr>
              <w:t>年公司净利润增长率不低于</w:t>
            </w:r>
            <w:r>
              <w:rPr>
                <w:rFonts w:ascii="宋体" w:hAnsi="宋体" w:cs="宋体" w:eastAsia="宋体" w:hint="default"/>
                <w:spacing w:val="44"/>
                <w:sz w:val="21"/>
                <w:szCs w:val="21"/>
              </w:rPr>
              <w:t> </w:t>
            </w:r>
            <w:r>
              <w:rPr>
                <w:rFonts w:ascii="宋体" w:hAnsi="宋体" w:cs="宋体" w:eastAsia="宋体" w:hint="default"/>
                <w:sz w:val="21"/>
                <w:szCs w:val="21"/>
              </w:rPr>
              <w:t>200%</w:t>
            </w: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pacing w:val="7"/>
                <w:sz w:val="21"/>
                <w:szCs w:val="21"/>
              </w:rPr>
              <w:t>年公司净利润增长率不低于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300%</w:t>
            </w:r>
            <w:r>
              <w:rPr>
                <w:rFonts w:ascii="宋体" w:hAnsi="宋体" w:cs="宋体" w:eastAsia="宋体" w:hint="default"/>
                <w:sz w:val="21"/>
                <w:szCs w:val="21"/>
              </w:rPr>
              <w:t>，以上净利润均为扣除非经常性损益后的归属于上市公司股东的净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利润。</w:t>
            </w:r>
          </w:p>
        </w:tc>
        <w:tc>
          <w:tcPr>
            <w:tcW w:w="198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72" w:lineRule="exact"/>
              <w:ind w:left="21" w:right="214"/>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盈利</w:t>
            </w:r>
          </w:p>
          <w:p>
            <w:pPr>
              <w:pStyle w:val="TableParagraph"/>
              <w:spacing w:line="237" w:lineRule="auto"/>
              <w:ind w:left="23" w:right="29"/>
              <w:jc w:val="both"/>
              <w:rPr>
                <w:rFonts w:ascii="宋体" w:hAnsi="宋体" w:cs="宋体" w:eastAsia="宋体" w:hint="default"/>
                <w:sz w:val="21"/>
                <w:szCs w:val="21"/>
              </w:rPr>
            </w:pPr>
            <w:r>
              <w:rPr>
                <w:rFonts w:ascii="宋体" w:hAnsi="宋体" w:cs="宋体" w:eastAsia="宋体" w:hint="default"/>
                <w:sz w:val="21"/>
                <w:szCs w:val="21"/>
              </w:rPr>
              <w:t>预测</w:t>
            </w:r>
            <w:r>
              <w:rPr>
                <w:rFonts w:ascii="宋体" w:hAnsi="宋体" w:cs="宋体" w:eastAsia="宋体" w:hint="default"/>
                <w:spacing w:val="-103"/>
                <w:sz w:val="21"/>
                <w:szCs w:val="21"/>
              </w:rPr>
              <w:t> </w:t>
            </w:r>
            <w:r>
              <w:rPr>
                <w:rFonts w:ascii="宋体" w:hAnsi="宋体" w:cs="宋体" w:eastAsia="宋体" w:hint="default"/>
                <w:sz w:val="21"/>
                <w:szCs w:val="21"/>
              </w:rPr>
              <w:t>及补</w:t>
            </w:r>
            <w:r>
              <w:rPr>
                <w:rFonts w:ascii="宋体" w:hAnsi="宋体" w:cs="宋体" w:eastAsia="宋体" w:hint="default"/>
                <w:spacing w:val="-103"/>
                <w:sz w:val="21"/>
                <w:szCs w:val="21"/>
              </w:rPr>
              <w:t> </w:t>
            </w:r>
            <w:r>
              <w:rPr>
                <w:rFonts w:ascii="宋体" w:hAnsi="宋体" w:cs="宋体" w:eastAsia="宋体" w:hint="default"/>
                <w:sz w:val="21"/>
                <w:szCs w:val="21"/>
              </w:rPr>
              <w:t>偿</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3" w:right="18"/>
              <w:jc w:val="both"/>
              <w:rPr>
                <w:rFonts w:ascii="宋体" w:hAnsi="宋体" w:cs="宋体" w:eastAsia="宋体" w:hint="default"/>
                <w:sz w:val="21"/>
                <w:szCs w:val="21"/>
              </w:rPr>
            </w:pPr>
            <w:r>
              <w:rPr>
                <w:rFonts w:ascii="宋体" w:hAnsi="宋体" w:cs="宋体" w:eastAsia="宋体" w:hint="default"/>
                <w:spacing w:val="14"/>
                <w:sz w:val="21"/>
                <w:szCs w:val="21"/>
              </w:rPr>
              <w:t>李钦龙、厦门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4"/>
                <w:sz w:val="21"/>
                <w:szCs w:val="21"/>
              </w:rPr>
              <w:t>精诚合力股权</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4"/>
                <w:sz w:val="21"/>
                <w:szCs w:val="21"/>
              </w:rPr>
              <w:t>投资管理合伙</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4"/>
                <w:sz w:val="21"/>
                <w:szCs w:val="21"/>
              </w:rPr>
              <w:t>企业等九位股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东</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z w:val="21"/>
                <w:szCs w:val="21"/>
              </w:rPr>
              <w:t>海德馨在 </w:t>
            </w:r>
            <w:r>
              <w:rPr>
                <w:rFonts w:ascii="Times New Roman" w:hAnsi="Times New Roman" w:cs="Times New Roman" w:eastAsia="Times New Roman" w:hint="default"/>
                <w:sz w:val="21"/>
                <w:szCs w:val="21"/>
              </w:rPr>
              <w:t>2015-2017</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年实现的扣除非经常性损益后净利润分别不低于人</w:t>
            </w:r>
          </w:p>
          <w:p>
            <w:pPr>
              <w:pStyle w:val="TableParagraph"/>
              <w:spacing w:line="274" w:lineRule="exact" w:before="16"/>
              <w:ind w:left="23" w:right="18"/>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3,600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5,400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万元和</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7,600</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万元。当年应补偿金额</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（截至当期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期末海德馨累计承诺净利润数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截至当期期末海德馨累计实现净利润数）</w:t>
            </w:r>
          </w:p>
          <w:p>
            <w:pPr>
              <w:pStyle w:val="TableParagraph"/>
              <w:spacing w:line="254" w:lineRule="exact"/>
              <w:ind w:left="23" w:right="0" w:firstLine="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海德馨承诺净利润数总和</w:t>
            </w:r>
            <w:r>
              <w:rPr>
                <w:rFonts w:ascii="Times New Roman" w:hAnsi="Times New Roman" w:cs="Times New Roman" w:eastAsia="Times New Roman" w:hint="default"/>
                <w:sz w:val="21"/>
                <w:szCs w:val="21"/>
              </w:rPr>
              <w:t>×</w:t>
            </w:r>
            <w:r>
              <w:rPr>
                <w:rFonts w:ascii="宋体" w:hAnsi="宋体" w:cs="宋体" w:eastAsia="宋体" w:hint="default"/>
                <w:sz w:val="21"/>
                <w:szCs w:val="21"/>
              </w:rPr>
              <w:t>公司及泰豪电源合计持有</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股权的交易价</w:t>
            </w:r>
          </w:p>
          <w:p>
            <w:pPr>
              <w:pStyle w:val="TableParagraph"/>
              <w:spacing w:line="272" w:lineRule="exact" w:before="19"/>
              <w:ind w:left="23" w:right="17"/>
              <w:jc w:val="left"/>
              <w:rPr>
                <w:rFonts w:ascii="宋体" w:hAnsi="宋体" w:cs="宋体" w:eastAsia="宋体" w:hint="default"/>
                <w:sz w:val="21"/>
                <w:szCs w:val="21"/>
              </w:rPr>
            </w:pPr>
            <w:r>
              <w:rPr>
                <w:rFonts w:ascii="宋体" w:hAnsi="宋体" w:cs="宋体" w:eastAsia="宋体" w:hint="default"/>
                <w:spacing w:val="-2"/>
                <w:sz w:val="21"/>
                <w:szCs w:val="21"/>
              </w:rPr>
              <w:t>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已补偿金额。上述净利润数均以海德馨扣除非经常性损益后的净利润</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数确定。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73"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Times New Roman" w:hAnsi="Times New Roman" w:cs="Times New Roman" w:eastAsia="Times New Roman" w:hint="default"/>
                <w:spacing w:val="37"/>
                <w:sz w:val="21"/>
                <w:szCs w:val="21"/>
              </w:rPr>
              <w:t> </w:t>
            </w:r>
            <w:r>
              <w:rPr>
                <w:rFonts w:ascii="宋体" w:hAnsi="宋体" w:cs="宋体" w:eastAsia="宋体" w:hint="default"/>
                <w:spacing w:val="15"/>
                <w:sz w:val="21"/>
                <w:szCs w:val="21"/>
              </w:rPr>
              <w:t>日，承诺期限至</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盈利</w:t>
            </w:r>
          </w:p>
          <w:p>
            <w:pPr>
              <w:pStyle w:val="TableParagraph"/>
              <w:spacing w:line="237" w:lineRule="auto"/>
              <w:ind w:left="23" w:right="29"/>
              <w:jc w:val="both"/>
              <w:rPr>
                <w:rFonts w:ascii="宋体" w:hAnsi="宋体" w:cs="宋体" w:eastAsia="宋体" w:hint="default"/>
                <w:sz w:val="21"/>
                <w:szCs w:val="21"/>
              </w:rPr>
            </w:pPr>
            <w:r>
              <w:rPr>
                <w:rFonts w:ascii="宋体" w:hAnsi="宋体" w:cs="宋体" w:eastAsia="宋体" w:hint="default"/>
                <w:sz w:val="21"/>
                <w:szCs w:val="21"/>
              </w:rPr>
              <w:t>预测</w:t>
            </w:r>
            <w:r>
              <w:rPr>
                <w:rFonts w:ascii="宋体" w:hAnsi="宋体" w:cs="宋体" w:eastAsia="宋体" w:hint="default"/>
                <w:spacing w:val="-103"/>
                <w:sz w:val="21"/>
                <w:szCs w:val="21"/>
              </w:rPr>
              <w:t> </w:t>
            </w:r>
            <w:r>
              <w:rPr>
                <w:rFonts w:ascii="宋体" w:hAnsi="宋体" w:cs="宋体" w:eastAsia="宋体" w:hint="default"/>
                <w:sz w:val="21"/>
                <w:szCs w:val="21"/>
              </w:rPr>
              <w:t>及补</w:t>
            </w:r>
            <w:r>
              <w:rPr>
                <w:rFonts w:ascii="宋体" w:hAnsi="宋体" w:cs="宋体" w:eastAsia="宋体" w:hint="default"/>
                <w:spacing w:val="-103"/>
                <w:sz w:val="21"/>
                <w:szCs w:val="21"/>
              </w:rPr>
              <w:t> </w:t>
            </w:r>
            <w:r>
              <w:rPr>
                <w:rFonts w:ascii="宋体" w:hAnsi="宋体" w:cs="宋体" w:eastAsia="宋体" w:hint="default"/>
                <w:sz w:val="21"/>
                <w:szCs w:val="21"/>
              </w:rPr>
              <w:t>偿</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18"/>
              <w:jc w:val="left"/>
              <w:rPr>
                <w:rFonts w:ascii="宋体" w:hAnsi="宋体" w:cs="宋体" w:eastAsia="宋体" w:hint="default"/>
                <w:sz w:val="21"/>
                <w:szCs w:val="21"/>
              </w:rPr>
            </w:pPr>
            <w:r>
              <w:rPr>
                <w:rFonts w:ascii="宋体" w:hAnsi="宋体" w:cs="宋体" w:eastAsia="宋体" w:hint="default"/>
                <w:spacing w:val="13"/>
                <w:sz w:val="21"/>
                <w:szCs w:val="21"/>
              </w:rPr>
              <w:t>赫甄合伙、</w:t>
            </w:r>
            <w:r>
              <w:rPr>
                <w:rFonts w:ascii="宋体" w:hAnsi="宋体" w:cs="宋体" w:eastAsia="宋体" w:hint="default"/>
                <w:spacing w:val="-78"/>
                <w:sz w:val="21"/>
                <w:szCs w:val="21"/>
              </w:rPr>
              <w:t> </w:t>
            </w:r>
            <w:r>
              <w:rPr>
                <w:rFonts w:ascii="宋体" w:hAnsi="宋体" w:cs="宋体" w:eastAsia="宋体" w:hint="default"/>
                <w:sz w:val="21"/>
                <w:szCs w:val="21"/>
              </w:rPr>
              <w:t>潘</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红生</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上海红生在盈利承诺期内各年度的净利润数如下：</w:t>
            </w:r>
            <w:r>
              <w:rPr>
                <w:rFonts w:ascii="Times New Roman" w:hAnsi="Times New Roman" w:cs="Times New Roman" w:eastAsia="Times New Roman" w:hint="default"/>
                <w:spacing w:val="-3"/>
                <w:sz w:val="21"/>
                <w:szCs w:val="21"/>
              </w:rPr>
              <w:t>2017 </w:t>
            </w:r>
            <w:r>
              <w:rPr>
                <w:rFonts w:ascii="宋体" w:hAnsi="宋体" w:cs="宋体" w:eastAsia="宋体" w:hint="default"/>
                <w:sz w:val="21"/>
                <w:szCs w:val="21"/>
              </w:rPr>
              <w:t>年度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年度</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,800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97"/>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年度</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6,0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万元</w:t>
            </w:r>
            <w:r>
              <w:rPr>
                <w:rFonts w:ascii="宋体" w:hAnsi="宋体" w:cs="宋体" w:eastAsia="宋体" w:hint="default"/>
                <w:spacing w:val="-97"/>
                <w:w w:val="100"/>
                <w:sz w:val="21"/>
                <w:szCs w:val="21"/>
              </w:rPr>
              <w:t>；</w:t>
            </w:r>
            <w:r>
              <w:rPr>
                <w:rFonts w:ascii="宋体" w:hAnsi="宋体" w:cs="宋体" w:eastAsia="宋体" w:hint="default"/>
                <w:w w:val="100"/>
                <w:sz w:val="21"/>
                <w:szCs w:val="21"/>
              </w:rPr>
              <w:t>盈</w:t>
            </w:r>
            <w:r>
              <w:rPr>
                <w:rFonts w:ascii="宋体" w:hAnsi="宋体" w:cs="宋体" w:eastAsia="宋体" w:hint="default"/>
                <w:spacing w:val="-3"/>
                <w:w w:val="100"/>
                <w:sz w:val="21"/>
                <w:szCs w:val="21"/>
              </w:rPr>
              <w:t>利补</w:t>
            </w:r>
            <w:r>
              <w:rPr>
                <w:rFonts w:ascii="宋体" w:hAnsi="宋体" w:cs="宋体" w:eastAsia="宋体" w:hint="default"/>
                <w:w w:val="100"/>
                <w:sz w:val="21"/>
                <w:szCs w:val="21"/>
              </w:rPr>
              <w:t>偿方</w:t>
            </w:r>
            <w:r>
              <w:rPr>
                <w:rFonts w:ascii="宋体" w:hAnsi="宋体" w:cs="宋体" w:eastAsia="宋体" w:hint="default"/>
                <w:spacing w:val="-3"/>
                <w:w w:val="100"/>
                <w:sz w:val="21"/>
                <w:szCs w:val="21"/>
              </w:rPr>
              <w:t>法</w:t>
            </w:r>
            <w:r>
              <w:rPr>
                <w:rFonts w:ascii="宋体" w:hAnsi="宋体" w:cs="宋体" w:eastAsia="宋体" w:hint="default"/>
                <w:w w:val="100"/>
                <w:sz w:val="21"/>
                <w:szCs w:val="21"/>
              </w:rPr>
              <w:t>详</w:t>
            </w:r>
            <w:r>
              <w:rPr>
                <w:rFonts w:ascii="宋体" w:hAnsi="宋体" w:cs="宋体" w:eastAsia="宋体" w:hint="default"/>
                <w:spacing w:val="-3"/>
                <w:w w:val="100"/>
                <w:sz w:val="21"/>
                <w:szCs w:val="21"/>
              </w:rPr>
              <w:t>见公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7</w:t>
            </w:r>
          </w:p>
          <w:p>
            <w:pPr>
              <w:pStyle w:val="TableParagraph"/>
              <w:spacing w:line="272" w:lineRule="exact" w:before="19"/>
              <w:ind w:left="23" w:right="1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日披露的《公司关于收购上海红生系统工程有限公司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19"/>
                <w:w w:val="100"/>
                <w:sz w:val="21"/>
                <w:szCs w:val="21"/>
              </w:rPr>
              <w:t>权的公告》。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2"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72"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5"/>
                <w:sz w:val="21"/>
                <w:szCs w:val="21"/>
              </w:rPr>
              <w:t> </w:t>
            </w:r>
            <w:r>
              <w:rPr>
                <w:rFonts w:ascii="宋体" w:hAnsi="宋体" w:cs="宋体" w:eastAsia="宋体" w:hint="default"/>
                <w:spacing w:val="-4"/>
                <w:sz w:val="21"/>
                <w:szCs w:val="21"/>
              </w:rPr>
              <w:t>日，承诺期限截至</w:t>
            </w:r>
          </w:p>
          <w:p>
            <w:pPr>
              <w:pStyle w:val="TableParagraph"/>
              <w:spacing w:line="282"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解决</w:t>
            </w:r>
          </w:p>
          <w:p>
            <w:pPr>
              <w:pStyle w:val="TableParagraph"/>
              <w:spacing w:line="272" w:lineRule="exact" w:before="27"/>
              <w:ind w:left="23" w:right="29"/>
              <w:jc w:val="left"/>
              <w:rPr>
                <w:rFonts w:ascii="宋体" w:hAnsi="宋体" w:cs="宋体" w:eastAsia="宋体" w:hint="default"/>
                <w:sz w:val="21"/>
                <w:szCs w:val="21"/>
              </w:rPr>
            </w:pP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3" w:right="18"/>
              <w:jc w:val="left"/>
              <w:rPr>
                <w:rFonts w:ascii="宋体" w:hAnsi="宋体" w:cs="宋体" w:eastAsia="宋体" w:hint="default"/>
                <w:sz w:val="21"/>
                <w:szCs w:val="21"/>
              </w:rPr>
            </w:pPr>
            <w:r>
              <w:rPr>
                <w:rFonts w:ascii="宋体" w:hAnsi="宋体" w:cs="宋体" w:eastAsia="宋体" w:hint="default"/>
                <w:spacing w:val="13"/>
                <w:sz w:val="21"/>
                <w:szCs w:val="21"/>
              </w:rPr>
              <w:t>赫甄合伙、</w:t>
            </w:r>
            <w:r>
              <w:rPr>
                <w:rFonts w:ascii="宋体" w:hAnsi="宋体" w:cs="宋体" w:eastAsia="宋体" w:hint="default"/>
                <w:spacing w:val="-78"/>
                <w:sz w:val="21"/>
                <w:szCs w:val="21"/>
              </w:rPr>
              <w:t> </w:t>
            </w:r>
            <w:r>
              <w:rPr>
                <w:rFonts w:ascii="宋体" w:hAnsi="宋体" w:cs="宋体" w:eastAsia="宋体" w:hint="default"/>
                <w:sz w:val="21"/>
                <w:szCs w:val="21"/>
              </w:rPr>
              <w:t>潘</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红生</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74" w:lineRule="exact" w:before="147"/>
              <w:ind w:left="23" w:right="19"/>
              <w:jc w:val="left"/>
              <w:rPr>
                <w:rFonts w:ascii="宋体" w:hAnsi="宋体" w:cs="宋体" w:eastAsia="宋体" w:hint="default"/>
                <w:sz w:val="21"/>
                <w:szCs w:val="21"/>
              </w:rPr>
            </w:pPr>
            <w:r>
              <w:rPr>
                <w:rFonts w:ascii="宋体" w:hAnsi="宋体" w:cs="宋体" w:eastAsia="宋体" w:hint="default"/>
                <w:sz w:val="21"/>
                <w:szCs w:val="21"/>
              </w:rPr>
              <w:t>具体内容详见公司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日披露的《公司关于收购上海红生系</w:t>
            </w:r>
            <w:r>
              <w:rPr>
                <w:rFonts w:ascii="宋体" w:hAnsi="宋体" w:cs="宋体" w:eastAsia="宋体" w:hint="default"/>
                <w:w w:val="100"/>
                <w:sz w:val="21"/>
                <w:szCs w:val="21"/>
              </w:rPr>
              <w:t> </w:t>
            </w:r>
            <w:r>
              <w:rPr>
                <w:rFonts w:ascii="宋体" w:hAnsi="宋体" w:cs="宋体" w:eastAsia="宋体" w:hint="default"/>
                <w:spacing w:val="-2"/>
                <w:w w:val="100"/>
                <w:sz w:val="21"/>
                <w:szCs w:val="21"/>
              </w:rPr>
              <w:t>统工程有限公司</w:t>
            </w:r>
            <w:r>
              <w:rPr>
                <w:rFonts w:ascii="宋体" w:hAnsi="宋体" w:cs="宋体" w:eastAsia="宋体" w:hint="default"/>
                <w:spacing w:val="-43"/>
                <w:w w:val="100"/>
                <w:sz w:val="21"/>
                <w:szCs w:val="21"/>
              </w:rPr>
              <w:t> </w:t>
            </w:r>
            <w:r>
              <w:rPr>
                <w:rFonts w:ascii="Times New Roman" w:hAnsi="Times New Roman" w:cs="Times New Roman" w:eastAsia="Times New Roman" w:hint="default"/>
                <w:spacing w:val="-11"/>
                <w:w w:val="100"/>
                <w:sz w:val="21"/>
                <w:szCs w:val="21"/>
              </w:rPr>
              <w:t>100%</w:t>
            </w:r>
            <w:r>
              <w:rPr>
                <w:rFonts w:ascii="宋体" w:hAnsi="宋体" w:cs="宋体" w:eastAsia="宋体" w:hint="default"/>
                <w:spacing w:val="-11"/>
                <w:w w:val="100"/>
                <w:sz w:val="21"/>
                <w:szCs w:val="21"/>
              </w:rPr>
              <w:t>股权的公告》。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32" w:lineRule="auto"/>
              <w:ind w:left="21" w:right="19"/>
              <w:jc w:val="both"/>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2"/>
                <w:sz w:val="21"/>
                <w:szCs w:val="21"/>
              </w:rPr>
              <w:t> </w:t>
            </w:r>
            <w:r>
              <w:rPr>
                <w:rFonts w:ascii="宋体" w:hAnsi="宋体" w:cs="宋体" w:eastAsia="宋体" w:hint="default"/>
                <w:spacing w:val="-4"/>
                <w:sz w:val="21"/>
                <w:szCs w:val="21"/>
              </w:rPr>
              <w:t>日，承诺期限截至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潘红生在上海红生及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其子公司任职期间及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离职后三年内</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81" w:hRule="exact"/>
        </w:trPr>
        <w:tc>
          <w:tcPr>
            <w:tcW w:w="670" w:type="dxa"/>
            <w:vMerge/>
            <w:tcBorders>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赫甄合伙、</w:t>
            </w:r>
            <w:r>
              <w:rPr>
                <w:rFonts w:ascii="宋体" w:hAnsi="宋体" w:cs="宋体" w:eastAsia="宋体" w:hint="default"/>
                <w:spacing w:val="-71"/>
                <w:sz w:val="21"/>
                <w:szCs w:val="21"/>
              </w:rPr>
              <w:t> </w:t>
            </w:r>
            <w:r>
              <w:rPr>
                <w:rFonts w:ascii="宋体" w:hAnsi="宋体" w:cs="宋体" w:eastAsia="宋体" w:hint="default"/>
                <w:sz w:val="21"/>
                <w:szCs w:val="21"/>
              </w:rPr>
              <w:t>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红生</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赫甄合伙和潘红生购买的泰豪科技的其余股票应全部锁定，并分两批解</w:t>
            </w:r>
          </w:p>
          <w:p>
            <w:pPr>
              <w:pStyle w:val="TableParagraph"/>
              <w:spacing w:line="237" w:lineRule="auto"/>
              <w:ind w:left="23" w:right="16"/>
              <w:jc w:val="both"/>
              <w:rPr>
                <w:rFonts w:ascii="宋体" w:hAnsi="宋体" w:cs="宋体" w:eastAsia="宋体" w:hint="default"/>
                <w:sz w:val="21"/>
                <w:szCs w:val="21"/>
              </w:rPr>
            </w:pPr>
            <w:r>
              <w:rPr>
                <w:rFonts w:ascii="宋体" w:hAnsi="宋体" w:cs="宋体" w:eastAsia="宋体" w:hint="default"/>
                <w:sz w:val="21"/>
                <w:szCs w:val="21"/>
              </w:rPr>
              <w:t>锁：（</w:t>
            </w:r>
            <w:r>
              <w:rPr>
                <w:rFonts w:ascii="宋体" w:hAnsi="宋体" w:cs="宋体" w:eastAsia="宋体" w:hint="default"/>
                <w:sz w:val="21"/>
                <w:szCs w:val="21"/>
              </w:rPr>
              <w:t>1</w:t>
            </w:r>
            <w:r>
              <w:rPr>
                <w:rFonts w:ascii="宋体" w:hAnsi="宋体" w:cs="宋体" w:eastAsia="宋体" w:hint="default"/>
                <w:sz w:val="21"/>
                <w:szCs w:val="21"/>
              </w:rPr>
              <w:t>）自泰豪科技在指定媒体披露上海红生公司 </w:t>
            </w:r>
            <w:r>
              <w:rPr>
                <w:rFonts w:ascii="宋体" w:hAnsi="宋体" w:cs="宋体" w:eastAsia="宋体" w:hint="default"/>
                <w:sz w:val="21"/>
                <w:szCs w:val="21"/>
              </w:rPr>
              <w:t>2018</w:t>
            </w:r>
            <w:r>
              <w:rPr>
                <w:rFonts w:ascii="宋体" w:hAnsi="宋体" w:cs="宋体" w:eastAsia="宋体" w:hint="default"/>
                <w:spacing w:val="-42"/>
                <w:sz w:val="21"/>
                <w:szCs w:val="21"/>
              </w:rPr>
              <w:t> </w:t>
            </w:r>
            <w:r>
              <w:rPr>
                <w:rFonts w:ascii="宋体" w:hAnsi="宋体" w:cs="宋体" w:eastAsia="宋体" w:hint="default"/>
                <w:sz w:val="21"/>
                <w:szCs w:val="21"/>
              </w:rPr>
              <w:t>年度《专项审</w:t>
            </w:r>
            <w:r>
              <w:rPr>
                <w:rFonts w:ascii="宋体" w:hAnsi="宋体" w:cs="宋体" w:eastAsia="宋体" w:hint="default"/>
                <w:w w:val="100"/>
                <w:sz w:val="21"/>
                <w:szCs w:val="21"/>
              </w:rPr>
              <w:t> </w:t>
            </w:r>
            <w:r>
              <w:rPr>
                <w:rFonts w:ascii="宋体" w:hAnsi="宋体" w:cs="宋体" w:eastAsia="宋体" w:hint="default"/>
                <w:spacing w:val="-6"/>
                <w:sz w:val="21"/>
                <w:szCs w:val="21"/>
              </w:rPr>
              <w:t>核报告》且上海红生公司</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pacing w:val="-8"/>
                <w:sz w:val="21"/>
                <w:szCs w:val="21"/>
              </w:rPr>
              <w:t>年度、</w:t>
            </w:r>
            <w:r>
              <w:rPr>
                <w:rFonts w:ascii="宋体" w:hAnsi="宋体" w:cs="宋体" w:eastAsia="宋体" w:hint="default"/>
                <w:spacing w:val="-8"/>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年度累计实现的净利润数达到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w w:val="100"/>
                <w:sz w:val="21"/>
                <w:szCs w:val="21"/>
              </w:rPr>
              <w:t>截至该时点累计承诺净利润数时，共管账户购买的全部股票的</w:t>
            </w:r>
            <w:r>
              <w:rPr>
                <w:rFonts w:ascii="宋体" w:hAnsi="宋体" w:cs="宋体" w:eastAsia="宋体" w:hint="default"/>
                <w:spacing w:val="-44"/>
                <w:w w:val="100"/>
                <w:sz w:val="21"/>
                <w:szCs w:val="21"/>
              </w:rPr>
              <w:t> </w:t>
            </w:r>
            <w:r>
              <w:rPr>
                <w:rFonts w:ascii="宋体" w:hAnsi="宋体" w:cs="宋体" w:eastAsia="宋体" w:hint="default"/>
                <w:spacing w:val="-2"/>
                <w:w w:val="100"/>
                <w:sz w:val="21"/>
                <w:szCs w:val="21"/>
              </w:rPr>
              <w:t>50%</w:t>
            </w:r>
            <w:r>
              <w:rPr>
                <w:rFonts w:ascii="宋体" w:hAnsi="宋体" w:cs="宋体" w:eastAsia="宋体" w:hint="default"/>
                <w:spacing w:val="-2"/>
                <w:w w:val="100"/>
                <w:sz w:val="21"/>
                <w:szCs w:val="21"/>
              </w:rPr>
              <w:t>在扣减</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
                <w:sz w:val="21"/>
                <w:szCs w:val="21"/>
              </w:rPr>
              <w:t>其截至该时点应补偿的股份数（如有）后解除锁定。（</w:t>
            </w:r>
            <w:r>
              <w:rPr>
                <w:rFonts w:ascii="宋体" w:hAnsi="宋体" w:cs="宋体" w:eastAsia="宋体" w:hint="default"/>
                <w:spacing w:val="-3"/>
                <w:sz w:val="21"/>
                <w:szCs w:val="21"/>
              </w:rPr>
              <w:t>2</w:t>
            </w:r>
            <w:r>
              <w:rPr>
                <w:rFonts w:ascii="宋体" w:hAnsi="宋体" w:cs="宋体" w:eastAsia="宋体" w:hint="default"/>
                <w:spacing w:val="-3"/>
                <w:sz w:val="21"/>
                <w:szCs w:val="21"/>
              </w:rPr>
              <w:t>）自泰豪科技在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指定媒体披露上海红生公司</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3"/>
                <w:sz w:val="21"/>
                <w:szCs w:val="21"/>
              </w:rPr>
              <w:t> </w:t>
            </w:r>
            <w:r>
              <w:rPr>
                <w:rFonts w:ascii="宋体" w:hAnsi="宋体" w:cs="宋体" w:eastAsia="宋体" w:hint="default"/>
                <w:spacing w:val="-4"/>
                <w:sz w:val="21"/>
                <w:szCs w:val="21"/>
              </w:rPr>
              <w:t>年度《专项审核报告》和《减值测试报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sz w:val="21"/>
                <w:szCs w:val="21"/>
              </w:rPr>
              <w:t>告》后，共管账户购买的全部股票的</w:t>
            </w:r>
            <w:r>
              <w:rPr>
                <w:rFonts w:ascii="宋体" w:hAnsi="宋体" w:cs="宋体" w:eastAsia="宋体" w:hint="default"/>
                <w:spacing w:val="-42"/>
                <w:sz w:val="21"/>
                <w:szCs w:val="21"/>
              </w:rPr>
              <w:t> </w:t>
            </w:r>
            <w:r>
              <w:rPr>
                <w:rFonts w:ascii="宋体" w:hAnsi="宋体" w:cs="宋体" w:eastAsia="宋体" w:hint="default"/>
                <w:sz w:val="21"/>
                <w:szCs w:val="21"/>
              </w:rPr>
              <w:t>50%</w:t>
            </w:r>
            <w:r>
              <w:rPr>
                <w:rFonts w:ascii="宋体" w:hAnsi="宋体" w:cs="宋体" w:eastAsia="宋体" w:hint="default"/>
                <w:sz w:val="21"/>
                <w:szCs w:val="21"/>
              </w:rPr>
              <w:t>在扣减其截至该时点应补偿的股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份数（如有）后可解除锁定。若股份解除锁定条件未满足导致该等年度</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解除锁定股份数为 </w:t>
            </w:r>
            <w:r>
              <w:rPr>
                <w:rFonts w:ascii="宋体" w:hAnsi="宋体" w:cs="宋体" w:eastAsia="宋体" w:hint="default"/>
                <w:sz w:val="21"/>
                <w:szCs w:val="21"/>
              </w:rPr>
              <w:t>0</w:t>
            </w:r>
            <w:r>
              <w:rPr>
                <w:rFonts w:ascii="宋体" w:hAnsi="宋体" w:cs="宋体" w:eastAsia="宋体" w:hint="default"/>
                <w:spacing w:val="-40"/>
                <w:sz w:val="21"/>
                <w:szCs w:val="21"/>
              </w:rPr>
              <w:t> </w:t>
            </w:r>
            <w:r>
              <w:rPr>
                <w:rFonts w:ascii="宋体" w:hAnsi="宋体" w:cs="宋体" w:eastAsia="宋体" w:hint="default"/>
                <w:sz w:val="21"/>
                <w:szCs w:val="21"/>
              </w:rPr>
              <w:t>时，则本年度解除锁定的股份数应为管账户购买的</w:t>
            </w:r>
            <w:r>
              <w:rPr>
                <w:rFonts w:ascii="宋体" w:hAnsi="宋体" w:cs="宋体" w:eastAsia="宋体" w:hint="default"/>
                <w:w w:val="100"/>
                <w:sz w:val="21"/>
                <w:szCs w:val="21"/>
              </w:rPr>
              <w:t> </w:t>
            </w:r>
            <w:r>
              <w:rPr>
                <w:rFonts w:ascii="宋体" w:hAnsi="宋体" w:cs="宋体" w:eastAsia="宋体" w:hint="default"/>
                <w:sz w:val="21"/>
                <w:szCs w:val="21"/>
              </w:rPr>
              <w:t>全部股票的</w:t>
            </w:r>
            <w:r>
              <w:rPr>
                <w:rFonts w:ascii="宋体" w:hAnsi="宋体" w:cs="宋体" w:eastAsia="宋体" w:hint="default"/>
                <w:spacing w:val="-40"/>
                <w:sz w:val="21"/>
                <w:szCs w:val="21"/>
              </w:rPr>
              <w:t> </w:t>
            </w:r>
            <w:r>
              <w:rPr>
                <w:rFonts w:ascii="宋体" w:hAnsi="宋体" w:cs="宋体" w:eastAsia="宋体" w:hint="default"/>
                <w:sz w:val="21"/>
                <w:szCs w:val="21"/>
              </w:rPr>
              <w:t>100%</w:t>
            </w:r>
            <w:r>
              <w:rPr>
                <w:rFonts w:ascii="宋体" w:hAnsi="宋体" w:cs="宋体" w:eastAsia="宋体" w:hint="default"/>
                <w:sz w:val="21"/>
                <w:szCs w:val="21"/>
              </w:rPr>
              <w:t>扣减其截止该时点已补偿的股份数（如有）及应补偿的</w:t>
            </w:r>
            <w:r>
              <w:rPr>
                <w:rFonts w:ascii="宋体" w:hAnsi="宋体" w:cs="宋体" w:eastAsia="宋体" w:hint="default"/>
                <w:w w:val="100"/>
                <w:sz w:val="21"/>
                <w:szCs w:val="21"/>
              </w:rPr>
              <w:t> </w:t>
            </w:r>
            <w:r>
              <w:rPr>
                <w:rFonts w:ascii="宋体" w:hAnsi="宋体" w:cs="宋体" w:eastAsia="宋体" w:hint="default"/>
                <w:sz w:val="21"/>
                <w:szCs w:val="21"/>
              </w:rPr>
              <w:t>股份数（如有）后的剩余股份（如有）。扣减后可解除锁定的股份数量</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小于或等于</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5"/>
                <w:sz w:val="21"/>
                <w:szCs w:val="21"/>
              </w:rPr>
              <w:t> </w:t>
            </w:r>
            <w:r>
              <w:rPr>
                <w:rFonts w:ascii="宋体" w:hAnsi="宋体" w:cs="宋体" w:eastAsia="宋体" w:hint="default"/>
                <w:sz w:val="21"/>
                <w:szCs w:val="21"/>
              </w:rPr>
              <w:t>的，则共管账户解除锁定股份数为</w:t>
            </w:r>
            <w:r>
              <w:rPr>
                <w:rFonts w:ascii="宋体" w:hAnsi="宋体" w:cs="宋体" w:eastAsia="宋体" w:hint="default"/>
                <w:spacing w:val="-55"/>
                <w:sz w:val="21"/>
                <w:szCs w:val="21"/>
              </w:rPr>
              <w:t> </w:t>
            </w:r>
            <w:r>
              <w:rPr>
                <w:rFonts w:ascii="宋体" w:hAnsi="宋体" w:cs="宋体" w:eastAsia="宋体" w:hint="default"/>
                <w:sz w:val="21"/>
                <w:szCs w:val="21"/>
              </w:rPr>
              <w:t>0</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71"/>
                <w:sz w:val="21"/>
                <w:szCs w:val="21"/>
              </w:rPr>
              <w:t> </w:t>
            </w:r>
            <w:r>
              <w:rPr>
                <w:rFonts w:ascii="宋体" w:hAnsi="宋体" w:cs="宋体" w:eastAsia="宋体" w:hint="default"/>
                <w:sz w:val="21"/>
                <w:szCs w:val="21"/>
              </w:rPr>
              <w:t>月</w:t>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9"/>
                <w:sz w:val="21"/>
                <w:szCs w:val="21"/>
              </w:rPr>
              <w:t> </w:t>
            </w:r>
            <w:r>
              <w:rPr>
                <w:rFonts w:ascii="宋体" w:hAnsi="宋体" w:cs="宋体" w:eastAsia="宋体" w:hint="default"/>
                <w:spacing w:val="2"/>
                <w:sz w:val="21"/>
                <w:szCs w:val="21"/>
              </w:rPr>
              <w:t>日，承诺期限截至</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8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670"/>
        <w:gridCol w:w="487"/>
        <w:gridCol w:w="1414"/>
        <w:gridCol w:w="6637"/>
        <w:gridCol w:w="1983"/>
        <w:gridCol w:w="487"/>
        <w:gridCol w:w="526"/>
        <w:gridCol w:w="965"/>
        <w:gridCol w:w="780"/>
      </w:tblGrid>
      <w:tr>
        <w:trPr>
          <w:trHeight w:val="1370" w:hRule="exact"/>
        </w:trPr>
        <w:tc>
          <w:tcPr>
            <w:tcW w:w="670" w:type="dxa"/>
            <w:vMerge w:val="restart"/>
            <w:tcBorders>
              <w:top w:val="single" w:sz="4" w:space="0" w:color="000000"/>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潘红生</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任职期限承诺及竞业禁止承诺</w:t>
            </w:r>
            <w:r>
              <w:rPr>
                <w:rFonts w:ascii="宋体" w:hAnsi="宋体" w:cs="宋体" w:eastAsia="宋体" w:hint="default"/>
                <w:sz w:val="21"/>
                <w:szCs w:val="21"/>
              </w:rPr>
              <w:t>,</w:t>
            </w:r>
            <w:r>
              <w:rPr>
                <w:rFonts w:ascii="宋体" w:hAnsi="宋体" w:cs="宋体" w:eastAsia="宋体" w:hint="default"/>
                <w:sz w:val="21"/>
                <w:szCs w:val="21"/>
              </w:rPr>
              <w:t>具体内容详见公司</w:t>
            </w:r>
            <w:r>
              <w:rPr>
                <w:rFonts w:ascii="宋体" w:hAnsi="宋体" w:cs="宋体" w:eastAsia="宋体" w:hint="default"/>
                <w:spacing w:val="-60"/>
                <w:sz w:val="21"/>
                <w:szCs w:val="21"/>
              </w:rPr>
              <w:t> </w:t>
            </w:r>
            <w:r>
              <w:rPr>
                <w:rFonts w:ascii="宋体" w:hAnsi="宋体" w:cs="宋体" w:eastAsia="宋体" w:hint="default"/>
                <w:sz w:val="21"/>
                <w:szCs w:val="21"/>
              </w:rPr>
              <w:t>2017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r>
              <w:rPr>
                <w:rFonts w:ascii="宋体" w:hAnsi="宋体" w:cs="宋体" w:eastAsia="宋体" w:hint="default"/>
                <w:spacing w:val="-60"/>
                <w:sz w:val="21"/>
                <w:szCs w:val="21"/>
              </w:rPr>
              <w:t> </w:t>
            </w:r>
            <w:r>
              <w:rPr>
                <w:rFonts w:ascii="宋体" w:hAnsi="宋体" w:cs="宋体" w:eastAsia="宋体" w:hint="default"/>
                <w:sz w:val="21"/>
                <w:szCs w:val="21"/>
              </w:rPr>
              <w:t>日</w:t>
            </w:r>
            <w:r>
              <w:rPr>
                <w:rFonts w:ascii="宋体" w:hAnsi="宋体" w:cs="宋体" w:eastAsia="宋体" w:hint="default"/>
                <w:spacing w:val="-60"/>
                <w:sz w:val="21"/>
                <w:szCs w:val="21"/>
              </w:rPr>
              <w:t> </w:t>
            </w:r>
            <w:r>
              <w:rPr>
                <w:rFonts w:ascii="宋体" w:hAnsi="宋体" w:cs="宋体" w:eastAsia="宋体" w:hint="default"/>
                <w:sz w:val="21"/>
                <w:szCs w:val="21"/>
              </w:rPr>
              <w:t>16</w:t>
            </w:r>
            <w:r>
              <w:rPr>
                <w:rFonts w:ascii="宋体" w:hAnsi="宋体" w:cs="宋体" w:eastAsia="宋体" w:hint="default"/>
                <w:spacing w:val="-60"/>
                <w:sz w:val="21"/>
                <w:szCs w:val="21"/>
              </w:rPr>
              <w:t> </w:t>
            </w:r>
            <w:r>
              <w:rPr>
                <w:rFonts w:ascii="宋体" w:hAnsi="宋体" w:cs="宋体" w:eastAsia="宋体" w:hint="default"/>
                <w:sz w:val="21"/>
                <w:szCs w:val="21"/>
              </w:rPr>
              <w:t>日披露</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的《公司关于收购上海红生系统工程有限公司</w:t>
            </w:r>
            <w:r>
              <w:rPr>
                <w:rFonts w:ascii="宋体" w:hAnsi="宋体" w:cs="宋体" w:eastAsia="宋体" w:hint="default"/>
                <w:spacing w:val="5"/>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股权的公告》。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71"/>
                <w:sz w:val="21"/>
                <w:szCs w:val="21"/>
              </w:rPr>
              <w:t> </w:t>
            </w:r>
            <w:r>
              <w:rPr>
                <w:rFonts w:ascii="宋体" w:hAnsi="宋体" w:cs="宋体" w:eastAsia="宋体" w:hint="default"/>
                <w:sz w:val="21"/>
                <w:szCs w:val="21"/>
              </w:rPr>
              <w:t>月</w:t>
            </w:r>
          </w:p>
          <w:p>
            <w:pPr>
              <w:pStyle w:val="TableParagraph"/>
              <w:spacing w:line="237" w:lineRule="auto"/>
              <w:ind w:left="21" w:right="19"/>
              <w:jc w:val="both"/>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42"/>
                <w:sz w:val="21"/>
                <w:szCs w:val="21"/>
              </w:rPr>
              <w:t> </w:t>
            </w:r>
            <w:r>
              <w:rPr>
                <w:rFonts w:ascii="宋体" w:hAnsi="宋体" w:cs="宋体" w:eastAsia="宋体" w:hint="default"/>
                <w:spacing w:val="-4"/>
                <w:sz w:val="21"/>
                <w:szCs w:val="21"/>
              </w:rPr>
              <w:t>日，承诺期限截至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潘红生在上海红生及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其子公司任职期间及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离职后三年内</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赫甄合伙、</w:t>
            </w:r>
            <w:r>
              <w:rPr>
                <w:rFonts w:ascii="宋体" w:hAnsi="宋体" w:cs="宋体" w:eastAsia="宋体" w:hint="default"/>
                <w:spacing w:val="-71"/>
                <w:sz w:val="21"/>
                <w:szCs w:val="21"/>
              </w:rPr>
              <w:t> </w:t>
            </w:r>
            <w:r>
              <w:rPr>
                <w:rFonts w:ascii="宋体" w:hAnsi="宋体" w:cs="宋体" w:eastAsia="宋体" w:hint="default"/>
                <w:sz w:val="21"/>
                <w:szCs w:val="21"/>
              </w:rPr>
              <w:t>潘</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红生</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在其获得股权转让价款后的</w:t>
            </w:r>
            <w:r>
              <w:rPr>
                <w:rFonts w:ascii="宋体" w:hAnsi="宋体" w:cs="宋体" w:eastAsia="宋体" w:hint="default"/>
                <w:spacing w:val="-36"/>
                <w:sz w:val="21"/>
                <w:szCs w:val="21"/>
              </w:rPr>
              <w:t> </w:t>
            </w:r>
            <w:r>
              <w:rPr>
                <w:rFonts w:ascii="宋体" w:hAnsi="宋体" w:cs="宋体" w:eastAsia="宋体" w:hint="default"/>
                <w:sz w:val="21"/>
                <w:szCs w:val="21"/>
              </w:rPr>
              <w:t>6</w:t>
            </w:r>
            <w:r>
              <w:rPr>
                <w:rFonts w:ascii="宋体" w:hAnsi="宋体" w:cs="宋体" w:eastAsia="宋体" w:hint="default"/>
                <w:spacing w:val="-36"/>
                <w:sz w:val="21"/>
                <w:szCs w:val="21"/>
              </w:rPr>
              <w:t> </w:t>
            </w:r>
            <w:r>
              <w:rPr>
                <w:rFonts w:ascii="宋体" w:hAnsi="宋体" w:cs="宋体" w:eastAsia="宋体" w:hint="default"/>
                <w:sz w:val="21"/>
                <w:szCs w:val="21"/>
              </w:rPr>
              <w:t>个月之内，用共管账户中的</w:t>
            </w:r>
            <w:r>
              <w:rPr>
                <w:rFonts w:ascii="宋体" w:hAnsi="宋体" w:cs="宋体" w:eastAsia="宋体" w:hint="default"/>
                <w:spacing w:val="-38"/>
                <w:sz w:val="21"/>
                <w:szCs w:val="21"/>
              </w:rPr>
              <w:t> </w:t>
            </w:r>
            <w:r>
              <w:rPr>
                <w:rFonts w:ascii="宋体" w:hAnsi="宋体" w:cs="宋体" w:eastAsia="宋体" w:hint="default"/>
                <w:sz w:val="21"/>
                <w:szCs w:val="21"/>
              </w:rPr>
              <w:t>2.8</w:t>
            </w:r>
            <w:r>
              <w:rPr>
                <w:rFonts w:ascii="宋体" w:hAnsi="宋体" w:cs="宋体" w:eastAsia="宋体" w:hint="default"/>
                <w:spacing w:val="-38"/>
                <w:sz w:val="21"/>
                <w:szCs w:val="21"/>
              </w:rPr>
              <w:t> </w:t>
            </w:r>
            <w:r>
              <w:rPr>
                <w:rFonts w:ascii="宋体" w:hAnsi="宋体" w:cs="宋体" w:eastAsia="宋体" w:hint="default"/>
                <w:sz w:val="21"/>
                <w:szCs w:val="21"/>
              </w:rPr>
              <w:t>亿元以不</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高于</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股的价格购买泰豪科技股票。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71"/>
                <w:sz w:val="21"/>
                <w:szCs w:val="21"/>
              </w:rPr>
              <w:t> </w:t>
            </w:r>
            <w:r>
              <w:rPr>
                <w:rFonts w:ascii="宋体" w:hAnsi="宋体" w:cs="宋体" w:eastAsia="宋体" w:hint="default"/>
                <w:sz w:val="21"/>
                <w:szCs w:val="21"/>
              </w:rPr>
              <w:t>月</w:t>
            </w:r>
          </w:p>
          <w:p>
            <w:pPr>
              <w:pStyle w:val="TableParagraph"/>
              <w:spacing w:line="237" w:lineRule="auto" w:before="2"/>
              <w:ind w:left="21" w:right="19"/>
              <w:jc w:val="both"/>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42"/>
                <w:sz w:val="21"/>
                <w:szCs w:val="21"/>
              </w:rPr>
              <w:t> </w:t>
            </w:r>
            <w:r>
              <w:rPr>
                <w:rFonts w:ascii="宋体" w:hAnsi="宋体" w:cs="宋体" w:eastAsia="宋体" w:hint="default"/>
                <w:spacing w:val="-4"/>
                <w:sz w:val="21"/>
                <w:szCs w:val="21"/>
              </w:rPr>
              <w:t>日，承诺期限截至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股权转让价款收到后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个月内</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赫甄合伙、</w:t>
            </w:r>
            <w:r>
              <w:rPr>
                <w:rFonts w:ascii="宋体" w:hAnsi="宋体" w:cs="宋体" w:eastAsia="宋体" w:hint="default"/>
                <w:spacing w:val="-71"/>
                <w:sz w:val="21"/>
                <w:szCs w:val="21"/>
              </w:rPr>
              <w:t> </w:t>
            </w:r>
            <w:r>
              <w:rPr>
                <w:rFonts w:ascii="宋体" w:hAnsi="宋体" w:cs="宋体" w:eastAsia="宋体" w:hint="default"/>
                <w:sz w:val="21"/>
                <w:szCs w:val="21"/>
              </w:rPr>
              <w:t>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红生</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共管账户中，用</w:t>
            </w:r>
            <w:r>
              <w:rPr>
                <w:rFonts w:ascii="宋体" w:hAnsi="宋体" w:cs="宋体" w:eastAsia="宋体" w:hint="default"/>
                <w:spacing w:val="-48"/>
                <w:sz w:val="21"/>
                <w:szCs w:val="21"/>
              </w:rPr>
              <w:t> </w:t>
            </w:r>
            <w:r>
              <w:rPr>
                <w:rFonts w:ascii="宋体" w:hAnsi="宋体" w:cs="宋体" w:eastAsia="宋体" w:hint="default"/>
                <w:sz w:val="21"/>
                <w:szCs w:val="21"/>
              </w:rPr>
              <w:t>3,000</w:t>
            </w:r>
            <w:r>
              <w:rPr>
                <w:rFonts w:ascii="宋体" w:hAnsi="宋体" w:cs="宋体" w:eastAsia="宋体" w:hint="default"/>
                <w:spacing w:val="-51"/>
                <w:sz w:val="21"/>
                <w:szCs w:val="21"/>
              </w:rPr>
              <w:t> </w:t>
            </w:r>
            <w:r>
              <w:rPr>
                <w:rFonts w:ascii="宋体" w:hAnsi="宋体" w:cs="宋体" w:eastAsia="宋体" w:hint="default"/>
                <w:spacing w:val="-3"/>
                <w:sz w:val="21"/>
                <w:szCs w:val="21"/>
              </w:rPr>
              <w:t>万元购买泰豪科技股票，在</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不得卖出。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71"/>
                <w:sz w:val="21"/>
                <w:szCs w:val="21"/>
              </w:rPr>
              <w:t> </w:t>
            </w:r>
            <w:r>
              <w:rPr>
                <w:rFonts w:ascii="宋体" w:hAnsi="宋体" w:cs="宋体" w:eastAsia="宋体" w:hint="default"/>
                <w:sz w:val="21"/>
                <w:szCs w:val="21"/>
              </w:rPr>
              <w:t>月</w:t>
            </w:r>
          </w:p>
          <w:p>
            <w:pPr>
              <w:pStyle w:val="TableParagraph"/>
              <w:spacing w:line="271" w:lineRule="exact"/>
              <w:ind w:left="21"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38"/>
                <w:sz w:val="21"/>
                <w:szCs w:val="21"/>
              </w:rPr>
              <w:t> </w:t>
            </w:r>
            <w:r>
              <w:rPr>
                <w:rFonts w:ascii="宋体" w:hAnsi="宋体" w:cs="宋体" w:eastAsia="宋体" w:hint="default"/>
                <w:spacing w:val="-4"/>
                <w:sz w:val="21"/>
                <w:szCs w:val="21"/>
              </w:rPr>
              <w:t>日，承诺期限截至</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70" w:type="dxa"/>
            <w:vMerge/>
            <w:tcBorders>
              <w:left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胡健、</w:t>
            </w:r>
            <w:r>
              <w:rPr>
                <w:rFonts w:ascii="宋体" w:hAnsi="宋体" w:cs="宋体" w:eastAsia="宋体" w:hint="default"/>
                <w:spacing w:val="-75"/>
                <w:sz w:val="21"/>
                <w:szCs w:val="21"/>
              </w:rPr>
              <w:t> </w:t>
            </w:r>
            <w:r>
              <w:rPr>
                <w:rFonts w:ascii="宋体" w:hAnsi="宋体" w:cs="宋体" w:eastAsia="宋体" w:hint="default"/>
                <w:spacing w:val="11"/>
                <w:sz w:val="21"/>
                <w:szCs w:val="21"/>
              </w:rPr>
              <w:t>宁波杰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宝、宁波杰赢</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在其第一批解禁股解除限售后半年内不减持股份。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71"/>
                <w:sz w:val="21"/>
                <w:szCs w:val="21"/>
              </w:rPr>
              <w:t> </w:t>
            </w:r>
            <w:r>
              <w:rPr>
                <w:rFonts w:ascii="宋体" w:hAnsi="宋体" w:cs="宋体" w:eastAsia="宋体" w:hint="default"/>
                <w:sz w:val="21"/>
                <w:szCs w:val="21"/>
              </w:rPr>
              <w:t>月</w:t>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37"/>
                <w:sz w:val="21"/>
                <w:szCs w:val="21"/>
              </w:rPr>
              <w:t> </w:t>
            </w:r>
            <w:r>
              <w:rPr>
                <w:rFonts w:ascii="宋体" w:hAnsi="宋体" w:cs="宋体" w:eastAsia="宋体" w:hint="default"/>
                <w:spacing w:val="15"/>
                <w:sz w:val="21"/>
                <w:szCs w:val="21"/>
              </w:rPr>
              <w:t>日，承诺期限至</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670" w:type="dxa"/>
            <w:vMerge/>
            <w:tcBorders>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同方股份</w:t>
            </w:r>
          </w:p>
        </w:tc>
        <w:tc>
          <w:tcPr>
            <w:tcW w:w="6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个月内通过证券交易所集中竞价交易、大宗交易、协议转让等方式增</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持公司股份，增持金额拟不低于</w:t>
            </w:r>
            <w:r>
              <w:rPr>
                <w:rFonts w:ascii="宋体" w:hAnsi="宋体" w:cs="宋体" w:eastAsia="宋体" w:hint="default"/>
                <w:spacing w:val="-38"/>
                <w:sz w:val="21"/>
                <w:szCs w:val="21"/>
              </w:rPr>
              <w:t> </w:t>
            </w:r>
            <w:r>
              <w:rPr>
                <w:rFonts w:ascii="宋体" w:hAnsi="宋体" w:cs="宋体" w:eastAsia="宋体" w:hint="default"/>
                <w:sz w:val="21"/>
                <w:szCs w:val="21"/>
              </w:rPr>
              <w:t>30,000</w:t>
            </w:r>
            <w:r>
              <w:rPr>
                <w:rFonts w:ascii="宋体" w:hAnsi="宋体" w:cs="宋体" w:eastAsia="宋体" w:hint="default"/>
                <w:spacing w:val="-36"/>
                <w:sz w:val="21"/>
                <w:szCs w:val="21"/>
              </w:rPr>
              <w:t> </w:t>
            </w:r>
            <w:r>
              <w:rPr>
                <w:rFonts w:ascii="宋体" w:hAnsi="宋体" w:cs="宋体" w:eastAsia="宋体" w:hint="default"/>
                <w:sz w:val="21"/>
                <w:szCs w:val="21"/>
              </w:rPr>
              <w:t>万元人民币，不超过</w:t>
            </w:r>
            <w:r>
              <w:rPr>
                <w:rFonts w:ascii="宋体" w:hAnsi="宋体" w:cs="宋体" w:eastAsia="宋体" w:hint="default"/>
                <w:spacing w:val="-36"/>
                <w:sz w:val="21"/>
                <w:szCs w:val="21"/>
              </w:rPr>
              <w:t> </w:t>
            </w:r>
            <w:r>
              <w:rPr>
                <w:rFonts w:ascii="宋体" w:hAnsi="宋体" w:cs="宋体" w:eastAsia="宋体" w:hint="default"/>
                <w:sz w:val="21"/>
                <w:szCs w:val="21"/>
              </w:rPr>
              <w:t>50,000</w:t>
            </w:r>
            <w:r>
              <w:rPr>
                <w:rFonts w:ascii="宋体" w:hAnsi="宋体" w:cs="宋体" w:eastAsia="宋体" w:hint="default"/>
                <w:spacing w:val="-38"/>
                <w:sz w:val="21"/>
                <w:szCs w:val="21"/>
              </w:rPr>
              <w:t> </w:t>
            </w:r>
            <w:r>
              <w:rPr>
                <w:rFonts w:ascii="宋体" w:hAnsi="宋体" w:cs="宋体" w:eastAsia="宋体" w:hint="default"/>
                <w:sz w:val="21"/>
                <w:szCs w:val="21"/>
              </w:rPr>
              <w:t>万</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元人民币，增持价格不高于 </w:t>
            </w:r>
            <w:r>
              <w:rPr>
                <w:rFonts w:ascii="宋体" w:hAnsi="宋体" w:cs="宋体" w:eastAsia="宋体" w:hint="default"/>
                <w:sz w:val="21"/>
                <w:szCs w:val="21"/>
              </w:rPr>
              <w:t>20</w:t>
            </w:r>
            <w:r>
              <w:rPr>
                <w:rFonts w:ascii="宋体" w:hAnsi="宋体" w:cs="宋体" w:eastAsia="宋体" w:hint="default"/>
                <w:spacing w:val="-4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股。承诺在增持实施期间、增持实施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完毕之后</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个月内及法律规定的期限内不减持所持有的公司股份。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8"/>
                <w:sz w:val="21"/>
                <w:szCs w:val="21"/>
              </w:rPr>
              <w:t> </w:t>
            </w:r>
            <w:r>
              <w:rPr>
                <w:rFonts w:ascii="宋体" w:hAnsi="宋体" w:cs="宋体" w:eastAsia="宋体" w:hint="default"/>
                <w:sz w:val="21"/>
                <w:szCs w:val="21"/>
              </w:rPr>
              <w:t>2017</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71"/>
                <w:sz w:val="21"/>
                <w:szCs w:val="21"/>
              </w:rPr>
              <w:t> </w:t>
            </w:r>
            <w:r>
              <w:rPr>
                <w:rFonts w:ascii="宋体" w:hAnsi="宋体" w:cs="宋体" w:eastAsia="宋体" w:hint="default"/>
                <w:sz w:val="21"/>
                <w:szCs w:val="21"/>
              </w:rPr>
              <w:t>月</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37"/>
                <w:sz w:val="21"/>
                <w:szCs w:val="21"/>
              </w:rPr>
              <w:t> </w:t>
            </w:r>
            <w:r>
              <w:rPr>
                <w:rFonts w:ascii="宋体" w:hAnsi="宋体" w:cs="宋体" w:eastAsia="宋体" w:hint="default"/>
                <w:spacing w:val="15"/>
                <w:sz w:val="21"/>
                <w:szCs w:val="21"/>
              </w:rPr>
              <w:t>日；承诺期限至</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6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80" w:right="13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2"/>
        <w:tabs>
          <w:tab w:pos="704" w:val="left" w:leader="none"/>
        </w:tabs>
        <w:spacing w:line="266" w:lineRule="auto" w:before="0"/>
        <w:ind w:right="8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5" w:lineRule="exact"/>
        <w:ind w:right="0"/>
        <w:jc w:val="both"/>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pStyle w:val="BodyText"/>
        <w:spacing w:line="225" w:lineRule="auto" w:before="6"/>
        <w:ind w:right="127" w:firstLine="41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月，公司及公司全资子公司泰豪电源技术有限公司以共计</w:t>
      </w:r>
      <w:r>
        <w:rPr>
          <w:spacing w:val="-54"/>
        </w:rPr>
        <w:t> </w:t>
      </w:r>
      <w:r>
        <w:rPr>
          <w:rFonts w:ascii="Times New Roman" w:hAnsi="Times New Roman" w:cs="Times New Roman" w:eastAsia="Times New Roman" w:hint="default"/>
        </w:rPr>
        <w:t>13,260</w:t>
      </w:r>
      <w:r>
        <w:rPr>
          <w:rFonts w:ascii="Times New Roman" w:hAnsi="Times New Roman" w:cs="Times New Roman" w:eastAsia="Times New Roman" w:hint="default"/>
          <w:spacing w:val="2"/>
        </w:rPr>
        <w:t> </w:t>
      </w:r>
      <w:r>
        <w:rPr/>
        <w:t>万元人民币的</w:t>
      </w:r>
      <w:r>
        <w:rPr>
          <w:w w:val="100"/>
        </w:rPr>
        <w:t> </w:t>
      </w:r>
      <w:r>
        <w:rPr>
          <w:spacing w:val="8"/>
        </w:rPr>
        <w:t>价格收购李钦龙等</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41"/>
        </w:rPr>
        <w:t> </w:t>
      </w:r>
      <w:r>
        <w:rPr>
          <w:spacing w:val="8"/>
        </w:rPr>
        <w:t>位股东合计持有的海德馨</w:t>
      </w:r>
      <w:r>
        <w:rPr>
          <w:spacing w:val="39"/>
        </w:rPr>
        <w:t> </w:t>
      </w:r>
      <w:r>
        <w:rPr>
          <w:rFonts w:ascii="Times New Roman" w:hAnsi="Times New Roman" w:cs="Times New Roman" w:eastAsia="Times New Roman" w:hint="default"/>
          <w:spacing w:val="8"/>
        </w:rPr>
        <w:t>51%</w:t>
      </w:r>
      <w:r>
        <w:rPr>
          <w:spacing w:val="8"/>
        </w:rPr>
        <w:t>的股权，海德馨原股东承诺：海德馨在</w:t>
      </w:r>
      <w:r>
        <w:rPr>
          <w:spacing w:val="-97"/>
        </w:rPr>
        <w:t> </w:t>
      </w:r>
      <w:r>
        <w:rPr>
          <w:spacing w:val="-97"/>
        </w:rPr>
      </w:r>
      <w:r>
        <w:rPr>
          <w:rFonts w:ascii="Times New Roman" w:hAnsi="Times New Roman" w:cs="Times New Roman" w:eastAsia="Times New Roman" w:hint="default"/>
          <w:spacing w:val="-1"/>
          <w:w w:val="100"/>
        </w:rPr>
        <w:t>2015-2017</w:t>
      </w:r>
      <w:r>
        <w:rPr>
          <w:rFonts w:ascii="Times New Roman" w:hAnsi="Times New Roman" w:cs="Times New Roman" w:eastAsia="Times New Roman" w:hint="default"/>
          <w:spacing w:val="-8"/>
          <w:w w:val="100"/>
        </w:rPr>
        <w:t> </w:t>
      </w:r>
      <w:r>
        <w:rPr>
          <w:spacing w:val="-6"/>
          <w:w w:val="100"/>
        </w:rPr>
        <w:t>年实现的扣除非经常性损益后净利润分别不低于：人民币</w:t>
      </w:r>
      <w:r>
        <w:rPr>
          <w:spacing w:val="-62"/>
          <w:w w:val="100"/>
        </w:rPr>
        <w:t> </w:t>
      </w:r>
      <w:r>
        <w:rPr>
          <w:rFonts w:ascii="Times New Roman" w:hAnsi="Times New Roman" w:cs="Times New Roman" w:eastAsia="Times New Roman" w:hint="default"/>
          <w:spacing w:val="-1"/>
          <w:w w:val="100"/>
        </w:rPr>
        <w:t>3,600</w:t>
      </w:r>
      <w:r>
        <w:rPr>
          <w:rFonts w:ascii="Times New Roman" w:hAnsi="Times New Roman" w:cs="Times New Roman" w:eastAsia="Times New Roman" w:hint="default"/>
          <w:spacing w:val="-12"/>
          <w:w w:val="100"/>
        </w:rPr>
        <w:t> </w:t>
      </w:r>
      <w:r>
        <w:rPr>
          <w:spacing w:val="-14"/>
          <w:w w:val="100"/>
        </w:rPr>
        <w:t>万元、</w:t>
      </w:r>
      <w:r>
        <w:rPr>
          <w:rFonts w:ascii="Times New Roman" w:hAnsi="Times New Roman" w:cs="Times New Roman" w:eastAsia="Times New Roman" w:hint="default"/>
          <w:spacing w:val="-14"/>
          <w:w w:val="100"/>
        </w:rPr>
        <w:t>5,400</w:t>
      </w:r>
      <w:r>
        <w:rPr>
          <w:rFonts w:ascii="Times New Roman" w:hAnsi="Times New Roman" w:cs="Times New Roman" w:eastAsia="Times New Roman" w:hint="default"/>
          <w:spacing w:val="-8"/>
          <w:w w:val="100"/>
        </w:rPr>
        <w:t> </w:t>
      </w:r>
      <w:r>
        <w:rPr>
          <w:spacing w:val="-1"/>
          <w:w w:val="100"/>
        </w:rPr>
        <w:t>万元和</w:t>
      </w:r>
      <w:r>
        <w:rPr>
          <w:spacing w:val="-64"/>
          <w:w w:val="100"/>
        </w:rPr>
        <w:t> </w:t>
      </w:r>
      <w:r>
        <w:rPr>
          <w:rFonts w:ascii="Times New Roman" w:hAnsi="Times New Roman" w:cs="Times New Roman" w:eastAsia="Times New Roman" w:hint="default"/>
          <w:spacing w:val="-1"/>
          <w:w w:val="100"/>
        </w:rPr>
        <w:t>7,600</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t>万元。</w:t>
      </w:r>
    </w:p>
    <w:p>
      <w:pPr>
        <w:pStyle w:val="BodyText"/>
        <w:spacing w:line="281" w:lineRule="exact"/>
        <w:ind w:left="558" w:right="0"/>
        <w:jc w:val="left"/>
      </w:pPr>
      <w:r>
        <w:rPr/>
        <w:t>若海德馨在 </w:t>
      </w:r>
      <w:r>
        <w:rPr>
          <w:rFonts w:ascii="Times New Roman" w:hAnsi="Times New Roman" w:cs="Times New Roman" w:eastAsia="Times New Roman" w:hint="default"/>
        </w:rPr>
        <w:t>2015-2017</w:t>
      </w:r>
      <w:r>
        <w:rPr>
          <w:rFonts w:ascii="Times New Roman" w:hAnsi="Times New Roman" w:cs="Times New Roman" w:eastAsia="Times New Roman" w:hint="default"/>
          <w:spacing w:val="-13"/>
        </w:rPr>
        <w:t> </w:t>
      </w:r>
      <w:r>
        <w:rPr/>
        <w:t>年实现的扣除非经常性损益后净利润数小于承诺净利润数，则补偿责</w:t>
      </w:r>
    </w:p>
    <w:p>
      <w:pPr>
        <w:pStyle w:val="BodyText"/>
        <w:spacing w:line="272" w:lineRule="exact"/>
        <w:ind w:right="0"/>
        <w:jc w:val="both"/>
        <w:rPr>
          <w:rFonts w:ascii="Times New Roman" w:hAnsi="Times New Roman" w:cs="Times New Roman" w:eastAsia="Times New Roman" w:hint="default"/>
        </w:rPr>
      </w:pPr>
      <w:r>
        <w:rPr>
          <w:w w:val="100"/>
        </w:rPr>
        <w:t>任人</w:t>
      </w:r>
      <w:r>
        <w:rPr>
          <w:spacing w:val="-3"/>
          <w:w w:val="100"/>
        </w:rPr>
        <w:t>需</w:t>
      </w:r>
      <w:r>
        <w:rPr>
          <w:w w:val="100"/>
        </w:rPr>
        <w:t>向</w:t>
      </w:r>
      <w:r>
        <w:rPr>
          <w:spacing w:val="-3"/>
          <w:w w:val="100"/>
        </w:rPr>
        <w:t>公</w:t>
      </w:r>
      <w:r>
        <w:rPr>
          <w:w w:val="100"/>
        </w:rPr>
        <w:t>司</w:t>
      </w:r>
      <w:r>
        <w:rPr>
          <w:spacing w:val="-3"/>
          <w:w w:val="100"/>
        </w:rPr>
        <w:t>进</w:t>
      </w:r>
      <w:r>
        <w:rPr>
          <w:w w:val="100"/>
        </w:rPr>
        <w:t>行</w:t>
      </w:r>
      <w:r>
        <w:rPr>
          <w:spacing w:val="-3"/>
          <w:w w:val="100"/>
        </w:rPr>
        <w:t>补</w:t>
      </w:r>
      <w:r>
        <w:rPr>
          <w:spacing w:val="-75"/>
          <w:w w:val="100"/>
        </w:rPr>
        <w:t>偿</w:t>
      </w:r>
      <w:r>
        <w:rPr>
          <w:w w:val="100"/>
        </w:rPr>
        <w:t>（</w:t>
      </w:r>
      <w:r>
        <w:rPr>
          <w:spacing w:val="-3"/>
          <w:w w:val="100"/>
        </w:rPr>
        <w:t>最</w:t>
      </w:r>
      <w:r>
        <w:rPr>
          <w:w w:val="100"/>
        </w:rPr>
        <w:t>高补</w:t>
      </w:r>
      <w:r>
        <w:rPr>
          <w:spacing w:val="-3"/>
          <w:w w:val="100"/>
        </w:rPr>
        <w:t>偿</w:t>
      </w:r>
      <w:r>
        <w:rPr>
          <w:w w:val="100"/>
        </w:rPr>
        <w:t>金</w:t>
      </w:r>
      <w:r>
        <w:rPr>
          <w:spacing w:val="-3"/>
          <w:w w:val="100"/>
        </w:rPr>
        <w:t>额</w:t>
      </w:r>
      <w:r>
        <w:rPr>
          <w:w w:val="100"/>
        </w:rPr>
        <w:t>不</w:t>
      </w:r>
      <w:r>
        <w:rPr>
          <w:spacing w:val="-3"/>
          <w:w w:val="100"/>
        </w:rPr>
        <w:t>超</w:t>
      </w:r>
      <w:r>
        <w:rPr>
          <w:w w:val="100"/>
        </w:rPr>
        <w:t>过</w:t>
      </w:r>
      <w:r>
        <w:rPr>
          <w:spacing w:val="-3"/>
          <w:w w:val="100"/>
        </w:rPr>
        <w:t>其</w:t>
      </w:r>
      <w:r>
        <w:rPr>
          <w:w w:val="100"/>
        </w:rPr>
        <w:t>总</w:t>
      </w:r>
      <w:r>
        <w:rPr>
          <w:spacing w:val="-3"/>
          <w:w w:val="100"/>
        </w:rPr>
        <w:t>收</w:t>
      </w:r>
      <w:r>
        <w:rPr>
          <w:w w:val="100"/>
        </w:rPr>
        <w:t>购金</w:t>
      </w:r>
      <w:r>
        <w:rPr>
          <w:spacing w:val="-3"/>
          <w:w w:val="100"/>
        </w:rPr>
        <w:t>额</w:t>
      </w:r>
      <w:r>
        <w:rPr>
          <w:spacing w:val="-106"/>
          <w:w w:val="100"/>
        </w:rPr>
        <w:t>）</w:t>
      </w:r>
      <w:r>
        <w:rPr>
          <w:spacing w:val="-75"/>
          <w:w w:val="100"/>
        </w:rPr>
        <w:t>。</w:t>
      </w:r>
      <w:r>
        <w:rPr>
          <w:w w:val="100"/>
        </w:rPr>
        <w:t>具</w:t>
      </w:r>
      <w:r>
        <w:rPr>
          <w:spacing w:val="-3"/>
          <w:w w:val="100"/>
        </w:rPr>
        <w:t>体</w:t>
      </w:r>
      <w:r>
        <w:rPr>
          <w:w w:val="100"/>
        </w:rPr>
        <w:t>补</w:t>
      </w:r>
      <w:r>
        <w:rPr>
          <w:spacing w:val="-3"/>
          <w:w w:val="100"/>
        </w:rPr>
        <w:t>偿</w:t>
      </w:r>
      <w:r>
        <w:rPr>
          <w:w w:val="100"/>
        </w:rPr>
        <w:t>金</w:t>
      </w:r>
      <w:r>
        <w:rPr>
          <w:spacing w:val="-3"/>
          <w:w w:val="100"/>
        </w:rPr>
        <w:t>额及</w:t>
      </w:r>
      <w:r>
        <w:rPr>
          <w:w w:val="100"/>
        </w:rPr>
        <w:t>方式</w:t>
      </w:r>
      <w:r>
        <w:rPr>
          <w:spacing w:val="-3"/>
          <w:w w:val="100"/>
        </w:rPr>
        <w:t>详</w:t>
      </w:r>
      <w:r>
        <w:rPr>
          <w:w w:val="100"/>
        </w:rPr>
        <w:t>见</w:t>
      </w:r>
      <w:r>
        <w:rPr>
          <w:spacing w:val="-3"/>
          <w:w w:val="100"/>
        </w:rPr>
        <w:t>公</w:t>
      </w:r>
      <w:r>
        <w:rPr>
          <w:w w:val="100"/>
        </w:rPr>
        <w:t>司</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p>
    <w:p>
      <w:pPr>
        <w:pStyle w:val="BodyText"/>
        <w:spacing w:line="272" w:lineRule="exact"/>
        <w:ind w:right="0"/>
        <w:jc w:val="both"/>
      </w:pPr>
      <w:r>
        <w:rPr>
          <w:w w:val="100"/>
        </w:rPr>
        <w:t>年</w:t>
      </w:r>
      <w:r>
        <w:rPr>
          <w:spacing w:val="-5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日</w:t>
      </w:r>
      <w:r>
        <w:rPr>
          <w:spacing w:val="-3"/>
          <w:w w:val="100"/>
        </w:rPr>
        <w:t>发</w:t>
      </w:r>
      <w:r>
        <w:rPr>
          <w:w w:val="100"/>
        </w:rPr>
        <w:t>布</w:t>
      </w:r>
      <w:r>
        <w:rPr>
          <w:spacing w:val="-3"/>
          <w:w w:val="100"/>
        </w:rPr>
        <w:t>的</w:t>
      </w:r>
      <w:r>
        <w:rPr>
          <w:w w:val="100"/>
        </w:rPr>
        <w:t>《</w:t>
      </w:r>
      <w:r>
        <w:rPr>
          <w:spacing w:val="-3"/>
          <w:w w:val="100"/>
        </w:rPr>
        <w:t>公司</w:t>
      </w:r>
      <w:r>
        <w:rPr>
          <w:w w:val="100"/>
        </w:rPr>
        <w:t>关于</w:t>
      </w:r>
      <w:r>
        <w:rPr>
          <w:spacing w:val="-3"/>
          <w:w w:val="100"/>
        </w:rPr>
        <w:t>收</w:t>
      </w:r>
      <w:r>
        <w:rPr>
          <w:w w:val="100"/>
        </w:rPr>
        <w:t>购</w:t>
      </w:r>
      <w:r>
        <w:rPr>
          <w:spacing w:val="-3"/>
          <w:w w:val="100"/>
        </w:rPr>
        <w:t>股</w:t>
      </w:r>
      <w:r>
        <w:rPr>
          <w:w w:val="100"/>
        </w:rPr>
        <w:t>权</w:t>
      </w:r>
      <w:r>
        <w:rPr>
          <w:spacing w:val="-3"/>
          <w:w w:val="100"/>
        </w:rPr>
        <w:t>事</w:t>
      </w:r>
      <w:r>
        <w:rPr>
          <w:w w:val="100"/>
        </w:rPr>
        <w:t>项</w:t>
      </w:r>
      <w:r>
        <w:rPr>
          <w:spacing w:val="-3"/>
          <w:w w:val="100"/>
        </w:rPr>
        <w:t>的</w:t>
      </w:r>
      <w:r>
        <w:rPr>
          <w:w w:val="100"/>
        </w:rPr>
        <w:t>公</w:t>
      </w:r>
      <w:r>
        <w:rPr>
          <w:spacing w:val="-3"/>
          <w:w w:val="100"/>
        </w:rPr>
        <w:t>告</w:t>
      </w:r>
      <w:r>
        <w:rPr>
          <w:spacing w:val="-108"/>
          <w:w w:val="100"/>
        </w:rPr>
        <w:t>》</w:t>
      </w:r>
      <w:r>
        <w:rPr>
          <w:w w:val="100"/>
        </w:rPr>
        <w:t>（公</w:t>
      </w:r>
      <w:r>
        <w:rPr>
          <w:spacing w:val="-3"/>
          <w:w w:val="100"/>
        </w:rPr>
        <w:t>告</w:t>
      </w:r>
      <w:r>
        <w:rPr>
          <w:w w:val="100"/>
        </w:rPr>
        <w:t>编</w:t>
      </w:r>
      <w:r>
        <w:rPr>
          <w:spacing w:val="-3"/>
          <w:w w:val="100"/>
        </w:rPr>
        <w:t>号：</w:t>
      </w:r>
      <w:r>
        <w:rPr>
          <w:w w:val="100"/>
        </w:rPr>
        <w:t>临</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5</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047</w:t>
      </w:r>
      <w:r>
        <w:rPr>
          <w:spacing w:val="-106"/>
          <w:w w:val="100"/>
        </w:rPr>
        <w:t>）。</w:t>
      </w:r>
      <w:r>
        <w:rPr>
          <w:w w:val="100"/>
        </w:rPr>
      </w:r>
    </w:p>
    <w:p>
      <w:pPr>
        <w:pStyle w:val="BodyText"/>
        <w:spacing w:line="274" w:lineRule="exact" w:before="16"/>
        <w:ind w:right="224" w:firstLine="419"/>
        <w:jc w:val="both"/>
      </w:pPr>
      <w:r>
        <w:rPr>
          <w:spacing w:val="-1"/>
          <w:w w:val="100"/>
        </w:rPr>
        <w:t>海德馨</w:t>
      </w:r>
      <w:r>
        <w:rPr>
          <w:spacing w:val="-50"/>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4"/>
          <w:w w:val="100"/>
        </w:rPr>
        <w:t> </w:t>
      </w:r>
      <w:r>
        <w:rPr>
          <w:spacing w:val="-2"/>
          <w:w w:val="100"/>
        </w:rPr>
        <w:t>年经审计的扣除非经常性损益后归属于母公司所有者净利润为</w:t>
      </w:r>
      <w:r>
        <w:rPr>
          <w:spacing w:val="-49"/>
          <w:w w:val="100"/>
        </w:rPr>
        <w:t> </w:t>
      </w:r>
      <w:r>
        <w:rPr>
          <w:rFonts w:ascii="Times New Roman" w:hAnsi="Times New Roman" w:cs="Times New Roman" w:eastAsia="Times New Roman" w:hint="default"/>
          <w:spacing w:val="-1"/>
          <w:w w:val="100"/>
        </w:rPr>
        <w:t>3,635.59</w:t>
      </w:r>
      <w:r>
        <w:rPr>
          <w:rFonts w:ascii="Times New Roman" w:hAnsi="Times New Roman" w:cs="Times New Roman" w:eastAsia="Times New Roman" w:hint="default"/>
          <w:w w:val="100"/>
        </w:rPr>
        <w:t> </w:t>
      </w:r>
      <w:r>
        <w:rPr>
          <w:spacing w:val="-48"/>
          <w:w w:val="100"/>
        </w:rPr>
        <w:t>万元，完</w:t>
      </w:r>
      <w:r>
        <w:rPr>
          <w:spacing w:val="-94"/>
          <w:w w:val="100"/>
        </w:rPr>
        <w:t> </w:t>
      </w:r>
      <w:r>
        <w:rPr/>
        <w:t>成了业绩承诺，不需要进行补偿。</w:t>
      </w:r>
    </w:p>
    <w:p>
      <w:pPr>
        <w:pStyle w:val="BodyText"/>
        <w:spacing w:line="254" w:lineRule="exact"/>
        <w:ind w:left="558" w:right="0"/>
        <w:jc w:val="left"/>
      </w:pPr>
      <w:r>
        <w:rPr>
          <w:rFonts w:ascii="Times New Roman" w:hAnsi="Times New Roman" w:cs="Times New Roman" w:eastAsia="Times New Roman" w:hint="default"/>
        </w:rPr>
        <w:t>2016 </w:t>
      </w:r>
      <w:r>
        <w:rPr/>
        <w:t>年海德馨经审计的扣非净利润为 </w:t>
      </w:r>
      <w:r>
        <w:rPr>
          <w:rFonts w:ascii="Times New Roman" w:hAnsi="Times New Roman" w:cs="Times New Roman" w:eastAsia="Times New Roman" w:hint="default"/>
        </w:rPr>
        <w:t>2,641.87 </w:t>
      </w:r>
      <w:r>
        <w:rPr/>
        <w:t>万元，完成业绩承诺数的</w:t>
      </w:r>
      <w:r>
        <w:rPr>
          <w:spacing w:val="-12"/>
        </w:rPr>
        <w:t> </w:t>
      </w:r>
      <w:r>
        <w:rPr>
          <w:rFonts w:ascii="Times New Roman" w:hAnsi="Times New Roman" w:cs="Times New Roman" w:eastAsia="Times New Roman" w:hint="default"/>
        </w:rPr>
        <w:t>48.92%</w:t>
      </w:r>
      <w:r>
        <w:rPr/>
        <w:t>，低于业绩</w:t>
      </w:r>
    </w:p>
    <w:p>
      <w:pPr>
        <w:pStyle w:val="BodyText"/>
        <w:spacing w:line="272" w:lineRule="exact" w:before="19"/>
        <w:ind w:right="0"/>
        <w:jc w:val="left"/>
      </w:pPr>
      <w:r>
        <w:rPr>
          <w:spacing w:val="-1"/>
          <w:w w:val="100"/>
        </w:rPr>
        <w:t>承诺数</w:t>
      </w:r>
      <w:r>
        <w:rPr>
          <w:spacing w:val="-51"/>
          <w:w w:val="100"/>
        </w:rPr>
        <w:t> </w:t>
      </w:r>
      <w:r>
        <w:rPr>
          <w:rFonts w:ascii="Times New Roman" w:hAnsi="Times New Roman" w:cs="Times New Roman" w:eastAsia="Times New Roman" w:hint="default"/>
          <w:spacing w:val="-1"/>
          <w:w w:val="100"/>
        </w:rPr>
        <w:t>2,758.13</w:t>
      </w:r>
      <w:r>
        <w:rPr>
          <w:rFonts w:ascii="Times New Roman" w:hAnsi="Times New Roman" w:cs="Times New Roman" w:eastAsia="Times New Roman" w:hint="default"/>
          <w:w w:val="100"/>
        </w:rPr>
        <w:t> </w:t>
      </w:r>
      <w:r>
        <w:rPr>
          <w:spacing w:val="-7"/>
          <w:w w:val="100"/>
        </w:rPr>
        <w:t>万元，补偿责任人按照签署的《关于龙岩市海德馨汽车有限公司之股权收购协议》</w:t>
      </w:r>
      <w:r>
        <w:rPr>
          <w:w w:val="100"/>
        </w:rPr>
        <w:t> </w:t>
      </w:r>
      <w:r>
        <w:rPr>
          <w:spacing w:val="-2"/>
        </w:rPr>
        <w:t>约定履行补偿义务：以海德馨</w:t>
      </w:r>
      <w:r>
        <w:rPr>
          <w:spacing w:val="20"/>
        </w:rPr>
        <w:t> </w:t>
      </w:r>
      <w:r>
        <w:rPr>
          <w:rFonts w:ascii="Times New Roman" w:hAnsi="Times New Roman" w:cs="Times New Roman" w:eastAsia="Times New Roman" w:hint="default"/>
          <w:spacing w:val="-2"/>
        </w:rPr>
        <w:t>8.23%</w:t>
      </w:r>
      <w:r>
        <w:rPr>
          <w:spacing w:val="-2"/>
        </w:rPr>
        <w:t>股权来支付，全部由李钦龙个人承担补偿责任。</w:t>
      </w:r>
    </w:p>
    <w:p>
      <w:pPr>
        <w:pStyle w:val="BodyText"/>
        <w:spacing w:line="255" w:lineRule="exact"/>
        <w:ind w:left="558" w:right="0"/>
        <w:jc w:val="left"/>
      </w:pPr>
      <w:r>
        <w:rPr>
          <w:rFonts w:ascii="Times New Roman" w:hAnsi="Times New Roman" w:cs="Times New Roman" w:eastAsia="Times New Roman" w:hint="default"/>
        </w:rPr>
        <w:t>2017 </w:t>
      </w:r>
      <w:r>
        <w:rPr/>
        <w:t>年海德馨经审计的扣非净利润为 </w:t>
      </w:r>
      <w:r>
        <w:rPr>
          <w:rFonts w:ascii="Times New Roman" w:hAnsi="Times New Roman" w:cs="Times New Roman" w:eastAsia="Times New Roman" w:hint="default"/>
        </w:rPr>
        <w:t>2,524.73 </w:t>
      </w:r>
      <w:r>
        <w:rPr/>
        <w:t>万元，完成业绩承诺数的</w:t>
      </w:r>
      <w:r>
        <w:rPr>
          <w:spacing w:val="-13"/>
        </w:rPr>
        <w:t> </w:t>
      </w:r>
      <w:r>
        <w:rPr>
          <w:rFonts w:ascii="Times New Roman" w:hAnsi="Times New Roman" w:cs="Times New Roman" w:eastAsia="Times New Roman" w:hint="default"/>
        </w:rPr>
        <w:t>33.22%</w:t>
      </w:r>
      <w:r>
        <w:rPr/>
        <w:t>，低于业绩</w:t>
      </w:r>
    </w:p>
    <w:p>
      <w:pPr>
        <w:pStyle w:val="BodyText"/>
        <w:spacing w:line="274" w:lineRule="exact" w:before="16"/>
        <w:ind w:right="0"/>
        <w:jc w:val="left"/>
      </w:pPr>
      <w:r>
        <w:rPr>
          <w:spacing w:val="-1"/>
          <w:w w:val="100"/>
        </w:rPr>
        <w:t>承诺数</w:t>
      </w:r>
      <w:r>
        <w:rPr>
          <w:spacing w:val="-51"/>
          <w:w w:val="100"/>
        </w:rPr>
        <w:t> </w:t>
      </w:r>
      <w:r>
        <w:rPr>
          <w:rFonts w:ascii="Times New Roman" w:hAnsi="Times New Roman" w:cs="Times New Roman" w:eastAsia="Times New Roman" w:hint="default"/>
          <w:spacing w:val="-1"/>
          <w:w w:val="100"/>
        </w:rPr>
        <w:t>5,075.27</w:t>
      </w:r>
      <w:r>
        <w:rPr>
          <w:rFonts w:ascii="Times New Roman" w:hAnsi="Times New Roman" w:cs="Times New Roman" w:eastAsia="Times New Roman" w:hint="default"/>
          <w:w w:val="100"/>
        </w:rPr>
        <w:t> </w:t>
      </w:r>
      <w:r>
        <w:rPr>
          <w:spacing w:val="-7"/>
          <w:w w:val="100"/>
        </w:rPr>
        <w:t>万元，补偿责任人按照签署的《关于龙岩市海德馨汽车有限公司之股权收购协议》</w:t>
      </w:r>
      <w:r>
        <w:rPr>
          <w:w w:val="100"/>
        </w:rPr>
        <w:t> </w:t>
      </w:r>
      <w:r>
        <w:rPr>
          <w:spacing w:val="-2"/>
        </w:rPr>
        <w:t>约定履行补偿义务：以海德馨</w:t>
      </w:r>
      <w:r>
        <w:rPr>
          <w:spacing w:val="27"/>
        </w:rPr>
        <w:t> </w:t>
      </w:r>
      <w:r>
        <w:rPr>
          <w:rFonts w:ascii="Times New Roman" w:hAnsi="Times New Roman" w:cs="Times New Roman" w:eastAsia="Times New Roman" w:hint="default"/>
          <w:spacing w:val="-2"/>
        </w:rPr>
        <w:t>16.0576%</w:t>
      </w:r>
      <w:r>
        <w:rPr>
          <w:spacing w:val="-2"/>
        </w:rPr>
        <w:t>股权来支付，全部由李钦龙个人承担补偿责任。</w:t>
      </w:r>
    </w:p>
    <w:p>
      <w:pPr>
        <w:pStyle w:val="BodyText"/>
        <w:spacing w:line="223" w:lineRule="auto"/>
        <w:ind w:right="128" w:firstLine="419"/>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月公司发行</w:t>
      </w:r>
      <w:r>
        <w:rPr>
          <w:spacing w:val="-47"/>
        </w:rPr>
        <w:t> </w:t>
      </w:r>
      <w:r>
        <w:rPr>
          <w:rFonts w:ascii="Times New Roman" w:hAnsi="Times New Roman" w:cs="Times New Roman" w:eastAsia="Times New Roman" w:hint="default"/>
        </w:rPr>
        <w:t>47,715,512</w:t>
      </w:r>
      <w:r>
        <w:rPr>
          <w:rFonts w:ascii="Times New Roman" w:hAnsi="Times New Roman" w:cs="Times New Roman" w:eastAsia="Times New Roman" w:hint="default"/>
          <w:spacing w:val="1"/>
        </w:rPr>
        <w:t> </w:t>
      </w:r>
      <w:r>
        <w:rPr>
          <w:spacing w:val="-3"/>
        </w:rPr>
        <w:t>股股份购买胡健、宁波杰宝、余弓卜、宁波杰赢等</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位</w:t>
      </w:r>
      <w:r>
        <w:rPr>
          <w:w w:val="100"/>
        </w:rPr>
        <w:t> </w:t>
      </w:r>
      <w:r>
        <w:rPr/>
        <w:t>股东持有的博辕信息</w:t>
      </w:r>
      <w:r>
        <w:rPr>
          <w:spacing w:val="-10"/>
        </w:rPr>
        <w:t> </w:t>
      </w:r>
      <w:r>
        <w:rPr>
          <w:rFonts w:ascii="Times New Roman" w:hAnsi="Times New Roman" w:cs="Times New Roman" w:eastAsia="Times New Roman" w:hint="default"/>
          <w:spacing w:val="-3"/>
        </w:rPr>
        <w:t>95.22%</w:t>
      </w:r>
      <w:r>
        <w:rPr>
          <w:spacing w:val="-3"/>
        </w:rPr>
        <w:t>股权，根据公司与博辕信息利润承诺补偿责任人胡健、余弓卜、成海</w:t>
      </w:r>
    </w:p>
    <w:p>
      <w:pPr>
        <w:pStyle w:val="BodyText"/>
        <w:spacing w:line="228" w:lineRule="auto"/>
        <w:ind w:right="127"/>
        <w:jc w:val="both"/>
      </w:pPr>
      <w:r>
        <w:rPr>
          <w:spacing w:val="-6"/>
          <w:w w:val="100"/>
        </w:rPr>
        <w:t>林、李爱明、郭兆滨、张磊、宁波杰赢、宁波杰宝签署的《利润承诺补偿协议书》，补偿责任人胡</w:t>
      </w:r>
      <w:r>
        <w:rPr>
          <w:w w:val="100"/>
        </w:rPr>
        <w:t> </w:t>
      </w:r>
      <w:r>
        <w:rPr>
          <w:spacing w:val="-9"/>
        </w:rPr>
        <w:t>健、余弓卜、成海林、李爱明、郭兆滨、张磊、宁波杰赢、宁波杰宝承诺博辕信息 </w:t>
      </w:r>
      <w:r>
        <w:rPr>
          <w:rFonts w:ascii="Times New Roman" w:hAnsi="Times New Roman" w:cs="Times New Roman" w:eastAsia="Times New Roman" w:hint="default"/>
        </w:rPr>
        <w:t>2015 </w:t>
      </w:r>
      <w:r>
        <w:rPr>
          <w:spacing w:val="-7"/>
        </w:rPr>
        <w:t>年度、</w:t>
      </w:r>
      <w:r>
        <w:rPr>
          <w:rFonts w:ascii="Times New Roman" w:hAnsi="Times New Roman" w:cs="Times New Roman" w:eastAsia="Times New Roman" w:hint="default"/>
          <w:spacing w:val="-7"/>
        </w:rPr>
        <w:t>2016</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8"/>
        </w:rPr>
        <w:t>年度、</w:t>
      </w:r>
      <w:r>
        <w:rPr>
          <w:rFonts w:ascii="Times New Roman" w:hAnsi="Times New Roman" w:cs="Times New Roman" w:eastAsia="Times New Roman" w:hint="default"/>
          <w:spacing w:val="-8"/>
        </w:rPr>
        <w:t>2017 </w:t>
      </w:r>
      <w:r>
        <w:rPr>
          <w:spacing w:val="-8"/>
        </w:rPr>
        <w:t>年度、</w:t>
      </w:r>
      <w:r>
        <w:rPr>
          <w:rFonts w:ascii="Times New Roman" w:hAnsi="Times New Roman" w:cs="Times New Roman" w:eastAsia="Times New Roman" w:hint="default"/>
          <w:spacing w:val="-8"/>
        </w:rPr>
        <w:t>2018</w:t>
      </w:r>
      <w:r>
        <w:rPr>
          <w:rFonts w:ascii="Times New Roman" w:hAnsi="Times New Roman" w:cs="Times New Roman" w:eastAsia="Times New Roman" w:hint="default"/>
          <w:spacing w:val="16"/>
        </w:rPr>
        <w:t> </w:t>
      </w:r>
      <w:r>
        <w:rPr/>
        <w:t>年度实现的扣除非经常性损益后归属于母公司所有者的净利润数分别为人</w:t>
      </w:r>
      <w:r>
        <w:rPr>
          <w:w w:val="100"/>
        </w:rPr>
        <w:t> </w:t>
      </w:r>
      <w:r>
        <w:rPr/>
        <w:t>民币</w:t>
      </w:r>
      <w:r>
        <w:rPr>
          <w:spacing w:val="-61"/>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1"/>
        </w:rPr>
        <w:t> </w:t>
      </w:r>
      <w:r>
        <w:rPr/>
        <w:t>万元、</w:t>
      </w:r>
      <w:r>
        <w:rPr>
          <w:rFonts w:ascii="Times New Roman" w:hAnsi="Times New Roman" w:cs="Times New Roman" w:eastAsia="Times New Roman" w:hint="default"/>
        </w:rPr>
        <w:t>5,500</w:t>
      </w:r>
      <w:r>
        <w:rPr>
          <w:rFonts w:ascii="Times New Roman" w:hAnsi="Times New Roman" w:cs="Times New Roman" w:eastAsia="Times New Roman" w:hint="default"/>
          <w:spacing w:val="-10"/>
        </w:rPr>
        <w:t> </w:t>
      </w:r>
      <w:r>
        <w:rPr/>
        <w:t>万元、</w:t>
      </w:r>
      <w:r>
        <w:rPr>
          <w:rFonts w:ascii="Times New Roman" w:hAnsi="Times New Roman" w:cs="Times New Roman" w:eastAsia="Times New Roman" w:hint="default"/>
        </w:rPr>
        <w:t>7,150</w:t>
      </w:r>
      <w:r>
        <w:rPr>
          <w:rFonts w:ascii="Times New Roman" w:hAnsi="Times New Roman" w:cs="Times New Roman" w:eastAsia="Times New Roman" w:hint="default"/>
          <w:spacing w:val="-11"/>
        </w:rPr>
        <w:t> </w:t>
      </w:r>
      <w:r>
        <w:rPr/>
        <w:t>万元、</w:t>
      </w:r>
      <w:r>
        <w:rPr>
          <w:rFonts w:ascii="Times New Roman" w:hAnsi="Times New Roman" w:cs="Times New Roman" w:eastAsia="Times New Roman" w:hint="default"/>
        </w:rPr>
        <w:t>9,295</w:t>
      </w:r>
      <w:r>
        <w:rPr>
          <w:rFonts w:ascii="Times New Roman" w:hAnsi="Times New Roman" w:cs="Times New Roman" w:eastAsia="Times New Roman" w:hint="default"/>
          <w:spacing w:val="-11"/>
        </w:rPr>
        <w:t> </w:t>
      </w:r>
      <w:r>
        <w:rPr/>
        <w:t>万元；如果实现扣非净利润指标低于上述承诺内</w:t>
      </w:r>
      <w:r>
        <w:rPr>
          <w:w w:val="100"/>
        </w:rPr>
        <w:t> </w:t>
      </w:r>
      <w:r>
        <w:rPr>
          <w:spacing w:val="-6"/>
        </w:rPr>
        <w:t>容，则上述补偿责任人将按照签署的《利润承诺补偿协议书》的约定进行补偿。补偿责任人胡健、</w:t>
      </w:r>
      <w:r>
        <w:rPr>
          <w:spacing w:val="-54"/>
        </w:rPr>
        <w:t> </w:t>
      </w:r>
      <w:r>
        <w:rPr>
          <w:spacing w:val="-54"/>
        </w:rPr>
      </w:r>
      <w:r>
        <w:rPr/>
        <w:t>余弓卜、成海林承诺博辕信息 </w:t>
      </w:r>
      <w:r>
        <w:rPr>
          <w:rFonts w:ascii="Times New Roman" w:hAnsi="Times New Roman" w:cs="Times New Roman" w:eastAsia="Times New Roman" w:hint="default"/>
        </w:rPr>
        <w:t>2019 </w:t>
      </w:r>
      <w:r>
        <w:rPr/>
        <w:t>年度、</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年度实现的扣除非经常性损益后归属于母公司所</w:t>
      </w:r>
      <w:r>
        <w:rPr>
          <w:w w:val="100"/>
        </w:rPr>
        <w:t> </w:t>
      </w:r>
      <w:r>
        <w:rPr/>
        <w:t>有者的净利润数分别为人民币 </w:t>
      </w:r>
      <w:r>
        <w:rPr>
          <w:rFonts w:ascii="Times New Roman" w:hAnsi="Times New Roman" w:cs="Times New Roman" w:eastAsia="Times New Roman" w:hint="default"/>
        </w:rPr>
        <w:t>10,689.25 </w:t>
      </w:r>
      <w:r>
        <w:rPr/>
        <w:t>万元、</w:t>
      </w:r>
      <w:r>
        <w:rPr>
          <w:rFonts w:ascii="Times New Roman" w:hAnsi="Times New Roman" w:cs="Times New Roman" w:eastAsia="Times New Roman" w:hint="default"/>
        </w:rPr>
        <w:t>12,292.64</w:t>
      </w:r>
      <w:r>
        <w:rPr>
          <w:rFonts w:ascii="Times New Roman" w:hAnsi="Times New Roman" w:cs="Times New Roman" w:eastAsia="Times New Roman" w:hint="default"/>
          <w:spacing w:val="5"/>
        </w:rPr>
        <w:t> </w:t>
      </w:r>
      <w:r>
        <w:rPr/>
        <w:t>万元；如果实现扣非净利润指标低于上</w:t>
      </w:r>
      <w:r>
        <w:rPr>
          <w:w w:val="100"/>
        </w:rPr>
        <w:t> </w:t>
      </w:r>
      <w:r>
        <w:rPr>
          <w:spacing w:val="-1"/>
        </w:rPr>
        <w:t>述承诺内容，则上述补偿责任人将按照签署的《利润承诺补偿协议书》的约定进行补偿。具体详</w:t>
      </w:r>
      <w:r>
        <w:rPr>
          <w:spacing w:val="-55"/>
        </w:rPr>
        <w:t> </w:t>
      </w:r>
      <w:r>
        <w:rPr>
          <w:spacing w:val="-55"/>
        </w:rPr>
      </w:r>
      <w:r>
        <w:rPr>
          <w:spacing w:val="-1"/>
          <w:w w:val="100"/>
        </w:rPr>
        <w:t>见公司于</w:t>
      </w:r>
      <w:r>
        <w:rPr>
          <w:spacing w:val="-51"/>
          <w:w w:val="100"/>
        </w:rPr>
        <w:t> </w:t>
      </w:r>
      <w:r>
        <w:rPr>
          <w:rFonts w:ascii="Times New Roman" w:hAnsi="Times New Roman" w:cs="Times New Roman" w:eastAsia="Times New Roman" w:hint="default"/>
          <w:spacing w:val="-1"/>
          <w:w w:val="100"/>
        </w:rPr>
        <w:t>2016 </w:t>
      </w:r>
      <w:r>
        <w:rPr>
          <w:w w:val="100"/>
        </w:rPr>
        <w:t>年</w:t>
      </w:r>
      <w:r>
        <w:rPr>
          <w:spacing w:val="-51"/>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 </w:t>
      </w:r>
      <w:r>
        <w:rPr>
          <w:w w:val="100"/>
        </w:rPr>
        <w:t>月</w:t>
      </w:r>
      <w:r>
        <w:rPr>
          <w:spacing w:val="-50"/>
          <w:w w:val="100"/>
        </w:rPr>
        <w:t> </w:t>
      </w:r>
      <w:r>
        <w:rPr>
          <w:rFonts w:ascii="Times New Roman" w:hAnsi="Times New Roman" w:cs="Times New Roman" w:eastAsia="Times New Roman" w:hint="default"/>
          <w:w w:val="100"/>
        </w:rPr>
        <w:t>27</w:t>
      </w:r>
      <w:r>
        <w:rPr>
          <w:rFonts w:ascii="Times New Roman" w:hAnsi="Times New Roman" w:cs="Times New Roman" w:eastAsia="Times New Roman" w:hint="default"/>
          <w:spacing w:val="-1"/>
          <w:w w:val="100"/>
        </w:rPr>
        <w:t> </w:t>
      </w:r>
      <w:r>
        <w:rPr>
          <w:spacing w:val="-8"/>
          <w:w w:val="100"/>
        </w:rPr>
        <w:t>日发布的《公司关于发行股份购买资产相关方承诺事项的公告》（公告编</w:t>
      </w:r>
      <w:r>
        <w:rPr>
          <w:w w:val="100"/>
        </w:rPr>
        <w:t> </w:t>
      </w:r>
      <w:r>
        <w:rPr>
          <w:spacing w:val="-1"/>
          <w:w w:val="100"/>
        </w:rPr>
        <w:t>号：临</w:t>
      </w:r>
      <w:r>
        <w:rPr>
          <w:spacing w:val="-54"/>
          <w:w w:val="100"/>
        </w:rPr>
        <w:t> </w:t>
      </w:r>
      <w:r>
        <w:rPr>
          <w:rFonts w:ascii="Times New Roman" w:hAnsi="Times New Roman" w:cs="Times New Roman" w:eastAsia="Times New Roman" w:hint="default"/>
          <w:spacing w:val="-22"/>
          <w:w w:val="100"/>
        </w:rPr>
        <w:t>2016-017</w:t>
      </w:r>
      <w:r>
        <w:rPr>
          <w:spacing w:val="-22"/>
          <w:w w:val="100"/>
        </w:rPr>
        <w:t>）。</w:t>
      </w:r>
      <w:r>
        <w:rPr>
          <w:w w:val="100"/>
        </w:rPr>
      </w:r>
    </w:p>
    <w:p>
      <w:pPr>
        <w:pStyle w:val="BodyText"/>
        <w:spacing w:line="266" w:lineRule="exact"/>
        <w:ind w:left="558" w:right="0"/>
        <w:jc w:val="left"/>
      </w:pPr>
      <w:r>
        <w:rPr>
          <w:rFonts w:ascii="Times New Roman" w:hAnsi="Times New Roman" w:cs="Times New Roman" w:eastAsia="Times New Roman" w:hint="default"/>
        </w:rPr>
        <w:t>2016   </w:t>
      </w:r>
      <w:r>
        <w:rPr>
          <w:rFonts w:ascii="Times New Roman" w:hAnsi="Times New Roman" w:cs="Times New Roman" w:eastAsia="Times New Roman" w:hint="default"/>
          <w:spacing w:val="3"/>
        </w:rPr>
        <w:t> </w:t>
      </w:r>
      <w:r>
        <w:rPr>
          <w:spacing w:val="12"/>
        </w:rPr>
        <w:t>年度，博辕信息经审计后实现的扣除非经常性损益后归属母公司所有者净利润为</w:t>
      </w:r>
    </w:p>
    <w:p>
      <w:pPr>
        <w:pStyle w:val="BodyText"/>
        <w:spacing w:line="274" w:lineRule="exact" w:before="16"/>
        <w:ind w:right="126"/>
        <w:jc w:val="left"/>
      </w:pPr>
      <w:r>
        <w:rPr>
          <w:rFonts w:ascii="Times New Roman" w:hAnsi="Times New Roman" w:cs="Times New Roman" w:eastAsia="Times New Roman" w:hint="default"/>
        </w:rPr>
        <w:t>5,706.66</w:t>
      </w:r>
      <w:r>
        <w:rPr>
          <w:rFonts w:ascii="Times New Roman" w:hAnsi="Times New Roman" w:cs="Times New Roman" w:eastAsia="Times New Roman" w:hint="default"/>
          <w:spacing w:val="9"/>
        </w:rPr>
        <w:t> </w:t>
      </w:r>
      <w:r>
        <w:rPr/>
        <w:t>万元，完成业绩承诺的</w:t>
      </w:r>
      <w:r>
        <w:rPr>
          <w:spacing w:val="-43"/>
        </w:rPr>
        <w:t> </w:t>
      </w:r>
      <w:r>
        <w:rPr>
          <w:rFonts w:ascii="Times New Roman" w:hAnsi="Times New Roman" w:cs="Times New Roman" w:eastAsia="Times New Roman" w:hint="default"/>
        </w:rPr>
        <w:t>103.76%</w:t>
      </w:r>
      <w:r>
        <w:rPr/>
        <w:t>，超过业绩承诺数</w:t>
      </w:r>
      <w:r>
        <w:rPr>
          <w:spacing w:val="-43"/>
        </w:rPr>
        <w:t> </w:t>
      </w:r>
      <w:r>
        <w:rPr>
          <w:rFonts w:ascii="Times New Roman" w:hAnsi="Times New Roman" w:cs="Times New Roman" w:eastAsia="Times New Roman" w:hint="default"/>
        </w:rPr>
        <w:t>206.66</w:t>
      </w:r>
      <w:r>
        <w:rPr>
          <w:rFonts w:ascii="Times New Roman" w:hAnsi="Times New Roman" w:cs="Times New Roman" w:eastAsia="Times New Roman" w:hint="default"/>
          <w:spacing w:val="9"/>
        </w:rPr>
        <w:t> </w:t>
      </w:r>
      <w:r>
        <w:rPr/>
        <w:t>万元，业绩承诺方无需履行补</w:t>
      </w:r>
      <w:r>
        <w:rPr>
          <w:w w:val="100"/>
        </w:rPr>
        <w:t> </w:t>
      </w:r>
      <w:r>
        <w:rPr/>
        <w:t>偿义务。</w:t>
      </w:r>
    </w:p>
    <w:p>
      <w:pPr>
        <w:pStyle w:val="BodyText"/>
        <w:spacing w:line="253" w:lineRule="exact"/>
        <w:ind w:left="558" w:right="0"/>
        <w:jc w:val="left"/>
      </w:pPr>
      <w:r>
        <w:rPr>
          <w:rFonts w:ascii="Times New Roman" w:hAnsi="Times New Roman" w:cs="Times New Roman" w:eastAsia="Times New Roman" w:hint="default"/>
        </w:rPr>
        <w:t>2017  </w:t>
      </w:r>
      <w:r>
        <w:rPr>
          <w:rFonts w:ascii="Times New Roman" w:hAnsi="Times New Roman" w:cs="Times New Roman" w:eastAsia="Times New Roman" w:hint="default"/>
          <w:spacing w:val="50"/>
        </w:rPr>
        <w:t> </w:t>
      </w:r>
      <w:r>
        <w:rPr>
          <w:spacing w:val="12"/>
        </w:rPr>
        <w:t>年度，博辕信息经审计后实现的扣除非经常性损益后归属母公司所有者净利润为</w:t>
      </w:r>
    </w:p>
    <w:p>
      <w:pPr>
        <w:pStyle w:val="BodyText"/>
        <w:spacing w:line="272" w:lineRule="exact" w:before="19"/>
        <w:ind w:right="126"/>
        <w:jc w:val="left"/>
      </w:pPr>
      <w:r>
        <w:rPr>
          <w:rFonts w:ascii="Times New Roman" w:hAnsi="Times New Roman" w:cs="Times New Roman" w:eastAsia="Times New Roman" w:hint="default"/>
        </w:rPr>
        <w:t>7,439.04</w:t>
      </w:r>
      <w:r>
        <w:rPr>
          <w:rFonts w:ascii="Times New Roman" w:hAnsi="Times New Roman" w:cs="Times New Roman" w:eastAsia="Times New Roman" w:hint="default"/>
          <w:spacing w:val="10"/>
        </w:rPr>
        <w:t> </w:t>
      </w:r>
      <w:r>
        <w:rPr/>
        <w:t>万元，完成业绩承诺数的</w:t>
      </w:r>
      <w:r>
        <w:rPr>
          <w:spacing w:val="-42"/>
        </w:rPr>
        <w:t> </w:t>
      </w:r>
      <w:r>
        <w:rPr>
          <w:rFonts w:ascii="Times New Roman" w:hAnsi="Times New Roman" w:cs="Times New Roman" w:eastAsia="Times New Roman" w:hint="default"/>
        </w:rPr>
        <w:t>104.04%</w:t>
      </w:r>
      <w:r>
        <w:rPr/>
        <w:t>，超过业绩承诺数</w:t>
      </w:r>
      <w:r>
        <w:rPr>
          <w:spacing w:val="-43"/>
        </w:rPr>
        <w:t> </w:t>
      </w:r>
      <w:r>
        <w:rPr>
          <w:rFonts w:ascii="Times New Roman" w:hAnsi="Times New Roman" w:cs="Times New Roman" w:eastAsia="Times New Roman" w:hint="default"/>
        </w:rPr>
        <w:t>289.04</w:t>
      </w:r>
      <w:r>
        <w:rPr>
          <w:rFonts w:ascii="Times New Roman" w:hAnsi="Times New Roman" w:cs="Times New Roman" w:eastAsia="Times New Roman" w:hint="default"/>
          <w:spacing w:val="7"/>
        </w:rPr>
        <w:t> </w:t>
      </w:r>
      <w:r>
        <w:rPr/>
        <w:t>万元，业绩承诺方无需履行</w:t>
      </w:r>
      <w:r>
        <w:rPr>
          <w:w w:val="100"/>
        </w:rPr>
        <w:t> </w:t>
      </w:r>
      <w:r>
        <w:rPr/>
        <w:t>补偿义务。</w:t>
      </w:r>
    </w:p>
    <w:p>
      <w:pPr>
        <w:pStyle w:val="BodyText"/>
        <w:spacing w:line="228" w:lineRule="auto"/>
        <w:ind w:right="127" w:firstLine="419"/>
        <w:jc w:val="both"/>
      </w:pPr>
      <w:r>
        <w:rPr>
          <w:rFonts w:ascii="Times New Roman" w:hAnsi="Times New Roman" w:cs="Times New Roman" w:eastAsia="Times New Roman" w:hint="default"/>
          <w:spacing w:val="-19"/>
          <w:w w:val="100"/>
        </w:rPr>
        <w:t>3</w:t>
      </w:r>
      <w:r>
        <w:rPr>
          <w:spacing w:val="-19"/>
          <w:w w:val="100"/>
        </w:rPr>
        <w:t>、</w:t>
      </w:r>
      <w:r>
        <w:rPr>
          <w:rFonts w:ascii="Times New Roman" w:hAnsi="Times New Roman" w:cs="Times New Roman" w:eastAsia="Times New Roman" w:hint="default"/>
          <w:spacing w:val="-19"/>
          <w:w w:val="100"/>
        </w:rPr>
        <w:t>2017</w:t>
      </w:r>
      <w:r>
        <w:rPr>
          <w:rFonts w:ascii="Times New Roman" w:hAnsi="Times New Roman" w:cs="Times New Roman" w:eastAsia="Times New Roman" w:hint="default"/>
          <w:spacing w:val="-1"/>
          <w:w w:val="100"/>
        </w:rPr>
        <w:t> </w:t>
      </w:r>
      <w:r>
        <w:rPr>
          <w:w w:val="100"/>
        </w:rPr>
        <w:t>年</w:t>
      </w:r>
      <w:r>
        <w:rPr>
          <w:spacing w:val="-53"/>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 </w:t>
      </w:r>
      <w:r>
        <w:rPr>
          <w:spacing w:val="-2"/>
          <w:w w:val="100"/>
        </w:rPr>
        <w:t>月公司以</w:t>
      </w:r>
      <w:r>
        <w:rPr>
          <w:spacing w:val="-50"/>
          <w:w w:val="100"/>
        </w:rPr>
        <w:t> </w:t>
      </w:r>
      <w:r>
        <w:rPr>
          <w:rFonts w:ascii="Times New Roman" w:hAnsi="Times New Roman" w:cs="Times New Roman" w:eastAsia="Times New Roman" w:hint="default"/>
          <w:spacing w:val="-1"/>
          <w:w w:val="100"/>
        </w:rPr>
        <w:t>49,000</w:t>
      </w:r>
      <w:r>
        <w:rPr>
          <w:rFonts w:ascii="Times New Roman" w:hAnsi="Times New Roman" w:cs="Times New Roman" w:eastAsia="Times New Roman" w:hint="default"/>
          <w:spacing w:val="3"/>
          <w:w w:val="100"/>
        </w:rPr>
        <w:t> </w:t>
      </w:r>
      <w:r>
        <w:rPr>
          <w:spacing w:val="-2"/>
          <w:w w:val="100"/>
        </w:rPr>
        <w:t>万元现金购买上海红生系统工程有限公司全体股东持有的</w:t>
      </w:r>
      <w:r>
        <w:rPr>
          <w:spacing w:val="-53"/>
          <w:w w:val="100"/>
        </w:rPr>
        <w:t> </w:t>
      </w:r>
      <w:r>
        <w:rPr>
          <w:rFonts w:ascii="Times New Roman" w:hAnsi="Times New Roman" w:cs="Times New Roman" w:eastAsia="Times New Roman" w:hint="default"/>
          <w:w w:val="100"/>
        </w:rPr>
        <w:t>100% </w:t>
      </w:r>
      <w:r>
        <w:rPr>
          <w:spacing w:val="-3"/>
        </w:rPr>
        <w:t>股权。交易对方赫甄合伙和潘红生承诺标的公司在盈利承诺期内各年度的净利润数如下：</w:t>
      </w:r>
      <w:r>
        <w:rPr>
          <w:rFonts w:ascii="Times New Roman" w:hAnsi="Times New Roman" w:cs="Times New Roman" w:eastAsia="Times New Roman" w:hint="default"/>
          <w:spacing w:val="-3"/>
        </w:rPr>
        <w:t>2017 </w:t>
      </w:r>
      <w:r>
        <w:rPr/>
        <w:t>年</w:t>
      </w:r>
      <w:r>
        <w:rPr>
          <w:spacing w:val="-72"/>
        </w:rPr>
        <w:t> </w:t>
      </w:r>
      <w:r>
        <w:rPr/>
        <w:t>度：</w:t>
      </w:r>
      <w:r>
        <w:rPr>
          <w:rFonts w:ascii="Times New Roman" w:hAnsi="Times New Roman" w:cs="Times New Roman" w:eastAsia="Times New Roman" w:hint="default"/>
        </w:rPr>
        <w:t>4,000 </w:t>
      </w:r>
      <w:r>
        <w:rPr/>
        <w:t>万元；</w:t>
      </w:r>
      <w:r>
        <w:rPr>
          <w:rFonts w:ascii="Times New Roman" w:hAnsi="Times New Roman" w:cs="Times New Roman" w:eastAsia="Times New Roman" w:hint="default"/>
        </w:rPr>
        <w:t>2018 </w:t>
      </w:r>
      <w:r>
        <w:rPr/>
        <w:t>年度：</w:t>
      </w:r>
      <w:r>
        <w:rPr>
          <w:rFonts w:ascii="Times New Roman" w:hAnsi="Times New Roman" w:cs="Times New Roman" w:eastAsia="Times New Roman" w:hint="default"/>
        </w:rPr>
        <w:t>4,800 </w:t>
      </w:r>
      <w:r>
        <w:rPr/>
        <w:t>万元；</w:t>
      </w:r>
      <w:r>
        <w:rPr>
          <w:rFonts w:ascii="Times New Roman" w:hAnsi="Times New Roman" w:cs="Times New Roman" w:eastAsia="Times New Roman" w:hint="default"/>
        </w:rPr>
        <w:t>2019 </w:t>
      </w:r>
      <w:r>
        <w:rPr/>
        <w:t>年度：</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万元。如果实现的净利润指标低于上</w:t>
      </w:r>
      <w:r>
        <w:rPr>
          <w:w w:val="100"/>
        </w:rPr>
        <w:t> </w:t>
      </w:r>
      <w:r>
        <w:rPr>
          <w:spacing w:val="-1"/>
        </w:rPr>
        <w:t>述承诺，则业绩承诺责任人将按照签署的《利润补偿协议》的约定，以现金或者共管账户中的泰</w:t>
      </w:r>
      <w:r>
        <w:rPr>
          <w:spacing w:val="-55"/>
        </w:rPr>
        <w:t> </w:t>
      </w:r>
      <w:r>
        <w:rPr>
          <w:spacing w:val="-55"/>
        </w:rPr>
      </w:r>
      <w:r>
        <w:rPr/>
        <w:t>豪科技股份进行补偿。具体详见公司于</w:t>
      </w:r>
      <w:r>
        <w:rPr>
          <w:spacing w:val="-50"/>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6 </w:t>
      </w:r>
      <w:r>
        <w:rPr/>
        <w:t>月</w:t>
      </w:r>
      <w:r>
        <w:rPr>
          <w:spacing w:val="-50"/>
        </w:rPr>
        <w:t> </w:t>
      </w:r>
      <w:r>
        <w:rPr>
          <w:rFonts w:ascii="Times New Roman" w:hAnsi="Times New Roman" w:cs="Times New Roman" w:eastAsia="Times New Roman" w:hint="default"/>
        </w:rPr>
        <w:t>16 </w:t>
      </w:r>
      <w:r>
        <w:rPr/>
        <w:t>日发布的《公司关于收购上海红生系统工</w:t>
      </w:r>
      <w:r>
        <w:rPr>
          <w:w w:val="100"/>
        </w:rPr>
        <w:t> </w:t>
      </w:r>
      <w:r>
        <w:rPr>
          <w:spacing w:val="-2"/>
          <w:w w:val="100"/>
        </w:rPr>
        <w:t>程有限公司</w:t>
      </w:r>
      <w:r>
        <w:rPr>
          <w:spacing w:val="-44"/>
          <w:w w:val="100"/>
        </w:rPr>
        <w:t> </w:t>
      </w:r>
      <w:r>
        <w:rPr>
          <w:rFonts w:ascii="Times New Roman" w:hAnsi="Times New Roman" w:cs="Times New Roman" w:eastAsia="Times New Roman" w:hint="default"/>
          <w:spacing w:val="-8"/>
          <w:w w:val="100"/>
        </w:rPr>
        <w:t>100%</w:t>
      </w:r>
      <w:r>
        <w:rPr>
          <w:spacing w:val="-8"/>
          <w:w w:val="100"/>
        </w:rPr>
        <w:t>股权的公告》（公告编号：临</w:t>
      </w:r>
      <w:r>
        <w:rPr>
          <w:spacing w:val="-47"/>
          <w:w w:val="100"/>
        </w:rPr>
        <w:t> </w:t>
      </w:r>
      <w:r>
        <w:rPr>
          <w:rFonts w:ascii="Times New Roman" w:hAnsi="Times New Roman" w:cs="Times New Roman" w:eastAsia="Times New Roman" w:hint="default"/>
          <w:spacing w:val="-22"/>
          <w:w w:val="100"/>
        </w:rPr>
        <w:t>2017-053</w:t>
      </w:r>
      <w:r>
        <w:rPr>
          <w:spacing w:val="-22"/>
          <w:w w:val="100"/>
        </w:rPr>
        <w:t>）。</w:t>
      </w:r>
      <w:r>
        <w:rPr>
          <w:w w:val="100"/>
        </w:rPr>
      </w:r>
    </w:p>
    <w:p>
      <w:pPr>
        <w:pStyle w:val="BodyText"/>
        <w:spacing w:line="265" w:lineRule="exact"/>
        <w:ind w:left="55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年度，上海红生经审计后实现的净利润为</w:t>
      </w:r>
      <w:r>
        <w:rPr>
          <w:spacing w:val="-57"/>
        </w:rPr>
        <w:t> </w:t>
      </w:r>
      <w:r>
        <w:rPr>
          <w:rFonts w:ascii="Times New Roman" w:hAnsi="Times New Roman" w:cs="Times New Roman" w:eastAsia="Times New Roman" w:hint="default"/>
        </w:rPr>
        <w:t>4,155.71</w:t>
      </w:r>
      <w:r>
        <w:rPr>
          <w:rFonts w:ascii="Times New Roman" w:hAnsi="Times New Roman" w:cs="Times New Roman" w:eastAsia="Times New Roman" w:hint="default"/>
          <w:spacing w:val="-5"/>
        </w:rPr>
        <w:t> </w:t>
      </w:r>
      <w:r>
        <w:rPr/>
        <w:t>万元，完成业绩承诺的</w:t>
      </w:r>
      <w:r>
        <w:rPr>
          <w:spacing w:val="-58"/>
        </w:rPr>
        <w:t> </w:t>
      </w:r>
      <w:r>
        <w:rPr>
          <w:rFonts w:ascii="Times New Roman" w:hAnsi="Times New Roman" w:cs="Times New Roman" w:eastAsia="Times New Roman" w:hint="default"/>
        </w:rPr>
        <w:t>103.89%</w:t>
      </w:r>
      <w:r>
        <w:rPr/>
        <w:t>，超</w:t>
      </w:r>
    </w:p>
    <w:p>
      <w:pPr>
        <w:pStyle w:val="BodyText"/>
        <w:spacing w:line="282" w:lineRule="exact"/>
        <w:ind w:right="0"/>
        <w:jc w:val="both"/>
      </w:pPr>
      <w:r>
        <w:rPr/>
        <w:t>过业绩承诺数</w:t>
      </w:r>
      <w:r>
        <w:rPr>
          <w:spacing w:val="-56"/>
        </w:rPr>
        <w:t> </w:t>
      </w:r>
      <w:r>
        <w:rPr>
          <w:rFonts w:ascii="Times New Roman" w:hAnsi="Times New Roman" w:cs="Times New Roman" w:eastAsia="Times New Roman" w:hint="default"/>
        </w:rPr>
        <w:t>155.71</w:t>
      </w:r>
      <w:r>
        <w:rPr>
          <w:rFonts w:ascii="Times New Roman" w:hAnsi="Times New Roman" w:cs="Times New Roman" w:eastAsia="Times New Roman" w:hint="default"/>
          <w:spacing w:val="-3"/>
        </w:rPr>
        <w:t> </w:t>
      </w:r>
      <w:r>
        <w:rPr/>
        <w:t>万元，业绩承诺方无需履行补偿义务。</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t>三、报告期内资金被占用情况及清欠进展情况</w:t>
      </w:r>
      <w:r>
        <w:rPr>
          <w:b w:val="0"/>
          <w:bCs w:val="0"/>
        </w:rPr>
      </w:r>
    </w:p>
    <w:p>
      <w:pPr>
        <w:spacing w:line="276" w:lineRule="auto" w:before="56"/>
        <w:ind w:left="138" w:right="23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5"/>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both"/>
        <w:sectPr>
          <w:headerReference w:type="default" r:id="rId20"/>
          <w:footerReference w:type="default" r:id="rId21"/>
          <w:pgSz w:w="11910" w:h="16840"/>
          <w:pgMar w:header="882" w:footer="1195" w:top="1120" w:bottom="1380" w:left="1660" w:right="1140"/>
          <w:pgNumType w:start="34"/>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left="218" w:right="0"/>
        <w:jc w:val="left"/>
        <w:rPr>
          <w:b w:val="0"/>
          <w:bCs w:val="0"/>
        </w:rPr>
      </w:pPr>
      <w:r>
        <w:rPr/>
        <w:t>五、公司对会计政策、会计估计变更或重大会计差错更正原因和影响的分析说明</w:t>
      </w:r>
      <w:r>
        <w:rPr>
          <w:b w:val="0"/>
          <w:bCs w:val="0"/>
        </w:rPr>
      </w:r>
    </w:p>
    <w:p>
      <w:pPr>
        <w:pStyle w:val="Heading2"/>
        <w:tabs>
          <w:tab w:pos="1057" w:val="left" w:leader="none"/>
        </w:tabs>
        <w:spacing w:line="240" w:lineRule="auto" w:before="58"/>
        <w:ind w:left="218" w:right="0"/>
        <w:jc w:val="left"/>
        <w:rPr>
          <w:b w:val="0"/>
          <w:bCs w:val="0"/>
        </w:rPr>
      </w:pPr>
      <w:r>
        <w:rPr/>
        <w:t>（一）</w:t>
        <w:tab/>
        <w:t>公司对会计政策、会计估计变更原因及影响的分析说明</w:t>
      </w:r>
      <w:r>
        <w:rPr>
          <w:b w:val="0"/>
          <w:bCs w:val="0"/>
        </w:rPr>
      </w:r>
    </w:p>
    <w:p>
      <w:pPr>
        <w:pStyle w:val="BodyText"/>
        <w:tabs>
          <w:tab w:pos="1060" w:val="left" w:leader="none"/>
        </w:tabs>
        <w:spacing w:line="273" w:lineRule="exact" w:before="56"/>
        <w:ind w:left="218" w:right="0"/>
        <w:jc w:val="left"/>
      </w:pPr>
      <w:r>
        <w:rPr/>
        <w:t>√适用</w:t>
        <w:tab/>
        <w:t>□不适用</w:t>
      </w:r>
    </w:p>
    <w:p>
      <w:pPr>
        <w:pStyle w:val="BodyText"/>
        <w:spacing w:line="280" w:lineRule="exact"/>
        <w:ind w:left="638" w:right="0"/>
        <w:jc w:val="left"/>
      </w:pPr>
      <w:r>
        <w:rPr/>
        <w:t>财政部于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年度发布了《企业会计准则第</w:t>
      </w:r>
      <w:r>
        <w:rPr>
          <w:spacing w:val="-51"/>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号——持有待售的非流动资产、处置组和终</w:t>
      </w:r>
    </w:p>
    <w:p>
      <w:pPr>
        <w:pStyle w:val="BodyText"/>
        <w:spacing w:line="272" w:lineRule="exact" w:before="19"/>
        <w:ind w:left="218" w:right="0"/>
        <w:jc w:val="left"/>
      </w:pPr>
      <w:r>
        <w:rPr>
          <w:spacing w:val="-24"/>
          <w:w w:val="100"/>
        </w:rPr>
        <w:t>止经营》，自</w:t>
      </w:r>
      <w:r>
        <w:rPr>
          <w:spacing w:val="-51"/>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spacing w:val="-2"/>
          <w:w w:val="100"/>
        </w:rPr>
        <w:t>28</w:t>
      </w:r>
      <w:r>
        <w:rPr>
          <w:rFonts w:ascii="Times New Roman" w:hAnsi="Times New Roman" w:cs="Times New Roman" w:eastAsia="Times New Roman" w:hint="default"/>
          <w:spacing w:val="2"/>
          <w:w w:val="100"/>
        </w:rPr>
        <w:t> </w:t>
      </w:r>
      <w:r>
        <w:rPr>
          <w:spacing w:val="-4"/>
          <w:w w:val="100"/>
        </w:rPr>
        <w:t>日起施行，对于施行日存在的持有待售的非流动资产、处置组和终止</w:t>
      </w:r>
      <w:r>
        <w:rPr>
          <w:w w:val="100"/>
        </w:rPr>
        <w:t> </w:t>
      </w:r>
      <w:r>
        <w:rPr/>
        <w:t>经营，要求采用未来适用法处理。</w:t>
      </w:r>
    </w:p>
    <w:p>
      <w:pPr>
        <w:pStyle w:val="BodyText"/>
        <w:spacing w:line="255" w:lineRule="exact"/>
        <w:ind w:left="638" w:right="0"/>
        <w:jc w:val="left"/>
      </w:pPr>
      <w:r>
        <w:rPr>
          <w:w w:val="100"/>
        </w:rPr>
        <w:t>财政</w:t>
      </w:r>
      <w:r>
        <w:rPr>
          <w:spacing w:val="-3"/>
          <w:w w:val="100"/>
        </w:rPr>
        <w:t>部</w:t>
      </w:r>
      <w:r>
        <w:rPr>
          <w:w w:val="100"/>
        </w:rPr>
        <w:t>于</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w w:val="100"/>
        </w:rPr>
        <w:t>年</w:t>
      </w:r>
      <w:r>
        <w:rPr>
          <w:spacing w:val="-3"/>
          <w:w w:val="100"/>
        </w:rPr>
        <w:t>度</w:t>
      </w:r>
      <w:r>
        <w:rPr>
          <w:w w:val="100"/>
        </w:rPr>
        <w:t>修</w:t>
      </w:r>
      <w:r>
        <w:rPr>
          <w:spacing w:val="-3"/>
          <w:w w:val="100"/>
        </w:rPr>
        <w:t>订了</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rPr>
        <w:t> </w:t>
      </w:r>
      <w:r>
        <w:rPr>
          <w:spacing w:val="-3"/>
          <w:w w:val="100"/>
        </w:rPr>
        <w:t>号—</w:t>
      </w:r>
      <w:r>
        <w:rPr>
          <w:w w:val="100"/>
        </w:rPr>
        <w:t>—政</w:t>
      </w:r>
      <w:r>
        <w:rPr>
          <w:spacing w:val="-3"/>
          <w:w w:val="100"/>
        </w:rPr>
        <w:t>府</w:t>
      </w:r>
      <w:r>
        <w:rPr>
          <w:w w:val="100"/>
        </w:rPr>
        <w:t>补</w:t>
      </w:r>
      <w:r>
        <w:rPr>
          <w:spacing w:val="-3"/>
          <w:w w:val="100"/>
        </w:rPr>
        <w:t>助</w:t>
      </w:r>
      <w:r>
        <w:rPr>
          <w:spacing w:val="-106"/>
          <w:w w:val="100"/>
        </w:rPr>
        <w:t>》</w:t>
      </w:r>
      <w:r>
        <w:rPr>
          <w:spacing w:val="-3"/>
          <w:w w:val="100"/>
        </w:rPr>
        <w:t>，</w:t>
      </w:r>
      <w:r>
        <w:rPr>
          <w:w w:val="100"/>
        </w:rPr>
        <w:t>修</w:t>
      </w:r>
      <w:r>
        <w:rPr>
          <w:spacing w:val="-3"/>
          <w:w w:val="100"/>
        </w:rPr>
        <w:t>订</w:t>
      </w:r>
      <w:r>
        <w:rPr>
          <w:w w:val="100"/>
        </w:rPr>
        <w:t>后</w:t>
      </w:r>
      <w:r>
        <w:rPr>
          <w:spacing w:val="-3"/>
          <w:w w:val="100"/>
        </w:rPr>
        <w:t>的准</w:t>
      </w:r>
      <w:r>
        <w:rPr>
          <w:w w:val="100"/>
        </w:rPr>
        <w:t>则自</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w w:val="100"/>
        </w:rPr>
        <w:t>年</w:t>
      </w:r>
    </w:p>
    <w:p>
      <w:pPr>
        <w:pStyle w:val="BodyText"/>
        <w:spacing w:line="272" w:lineRule="exact"/>
        <w:ind w:left="218" w:right="0"/>
        <w:jc w:val="left"/>
        <w:rPr>
          <w:rFonts w:ascii="Times New Roman" w:hAnsi="Times New Roman" w:cs="Times New Roman" w:eastAsia="Times New Roman" w:hint="default"/>
        </w:rPr>
      </w:pPr>
      <w:r>
        <w:rPr>
          <w:rFonts w:ascii="Times New Roman" w:hAnsi="Times New Roman" w:cs="Times New Roman" w:eastAsia="Times New Roman" w:hint="default"/>
        </w:rPr>
        <w:t>6 </w:t>
      </w:r>
      <w:r>
        <w:rPr/>
        <w:t>月</w:t>
      </w:r>
      <w:r>
        <w:rPr>
          <w:spacing w:val="-53"/>
        </w:rPr>
        <w:t> </w:t>
      </w:r>
      <w:r>
        <w:rPr>
          <w:rFonts w:ascii="Times New Roman" w:hAnsi="Times New Roman" w:cs="Times New Roman" w:eastAsia="Times New Roman" w:hint="default"/>
        </w:rPr>
        <w:t>12 </w:t>
      </w:r>
      <w:r>
        <w:rPr/>
        <w:t>日起施行，对于</w:t>
      </w:r>
      <w:r>
        <w:rPr>
          <w:spacing w:val="-52"/>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日存在的政府补助，要求采用未来适用法处理；对于</w:t>
      </w:r>
      <w:r>
        <w:rPr>
          <w:spacing w:val="-52"/>
        </w:rPr>
        <w:t> </w:t>
      </w:r>
      <w:r>
        <w:rPr>
          <w:rFonts w:ascii="Times New Roman" w:hAnsi="Times New Roman" w:cs="Times New Roman" w:eastAsia="Times New Roman" w:hint="default"/>
        </w:rPr>
        <w:t>2017</w:t>
      </w:r>
    </w:p>
    <w:p>
      <w:pPr>
        <w:pStyle w:val="BodyText"/>
        <w:spacing w:line="272" w:lineRule="exact"/>
        <w:ind w:left="218" w:right="0"/>
        <w:jc w:val="left"/>
      </w:pP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日至施行日新增的政府补助，也要求按照修订后的准则进行调整。</w:t>
      </w:r>
    </w:p>
    <w:p>
      <w:pPr>
        <w:pStyle w:val="BodyText"/>
        <w:spacing w:line="272" w:lineRule="exact"/>
        <w:ind w:left="638" w:right="0"/>
        <w:jc w:val="left"/>
      </w:pPr>
      <w:r>
        <w:rPr>
          <w:w w:val="100"/>
        </w:rPr>
        <w:t>财政</w:t>
      </w:r>
      <w:r>
        <w:rPr>
          <w:spacing w:val="-3"/>
          <w:w w:val="100"/>
        </w:rPr>
        <w:t>部</w:t>
      </w:r>
      <w:r>
        <w:rPr>
          <w:w w:val="100"/>
        </w:rPr>
        <w:t>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3"/>
        </w:rPr>
        <w:t> </w:t>
      </w:r>
      <w:r>
        <w:rPr>
          <w:w w:val="100"/>
        </w:rPr>
        <w:t>年</w:t>
      </w:r>
      <w:r>
        <w:rPr>
          <w:spacing w:val="-3"/>
          <w:w w:val="100"/>
        </w:rPr>
        <w:t>度</w:t>
      </w:r>
      <w:r>
        <w:rPr>
          <w:w w:val="100"/>
        </w:rPr>
        <w:t>发</w:t>
      </w:r>
      <w:r>
        <w:rPr>
          <w:spacing w:val="-3"/>
          <w:w w:val="100"/>
        </w:rPr>
        <w:t>布</w:t>
      </w:r>
      <w:r>
        <w:rPr>
          <w:spacing w:val="-104"/>
          <w:w w:val="100"/>
        </w:rPr>
        <w:t>了</w:t>
      </w:r>
      <w:r>
        <w:rPr>
          <w:w w:val="100"/>
        </w:rPr>
        <w:t>《财</w:t>
      </w:r>
      <w:r>
        <w:rPr>
          <w:spacing w:val="-3"/>
          <w:w w:val="100"/>
        </w:rPr>
        <w:t>政</w:t>
      </w:r>
      <w:r>
        <w:rPr>
          <w:w w:val="100"/>
        </w:rPr>
        <w:t>部</w:t>
      </w:r>
      <w:r>
        <w:rPr>
          <w:spacing w:val="-3"/>
          <w:w w:val="100"/>
        </w:rPr>
        <w:t>关</w:t>
      </w:r>
      <w:r>
        <w:rPr>
          <w:w w:val="100"/>
        </w:rPr>
        <w:t>于</w:t>
      </w:r>
      <w:r>
        <w:rPr>
          <w:spacing w:val="-3"/>
          <w:w w:val="100"/>
        </w:rPr>
        <w:t>修</w:t>
      </w:r>
      <w:r>
        <w:rPr>
          <w:w w:val="100"/>
        </w:rPr>
        <w:t>订</w:t>
      </w:r>
      <w:r>
        <w:rPr>
          <w:spacing w:val="-3"/>
          <w:w w:val="100"/>
        </w:rPr>
        <w:t>印</w:t>
      </w:r>
      <w:r>
        <w:rPr>
          <w:w w:val="100"/>
        </w:rPr>
        <w:t>发</w:t>
      </w:r>
      <w:r>
        <w:rPr>
          <w:spacing w:val="-3"/>
          <w:w w:val="100"/>
        </w:rPr>
        <w:t>一般</w:t>
      </w:r>
      <w:r>
        <w:rPr>
          <w:w w:val="100"/>
        </w:rPr>
        <w:t>企业</w:t>
      </w:r>
      <w:r>
        <w:rPr>
          <w:spacing w:val="-3"/>
          <w:w w:val="100"/>
        </w:rPr>
        <w:t>财</w:t>
      </w:r>
      <w:r>
        <w:rPr>
          <w:w w:val="100"/>
        </w:rPr>
        <w:t>务</w:t>
      </w:r>
      <w:r>
        <w:rPr>
          <w:spacing w:val="-3"/>
          <w:w w:val="100"/>
        </w:rPr>
        <w:t>报</w:t>
      </w:r>
      <w:r>
        <w:rPr>
          <w:w w:val="100"/>
        </w:rPr>
        <w:t>表</w:t>
      </w:r>
      <w:r>
        <w:rPr>
          <w:spacing w:val="-3"/>
          <w:w w:val="100"/>
        </w:rPr>
        <w:t>格</w:t>
      </w:r>
      <w:r>
        <w:rPr>
          <w:w w:val="100"/>
        </w:rPr>
        <w:t>式</w:t>
      </w:r>
      <w:r>
        <w:rPr>
          <w:spacing w:val="-3"/>
          <w:w w:val="100"/>
        </w:rPr>
        <w:t>的</w:t>
      </w:r>
      <w:r>
        <w:rPr>
          <w:w w:val="100"/>
        </w:rPr>
        <w:t>通</w:t>
      </w:r>
      <w:r>
        <w:rPr>
          <w:spacing w:val="-3"/>
          <w:w w:val="100"/>
        </w:rPr>
        <w:t>知</w:t>
      </w:r>
      <w:r>
        <w:rPr>
          <w:spacing w:val="-209"/>
          <w:w w:val="100"/>
        </w:rPr>
        <w:t>》</w:t>
      </w:r>
      <w:r>
        <w:rPr>
          <w:w w:val="100"/>
        </w:rPr>
        <w:t>（财</w:t>
      </w:r>
      <w:r>
        <w:rPr>
          <w:spacing w:val="-104"/>
          <w:w w:val="100"/>
        </w:rPr>
        <w:t>会</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w w:val="100"/>
        </w:rPr>
        <w:t>〕</w:t>
      </w:r>
    </w:p>
    <w:p>
      <w:pPr>
        <w:pStyle w:val="BodyText"/>
        <w:spacing w:line="272" w:lineRule="exact" w:before="19"/>
        <w:ind w:left="218" w:right="0"/>
        <w:jc w:val="left"/>
      </w:pPr>
      <w:r>
        <w:rPr>
          <w:rFonts w:ascii="Times New Roman" w:hAnsi="Times New Roman" w:cs="Times New Roman" w:eastAsia="Times New Roman" w:hint="default"/>
          <w:w w:val="100"/>
        </w:rPr>
        <w:t>30</w:t>
      </w:r>
      <w:r>
        <w:rPr>
          <w:rFonts w:ascii="Times New Roman" w:hAnsi="Times New Roman" w:cs="Times New Roman" w:eastAsia="Times New Roman" w:hint="default"/>
          <w:spacing w:val="10"/>
          <w:w w:val="100"/>
        </w:rPr>
        <w:t> </w:t>
      </w:r>
      <w:r>
        <w:rPr>
          <w:spacing w:val="-7"/>
          <w:w w:val="100"/>
        </w:rPr>
        <w:t>号），执行企业会计准则的企业应按照企业会计准则和该通知要求编制</w:t>
      </w:r>
      <w:r>
        <w:rPr>
          <w:spacing w:val="-43"/>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8"/>
          <w:w w:val="100"/>
        </w:rPr>
        <w:t> </w:t>
      </w:r>
      <w:r>
        <w:rPr>
          <w:spacing w:val="-2"/>
          <w:w w:val="100"/>
        </w:rPr>
        <w:t>年度及以后期间的</w:t>
      </w:r>
      <w:r>
        <w:rPr>
          <w:spacing w:val="-102"/>
          <w:w w:val="100"/>
        </w:rPr>
        <w:t> </w:t>
      </w:r>
      <w:r>
        <w:rPr>
          <w:spacing w:val="-102"/>
          <w:w w:val="100"/>
        </w:rPr>
      </w:r>
      <w:r>
        <w:rPr/>
        <w:t>财务报表。</w:t>
      </w:r>
    </w:p>
    <w:p>
      <w:pPr>
        <w:pStyle w:val="BodyText"/>
        <w:spacing w:line="265" w:lineRule="exact"/>
        <w:ind w:left="638" w:right="0"/>
        <w:jc w:val="left"/>
      </w:pPr>
      <w:r>
        <w:rPr>
          <w:spacing w:val="-2"/>
        </w:rPr>
        <w:t>本公司执行上述两项准则和财会〔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2"/>
        </w:rPr>
        <w:t>号的主要影响如下：</w:t>
      </w:r>
    </w:p>
    <w:tbl>
      <w:tblPr>
        <w:tblW w:w="0" w:type="auto"/>
        <w:jc w:val="left"/>
        <w:tblInd w:w="244" w:type="dxa"/>
        <w:tblLayout w:type="fixed"/>
        <w:tblCellMar>
          <w:top w:w="0" w:type="dxa"/>
          <w:left w:w="0" w:type="dxa"/>
          <w:bottom w:w="0" w:type="dxa"/>
          <w:right w:w="0" w:type="dxa"/>
        </w:tblCellMar>
        <w:tblLook w:val="01E0"/>
      </w:tblPr>
      <w:tblGrid>
        <w:gridCol w:w="2187"/>
        <w:gridCol w:w="1512"/>
        <w:gridCol w:w="1316"/>
        <w:gridCol w:w="1325"/>
        <w:gridCol w:w="1222"/>
        <w:gridCol w:w="1176"/>
      </w:tblGrid>
      <w:tr>
        <w:trPr>
          <w:trHeight w:val="722" w:hRule="exact"/>
        </w:trPr>
        <w:tc>
          <w:tcPr>
            <w:tcW w:w="218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007" w:right="182" w:hanging="809"/>
              <w:jc w:val="left"/>
              <w:rPr>
                <w:rFonts w:ascii="宋体" w:hAnsi="宋体" w:cs="宋体" w:eastAsia="宋体" w:hint="default"/>
                <w:sz w:val="18"/>
                <w:szCs w:val="18"/>
              </w:rPr>
            </w:pPr>
            <w:r>
              <w:rPr>
                <w:rFonts w:ascii="宋体" w:hAnsi="宋体" w:cs="宋体" w:eastAsia="宋体" w:hint="default"/>
                <w:sz w:val="18"/>
                <w:szCs w:val="18"/>
              </w:rPr>
              <w:t>会计政策变更内容和原 因</w:t>
            </w:r>
          </w:p>
        </w:tc>
        <w:tc>
          <w:tcPr>
            <w:tcW w:w="15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77" w:right="122"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3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10" w:right="113"/>
              <w:jc w:val="left"/>
              <w:rPr>
                <w:rFonts w:ascii="宋体" w:hAnsi="宋体" w:cs="宋体" w:eastAsia="宋体" w:hint="default"/>
                <w:sz w:val="18"/>
                <w:szCs w:val="18"/>
              </w:rPr>
            </w:pPr>
            <w:r>
              <w:rPr>
                <w:rFonts w:ascii="宋体" w:hAnsi="宋体" w:cs="宋体" w:eastAsia="宋体" w:hint="default"/>
                <w:sz w:val="18"/>
                <w:szCs w:val="18"/>
              </w:rPr>
              <w:t>本期受影响的 报表项目金额</w:t>
            </w:r>
          </w:p>
        </w:tc>
        <w:tc>
          <w:tcPr>
            <w:tcW w:w="13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上期重述金额</w:t>
            </w:r>
          </w:p>
        </w:tc>
        <w:tc>
          <w:tcPr>
            <w:tcW w:w="1222"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55" w:right="0"/>
              <w:jc w:val="left"/>
              <w:rPr>
                <w:rFonts w:ascii="宋体" w:hAnsi="宋体" w:cs="宋体" w:eastAsia="宋体" w:hint="default"/>
                <w:sz w:val="18"/>
                <w:szCs w:val="18"/>
              </w:rPr>
            </w:pPr>
            <w:r>
              <w:rPr>
                <w:rFonts w:ascii="宋体" w:hAnsi="宋体" w:cs="宋体" w:eastAsia="宋体" w:hint="default"/>
                <w:sz w:val="18"/>
                <w:szCs w:val="18"/>
              </w:rPr>
              <w:t>上期列报在</w:t>
            </w:r>
          </w:p>
          <w:p>
            <w:pPr>
              <w:pStyle w:val="TableParagraph"/>
              <w:spacing w:line="232" w:lineRule="exact" w:before="23"/>
              <w:ind w:left="335" w:right="154" w:hanging="180"/>
              <w:jc w:val="left"/>
              <w:rPr>
                <w:rFonts w:ascii="宋体" w:hAnsi="宋体" w:cs="宋体" w:eastAsia="宋体" w:hint="default"/>
                <w:sz w:val="18"/>
                <w:szCs w:val="18"/>
              </w:rPr>
            </w:pPr>
            <w:r>
              <w:rPr>
                <w:rFonts w:ascii="宋体" w:hAnsi="宋体" w:cs="宋体" w:eastAsia="宋体" w:hint="default"/>
                <w:sz w:val="18"/>
                <w:szCs w:val="18"/>
              </w:rPr>
              <w:t>营业外收入 的金额</w:t>
            </w:r>
          </w:p>
        </w:tc>
        <w:tc>
          <w:tcPr>
            <w:tcW w:w="1176" w:type="dxa"/>
            <w:tcBorders>
              <w:top w:val="single" w:sz="12" w:space="0" w:color="000000"/>
              <w:left w:val="single" w:sz="4" w:space="0" w:color="000000"/>
              <w:bottom w:val="single" w:sz="4" w:space="0" w:color="000000"/>
              <w:right w:val="nil" w:sz="6" w:space="0" w:color="auto"/>
            </w:tcBorders>
          </w:tcPr>
          <w:p>
            <w:pPr>
              <w:pStyle w:val="TableParagraph"/>
              <w:spacing w:line="206" w:lineRule="exact"/>
              <w:ind w:left="131" w:right="0"/>
              <w:jc w:val="left"/>
              <w:rPr>
                <w:rFonts w:ascii="宋体" w:hAnsi="宋体" w:cs="宋体" w:eastAsia="宋体" w:hint="default"/>
                <w:sz w:val="18"/>
                <w:szCs w:val="18"/>
              </w:rPr>
            </w:pPr>
            <w:r>
              <w:rPr>
                <w:rFonts w:ascii="宋体" w:hAnsi="宋体" w:cs="宋体" w:eastAsia="宋体" w:hint="default"/>
                <w:sz w:val="18"/>
                <w:szCs w:val="18"/>
              </w:rPr>
              <w:t>上期列报在</w:t>
            </w:r>
          </w:p>
          <w:p>
            <w:pPr>
              <w:pStyle w:val="TableParagraph"/>
              <w:spacing w:line="232" w:lineRule="exact" w:before="23"/>
              <w:ind w:left="311" w:right="137" w:hanging="180"/>
              <w:jc w:val="left"/>
              <w:rPr>
                <w:rFonts w:ascii="宋体" w:hAnsi="宋体" w:cs="宋体" w:eastAsia="宋体" w:hint="default"/>
                <w:sz w:val="18"/>
                <w:szCs w:val="18"/>
              </w:rPr>
            </w:pPr>
            <w:r>
              <w:rPr>
                <w:rFonts w:ascii="宋体" w:hAnsi="宋体" w:cs="宋体" w:eastAsia="宋体" w:hint="default"/>
                <w:sz w:val="18"/>
                <w:szCs w:val="18"/>
              </w:rPr>
              <w:t>营业外支出 的金额</w:t>
            </w:r>
          </w:p>
        </w:tc>
      </w:tr>
      <w:tr>
        <w:trPr>
          <w:trHeight w:val="708" w:hRule="exact"/>
        </w:trPr>
        <w:tc>
          <w:tcPr>
            <w:tcW w:w="2187"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在利润表中分别列示持</w:t>
            </w:r>
          </w:p>
          <w:p>
            <w:pPr>
              <w:pStyle w:val="TableParagraph"/>
              <w:spacing w:line="232" w:lineRule="exact" w:before="17"/>
              <w:ind w:left="122" w:right="257"/>
              <w:jc w:val="left"/>
              <w:rPr>
                <w:rFonts w:ascii="宋体" w:hAnsi="宋体" w:cs="宋体" w:eastAsia="宋体" w:hint="default"/>
                <w:sz w:val="18"/>
                <w:szCs w:val="18"/>
              </w:rPr>
            </w:pPr>
            <w:r>
              <w:rPr>
                <w:rFonts w:ascii="宋体" w:hAnsi="宋体" w:cs="宋体" w:eastAsia="宋体" w:hint="default"/>
                <w:sz w:val="18"/>
                <w:szCs w:val="18"/>
              </w:rPr>
              <w:t>续经营损益和终止经营 损益</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终止经营净利润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57,616,708.78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12,680,506.31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10" w:hRule="exact"/>
        </w:trPr>
        <w:tc>
          <w:tcPr>
            <w:tcW w:w="2187"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与本公司日常活动相关</w:t>
            </w:r>
          </w:p>
          <w:p>
            <w:pPr>
              <w:pStyle w:val="TableParagraph"/>
              <w:spacing w:line="232" w:lineRule="exact" w:before="17"/>
              <w:ind w:left="122" w:right="257"/>
              <w:jc w:val="left"/>
              <w:rPr>
                <w:rFonts w:ascii="宋体" w:hAnsi="宋体" w:cs="宋体" w:eastAsia="宋体" w:hint="default"/>
                <w:sz w:val="18"/>
                <w:szCs w:val="18"/>
              </w:rPr>
            </w:pPr>
            <w:r>
              <w:rPr>
                <w:rFonts w:ascii="宋体" w:hAnsi="宋体" w:cs="宋体" w:eastAsia="宋体" w:hint="default"/>
                <w:sz w:val="18"/>
                <w:szCs w:val="18"/>
              </w:rPr>
              <w:t>的政府补助计入其他收 益</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19,859,602.77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9" w:right="0"/>
              <w:jc w:val="center"/>
              <w:rPr>
                <w:rFonts w:ascii="Arial Narrow" w:hAnsi="Arial Narrow" w:cs="Arial Narrow" w:eastAsia="Arial Narrow" w:hint="default"/>
                <w:sz w:val="18"/>
                <w:szCs w:val="18"/>
              </w:rPr>
            </w:pPr>
            <w:r>
              <w:rPr>
                <w:rFonts w:ascii="Arial Narrow"/>
                <w:sz w:val="18"/>
              </w:rPr>
              <w:t>25,077,849.61</w:t>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62" w:hRule="exact"/>
        </w:trPr>
        <w:tc>
          <w:tcPr>
            <w:tcW w:w="2187" w:type="dxa"/>
            <w:tcBorders>
              <w:top w:val="single" w:sz="4" w:space="0" w:color="000000"/>
              <w:left w:val="nil" w:sz="6" w:space="0" w:color="auto"/>
              <w:bottom w:val="single" w:sz="12" w:space="0" w:color="000000"/>
              <w:right w:val="single" w:sz="4" w:space="0" w:color="000000"/>
            </w:tcBorders>
          </w:tcPr>
          <w:p>
            <w:pPr>
              <w:pStyle w:val="TableParagraph"/>
              <w:spacing w:line="220" w:lineRule="exact"/>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资产处置损益列报调整</w:t>
            </w: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2,119,508.27</w:t>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-14,534,465.79</w:t>
            </w:r>
          </w:p>
        </w:tc>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left="141" w:right="0"/>
              <w:jc w:val="center"/>
              <w:rPr>
                <w:rFonts w:ascii="Arial Narrow" w:hAnsi="Arial Narrow" w:cs="Arial Narrow" w:eastAsia="Arial Narrow" w:hint="default"/>
                <w:sz w:val="18"/>
                <w:szCs w:val="18"/>
              </w:rPr>
            </w:pPr>
            <w:r>
              <w:rPr>
                <w:rFonts w:ascii="Arial Narrow"/>
                <w:sz w:val="18"/>
              </w:rPr>
              <w:t>2,498,240.98</w:t>
            </w:r>
          </w:p>
        </w:tc>
        <w:tc>
          <w:tcPr>
            <w:tcW w:w="11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left="10" w:right="0"/>
              <w:jc w:val="center"/>
              <w:rPr>
                <w:rFonts w:ascii="Arial Narrow" w:hAnsi="Arial Narrow" w:cs="Arial Narrow" w:eastAsia="Arial Narrow" w:hint="default"/>
                <w:sz w:val="18"/>
                <w:szCs w:val="18"/>
              </w:rPr>
            </w:pPr>
            <w:r>
              <w:rPr>
                <w:rFonts w:ascii="Arial Narrow"/>
                <w:sz w:val="18"/>
              </w:rPr>
              <w:t>17,032,706.77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2"/>
        <w:tabs>
          <w:tab w:pos="1057" w:val="left" w:leader="none"/>
        </w:tabs>
        <w:spacing w:line="240" w:lineRule="auto"/>
        <w:ind w:left="218" w:right="0"/>
        <w:jc w:val="left"/>
        <w:rPr>
          <w:b w:val="0"/>
          <w:bCs w:val="0"/>
        </w:rPr>
      </w:pPr>
      <w:r>
        <w:rPr/>
        <w:t>（二）</w:t>
        <w:tab/>
        <w:t>公司对重大会计差错更正原因及影响的分析说明</w:t>
      </w:r>
      <w:r>
        <w:rPr>
          <w:b w:val="0"/>
          <w:bCs w:val="0"/>
        </w:rPr>
      </w:r>
    </w:p>
    <w:p>
      <w:pPr>
        <w:pStyle w:val="BodyText"/>
        <w:tabs>
          <w:tab w:pos="976" w:val="left" w:leader="none"/>
        </w:tabs>
        <w:spacing w:line="240" w:lineRule="auto" w:before="58"/>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057" w:val="left" w:leader="none"/>
        </w:tabs>
        <w:spacing w:line="240" w:lineRule="auto" w:before="0"/>
        <w:ind w:left="218" w:right="0"/>
        <w:jc w:val="left"/>
        <w:rPr>
          <w:b w:val="0"/>
          <w:bCs w:val="0"/>
        </w:rPr>
      </w:pPr>
      <w:r>
        <w:rPr/>
        <w:t>（三）</w:t>
        <w:tab/>
        <w:t>与前任会计师事务所进行的沟通情况</w:t>
      </w:r>
      <w:r>
        <w:rPr>
          <w:b w:val="0"/>
          <w:bCs w:val="0"/>
        </w:rPr>
      </w:r>
    </w:p>
    <w:p>
      <w:pPr>
        <w:pStyle w:val="BodyText"/>
        <w:tabs>
          <w:tab w:pos="976" w:val="left" w:leader="none"/>
        </w:tabs>
        <w:spacing w:line="240" w:lineRule="auto" w:before="58"/>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1057" w:val="left" w:leader="none"/>
        </w:tabs>
        <w:spacing w:line="240" w:lineRule="auto" w:before="0"/>
        <w:ind w:left="218" w:right="0"/>
        <w:jc w:val="left"/>
        <w:rPr>
          <w:b w:val="0"/>
          <w:bCs w:val="0"/>
        </w:rPr>
      </w:pPr>
      <w:r>
        <w:rPr/>
        <w:t>（四）</w:t>
        <w:tab/>
        <w:t>其他说明</w:t>
      </w:r>
      <w:r>
        <w:rPr>
          <w:b w:val="0"/>
          <w:bCs w:val="0"/>
        </w:rPr>
      </w:r>
    </w:p>
    <w:p>
      <w:pPr>
        <w:pStyle w:val="BodyText"/>
        <w:tabs>
          <w:tab w:pos="976" w:val="left" w:leader="none"/>
        </w:tabs>
        <w:spacing w:line="240" w:lineRule="auto" w:before="56"/>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2"/>
        <w:rPr>
          <w:rFonts w:ascii="宋体" w:hAnsi="宋体" w:cs="宋体" w:eastAsia="宋体" w:hint="default"/>
          <w:sz w:val="18"/>
          <w:szCs w:val="18"/>
        </w:rPr>
      </w:pPr>
    </w:p>
    <w:p>
      <w:pPr>
        <w:pStyle w:val="Heading2"/>
        <w:spacing w:line="240" w:lineRule="auto"/>
        <w:ind w:left="218" w:right="0"/>
        <w:jc w:val="left"/>
        <w:rPr>
          <w:b w:val="0"/>
          <w:bCs w:val="0"/>
        </w:rPr>
      </w:pPr>
      <w:r>
        <w:rPr/>
        <w:t>六、聘任、解聘会计师事务所情况</w:t>
      </w:r>
      <w:r>
        <w:rPr>
          <w:b w:val="0"/>
          <w:bCs w:val="0"/>
        </w:rPr>
      </w:r>
    </w:p>
    <w:p>
      <w:pPr>
        <w:pStyle w:val="BodyText"/>
        <w:spacing w:line="240" w:lineRule="auto" w:before="58"/>
        <w:ind w:left="0" w:right="210"/>
        <w:jc w:val="right"/>
      </w:pPr>
      <w:r>
        <w:rPr>
          <w:spacing w:val="-2"/>
        </w:rPr>
        <w:t>单位：万元币种：人民币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09"/>
        <w:gridCol w:w="4415"/>
      </w:tblGrid>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830"/>
        <w:gridCol w:w="3495"/>
        <w:gridCol w:w="2499"/>
      </w:tblGrid>
      <w:tr>
        <w:trPr>
          <w:trHeight w:val="284" w:hRule="exact"/>
        </w:trPr>
        <w:tc>
          <w:tcPr>
            <w:tcW w:w="2830" w:type="dxa"/>
            <w:tcBorders>
              <w:top w:val="single" w:sz="4" w:space="0" w:color="000000"/>
              <w:left w:val="single" w:sz="4" w:space="0" w:color="000000"/>
              <w:bottom w:val="single" w:sz="4" w:space="0" w:color="000000"/>
              <w:right w:val="single" w:sz="4" w:space="0" w:color="000000"/>
            </w:tcBorders>
          </w:tcPr>
          <w:p>
            <w:pP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r>
      <w:tr>
        <w:trPr>
          <w:trHeight w:val="283"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4" w:lineRule="exact" w:before="36"/>
        <w:ind w:right="0"/>
        <w:jc w:val="left"/>
      </w:pPr>
      <w:r>
        <w:rPr/>
        <w:t>聘任、解聘会计师事务所的情况说明</w:t>
      </w:r>
    </w:p>
    <w:p>
      <w:pPr>
        <w:pStyle w:val="BodyText"/>
        <w:spacing w:line="280"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1" w:lineRule="exact"/>
        <w:ind w:left="558" w:right="0"/>
        <w:jc w:val="left"/>
      </w:pPr>
      <w:r>
        <w:rPr>
          <w:w w:val="100"/>
        </w:rPr>
        <w:t>经</w:t>
      </w:r>
      <w:r>
        <w:rPr>
          <w:spacing w:val="-3"/>
          <w:w w:val="100"/>
        </w:rPr>
        <w:t>公</w:t>
      </w: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54"/>
        </w:rPr>
        <w:t> </w:t>
      </w:r>
      <w:r>
        <w:rPr>
          <w:rFonts w:ascii="Times New Roman" w:hAnsi="Times New Roman" w:cs="Times New Roman" w:eastAsia="Times New Roman" w:hint="default"/>
          <w:w w:val="100"/>
        </w:rPr>
        <w:t>28</w:t>
      </w:r>
      <w:r>
        <w:rPr>
          <w:rFonts w:ascii="Times New Roman" w:hAnsi="Times New Roman" w:cs="Times New Roman" w:eastAsia="Times New Roman" w:hint="default"/>
        </w:rPr>
        <w:t> </w:t>
      </w:r>
      <w:r>
        <w:rPr>
          <w:spacing w:val="-3"/>
          <w:w w:val="100"/>
        </w:rPr>
        <w:t>日</w:t>
      </w:r>
      <w:r>
        <w:rPr>
          <w:w w:val="100"/>
        </w:rPr>
        <w:t>召开</w:t>
      </w:r>
      <w:r>
        <w:rPr>
          <w:spacing w:val="-3"/>
          <w:w w:val="100"/>
        </w:rPr>
        <w:t>的公</w:t>
      </w: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年</w:t>
      </w:r>
      <w:r>
        <w:rPr>
          <w:w w:val="100"/>
        </w:rPr>
        <w:t>年</w:t>
      </w:r>
      <w:r>
        <w:rPr>
          <w:spacing w:val="-3"/>
          <w:w w:val="100"/>
        </w:rPr>
        <w:t>度股</w:t>
      </w:r>
      <w:r>
        <w:rPr>
          <w:w w:val="100"/>
        </w:rPr>
        <w:t>东大</w:t>
      </w:r>
      <w:r>
        <w:rPr>
          <w:spacing w:val="-3"/>
          <w:w w:val="100"/>
        </w:rPr>
        <w:t>会</w:t>
      </w:r>
      <w:r>
        <w:rPr>
          <w:w w:val="100"/>
        </w:rPr>
        <w:t>审</w:t>
      </w:r>
      <w:r>
        <w:rPr>
          <w:spacing w:val="-3"/>
          <w:w w:val="100"/>
        </w:rPr>
        <w:t>议</w:t>
      </w:r>
      <w:r>
        <w:rPr>
          <w:spacing w:val="-94"/>
          <w:w w:val="100"/>
        </w:rPr>
        <w:t>，</w:t>
      </w:r>
      <w:r>
        <w:rPr>
          <w:w w:val="100"/>
        </w:rPr>
        <w:t>同</w:t>
      </w:r>
      <w:r>
        <w:rPr>
          <w:spacing w:val="-3"/>
          <w:w w:val="100"/>
        </w:rPr>
        <w:t>意</w:t>
      </w:r>
      <w:r>
        <w:rPr>
          <w:w w:val="100"/>
        </w:rPr>
        <w:t>续</w:t>
      </w:r>
      <w:r>
        <w:rPr>
          <w:spacing w:val="-3"/>
          <w:w w:val="100"/>
        </w:rPr>
        <w:t>聘</w:t>
      </w:r>
      <w:r>
        <w:rPr>
          <w:w w:val="100"/>
        </w:rPr>
        <w:t>大</w:t>
      </w:r>
      <w:r>
        <w:rPr>
          <w:spacing w:val="-3"/>
          <w:w w:val="100"/>
        </w:rPr>
        <w:t>信</w:t>
      </w:r>
      <w:r>
        <w:rPr>
          <w:w w:val="100"/>
        </w:rPr>
        <w:t>会计</w:t>
      </w:r>
      <w:r>
        <w:rPr>
          <w:spacing w:val="-3"/>
          <w:w w:val="100"/>
        </w:rPr>
        <w:t>师</w:t>
      </w:r>
      <w:r>
        <w:rPr>
          <w:w w:val="100"/>
        </w:rPr>
        <w:t>事</w:t>
      </w:r>
      <w:r>
        <w:rPr>
          <w:spacing w:val="-3"/>
          <w:w w:val="100"/>
        </w:rPr>
        <w:t>务</w:t>
      </w:r>
      <w:r>
        <w:rPr>
          <w:w w:val="100"/>
        </w:rPr>
        <w:t>所</w:t>
      </w:r>
    </w:p>
    <w:p>
      <w:pPr>
        <w:pStyle w:val="BodyText"/>
        <w:spacing w:line="281" w:lineRule="exact"/>
        <w:ind w:right="0"/>
        <w:jc w:val="left"/>
      </w:pPr>
      <w:r>
        <w:rPr/>
        <w:t>（特殊普通合伙）为公司</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年度审计机构及内控审计机构。</w:t>
      </w:r>
    </w:p>
    <w:p>
      <w:pPr>
        <w:spacing w:line="240" w:lineRule="auto" w:before="3"/>
        <w:rPr>
          <w:rFonts w:ascii="宋体" w:hAnsi="宋体" w:cs="宋体" w:eastAsia="宋体" w:hint="default"/>
          <w:sz w:val="17"/>
          <w:szCs w:val="17"/>
        </w:rPr>
      </w:pPr>
    </w:p>
    <w:p>
      <w:pPr>
        <w:pStyle w:val="BodyText"/>
        <w:spacing w:line="273" w:lineRule="exact"/>
        <w:ind w:right="0"/>
        <w:jc w:val="left"/>
      </w:pPr>
      <w:r>
        <w:rPr/>
        <w:t>审计期间改聘会计师事务所的情况说明</w:t>
      </w:r>
    </w:p>
    <w:p>
      <w:pPr>
        <w:pStyle w:val="BodyText"/>
        <w:tabs>
          <w:tab w:pos="896" w:val="left" w:leader="none"/>
        </w:tabs>
        <w:spacing w:line="289" w:lineRule="exact"/>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977" w:val="left" w:leader="none"/>
        </w:tabs>
        <w:spacing w:line="290" w:lineRule="auto" w:before="0"/>
        <w:ind w:right="62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896" w:val="left" w:leader="none"/>
        </w:tabs>
        <w:spacing w:line="240" w:lineRule="auto" w:before="12"/>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tabs>
          <w:tab w:pos="977" w:val="left" w:leader="none"/>
        </w:tabs>
        <w:spacing w:line="240" w:lineRule="auto" w:before="0"/>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left"/>
        <w:rPr>
          <w:b w:val="0"/>
          <w:bCs w:val="0"/>
        </w:rPr>
      </w:pPr>
      <w:r>
        <w:rPr/>
        <w:t>八、面临终止上市的情况和原因</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left"/>
        <w:rPr>
          <w:b w:val="0"/>
          <w:bCs w:val="0"/>
        </w:rPr>
      </w:pPr>
      <w:r>
        <w:rPr/>
        <w:t>九、破产重整相关事项</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left"/>
        <w:rPr>
          <w:b w:val="0"/>
          <w:bCs w:val="0"/>
        </w:rPr>
      </w:pPr>
      <w:r>
        <w:rPr/>
        <w:t>十、重大诉讼、仲裁事项</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本年度公司有重大诉讼、仲裁事项</w:t>
      </w:r>
      <w:r>
        <w:rPr>
          <w:spacing w:val="-7"/>
        </w:rPr>
        <w:t> </w:t>
      </w:r>
      <w:r>
        <w:rPr>
          <w:rFonts w:ascii="Times New Roman" w:hAnsi="Times New Roman" w:cs="Times New Roman" w:eastAsia="Times New Roman" w:hint="default"/>
        </w:rPr>
        <w:t>√</w:t>
      </w:r>
      <w:r>
        <w:rPr/>
        <w:t>本年度公司无重大诉讼、仲裁事项</w:t>
      </w:r>
    </w:p>
    <w:p>
      <w:pPr>
        <w:spacing w:line="240" w:lineRule="auto" w:before="8"/>
        <w:rPr>
          <w:rFonts w:ascii="宋体" w:hAnsi="宋体" w:cs="宋体" w:eastAsia="宋体" w:hint="default"/>
          <w:sz w:val="21"/>
          <w:szCs w:val="21"/>
        </w:rPr>
      </w:pPr>
    </w:p>
    <w:p>
      <w:pPr>
        <w:pStyle w:val="Heading2"/>
        <w:spacing w:line="240" w:lineRule="auto" w:before="0"/>
        <w:ind w:left="558" w:right="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left"/>
        <w:rPr>
          <w:b w:val="0"/>
          <w:bCs w:val="0"/>
        </w:rPr>
      </w:pPr>
      <w:r>
        <w:rPr/>
        <w:t>十二、报告期内公司及其控股股东、实际控制人诚信状况的说明</w:t>
      </w:r>
      <w:r>
        <w:rPr>
          <w:b w:val="0"/>
          <w:bCs w:val="0"/>
        </w:rPr>
      </w:r>
    </w:p>
    <w:p>
      <w:pPr>
        <w:pStyle w:val="BodyText"/>
        <w:tabs>
          <w:tab w:pos="884" w:val="left" w:leader="none"/>
        </w:tabs>
        <w:spacing w:line="272" w:lineRule="exact" w:before="86"/>
        <w:ind w:left="558" w:right="137"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报告期内公司诚信状况良好，不存在未履行法院生效判决及所负数额较大的债务到期未清偿</w:t>
      </w:r>
    </w:p>
    <w:p>
      <w:pPr>
        <w:pStyle w:val="BodyText"/>
        <w:spacing w:line="249" w:lineRule="exact"/>
        <w:ind w:right="0"/>
        <w:jc w:val="left"/>
      </w:pPr>
      <w:r>
        <w:rPr/>
        <w:t>等情况。</w:t>
      </w:r>
    </w:p>
    <w:p>
      <w:pPr>
        <w:spacing w:line="240" w:lineRule="auto" w:before="12"/>
        <w:rPr>
          <w:rFonts w:ascii="宋体" w:hAnsi="宋体" w:cs="宋体" w:eastAsia="宋体" w:hint="default"/>
          <w:sz w:val="22"/>
          <w:szCs w:val="22"/>
        </w:rPr>
      </w:pPr>
    </w:p>
    <w:p>
      <w:pPr>
        <w:pStyle w:val="Heading2"/>
        <w:spacing w:line="290" w:lineRule="auto" w:before="0"/>
        <w:ind w:right="14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76" w:type="dxa"/>
        <w:tblLayout w:type="fixed"/>
        <w:tblCellMar>
          <w:top w:w="0" w:type="dxa"/>
          <w:left w:w="0" w:type="dxa"/>
          <w:bottom w:w="0" w:type="dxa"/>
          <w:right w:w="0" w:type="dxa"/>
        </w:tblCellMar>
        <w:tblLook w:val="01E0"/>
      </w:tblPr>
      <w:tblGrid>
        <w:gridCol w:w="4535"/>
        <w:gridCol w:w="4213"/>
      </w:tblGrid>
      <w:tr>
        <w:trPr>
          <w:trHeight w:val="283" w:hRule="exact"/>
        </w:trPr>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463" w:hRule="exact"/>
        </w:trPr>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419"/>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年第</w:t>
            </w:r>
            <w:r>
              <w:rPr>
                <w:rFonts w:ascii="宋体" w:hAnsi="宋体" w:cs="宋体" w:eastAsia="宋体" w:hint="default"/>
                <w:sz w:val="21"/>
                <w:szCs w:val="21"/>
              </w:rPr>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6"/>
                <w:w w:val="100"/>
                <w:sz w:val="21"/>
                <w:szCs w:val="21"/>
              </w:rPr>
              <w:t>一次持有人会议审议通过了《关于本期员工持股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6"/>
                <w:sz w:val="21"/>
                <w:szCs w:val="21"/>
              </w:rPr>
              <w:t>计划存续期延长的议案》，关于修正《公司员工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持股计划管理办法》的议案、《关于改选员工持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股计划管理委员会委员的议案》。</w:t>
            </w:r>
          </w:p>
          <w:p>
            <w:pPr>
              <w:pStyle w:val="TableParagraph"/>
              <w:spacing w:line="232" w:lineRule="auto" w:before="6"/>
              <w:ind w:left="103" w:right="99" w:firstLine="419"/>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日召开的六届董事会</w:t>
            </w:r>
            <w:r>
              <w:rPr>
                <w:rFonts w:ascii="宋体" w:hAnsi="宋体" w:cs="宋体" w:eastAsia="宋体" w:hint="default"/>
                <w:w w:val="100"/>
                <w:sz w:val="21"/>
                <w:szCs w:val="21"/>
              </w:rPr>
              <w:t> </w:t>
            </w:r>
            <w:r>
              <w:rPr>
                <w:rFonts w:ascii="宋体" w:hAnsi="宋体" w:cs="宋体" w:eastAsia="宋体" w:hint="default"/>
                <w:spacing w:val="-6"/>
                <w:w w:val="100"/>
                <w:sz w:val="21"/>
                <w:szCs w:val="21"/>
              </w:rPr>
              <w:t>第二十六次会议审议通过《关于第一期员工持股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6"/>
                <w:w w:val="100"/>
                <w:sz w:val="21"/>
                <w:szCs w:val="21"/>
              </w:rPr>
              <w:t>计划存续期延长的议案》，公司第一期员工持股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计划存续期由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个月延长至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《公司员工持股计划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年第一次持</w:t>
            </w:r>
          </w:p>
          <w:p>
            <w:pPr>
              <w:pStyle w:val="TableParagraph"/>
              <w:spacing w:line="230"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人</w:t>
            </w:r>
            <w:r>
              <w:rPr>
                <w:rFonts w:ascii="宋体" w:hAnsi="宋体" w:cs="宋体" w:eastAsia="宋体" w:hint="default"/>
                <w:spacing w:val="-57"/>
                <w:sz w:val="21"/>
                <w:szCs w:val="21"/>
              </w:rPr>
              <w:t> </w:t>
            </w:r>
            <w:r>
              <w:rPr>
                <w:rFonts w:ascii="宋体" w:hAnsi="宋体" w:cs="宋体" w:eastAsia="宋体" w:hint="default"/>
                <w:sz w:val="21"/>
                <w:szCs w:val="21"/>
              </w:rPr>
              <w:t>会</w:t>
            </w:r>
            <w:r>
              <w:rPr>
                <w:rFonts w:ascii="宋体" w:hAnsi="宋体" w:cs="宋体" w:eastAsia="宋体" w:hint="default"/>
                <w:spacing w:val="-57"/>
                <w:sz w:val="21"/>
                <w:szCs w:val="21"/>
              </w:rPr>
              <w:t> </w:t>
            </w:r>
            <w:r>
              <w:rPr>
                <w:rFonts w:ascii="宋体" w:hAnsi="宋体" w:cs="宋体" w:eastAsia="宋体" w:hint="default"/>
                <w:sz w:val="21"/>
                <w:szCs w:val="21"/>
              </w:rPr>
              <w:t>议</w:t>
            </w:r>
            <w:r>
              <w:rPr>
                <w:rFonts w:ascii="宋体" w:hAnsi="宋体" w:cs="宋体" w:eastAsia="宋体" w:hint="default"/>
                <w:spacing w:val="-54"/>
                <w:sz w:val="21"/>
                <w:szCs w:val="21"/>
              </w:rPr>
              <w:t> </w:t>
            </w:r>
            <w:r>
              <w:rPr>
                <w:rFonts w:ascii="宋体" w:hAnsi="宋体" w:cs="宋体" w:eastAsia="宋体" w:hint="default"/>
                <w:sz w:val="21"/>
                <w:szCs w:val="21"/>
              </w:rPr>
              <w:t>决</w:t>
            </w:r>
            <w:r>
              <w:rPr>
                <w:rFonts w:ascii="宋体" w:hAnsi="宋体" w:cs="宋体" w:eastAsia="宋体" w:hint="default"/>
                <w:spacing w:val="-57"/>
                <w:sz w:val="21"/>
                <w:szCs w:val="21"/>
              </w:rPr>
              <w:t> </w:t>
            </w:r>
            <w:r>
              <w:rPr>
                <w:rFonts w:ascii="宋体" w:hAnsi="宋体" w:cs="宋体" w:eastAsia="宋体" w:hint="default"/>
                <w:sz w:val="21"/>
                <w:szCs w:val="21"/>
              </w:rPr>
              <w:t>议</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spacing w:val="-57"/>
                <w:sz w:val="21"/>
                <w:szCs w:val="21"/>
              </w:rPr>
              <w:t> </w:t>
            </w:r>
            <w:r>
              <w:rPr>
                <w:rFonts w:ascii="宋体" w:hAnsi="宋体" w:cs="宋体" w:eastAsia="宋体" w:hint="default"/>
                <w:sz w:val="21"/>
                <w:szCs w:val="21"/>
              </w:rPr>
              <w:t>告</w:t>
            </w:r>
            <w:r>
              <w:rPr>
                <w:rFonts w:ascii="宋体" w:hAnsi="宋体" w:cs="宋体" w:eastAsia="宋体" w:hint="default"/>
                <w:spacing w:val="-57"/>
                <w:sz w:val="21"/>
                <w:szCs w:val="21"/>
              </w:rPr>
              <w:t> </w:t>
            </w:r>
            <w:r>
              <w:rPr>
                <w:rFonts w:ascii="宋体" w:hAnsi="宋体" w:cs="宋体" w:eastAsia="宋体" w:hint="default"/>
                <w:spacing w:val="-29"/>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spacing w:val="-57"/>
                <w:sz w:val="21"/>
                <w:szCs w:val="21"/>
              </w:rPr>
              <w:t> </w:t>
            </w:r>
            <w:r>
              <w:rPr>
                <w:rFonts w:ascii="宋体" w:hAnsi="宋体" w:cs="宋体" w:eastAsia="宋体" w:hint="default"/>
                <w:sz w:val="21"/>
                <w:szCs w:val="21"/>
              </w:rPr>
              <w:t>告</w:t>
            </w:r>
            <w:r>
              <w:rPr>
                <w:rFonts w:ascii="宋体" w:hAnsi="宋体" w:cs="宋体" w:eastAsia="宋体" w:hint="default"/>
                <w:spacing w:val="-57"/>
                <w:sz w:val="21"/>
                <w:szCs w:val="21"/>
              </w:rPr>
              <w:t> </w:t>
            </w:r>
            <w:r>
              <w:rPr>
                <w:rFonts w:ascii="宋体" w:hAnsi="宋体" w:cs="宋体" w:eastAsia="宋体" w:hint="default"/>
                <w:sz w:val="21"/>
                <w:szCs w:val="21"/>
              </w:rPr>
              <w:t>编</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临</w:t>
            </w:r>
            <w:r>
              <w:rPr>
                <w:rFonts w:ascii="宋体" w:hAnsi="宋体" w:cs="宋体" w:eastAsia="宋体" w:hint="default"/>
                <w:w w:val="100"/>
                <w:sz w:val="21"/>
                <w:szCs w:val="21"/>
              </w:rPr>
              <w:t> </w:t>
            </w:r>
            <w:r>
              <w:rPr>
                <w:rFonts w:ascii="Times New Roman" w:hAnsi="Times New Roman" w:cs="Times New Roman" w:eastAsia="Times New Roman" w:hint="default"/>
                <w:spacing w:val="-8"/>
                <w:w w:val="100"/>
                <w:sz w:val="21"/>
                <w:szCs w:val="21"/>
              </w:rPr>
              <w:t>2017-069</w:t>
            </w:r>
            <w:r>
              <w:rPr>
                <w:rFonts w:ascii="宋体" w:hAnsi="宋体" w:cs="宋体" w:eastAsia="宋体" w:hint="default"/>
                <w:spacing w:val="-8"/>
                <w:w w:val="100"/>
                <w:sz w:val="21"/>
                <w:szCs w:val="21"/>
              </w:rPr>
              <w:t>），《公司第六届董事会第二十六次</w:t>
            </w:r>
            <w:r>
              <w:rPr>
                <w:rFonts w:ascii="宋体" w:hAnsi="宋体" w:cs="宋体" w:eastAsia="宋体" w:hint="default"/>
                <w:w w:val="100"/>
                <w:sz w:val="21"/>
                <w:szCs w:val="21"/>
              </w:rPr>
              <w:t> </w:t>
            </w:r>
            <w:r>
              <w:rPr>
                <w:rFonts w:ascii="宋体" w:hAnsi="宋体" w:cs="宋体" w:eastAsia="宋体" w:hint="default"/>
                <w:spacing w:val="-7"/>
                <w:w w:val="100"/>
                <w:sz w:val="21"/>
                <w:szCs w:val="21"/>
              </w:rPr>
              <w:t>会议决议公告》（公告编号：临</w:t>
            </w:r>
            <w:r>
              <w:rPr>
                <w:rFonts w:ascii="宋体" w:hAnsi="宋体" w:cs="宋体" w:eastAsia="宋体" w:hint="default"/>
                <w:spacing w:val="19"/>
                <w:w w:val="100"/>
                <w:sz w:val="21"/>
                <w:szCs w:val="21"/>
              </w:rPr>
              <w:t> </w:t>
            </w:r>
            <w:r>
              <w:rPr>
                <w:rFonts w:ascii="Times New Roman" w:hAnsi="Times New Roman" w:cs="Times New Roman" w:eastAsia="Times New Roman" w:hint="default"/>
                <w:spacing w:val="-22"/>
                <w:w w:val="100"/>
                <w:sz w:val="21"/>
                <w:szCs w:val="21"/>
              </w:rPr>
              <w:t>2017-071</w:t>
            </w:r>
            <w:r>
              <w:rPr>
                <w:rFonts w:ascii="宋体" w:hAnsi="宋体" w:cs="宋体" w:eastAsia="宋体" w:hint="default"/>
                <w:spacing w:val="-22"/>
                <w:w w:val="100"/>
                <w:sz w:val="21"/>
                <w:szCs w:val="21"/>
              </w:rPr>
              <w:t>），</w:t>
            </w:r>
            <w:r>
              <w:rPr>
                <w:rFonts w:ascii="宋体" w:hAnsi="宋体" w:cs="宋体" w:eastAsia="宋体" w:hint="default"/>
                <w:w w:val="100"/>
                <w:sz w:val="21"/>
                <w:szCs w:val="21"/>
              </w:rPr>
            </w:r>
          </w:p>
          <w:p>
            <w:pPr>
              <w:pStyle w:val="TableParagraph"/>
              <w:spacing w:line="230" w:lineRule="auto"/>
              <w:ind w:left="100" w:right="98"/>
              <w:jc w:val="both"/>
              <w:rPr>
                <w:rFonts w:ascii="宋体" w:hAnsi="宋体" w:cs="宋体" w:eastAsia="宋体" w:hint="default"/>
                <w:sz w:val="21"/>
                <w:szCs w:val="21"/>
              </w:rPr>
            </w:pPr>
            <w:r>
              <w:rPr>
                <w:rFonts w:ascii="宋体" w:hAnsi="宋体" w:cs="宋体" w:eastAsia="宋体" w:hint="default"/>
                <w:spacing w:val="-1"/>
                <w:sz w:val="21"/>
                <w:szCs w:val="21"/>
              </w:rPr>
              <w:t>《公司关于第一期员工持股计划存续期延长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1"/>
                <w:w w:val="100"/>
                <w:sz w:val="21"/>
                <w:szCs w:val="21"/>
              </w:rPr>
              <w:t>的公告》（公告编号：临</w:t>
            </w:r>
            <w:r>
              <w:rPr>
                <w:rFonts w:ascii="宋体" w:hAnsi="宋体" w:cs="宋体" w:eastAsia="宋体" w:hint="default"/>
                <w:spacing w:val="-7"/>
                <w:w w:val="100"/>
                <w:sz w:val="21"/>
                <w:szCs w:val="21"/>
              </w:rPr>
              <w:t> </w:t>
            </w:r>
            <w:r>
              <w:rPr>
                <w:rFonts w:ascii="Times New Roman" w:hAnsi="Times New Roman" w:cs="Times New Roman" w:eastAsia="Times New Roman" w:hint="default"/>
                <w:spacing w:val="-1"/>
                <w:w w:val="100"/>
                <w:sz w:val="21"/>
                <w:szCs w:val="21"/>
              </w:rPr>
              <w:t>2017-072</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
                <w:w w:val="100"/>
                <w:sz w:val="21"/>
                <w:szCs w:val="21"/>
              </w:rPr>
              <w:t>《关于</w:t>
            </w:r>
            <w:r>
              <w:rPr>
                <w:rFonts w:ascii="宋体" w:hAnsi="宋体" w:cs="宋体" w:eastAsia="宋体" w:hint="default"/>
                <w:w w:val="100"/>
                <w:sz w:val="21"/>
                <w:szCs w:val="21"/>
              </w:rPr>
              <w:t> </w:t>
            </w:r>
            <w:r>
              <w:rPr>
                <w:rFonts w:ascii="宋体" w:hAnsi="宋体" w:cs="宋体" w:eastAsia="宋体" w:hint="default"/>
                <w:spacing w:val="-1"/>
                <w:sz w:val="21"/>
                <w:szCs w:val="21"/>
              </w:rPr>
              <w:t>变更公司第一期员工持股计划资产管理机构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w w:val="100"/>
                <w:sz w:val="21"/>
                <w:szCs w:val="21"/>
              </w:rPr>
              <w:t>的公告》（公告编号：临</w:t>
            </w:r>
            <w:r>
              <w:rPr>
                <w:rFonts w:ascii="宋体" w:hAnsi="宋体" w:cs="宋体" w:eastAsia="宋体" w:hint="default"/>
                <w:spacing w:val="16"/>
                <w:w w:val="100"/>
                <w:sz w:val="21"/>
                <w:szCs w:val="21"/>
              </w:rPr>
              <w:t> </w:t>
            </w:r>
            <w:r>
              <w:rPr>
                <w:rFonts w:ascii="Times New Roman" w:hAnsi="Times New Roman" w:cs="Times New Roman" w:eastAsia="Times New Roman" w:hint="default"/>
                <w:spacing w:val="-17"/>
                <w:w w:val="100"/>
                <w:sz w:val="21"/>
                <w:szCs w:val="21"/>
              </w:rPr>
              <w:t>2017-095</w:t>
            </w:r>
            <w:r>
              <w:rPr>
                <w:rFonts w:ascii="宋体" w:hAnsi="宋体" w:cs="宋体" w:eastAsia="宋体" w:hint="default"/>
                <w:spacing w:val="-17"/>
                <w:w w:val="100"/>
                <w:sz w:val="21"/>
                <w:szCs w:val="21"/>
              </w:rPr>
              <w:t>），《关于</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w w:val="100"/>
                <w:sz w:val="21"/>
                <w:szCs w:val="21"/>
              </w:rPr>
              <w:t>第一期员工持股计划的进展公告》（公告编</w:t>
            </w:r>
          </w:p>
        </w:tc>
      </w:tr>
    </w:tbl>
    <w:p>
      <w:pPr>
        <w:spacing w:after="0" w:line="230" w:lineRule="auto"/>
        <w:jc w:val="both"/>
        <w:rPr>
          <w:rFonts w:ascii="宋体" w:hAnsi="宋体" w:cs="宋体" w:eastAsia="宋体" w:hint="default"/>
          <w:sz w:val="21"/>
          <w:szCs w:val="21"/>
        </w:rPr>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56" w:type="dxa"/>
        <w:tblLayout w:type="fixed"/>
        <w:tblCellMar>
          <w:top w:w="0" w:type="dxa"/>
          <w:left w:w="0" w:type="dxa"/>
          <w:bottom w:w="0" w:type="dxa"/>
          <w:right w:w="0" w:type="dxa"/>
        </w:tblCellMar>
        <w:tblLook w:val="01E0"/>
      </w:tblPr>
      <w:tblGrid>
        <w:gridCol w:w="4535"/>
        <w:gridCol w:w="4213"/>
      </w:tblGrid>
      <w:tr>
        <w:trPr>
          <w:trHeight w:val="284" w:hRule="exact"/>
        </w:trPr>
        <w:tc>
          <w:tcPr>
            <w:tcW w:w="4535" w:type="dxa"/>
            <w:tcBorders>
              <w:top w:val="single" w:sz="4" w:space="0" w:color="000000"/>
              <w:left w:val="single" w:sz="4" w:space="0" w:color="000000"/>
              <w:bottom w:val="single" w:sz="4" w:space="0" w:color="000000"/>
              <w:right w:val="single" w:sz="4" w:space="0" w:color="000000"/>
            </w:tcBorders>
          </w:tcPr>
          <w:p>
            <w:pP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spacing w:val="-1"/>
                <w:w w:val="100"/>
                <w:sz w:val="21"/>
                <w:szCs w:val="21"/>
              </w:rPr>
              <w:t>7</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100</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r>
      <w:tr>
        <w:trPr>
          <w:trHeight w:val="8183" w:hRule="exact"/>
        </w:trPr>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firstLine="419"/>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日召开的第六届董事</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6"/>
                <w:w w:val="100"/>
                <w:sz w:val="21"/>
                <w:szCs w:val="21"/>
              </w:rPr>
              <w:t>会第二十七次会议审议通过了《关于回购公司股</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6"/>
                <w:sz w:val="21"/>
                <w:szCs w:val="21"/>
              </w:rPr>
              <w:t>份以实施股权激励计划的议案》、《关于提请公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司股东大会授权董事会办理本次回购相关事宜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的议案》、《泰豪科技股份有限公司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w:t>
            </w:r>
          </w:p>
          <w:p>
            <w:pPr>
              <w:pStyle w:val="TableParagraph"/>
              <w:spacing w:line="256"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制性股票激励计划（草案）》及其摘要的议案、</w:t>
            </w:r>
          </w:p>
          <w:p>
            <w:pPr>
              <w:pStyle w:val="TableParagraph"/>
              <w:spacing w:line="230" w:lineRule="auto" w:before="8"/>
              <w:ind w:left="103" w:right="98"/>
              <w:jc w:val="both"/>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年限制性股票激</w:t>
            </w:r>
            <w:r>
              <w:rPr>
                <w:rFonts w:ascii="宋体" w:hAnsi="宋体" w:cs="宋体" w:eastAsia="宋体" w:hint="default"/>
                <w:w w:val="100"/>
                <w:sz w:val="21"/>
                <w:szCs w:val="21"/>
              </w:rPr>
              <w:t> </w:t>
            </w:r>
            <w:r>
              <w:rPr>
                <w:rFonts w:ascii="宋体" w:hAnsi="宋体" w:cs="宋体" w:eastAsia="宋体" w:hint="default"/>
                <w:spacing w:val="-6"/>
                <w:sz w:val="21"/>
                <w:szCs w:val="21"/>
              </w:rPr>
              <w:t>励计划实施考核办法（草案）》，同意回购公司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股份 </w:t>
            </w:r>
            <w:r>
              <w:rPr>
                <w:rFonts w:ascii="Times New Roman" w:hAnsi="Times New Roman" w:cs="Times New Roman" w:eastAsia="Times New Roman" w:hint="default"/>
                <w:sz w:val="21"/>
                <w:szCs w:val="21"/>
              </w:rPr>
              <w:t>2000 </w:t>
            </w:r>
            <w:r>
              <w:rPr>
                <w:rFonts w:ascii="宋体" w:hAnsi="宋体" w:cs="宋体" w:eastAsia="宋体" w:hint="default"/>
                <w:sz w:val="21"/>
                <w:szCs w:val="21"/>
              </w:rPr>
              <w:t>万股用于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年限制性股票激励计</w:t>
            </w:r>
            <w:r>
              <w:rPr>
                <w:rFonts w:ascii="宋体" w:hAnsi="宋体" w:cs="宋体" w:eastAsia="宋体" w:hint="default"/>
                <w:w w:val="100"/>
                <w:sz w:val="21"/>
                <w:szCs w:val="21"/>
              </w:rPr>
              <w:t> </w:t>
            </w:r>
            <w:r>
              <w:rPr>
                <w:rFonts w:ascii="宋体" w:hAnsi="宋体" w:cs="宋体" w:eastAsia="宋体" w:hint="default"/>
                <w:sz w:val="21"/>
                <w:szCs w:val="21"/>
              </w:rPr>
              <w:t>划。</w:t>
            </w:r>
          </w:p>
          <w:p>
            <w:pPr>
              <w:pStyle w:val="TableParagraph"/>
              <w:spacing w:line="232" w:lineRule="auto" w:before="5"/>
              <w:ind w:left="103" w:right="99"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日召开的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年第三次临</w:t>
            </w:r>
            <w:r>
              <w:rPr>
                <w:rFonts w:ascii="宋体" w:hAnsi="宋体" w:cs="宋体" w:eastAsia="宋体" w:hint="default"/>
                <w:w w:val="100"/>
                <w:sz w:val="21"/>
                <w:szCs w:val="21"/>
              </w:rPr>
              <w:t> </w:t>
            </w:r>
            <w:r>
              <w:rPr>
                <w:rFonts w:ascii="宋体" w:hAnsi="宋体" w:cs="宋体" w:eastAsia="宋体" w:hint="default"/>
                <w:spacing w:val="-6"/>
                <w:w w:val="100"/>
                <w:sz w:val="21"/>
                <w:szCs w:val="21"/>
              </w:rPr>
              <w:t>时股东大会审议通过了《关于回购公司股份以实</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施股权激励计划的议案》。</w:t>
            </w:r>
          </w:p>
          <w:p>
            <w:pPr>
              <w:pStyle w:val="TableParagraph"/>
              <w:spacing w:line="279"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司实</w:t>
            </w:r>
            <w:r>
              <w:rPr>
                <w:rFonts w:ascii="宋体" w:hAnsi="宋体" w:cs="宋体" w:eastAsia="宋体" w:hint="default"/>
                <w:spacing w:val="-3"/>
                <w:w w:val="100"/>
                <w:sz w:val="21"/>
                <w:szCs w:val="21"/>
              </w:rPr>
              <w:t>际</w:t>
            </w:r>
            <w:r>
              <w:rPr>
                <w:rFonts w:ascii="宋体" w:hAnsi="宋体" w:cs="宋体" w:eastAsia="宋体" w:hint="default"/>
                <w:w w:val="100"/>
                <w:sz w:val="21"/>
                <w:szCs w:val="21"/>
              </w:rPr>
              <w:t>回</w:t>
            </w:r>
            <w:r>
              <w:rPr>
                <w:rFonts w:ascii="宋体" w:hAnsi="宋体" w:cs="宋体" w:eastAsia="宋体" w:hint="default"/>
                <w:spacing w:val="-3"/>
                <w:w w:val="100"/>
                <w:sz w:val="21"/>
                <w:szCs w:val="21"/>
              </w:rPr>
              <w:t>购</w:t>
            </w:r>
            <w:r>
              <w:rPr>
                <w:rFonts w:ascii="宋体" w:hAnsi="宋体" w:cs="宋体" w:eastAsia="宋体" w:hint="default"/>
                <w:w w:val="100"/>
                <w:sz w:val="21"/>
                <w:szCs w:val="21"/>
              </w:rPr>
              <w:t>公司</w:t>
            </w:r>
          </w:p>
          <w:p>
            <w:pPr>
              <w:pStyle w:val="TableParagraph"/>
              <w:spacing w:line="272" w:lineRule="exact" w:before="19"/>
              <w:ind w:left="103" w:right="98"/>
              <w:jc w:val="both"/>
              <w:rPr>
                <w:rFonts w:ascii="宋体" w:hAnsi="宋体" w:cs="宋体" w:eastAsia="宋体" w:hint="default"/>
                <w:sz w:val="21"/>
                <w:szCs w:val="21"/>
              </w:rPr>
            </w:pPr>
            <w:r>
              <w:rPr>
                <w:rFonts w:ascii="宋体" w:hAnsi="宋体" w:cs="宋体" w:eastAsia="宋体" w:hint="default"/>
                <w:sz w:val="21"/>
                <w:szCs w:val="21"/>
              </w:rPr>
              <w:t>股票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19,999,918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股，用于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年限制性股票激</w:t>
            </w:r>
            <w:r>
              <w:rPr>
                <w:rFonts w:ascii="宋体" w:hAnsi="宋体" w:cs="宋体" w:eastAsia="宋体" w:hint="default"/>
                <w:w w:val="100"/>
                <w:sz w:val="21"/>
                <w:szCs w:val="21"/>
              </w:rPr>
              <w:t> </w:t>
            </w:r>
            <w:r>
              <w:rPr>
                <w:rFonts w:ascii="宋体" w:hAnsi="宋体" w:cs="宋体" w:eastAsia="宋体" w:hint="default"/>
                <w:sz w:val="21"/>
                <w:szCs w:val="21"/>
              </w:rPr>
              <w:t>励计划。</w:t>
            </w:r>
          </w:p>
          <w:p>
            <w:pPr>
              <w:pStyle w:val="TableParagraph"/>
              <w:spacing w:line="272" w:lineRule="exact" w:before="1"/>
              <w:ind w:left="103" w:right="98" w:firstLine="419"/>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日召开的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年第</w:t>
            </w:r>
            <w:r>
              <w:rPr>
                <w:rFonts w:ascii="宋体" w:hAnsi="宋体" w:cs="宋体" w:eastAsia="宋体" w:hint="default"/>
                <w:spacing w:val="-3"/>
                <w:w w:val="100"/>
                <w:sz w:val="21"/>
                <w:szCs w:val="21"/>
              </w:rPr>
              <w:t> </w:t>
            </w:r>
            <w:r>
              <w:rPr>
                <w:rFonts w:ascii="宋体" w:hAnsi="宋体" w:cs="宋体" w:eastAsia="宋体" w:hint="default"/>
                <w:spacing w:val="-6"/>
                <w:w w:val="100"/>
                <w:sz w:val="21"/>
                <w:szCs w:val="21"/>
              </w:rPr>
              <w:t>四次临时股东大会审议通过《泰豪科技股份有限</w:t>
            </w:r>
          </w:p>
          <w:p>
            <w:pPr>
              <w:pStyle w:val="TableParagraph"/>
              <w:spacing w:line="255"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性</w:t>
            </w:r>
            <w:r>
              <w:rPr>
                <w:rFonts w:ascii="宋体" w:hAnsi="宋体" w:cs="宋体" w:eastAsia="宋体" w:hint="default"/>
                <w:w w:val="100"/>
                <w:sz w:val="21"/>
                <w:szCs w:val="21"/>
              </w:rPr>
              <w:t>股</w:t>
            </w:r>
            <w:r>
              <w:rPr>
                <w:rFonts w:ascii="宋体" w:hAnsi="宋体" w:cs="宋体" w:eastAsia="宋体" w:hint="default"/>
                <w:spacing w:val="-3"/>
                <w:w w:val="100"/>
                <w:sz w:val="21"/>
                <w:szCs w:val="21"/>
              </w:rPr>
              <w:t>票激</w:t>
            </w:r>
            <w:r>
              <w:rPr>
                <w:rFonts w:ascii="宋体" w:hAnsi="宋体" w:cs="宋体" w:eastAsia="宋体" w:hint="default"/>
                <w:w w:val="100"/>
                <w:sz w:val="21"/>
                <w:szCs w:val="21"/>
              </w:rPr>
              <w:t>励计</w:t>
            </w:r>
            <w:r>
              <w:rPr>
                <w:rFonts w:ascii="宋体" w:hAnsi="宋体" w:cs="宋体" w:eastAsia="宋体" w:hint="default"/>
                <w:spacing w:val="-51"/>
                <w:w w:val="100"/>
                <w:sz w:val="21"/>
                <w:szCs w:val="21"/>
              </w:rPr>
              <w:t>划</w:t>
            </w:r>
            <w:r>
              <w:rPr>
                <w:rFonts w:ascii="宋体" w:hAnsi="宋体" w:cs="宋体" w:eastAsia="宋体" w:hint="default"/>
                <w:w w:val="100"/>
                <w:sz w:val="21"/>
                <w:szCs w:val="21"/>
              </w:rPr>
              <w:t>（</w:t>
            </w:r>
            <w:r>
              <w:rPr>
                <w:rFonts w:ascii="宋体" w:hAnsi="宋体" w:cs="宋体" w:eastAsia="宋体" w:hint="default"/>
                <w:spacing w:val="-3"/>
                <w:w w:val="100"/>
                <w:sz w:val="21"/>
                <w:szCs w:val="21"/>
              </w:rPr>
              <w:t>草</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48"/>
                <w:w w:val="100"/>
                <w:sz w:val="21"/>
                <w:szCs w:val="21"/>
              </w:rPr>
              <w:t>》</w:t>
            </w:r>
            <w:r>
              <w:rPr>
                <w:rFonts w:ascii="宋体" w:hAnsi="宋体" w:cs="宋体" w:eastAsia="宋体" w:hint="default"/>
                <w:spacing w:val="-3"/>
                <w:w w:val="100"/>
                <w:sz w:val="21"/>
                <w:szCs w:val="21"/>
              </w:rPr>
              <w:t>及</w:t>
            </w:r>
            <w:r>
              <w:rPr>
                <w:rFonts w:ascii="宋体" w:hAnsi="宋体" w:cs="宋体" w:eastAsia="宋体" w:hint="default"/>
                <w:w w:val="100"/>
                <w:sz w:val="21"/>
                <w:szCs w:val="21"/>
              </w:rPr>
              <w:t>其</w:t>
            </w:r>
          </w:p>
          <w:p>
            <w:pPr>
              <w:pStyle w:val="TableParagraph"/>
              <w:spacing w:line="232" w:lineRule="auto"/>
              <w:ind w:left="103" w:right="99"/>
              <w:jc w:val="both"/>
              <w:rPr>
                <w:rFonts w:ascii="宋体" w:hAnsi="宋体" w:cs="宋体" w:eastAsia="宋体" w:hint="default"/>
                <w:sz w:val="21"/>
                <w:szCs w:val="21"/>
              </w:rPr>
            </w:pPr>
            <w:r>
              <w:rPr>
                <w:rFonts w:ascii="宋体" w:hAnsi="宋体" w:cs="宋体" w:eastAsia="宋体" w:hint="default"/>
                <w:spacing w:val="-14"/>
                <w:w w:val="100"/>
                <w:sz w:val="21"/>
                <w:szCs w:val="21"/>
              </w:rPr>
              <w:t>摘要的议案、《泰豪科技股份有限公司</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48"/>
                <w:w w:val="100"/>
                <w:sz w:val="21"/>
                <w:szCs w:val="21"/>
              </w:rPr>
              <w:t> </w:t>
            </w:r>
            <w:r>
              <w:rPr>
                <w:rFonts w:ascii="宋体" w:hAnsi="宋体" w:cs="宋体" w:eastAsia="宋体" w:hint="default"/>
                <w:spacing w:val="-3"/>
                <w:w w:val="100"/>
                <w:sz w:val="21"/>
                <w:szCs w:val="21"/>
              </w:rPr>
              <w:t>年限</w:t>
            </w:r>
            <w:r>
              <w:rPr>
                <w:rFonts w:ascii="宋体" w:hAnsi="宋体" w:cs="宋体" w:eastAsia="宋体" w:hint="default"/>
                <w:spacing w:val="-103"/>
                <w:w w:val="100"/>
                <w:sz w:val="21"/>
                <w:szCs w:val="21"/>
              </w:rPr>
              <w:t> </w:t>
            </w:r>
            <w:r>
              <w:rPr>
                <w:rFonts w:ascii="宋体" w:hAnsi="宋体" w:cs="宋体" w:eastAsia="宋体" w:hint="default"/>
                <w:spacing w:val="-15"/>
                <w:w w:val="100"/>
                <w:sz w:val="21"/>
                <w:szCs w:val="21"/>
              </w:rPr>
              <w:t>制性股票激励计划实施考核办法（草案）》和《关</w:t>
            </w:r>
            <w:r>
              <w:rPr>
                <w:rFonts w:ascii="宋体" w:hAnsi="宋体" w:cs="宋体" w:eastAsia="宋体" w:hint="default"/>
                <w:w w:val="100"/>
                <w:sz w:val="21"/>
                <w:szCs w:val="21"/>
              </w:rPr>
              <w:t> </w:t>
            </w:r>
            <w:r>
              <w:rPr>
                <w:rFonts w:ascii="宋体" w:hAnsi="宋体" w:cs="宋体" w:eastAsia="宋体" w:hint="default"/>
                <w:sz w:val="21"/>
                <w:szCs w:val="21"/>
              </w:rPr>
              <w:t>于提请股东大会授权董事会办理公司</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w:t>
            </w:r>
            <w:r>
              <w:rPr>
                <w:rFonts w:ascii="宋体" w:hAnsi="宋体" w:cs="宋体" w:eastAsia="宋体" w:hint="default"/>
                <w:w w:val="100"/>
                <w:sz w:val="21"/>
                <w:szCs w:val="21"/>
              </w:rPr>
              <w:t> </w:t>
            </w:r>
            <w:r>
              <w:rPr>
                <w:rFonts w:ascii="宋体" w:hAnsi="宋体" w:cs="宋体" w:eastAsia="宋体" w:hint="default"/>
                <w:spacing w:val="-8"/>
                <w:w w:val="100"/>
                <w:sz w:val="21"/>
                <w:szCs w:val="21"/>
              </w:rPr>
              <w:t>制性股票激励计划相关事宜的议案》。</w:t>
            </w:r>
          </w:p>
          <w:p>
            <w:pPr>
              <w:pStyle w:val="TableParagraph"/>
              <w:spacing w:line="230" w:lineRule="auto" w:before="7"/>
              <w:ind w:left="103" w:right="99" w:firstLine="419"/>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日召开的第六届董</w:t>
            </w:r>
            <w:r>
              <w:rPr>
                <w:rFonts w:ascii="宋体" w:hAnsi="宋体" w:cs="宋体" w:eastAsia="宋体" w:hint="default"/>
                <w:w w:val="100"/>
                <w:sz w:val="21"/>
                <w:szCs w:val="21"/>
              </w:rPr>
              <w:t> </w:t>
            </w:r>
            <w:r>
              <w:rPr>
                <w:rFonts w:ascii="宋体" w:hAnsi="宋体" w:cs="宋体" w:eastAsia="宋体" w:hint="default"/>
                <w:spacing w:val="14"/>
                <w:sz w:val="21"/>
                <w:szCs w:val="21"/>
              </w:rPr>
              <w:t>事会第二十九次会议审议通过了《关于调整</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年限制性股票激励计划授予数量及向首次</w:t>
            </w:r>
            <w:r>
              <w:rPr>
                <w:rFonts w:ascii="宋体" w:hAnsi="宋体" w:cs="宋体" w:eastAsia="宋体" w:hint="default"/>
                <w:w w:val="100"/>
                <w:sz w:val="21"/>
                <w:szCs w:val="21"/>
              </w:rPr>
              <w:t> </w:t>
            </w:r>
            <w:r>
              <w:rPr>
                <w:rFonts w:ascii="宋体" w:hAnsi="宋体" w:cs="宋体" w:eastAsia="宋体" w:hint="default"/>
                <w:spacing w:val="-8"/>
                <w:w w:val="100"/>
                <w:sz w:val="21"/>
                <w:szCs w:val="21"/>
              </w:rPr>
              <w:t>被激励对象授予限制性股票的议案》。</w:t>
            </w:r>
          </w:p>
          <w:p>
            <w:pPr>
              <w:pStyle w:val="TableParagraph"/>
              <w:spacing w:line="230" w:lineRule="auto" w:before="7"/>
              <w:ind w:left="103" w:right="100" w:firstLine="419"/>
              <w:jc w:val="both"/>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2018</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8"/>
                <w:w w:val="100"/>
                <w:sz w:val="21"/>
                <w:szCs w:val="21"/>
              </w:rPr>
              <w:t>日，公司完成</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2017</w:t>
            </w:r>
            <w:r>
              <w:rPr>
                <w:rFonts w:ascii="Times New Roman" w:hAnsi="Times New Roman" w:cs="Times New Roman" w:eastAsia="Times New Roman" w:hint="default"/>
                <w:w w:val="100"/>
                <w:sz w:val="21"/>
                <w:szCs w:val="21"/>
              </w:rPr>
              <w:t> </w:t>
            </w:r>
            <w:r>
              <w:rPr>
                <w:rFonts w:ascii="宋体" w:hAnsi="宋体" w:cs="宋体" w:eastAsia="宋体" w:hint="default"/>
                <w:spacing w:val="-3"/>
                <w:w w:val="100"/>
                <w:sz w:val="21"/>
                <w:szCs w:val="21"/>
              </w:rPr>
              <w:t>年限 </w:t>
            </w:r>
            <w:r>
              <w:rPr>
                <w:rFonts w:ascii="宋体" w:hAnsi="宋体" w:cs="宋体" w:eastAsia="宋体" w:hint="default"/>
                <w:spacing w:val="3"/>
                <w:sz w:val="21"/>
                <w:szCs w:val="21"/>
              </w:rPr>
              <w:t>制性股票激励计划的首次授予，合计授予股份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sz w:val="21"/>
                <w:szCs w:val="21"/>
              </w:rPr>
              <w:t>1750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万股，授予人数</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人。</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《公司关于以集中竞价方式回购公司股</w:t>
            </w:r>
          </w:p>
          <w:p>
            <w:pPr>
              <w:pStyle w:val="TableParagraph"/>
              <w:spacing w:line="228" w:lineRule="auto" w:before="11"/>
              <w:ind w:left="100" w:right="12"/>
              <w:jc w:val="both"/>
              <w:rPr>
                <w:rFonts w:ascii="宋体" w:hAnsi="宋体" w:cs="宋体" w:eastAsia="宋体" w:hint="default"/>
                <w:sz w:val="21"/>
                <w:szCs w:val="21"/>
              </w:rPr>
            </w:pPr>
            <w:r>
              <w:rPr>
                <w:rFonts w:ascii="宋体" w:hAnsi="宋体" w:cs="宋体" w:eastAsia="宋体" w:hint="default"/>
                <w:sz w:val="21"/>
                <w:szCs w:val="21"/>
              </w:rPr>
              <w:t>份以实施股权激励计划的预案公告》（公告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编号：临 </w:t>
            </w:r>
            <w:r>
              <w:rPr>
                <w:rFonts w:ascii="Times New Roman" w:hAnsi="Times New Roman" w:cs="Times New Roman" w:eastAsia="Times New Roman" w:hint="default"/>
                <w:sz w:val="21"/>
                <w:szCs w:val="21"/>
              </w:rPr>
              <w:t>2017-079</w:t>
            </w:r>
            <w:r>
              <w:rPr>
                <w:rFonts w:ascii="宋体" w:hAnsi="宋体" w:cs="宋体" w:eastAsia="宋体" w:hint="default"/>
                <w:sz w:val="21"/>
                <w:szCs w:val="21"/>
              </w:rPr>
              <w:t>），《公司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年限制</w:t>
            </w:r>
            <w:r>
              <w:rPr>
                <w:rFonts w:ascii="宋体" w:hAnsi="宋体" w:cs="宋体" w:eastAsia="宋体" w:hint="default"/>
                <w:w w:val="100"/>
                <w:sz w:val="21"/>
                <w:szCs w:val="21"/>
              </w:rPr>
              <w:t> </w:t>
            </w:r>
            <w:r>
              <w:rPr>
                <w:rFonts w:ascii="宋体" w:hAnsi="宋体" w:cs="宋体" w:eastAsia="宋体" w:hint="default"/>
                <w:sz w:val="21"/>
                <w:szCs w:val="21"/>
              </w:rPr>
              <w:t>性股票激励计划（草案）摘要公告》（公告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编号：临 </w:t>
            </w:r>
            <w:r>
              <w:rPr>
                <w:rFonts w:ascii="Times New Roman" w:hAnsi="Times New Roman" w:cs="Times New Roman" w:eastAsia="Times New Roman" w:hint="default"/>
                <w:sz w:val="21"/>
                <w:szCs w:val="21"/>
              </w:rPr>
              <w:t>2017-080</w:t>
            </w:r>
            <w:r>
              <w:rPr>
                <w:rFonts w:ascii="宋体" w:hAnsi="宋体" w:cs="宋体" w:eastAsia="宋体" w:hint="default"/>
                <w:sz w:val="21"/>
                <w:szCs w:val="21"/>
              </w:rPr>
              <w:t>），《公司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年限制</w:t>
            </w:r>
            <w:r>
              <w:rPr>
                <w:rFonts w:ascii="宋体" w:hAnsi="宋体" w:cs="宋体" w:eastAsia="宋体" w:hint="default"/>
                <w:w w:val="100"/>
                <w:sz w:val="21"/>
                <w:szCs w:val="21"/>
              </w:rPr>
              <w:t> </w:t>
            </w:r>
            <w:r>
              <w:rPr>
                <w:rFonts w:ascii="宋体" w:hAnsi="宋体" w:cs="宋体" w:eastAsia="宋体" w:hint="default"/>
                <w:sz w:val="21"/>
                <w:szCs w:val="21"/>
              </w:rPr>
              <w:t>性股票激励计划股份回购开始的公告》（公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告编号：临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2017-090</w:t>
            </w:r>
            <w:r>
              <w:rPr>
                <w:rFonts w:ascii="宋体" w:hAnsi="宋体" w:cs="宋体" w:eastAsia="宋体" w:hint="default"/>
                <w:sz w:val="21"/>
                <w:szCs w:val="21"/>
              </w:rPr>
              <w:t>），《公司关于回购股</w:t>
            </w:r>
            <w:r>
              <w:rPr>
                <w:rFonts w:ascii="宋体" w:hAnsi="宋体" w:cs="宋体" w:eastAsia="宋体" w:hint="default"/>
                <w:w w:val="100"/>
                <w:sz w:val="21"/>
                <w:szCs w:val="21"/>
              </w:rPr>
              <w:t> </w:t>
            </w:r>
            <w:r>
              <w:rPr>
                <w:rFonts w:ascii="宋体" w:hAnsi="宋体" w:cs="宋体" w:eastAsia="宋体" w:hint="default"/>
                <w:sz w:val="21"/>
                <w:szCs w:val="21"/>
              </w:rPr>
              <w:t>份用于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年限制性股票激励计划进展的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公告》（公告编号：临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2017-092</w:t>
            </w: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z w:val="21"/>
                <w:szCs w:val="21"/>
              </w:rPr>
              <w:t>关于回购股份用于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年限制性股票激励</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计划进展的公告》（公告编号：</w:t>
            </w:r>
            <w:r>
              <w:rPr>
                <w:rFonts w:ascii="Times New Roman" w:hAnsi="Times New Roman" w:cs="Times New Roman" w:eastAsia="Times New Roman" w:hint="default"/>
                <w:spacing w:val="-5"/>
                <w:sz w:val="21"/>
                <w:szCs w:val="21"/>
              </w:rPr>
              <w:t>2017-098</w:t>
            </w:r>
            <w:r>
              <w:rPr>
                <w:rFonts w:ascii="宋体" w:hAnsi="宋体" w:cs="宋体" w:eastAsia="宋体" w:hint="default"/>
                <w:spacing w:val="-5"/>
                <w:sz w:val="21"/>
                <w:szCs w:val="21"/>
              </w:rPr>
              <w:t>），</w:t>
            </w:r>
            <w:r>
              <w:rPr>
                <w:rFonts w:ascii="宋体" w:hAnsi="宋体" w:cs="宋体" w:eastAsia="宋体" w:hint="default"/>
                <w:sz w:val="21"/>
                <w:szCs w:val="21"/>
              </w:rPr>
            </w:r>
          </w:p>
          <w:p>
            <w:pPr>
              <w:pStyle w:val="TableParagraph"/>
              <w:spacing w:line="274" w:lineRule="exact" w:before="9"/>
              <w:ind w:left="100" w:right="79"/>
              <w:jc w:val="both"/>
              <w:rPr>
                <w:rFonts w:ascii="宋体" w:hAnsi="宋体" w:cs="宋体" w:eastAsia="宋体" w:hint="default"/>
                <w:sz w:val="21"/>
                <w:szCs w:val="21"/>
              </w:rPr>
            </w:pPr>
            <w:r>
              <w:rPr>
                <w:rFonts w:ascii="宋体" w:hAnsi="宋体" w:cs="宋体" w:eastAsia="宋体" w:hint="default"/>
                <w:sz w:val="21"/>
                <w:szCs w:val="21"/>
              </w:rPr>
              <w:t>《公司关于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年限制性股票激励计划股</w:t>
            </w:r>
            <w:r>
              <w:rPr>
                <w:rFonts w:ascii="宋体" w:hAnsi="宋体" w:cs="宋体" w:eastAsia="宋体" w:hint="default"/>
                <w:w w:val="100"/>
                <w:sz w:val="21"/>
                <w:szCs w:val="21"/>
              </w:rPr>
              <w:t> </w:t>
            </w:r>
            <w:r>
              <w:rPr>
                <w:rFonts w:ascii="宋体" w:hAnsi="宋体" w:cs="宋体" w:eastAsia="宋体" w:hint="default"/>
                <w:spacing w:val="-18"/>
                <w:w w:val="100"/>
                <w:sz w:val="21"/>
                <w:szCs w:val="21"/>
              </w:rPr>
              <w:t>份回购结果公告》（公告编号：临</w:t>
            </w:r>
            <w:r>
              <w:rPr>
                <w:rFonts w:ascii="宋体" w:hAnsi="宋体" w:cs="宋体" w:eastAsia="宋体" w:hint="default"/>
                <w:spacing w:val="-42"/>
                <w:w w:val="100"/>
                <w:sz w:val="21"/>
                <w:szCs w:val="21"/>
              </w:rPr>
              <w:t> </w:t>
            </w:r>
            <w:r>
              <w:rPr>
                <w:rFonts w:ascii="Times New Roman" w:hAnsi="Times New Roman" w:cs="Times New Roman" w:eastAsia="Times New Roman" w:hint="default"/>
                <w:spacing w:val="-18"/>
                <w:w w:val="100"/>
                <w:sz w:val="21"/>
                <w:szCs w:val="21"/>
              </w:rPr>
              <w:t>2017-099</w:t>
            </w:r>
            <w:r>
              <w:rPr>
                <w:rFonts w:ascii="宋体" w:hAnsi="宋体" w:cs="宋体" w:eastAsia="宋体" w:hint="default"/>
                <w:spacing w:val="-18"/>
                <w:w w:val="100"/>
                <w:sz w:val="21"/>
                <w:szCs w:val="21"/>
              </w:rPr>
              <w:t>），</w:t>
            </w:r>
            <w:r>
              <w:rPr>
                <w:rFonts w:ascii="宋体" w:hAnsi="宋体" w:cs="宋体" w:eastAsia="宋体" w:hint="default"/>
                <w:w w:val="100"/>
                <w:sz w:val="21"/>
                <w:szCs w:val="21"/>
              </w:rPr>
            </w:r>
          </w:p>
          <w:p>
            <w:pPr>
              <w:pStyle w:val="TableParagraph"/>
              <w:spacing w:line="253"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《公司关于调整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年限制性股票激励计</w:t>
            </w:r>
          </w:p>
          <w:p>
            <w:pPr>
              <w:pStyle w:val="TableParagraph"/>
              <w:spacing w:line="272" w:lineRule="exact" w:before="19"/>
              <w:ind w:left="100" w:right="91"/>
              <w:jc w:val="both"/>
              <w:rPr>
                <w:rFonts w:ascii="宋体" w:hAnsi="宋体" w:cs="宋体" w:eastAsia="宋体" w:hint="default"/>
                <w:sz w:val="21"/>
                <w:szCs w:val="21"/>
              </w:rPr>
            </w:pPr>
            <w:r>
              <w:rPr>
                <w:rFonts w:ascii="宋体" w:hAnsi="宋体" w:cs="宋体" w:eastAsia="宋体" w:hint="default"/>
                <w:spacing w:val="-1"/>
                <w:sz w:val="21"/>
                <w:szCs w:val="21"/>
              </w:rPr>
              <w:t>划授予数量及向首次被激励对象授予限制性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股票的公告》（公告编号：临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2017-109</w:t>
            </w:r>
            <w:r>
              <w:rPr>
                <w:rFonts w:ascii="宋体" w:hAnsi="宋体" w:cs="宋体" w:eastAsia="宋体" w:hint="default"/>
                <w:sz w:val="21"/>
                <w:szCs w:val="21"/>
              </w:rPr>
              <w:t>），</w:t>
            </w:r>
          </w:p>
          <w:p>
            <w:pPr>
              <w:pStyle w:val="TableParagraph"/>
              <w:spacing w:line="272" w:lineRule="exact" w:before="1"/>
              <w:ind w:left="100" w:right="100"/>
              <w:jc w:val="both"/>
              <w:rPr>
                <w:rFonts w:ascii="宋体" w:hAnsi="宋体" w:cs="宋体" w:eastAsia="宋体" w:hint="default"/>
                <w:sz w:val="21"/>
                <w:szCs w:val="21"/>
              </w:rPr>
            </w:pPr>
            <w:r>
              <w:rPr>
                <w:rFonts w:ascii="宋体" w:hAnsi="宋体" w:cs="宋体" w:eastAsia="宋体" w:hint="default"/>
                <w:sz w:val="21"/>
                <w:szCs w:val="21"/>
              </w:rPr>
              <w:t>《公司关于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年限制性股票激励计划首</w:t>
            </w:r>
            <w:r>
              <w:rPr>
                <w:rFonts w:ascii="宋体" w:hAnsi="宋体" w:cs="宋体" w:eastAsia="宋体" w:hint="default"/>
                <w:w w:val="100"/>
                <w:sz w:val="21"/>
                <w:szCs w:val="21"/>
              </w:rPr>
              <w:t> </w:t>
            </w:r>
            <w:r>
              <w:rPr>
                <w:rFonts w:ascii="宋体" w:hAnsi="宋体" w:cs="宋体" w:eastAsia="宋体" w:hint="default"/>
                <w:sz w:val="21"/>
                <w:szCs w:val="21"/>
              </w:rPr>
              <w:t>次</w:t>
            </w:r>
            <w:r>
              <w:rPr>
                <w:rFonts w:ascii="宋体" w:hAnsi="宋体" w:cs="宋体" w:eastAsia="宋体" w:hint="default"/>
                <w:spacing w:val="-64"/>
                <w:sz w:val="21"/>
                <w:szCs w:val="21"/>
              </w:rPr>
              <w:t> </w:t>
            </w:r>
            <w:r>
              <w:rPr>
                <w:rFonts w:ascii="宋体" w:hAnsi="宋体" w:cs="宋体" w:eastAsia="宋体" w:hint="default"/>
                <w:sz w:val="21"/>
                <w:szCs w:val="21"/>
              </w:rPr>
              <w:t>授</w:t>
            </w:r>
            <w:r>
              <w:rPr>
                <w:rFonts w:ascii="宋体" w:hAnsi="宋体" w:cs="宋体" w:eastAsia="宋体" w:hint="default"/>
                <w:spacing w:val="-61"/>
                <w:sz w:val="21"/>
                <w:szCs w:val="21"/>
              </w:rPr>
              <w:t> </w:t>
            </w:r>
            <w:r>
              <w:rPr>
                <w:rFonts w:ascii="宋体" w:hAnsi="宋体" w:cs="宋体" w:eastAsia="宋体" w:hint="default"/>
                <w:sz w:val="21"/>
                <w:szCs w:val="21"/>
              </w:rPr>
              <w:t>予</w:t>
            </w:r>
            <w:r>
              <w:rPr>
                <w:rFonts w:ascii="宋体" w:hAnsi="宋体" w:cs="宋体" w:eastAsia="宋体" w:hint="default"/>
                <w:spacing w:val="-64"/>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进</w:t>
            </w:r>
            <w:r>
              <w:rPr>
                <w:rFonts w:ascii="宋体" w:hAnsi="宋体" w:cs="宋体" w:eastAsia="宋体" w:hint="default"/>
                <w:spacing w:val="-64"/>
                <w:sz w:val="21"/>
                <w:szCs w:val="21"/>
              </w:rPr>
              <w:t> </w:t>
            </w:r>
            <w:r>
              <w:rPr>
                <w:rFonts w:ascii="宋体" w:hAnsi="宋体" w:cs="宋体" w:eastAsia="宋体" w:hint="default"/>
                <w:sz w:val="21"/>
                <w:szCs w:val="21"/>
              </w:rPr>
              <w:t>展</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告</w:t>
            </w:r>
            <w:r>
              <w:rPr>
                <w:rFonts w:ascii="宋体" w:hAnsi="宋体" w:cs="宋体" w:eastAsia="宋体" w:hint="default"/>
                <w:spacing w:val="-62"/>
                <w:sz w:val="21"/>
                <w:szCs w:val="21"/>
              </w:rPr>
              <w:t> </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告</w:t>
            </w:r>
            <w:r>
              <w:rPr>
                <w:rFonts w:ascii="宋体" w:hAnsi="宋体" w:cs="宋体" w:eastAsia="宋体" w:hint="default"/>
                <w:spacing w:val="-64"/>
                <w:sz w:val="21"/>
                <w:szCs w:val="21"/>
              </w:rPr>
              <w:t> </w:t>
            </w:r>
            <w:r>
              <w:rPr>
                <w:rFonts w:ascii="宋体" w:hAnsi="宋体" w:cs="宋体" w:eastAsia="宋体" w:hint="default"/>
                <w:sz w:val="21"/>
                <w:szCs w:val="21"/>
              </w:rPr>
              <w:t>编</w:t>
            </w:r>
            <w:r>
              <w:rPr>
                <w:rFonts w:ascii="宋体" w:hAnsi="宋体" w:cs="宋体" w:eastAsia="宋体" w:hint="default"/>
                <w:spacing w:val="-64"/>
                <w:sz w:val="21"/>
                <w:szCs w:val="21"/>
              </w:rPr>
              <w:t> </w:t>
            </w:r>
            <w:r>
              <w:rPr>
                <w:rFonts w:ascii="宋体" w:hAnsi="宋体" w:cs="宋体" w:eastAsia="宋体" w:hint="default"/>
                <w:sz w:val="21"/>
                <w:szCs w:val="21"/>
              </w:rPr>
              <w:t>号</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临</w:t>
            </w:r>
          </w:p>
          <w:p>
            <w:pPr>
              <w:pStyle w:val="TableParagraph"/>
              <w:spacing w:line="272" w:lineRule="exact" w:before="1"/>
              <w:ind w:left="100" w:right="100"/>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2017-112</w:t>
            </w:r>
            <w:r>
              <w:rPr>
                <w:rFonts w:ascii="宋体" w:hAnsi="宋体" w:cs="宋体" w:eastAsia="宋体" w:hint="default"/>
                <w:spacing w:val="-6"/>
                <w:sz w:val="21"/>
                <w:szCs w:val="21"/>
              </w:rPr>
              <w:t>），《公司关于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年限制性股票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激励计划首次授予结果公告》（公告编号：</w:t>
            </w:r>
          </w:p>
          <w:p>
            <w:pPr>
              <w:pStyle w:val="TableParagraph"/>
              <w:spacing w:line="265" w:lineRule="exact"/>
              <w:ind w:left="100" w:right="0"/>
              <w:jc w:val="both"/>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2018-001</w:t>
            </w:r>
            <w:r>
              <w:rPr>
                <w:rFonts w:ascii="宋体" w:hAnsi="宋体" w:cs="宋体" w:eastAsia="宋体" w:hint="default"/>
                <w:sz w:val="21"/>
                <w:szCs w:val="21"/>
              </w:rPr>
              <w:t>）。</w:t>
            </w:r>
          </w:p>
        </w:tc>
      </w:tr>
    </w:tbl>
    <w:p>
      <w:pPr>
        <w:spacing w:line="240" w:lineRule="auto" w:before="7"/>
        <w:rPr>
          <w:rFonts w:ascii="宋体" w:hAnsi="宋体" w:cs="宋体" w:eastAsia="宋体" w:hint="default"/>
          <w:sz w:val="17"/>
          <w:szCs w:val="17"/>
        </w:rPr>
      </w:pPr>
    </w:p>
    <w:p>
      <w:pPr>
        <w:spacing w:line="290" w:lineRule="auto" w:before="36"/>
        <w:ind w:left="21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4" w:lineRule="exact"/>
        <w:ind w:left="218" w:right="1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25" w:lineRule="auto" w:before="6"/>
        <w:ind w:left="218" w:right="524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限制性股票激励计划</w:t>
      </w:r>
      <w:r>
        <w:rPr>
          <w:w w:val="100"/>
        </w:rPr>
        <w:t> </w:t>
      </w:r>
      <w:r>
        <w:rPr/>
        <w:t>激励方式</w:t>
      </w:r>
      <w:r>
        <w:rPr>
          <w:rFonts w:ascii="Times New Roman" w:hAnsi="Times New Roman" w:cs="Times New Roman" w:eastAsia="Times New Roman" w:hint="default"/>
        </w:rPr>
        <w:t>:</w:t>
      </w:r>
      <w:r>
        <w:rPr/>
        <w:t>限制性股票</w:t>
      </w:r>
      <w:r>
        <w:rPr>
          <w:w w:val="100"/>
        </w:rPr>
        <w:t> </w:t>
      </w:r>
      <w:r>
        <w:rPr>
          <w:spacing w:val="-2"/>
        </w:rPr>
        <w:t>标的股票来源</w:t>
      </w:r>
      <w:r>
        <w:rPr>
          <w:rFonts w:ascii="Times New Roman" w:hAnsi="Times New Roman" w:cs="Times New Roman" w:eastAsia="Times New Roman" w:hint="default"/>
          <w:spacing w:val="-2"/>
        </w:rPr>
        <w:t>:</w:t>
      </w:r>
      <w:r>
        <w:rPr>
          <w:spacing w:val="-2"/>
        </w:rPr>
        <w:t>向激励对象发行股份</w:t>
      </w:r>
    </w:p>
    <w:p>
      <w:pPr>
        <w:pStyle w:val="BodyText"/>
        <w:spacing w:line="258" w:lineRule="exact"/>
        <w:ind w:left="218" w:right="100"/>
        <w:jc w:val="left"/>
      </w:pPr>
      <w:r>
        <w:rPr/>
        <w:t>权益工具公允价值的计量方法、参数的选取标准及结果</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8"/>
        <w:gridCol w:w="7696"/>
      </w:tblGrid>
      <w:tr>
        <w:trPr>
          <w:trHeight w:val="28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计量方法</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布莱克</w:t>
            </w:r>
            <w:r>
              <w:rPr>
                <w:rFonts w:ascii="Times New Roman" w:hAnsi="Times New Roman" w:cs="Times New Roman" w:eastAsia="Times New Roman" w:hint="default"/>
                <w:sz w:val="21"/>
                <w:szCs w:val="21"/>
              </w:rPr>
              <w:t>-</w:t>
            </w:r>
            <w:r>
              <w:rPr>
                <w:rFonts w:ascii="宋体" w:hAnsi="宋体" w:cs="宋体" w:eastAsia="宋体" w:hint="default"/>
                <w:sz w:val="21"/>
                <w:szCs w:val="21"/>
              </w:rPr>
              <w:t>斯科尔模型</w:t>
            </w:r>
            <w:r>
              <w:rPr>
                <w:rFonts w:ascii="Times New Roman" w:hAnsi="Times New Roman" w:cs="Times New Roman" w:eastAsia="Times New Roman" w:hint="default"/>
                <w:sz w:val="21"/>
                <w:szCs w:val="21"/>
              </w:rPr>
              <w:t>(B-S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模型</w:t>
            </w:r>
            <w:r>
              <w:rPr>
                <w:rFonts w:ascii="Times New Roman" w:hAnsi="Times New Roman" w:cs="Times New Roman" w:eastAsia="Times New Roman" w:hint="default"/>
                <w:sz w:val="21"/>
                <w:szCs w:val="21"/>
              </w:rPr>
              <w:t>)</w:t>
            </w:r>
          </w:p>
        </w:tc>
      </w:tr>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参数名称</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标的股价</w:t>
            </w:r>
            <w:r>
              <w:rPr>
                <w:rFonts w:ascii="Times New Roman" w:hAnsi="Times New Roman" w:cs="Times New Roman" w:eastAsia="Times New Roman" w:hint="default"/>
                <w:spacing w:val="-3"/>
                <w:sz w:val="21"/>
                <w:szCs w:val="21"/>
              </w:rPr>
              <w:t>(S)</w:t>
            </w:r>
            <w:r>
              <w:rPr>
                <w:rFonts w:ascii="宋体" w:hAnsi="宋体" w:cs="宋体" w:eastAsia="宋体" w:hint="default"/>
                <w:spacing w:val="-3"/>
                <w:sz w:val="21"/>
                <w:szCs w:val="21"/>
              </w:rPr>
              <w:t>、股票收益波动率</w:t>
            </w:r>
            <w:r>
              <w:rPr>
                <w:rFonts w:ascii="Times New Roman" w:hAnsi="Times New Roman" w:cs="Times New Roman" w:eastAsia="Times New Roman" w:hint="default"/>
                <w:spacing w:val="-3"/>
                <w:sz w:val="21"/>
                <w:szCs w:val="21"/>
              </w:rPr>
              <w:t>(σ2)</w:t>
            </w:r>
            <w:r>
              <w:rPr>
                <w:rFonts w:ascii="宋体" w:hAnsi="宋体" w:cs="宋体" w:eastAsia="宋体" w:hint="default"/>
                <w:spacing w:val="-3"/>
                <w:sz w:val="21"/>
                <w:szCs w:val="21"/>
              </w:rPr>
              <w:t>、无风险利率</w:t>
            </w:r>
            <w:r>
              <w:rPr>
                <w:rFonts w:ascii="Times New Roman" w:hAnsi="Times New Roman" w:cs="Times New Roman" w:eastAsia="Times New Roman" w:hint="default"/>
                <w:spacing w:val="-3"/>
                <w:sz w:val="21"/>
                <w:szCs w:val="21"/>
              </w:rPr>
              <w:t>(r)</w:t>
            </w:r>
            <w:r>
              <w:rPr>
                <w:rFonts w:ascii="宋体" w:hAnsi="宋体" w:cs="宋体" w:eastAsia="宋体" w:hint="default"/>
                <w:spacing w:val="-3"/>
                <w:sz w:val="21"/>
                <w:szCs w:val="21"/>
              </w:rPr>
              <w:t>、期权有限期</w:t>
            </w:r>
            <w:r>
              <w:rPr>
                <w:rFonts w:ascii="Times New Roman" w:hAnsi="Times New Roman" w:cs="Times New Roman" w:eastAsia="Times New Roman" w:hint="default"/>
                <w:spacing w:val="-3"/>
                <w:sz w:val="21"/>
                <w:szCs w:val="21"/>
              </w:rPr>
              <w:t>(t)</w:t>
            </w:r>
            <w:r>
              <w:rPr>
                <w:rFonts w:ascii="宋体" w:hAnsi="宋体" w:cs="宋体" w:eastAsia="宋体" w:hint="default"/>
                <w:spacing w:val="-3"/>
                <w:sz w:val="21"/>
                <w:szCs w:val="21"/>
              </w:rPr>
              <w:t>、标的股票的股</w:t>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息率</w:t>
            </w:r>
            <w:r>
              <w:rPr>
                <w:rFonts w:ascii="Times New Roman" w:hAnsi="Times New Roman" w:cs="Times New Roman" w:eastAsia="Times New Roman" w:hint="default"/>
                <w:sz w:val="21"/>
                <w:szCs w:val="21"/>
              </w:rPr>
              <w:t>(i)</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计量结果</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sz w:val="13"/>
          <w:szCs w:val="13"/>
        </w:rPr>
      </w:pPr>
    </w:p>
    <w:p>
      <w:pPr>
        <w:pStyle w:val="BodyText"/>
        <w:spacing w:line="225" w:lineRule="auto" w:before="51"/>
        <w:ind w:left="218" w:right="637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年限制性股票激励计划</w:t>
      </w:r>
      <w:r>
        <w:rPr>
          <w:w w:val="100"/>
        </w:rPr>
        <w:t> </w:t>
      </w:r>
      <w:r>
        <w:rPr/>
        <w:t>激励方式</w:t>
      </w:r>
      <w:r>
        <w:rPr>
          <w:rFonts w:ascii="Times New Roman" w:hAnsi="Times New Roman" w:cs="Times New Roman" w:eastAsia="Times New Roman" w:hint="default"/>
        </w:rPr>
        <w:t>:</w:t>
      </w:r>
      <w:r>
        <w:rPr/>
        <w:t>限制性股票</w:t>
      </w:r>
      <w:r>
        <w:rPr>
          <w:w w:val="100"/>
        </w:rPr>
        <w:t> </w:t>
      </w:r>
      <w:r>
        <w:rPr>
          <w:spacing w:val="-2"/>
        </w:rPr>
        <w:t>标的股票来源</w:t>
      </w:r>
      <w:r>
        <w:rPr>
          <w:rFonts w:ascii="Times New Roman" w:hAnsi="Times New Roman" w:cs="Times New Roman" w:eastAsia="Times New Roman" w:hint="default"/>
          <w:spacing w:val="-2"/>
        </w:rPr>
        <w:t>:</w:t>
      </w:r>
      <w:r>
        <w:rPr>
          <w:spacing w:val="-2"/>
        </w:rPr>
        <w:t>公司回购股份</w:t>
      </w:r>
    </w:p>
    <w:p>
      <w:pPr>
        <w:pStyle w:val="BodyText"/>
        <w:spacing w:line="258" w:lineRule="exact"/>
        <w:ind w:left="218" w:right="100"/>
        <w:jc w:val="left"/>
      </w:pPr>
      <w:r>
        <w:rPr/>
        <w:t>权益工具公允价值的计量方法、参数的选取标准及结果</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8"/>
        <w:gridCol w:w="7696"/>
      </w:tblGrid>
      <w:tr>
        <w:trPr>
          <w:trHeight w:val="28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计量方法</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授予日的无限售条件流通股市场价值减去授予价值</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参数名称</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授予日当天收盘价</w:t>
            </w:r>
            <w:r>
              <w:rPr>
                <w:rFonts w:ascii="宋体" w:hAnsi="宋体" w:cs="宋体" w:eastAsia="宋体" w:hint="default"/>
                <w:spacing w:val="-3"/>
                <w:sz w:val="21"/>
                <w:szCs w:val="21"/>
              </w:rPr>
              <w:t> </w:t>
            </w:r>
            <w:r>
              <w:rPr>
                <w:rFonts w:ascii="宋体" w:hAnsi="宋体" w:cs="宋体" w:eastAsia="宋体" w:hint="default"/>
                <w:sz w:val="21"/>
                <w:szCs w:val="21"/>
              </w:rPr>
              <w:t>授予价格</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28"/>
        <w:gridCol w:w="7696"/>
      </w:tblGrid>
      <w:tr>
        <w:trPr>
          <w:trHeight w:val="28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计量结果</w:t>
            </w:r>
          </w:p>
        </w:tc>
        <w:tc>
          <w:tcPr>
            <w:tcW w:w="76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194.32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sz w:val="13"/>
          <w:szCs w:val="13"/>
        </w:rPr>
      </w:pPr>
    </w:p>
    <w:p>
      <w:pPr>
        <w:pStyle w:val="BodyText"/>
        <w:spacing w:line="273" w:lineRule="exact" w:before="36"/>
        <w:ind w:left="218" w:right="0"/>
        <w:jc w:val="both"/>
      </w:pPr>
      <w:r>
        <w:rPr/>
        <w:t>其他说明</w:t>
      </w:r>
    </w:p>
    <w:p>
      <w:pPr>
        <w:pStyle w:val="BodyText"/>
        <w:spacing w:line="272" w:lineRule="exact"/>
        <w:ind w:left="218" w:right="0"/>
        <w:jc w:val="both"/>
      </w:pPr>
      <w:r>
        <w:rPr/>
        <w:t>√适用  </w:t>
      </w:r>
      <w:r>
        <w:rPr>
          <w:spacing w:val="1"/>
        </w:rPr>
        <w:t> </w:t>
      </w:r>
      <w:r>
        <w:rPr/>
        <w:t>□不适用</w:t>
      </w:r>
    </w:p>
    <w:p>
      <w:pPr>
        <w:pStyle w:val="BodyText"/>
        <w:spacing w:line="272" w:lineRule="exact"/>
        <w:ind w:left="638" w:right="0"/>
        <w:jc w:val="left"/>
      </w:pPr>
      <w:r>
        <w:rPr>
          <w:rFonts w:ascii="宋体" w:hAnsi="宋体" w:cs="宋体" w:eastAsia="宋体" w:hint="default"/>
        </w:rPr>
        <w:t>2014</w:t>
      </w:r>
      <w:r>
        <w:rPr>
          <w:rFonts w:ascii="宋体" w:hAnsi="宋体" w:cs="宋体" w:eastAsia="宋体" w:hint="default"/>
          <w:spacing w:val="12"/>
        </w:rPr>
        <w:t> </w:t>
      </w:r>
      <w:r>
        <w:rPr>
          <w:spacing w:val="-3"/>
        </w:rPr>
        <w:t>年限制性股票激励计划已经完成第三次解锁，具体详见《泰豪科技股份有限公司限制性</w:t>
      </w:r>
    </w:p>
    <w:p>
      <w:pPr>
        <w:pStyle w:val="BodyText"/>
        <w:spacing w:line="272" w:lineRule="exact"/>
        <w:ind w:left="218" w:right="0"/>
        <w:jc w:val="both"/>
        <w:rPr>
          <w:rFonts w:ascii="宋体" w:hAnsi="宋体" w:cs="宋体" w:eastAsia="宋体" w:hint="default"/>
        </w:rPr>
      </w:pPr>
      <w:r>
        <w:rPr>
          <w:spacing w:val="-4"/>
        </w:rPr>
        <w:t>股票激励计划授予的限制性股票第三次解锁暨上市公告》（公告编号：临 </w:t>
      </w:r>
      <w:r>
        <w:rPr>
          <w:rFonts w:ascii="宋体" w:hAnsi="宋体" w:cs="宋体" w:eastAsia="宋体" w:hint="default"/>
          <w:spacing w:val="-5"/>
        </w:rPr>
        <w:t>2017-108</w:t>
      </w:r>
      <w:r>
        <w:rPr>
          <w:spacing w:val="-5"/>
        </w:rPr>
        <w:t>）：截至</w:t>
      </w:r>
      <w:r>
        <w:rPr>
          <w:spacing w:val="-15"/>
        </w:rPr>
        <w:t> </w:t>
      </w:r>
      <w:r>
        <w:rPr>
          <w:rFonts w:ascii="宋体" w:hAnsi="宋体" w:cs="宋体" w:eastAsia="宋体" w:hint="default"/>
        </w:rPr>
        <w:t>2017</w:t>
      </w:r>
    </w:p>
    <w:p>
      <w:pPr>
        <w:pStyle w:val="BodyText"/>
        <w:spacing w:line="272" w:lineRule="exact" w:before="27"/>
        <w:ind w:left="218" w:right="0"/>
        <w:jc w:val="left"/>
      </w:pP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w w:val="100"/>
        </w:rPr>
        <w:t>21</w:t>
      </w:r>
      <w:r>
        <w:rPr>
          <w:rFonts w:ascii="宋体" w:hAnsi="宋体" w:cs="宋体" w:eastAsia="宋体" w:hint="default"/>
          <w:spacing w:val="-54"/>
          <w:w w:val="100"/>
        </w:rPr>
        <w:t> </w:t>
      </w:r>
      <w:r>
        <w:rPr>
          <w:spacing w:val="-25"/>
          <w:w w:val="100"/>
        </w:rPr>
        <w:t>日，公司</w:t>
      </w:r>
      <w:r>
        <w:rPr>
          <w:spacing w:val="-51"/>
          <w:w w:val="100"/>
        </w:rPr>
        <w:t> </w:t>
      </w:r>
      <w:r>
        <w:rPr>
          <w:rFonts w:ascii="宋体" w:hAnsi="宋体" w:cs="宋体" w:eastAsia="宋体" w:hint="default"/>
          <w:spacing w:val="-1"/>
          <w:w w:val="100"/>
        </w:rPr>
        <w:t>2014</w:t>
      </w:r>
      <w:r>
        <w:rPr>
          <w:rFonts w:ascii="宋体" w:hAnsi="宋体" w:cs="宋体" w:eastAsia="宋体" w:hint="default"/>
          <w:spacing w:val="-54"/>
          <w:w w:val="100"/>
        </w:rPr>
        <w:t> </w:t>
      </w:r>
      <w:r>
        <w:rPr>
          <w:spacing w:val="-2"/>
          <w:w w:val="100"/>
        </w:rPr>
        <w:t>年限制性股票激励计划向激励对象发行的股份之剩余的</w:t>
      </w:r>
      <w:r>
        <w:rPr>
          <w:spacing w:val="-50"/>
          <w:w w:val="100"/>
        </w:rPr>
        <w:t> </w:t>
      </w:r>
      <w:r>
        <w:rPr>
          <w:rFonts w:ascii="宋体" w:hAnsi="宋体" w:cs="宋体" w:eastAsia="宋体" w:hint="default"/>
          <w:spacing w:val="-1"/>
          <w:w w:val="100"/>
        </w:rPr>
        <w:t>224</w:t>
      </w:r>
      <w:r>
        <w:rPr>
          <w:rFonts w:ascii="宋体" w:hAnsi="宋体" w:cs="宋体" w:eastAsia="宋体" w:hint="default"/>
          <w:spacing w:val="-51"/>
          <w:w w:val="100"/>
        </w:rPr>
        <w:t> </w:t>
      </w:r>
      <w:r>
        <w:rPr>
          <w:spacing w:val="-2"/>
          <w:w w:val="100"/>
        </w:rPr>
        <w:t>万股限制性</w:t>
      </w:r>
      <w:r>
        <w:rPr>
          <w:w w:val="100"/>
        </w:rPr>
        <w:t> </w:t>
      </w:r>
      <w:r>
        <w:rPr/>
        <w:t>股票已全部解锁。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73" w:lineRule="exact"/>
        <w:ind w:left="218" w:right="0"/>
        <w:jc w:val="both"/>
      </w:pPr>
      <w:r>
        <w:rPr/>
        <w:t>员工持股计划情况</w:t>
      </w:r>
    </w:p>
    <w:p>
      <w:pPr>
        <w:pStyle w:val="BodyText"/>
        <w:spacing w:line="281" w:lineRule="exact"/>
        <w:ind w:left="2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3" w:lineRule="exact"/>
        <w:ind w:left="638" w:right="0"/>
        <w:jc w:val="left"/>
      </w:pPr>
      <w:r>
        <w:rPr/>
        <w:t>根据 </w:t>
      </w:r>
      <w:r>
        <w:rPr>
          <w:rFonts w:ascii="Times New Roman" w:hAnsi="Times New Roman" w:cs="Times New Roman" w:eastAsia="Times New Roman" w:hint="default"/>
        </w:rPr>
        <w:t>2017 </w:t>
      </w:r>
      <w:r>
        <w:rPr>
          <w:rFonts w:ascii="Times New Roman" w:hAnsi="Times New Roman" w:cs="Times New Roman" w:eastAsia="Times New Roman" w:hint="default"/>
          <w:spacing w:val="3"/>
        </w:rPr>
        <w:t> </w:t>
      </w:r>
      <w:r>
        <w:rPr/>
        <w:t>年第一次持有人大会、六届董事会第二十六次会议决议，公司员工股持股计划由</w:t>
      </w:r>
    </w:p>
    <w:p>
      <w:pPr>
        <w:pStyle w:val="BodyText"/>
        <w:spacing w:line="228" w:lineRule="auto" w:before="2"/>
        <w:ind w:left="218" w:right="208"/>
        <w:jc w:val="both"/>
      </w:pP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个月延长至</w:t>
      </w:r>
      <w:r>
        <w:rPr>
          <w:spacing w:val="-45"/>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spacing w:val="-4"/>
        </w:rPr>
        <w:t>个月，具体详见《泰豪科技股份有限公司员工持股计划</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年第一次持有人会</w:t>
      </w:r>
      <w:r>
        <w:rPr>
          <w:spacing w:val="-102"/>
        </w:rPr>
        <w:t> </w:t>
      </w:r>
      <w:r>
        <w:rPr>
          <w:spacing w:val="-102"/>
        </w:rPr>
      </w:r>
      <w:r>
        <w:rPr>
          <w:spacing w:val="-9"/>
          <w:w w:val="100"/>
        </w:rPr>
        <w:t>议决议公告》（公告编号：临</w:t>
      </w:r>
      <w:r>
        <w:rPr>
          <w:spacing w:val="33"/>
          <w:w w:val="100"/>
        </w:rPr>
        <w:t> </w:t>
      </w:r>
      <w:r>
        <w:rPr>
          <w:rFonts w:ascii="Times New Roman" w:hAnsi="Times New Roman" w:cs="Times New Roman" w:eastAsia="Times New Roman" w:hint="default"/>
          <w:spacing w:val="-7"/>
          <w:w w:val="100"/>
        </w:rPr>
        <w:t>2017-069</w:t>
      </w:r>
      <w:r>
        <w:rPr>
          <w:spacing w:val="-7"/>
          <w:w w:val="100"/>
        </w:rPr>
        <w:t>）、《泰豪科技股份有限公司第六届董事会第二十六次会议</w:t>
      </w:r>
      <w:r>
        <w:rPr>
          <w:spacing w:val="-103"/>
          <w:w w:val="100"/>
        </w:rPr>
        <w:t> </w:t>
      </w:r>
      <w:r>
        <w:rPr>
          <w:spacing w:val="-103"/>
          <w:w w:val="100"/>
        </w:rPr>
      </w:r>
      <w:r>
        <w:rPr>
          <w:spacing w:val="-9"/>
          <w:w w:val="100"/>
        </w:rPr>
        <w:t>决议公告》（公告编号：临</w:t>
      </w:r>
      <w:r>
        <w:rPr>
          <w:spacing w:val="33"/>
          <w:w w:val="100"/>
        </w:rPr>
        <w:t> </w:t>
      </w:r>
      <w:r>
        <w:rPr>
          <w:rFonts w:ascii="Times New Roman" w:hAnsi="Times New Roman" w:cs="Times New Roman" w:eastAsia="Times New Roman" w:hint="default"/>
          <w:spacing w:val="-1"/>
          <w:w w:val="100"/>
        </w:rPr>
        <w:t>2017-071</w:t>
      </w:r>
      <w:r>
        <w:rPr>
          <w:spacing w:val="-1"/>
          <w:w w:val="100"/>
        </w:rPr>
        <w:t>）及《泰豪科技股份有限公司关于第一期员工持股计划存续</w:t>
      </w:r>
      <w:r>
        <w:rPr>
          <w:spacing w:val="-103"/>
          <w:w w:val="100"/>
        </w:rPr>
        <w:t> </w:t>
      </w:r>
      <w:r>
        <w:rPr>
          <w:spacing w:val="-103"/>
          <w:w w:val="100"/>
        </w:rPr>
      </w:r>
      <w:r>
        <w:rPr>
          <w:spacing w:val="-9"/>
          <w:w w:val="100"/>
        </w:rPr>
        <w:t>期延长的公告》（公告编号：临</w:t>
      </w:r>
      <w:r>
        <w:rPr>
          <w:spacing w:val="-43"/>
          <w:w w:val="100"/>
        </w:rPr>
        <w:t> </w:t>
      </w:r>
      <w:r>
        <w:rPr>
          <w:rFonts w:ascii="Times New Roman" w:hAnsi="Times New Roman" w:cs="Times New Roman" w:eastAsia="Times New Roman" w:hint="default"/>
          <w:spacing w:val="-5"/>
          <w:w w:val="100"/>
        </w:rPr>
        <w:t>2017-072</w:t>
      </w:r>
      <w:r>
        <w:rPr>
          <w:spacing w:val="-5"/>
          <w:w w:val="100"/>
        </w:rPr>
        <w:t>）；管理机构由天风证券股份有限公司变更为华澳信托股</w:t>
      </w:r>
      <w:r>
        <w:rPr>
          <w:spacing w:val="-102"/>
          <w:w w:val="100"/>
        </w:rPr>
        <w:t> </w:t>
      </w:r>
      <w:r>
        <w:rPr>
          <w:spacing w:val="-102"/>
          <w:w w:val="100"/>
        </w:rPr>
      </w:r>
      <w:r>
        <w:rPr>
          <w:spacing w:val="-1"/>
        </w:rPr>
        <w:t>份有限公司，具体详见《泰豪科技股份有限公司关于变更公司第一期员工持股计划资产管理机构</w:t>
      </w:r>
      <w:r>
        <w:rPr>
          <w:spacing w:val="-56"/>
        </w:rPr>
        <w:t> </w:t>
      </w:r>
      <w:r>
        <w:rPr>
          <w:spacing w:val="-56"/>
        </w:rPr>
      </w:r>
      <w:r>
        <w:rPr>
          <w:spacing w:val="-10"/>
          <w:w w:val="100"/>
        </w:rPr>
        <w:t>的公告》（公告编号：临</w:t>
      </w:r>
      <w:r>
        <w:rPr>
          <w:spacing w:val="31"/>
          <w:w w:val="100"/>
        </w:rPr>
        <w:t> </w:t>
      </w:r>
      <w:r>
        <w:rPr>
          <w:rFonts w:ascii="Times New Roman" w:hAnsi="Times New Roman" w:cs="Times New Roman" w:eastAsia="Times New Roman" w:hint="default"/>
          <w:spacing w:val="-1"/>
          <w:w w:val="100"/>
        </w:rPr>
        <w:t>2017-095</w:t>
      </w:r>
      <w:r>
        <w:rPr>
          <w:spacing w:val="-1"/>
          <w:w w:val="100"/>
        </w:rPr>
        <w:t>）及《泰豪科技股份有限公司关于第一期员工持股计划的进展</w:t>
      </w:r>
      <w:r>
        <w:rPr>
          <w:spacing w:val="-102"/>
          <w:w w:val="100"/>
        </w:rPr>
        <w:t> </w:t>
      </w:r>
      <w:r>
        <w:rPr>
          <w:spacing w:val="-102"/>
          <w:w w:val="100"/>
        </w:rPr>
      </w:r>
      <w:r>
        <w:rPr>
          <w:spacing w:val="-12"/>
          <w:w w:val="100"/>
        </w:rPr>
        <w:t>公告》（公告编号：临</w:t>
      </w:r>
      <w:r>
        <w:rPr>
          <w:spacing w:val="-47"/>
          <w:w w:val="100"/>
        </w:rPr>
        <w:t> </w:t>
      </w:r>
      <w:r>
        <w:rPr>
          <w:rFonts w:ascii="Times New Roman" w:hAnsi="Times New Roman" w:cs="Times New Roman" w:eastAsia="Times New Roman" w:hint="default"/>
          <w:spacing w:val="-12"/>
          <w:w w:val="100"/>
        </w:rPr>
        <w:t>2017-100</w:t>
      </w:r>
      <w:r>
        <w:rPr>
          <w:spacing w:val="-12"/>
          <w:w w:val="100"/>
        </w:rPr>
        <w:t>）。</w:t>
      </w:r>
    </w:p>
    <w:p>
      <w:pPr>
        <w:spacing w:line="240" w:lineRule="auto" w:before="3"/>
        <w:rPr>
          <w:rFonts w:ascii="宋体" w:hAnsi="宋体" w:cs="宋体" w:eastAsia="宋体" w:hint="default"/>
          <w:sz w:val="17"/>
          <w:szCs w:val="17"/>
        </w:rPr>
      </w:pPr>
    </w:p>
    <w:p>
      <w:pPr>
        <w:pStyle w:val="BodyText"/>
        <w:spacing w:line="274" w:lineRule="exact"/>
        <w:ind w:left="218" w:right="0"/>
        <w:jc w:val="both"/>
      </w:pPr>
      <w:r>
        <w:rPr/>
        <w:t>其他激励措施</w:t>
      </w:r>
    </w:p>
    <w:p>
      <w:pPr>
        <w:pStyle w:val="BodyText"/>
        <w:spacing w:line="290" w:lineRule="exact"/>
        <w:ind w:left="21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60"/>
        </w:sectPr>
      </w:pPr>
    </w:p>
    <w:p>
      <w:pPr>
        <w:pStyle w:val="Heading2"/>
        <w:spacing w:line="240" w:lineRule="auto"/>
        <w:ind w:left="218" w:right="-17"/>
        <w:jc w:val="left"/>
        <w:rPr>
          <w:b w:val="0"/>
          <w:bCs w:val="0"/>
        </w:rPr>
      </w:pPr>
      <w:r>
        <w:rPr/>
        <w:t>十四、重大关联交易</w:t>
      </w:r>
      <w:r>
        <w:rPr>
          <w:b w:val="0"/>
          <w:bCs w:val="0"/>
        </w:rPr>
      </w:r>
    </w:p>
    <w:p>
      <w:pPr>
        <w:pStyle w:val="Heading2"/>
        <w:spacing w:line="240" w:lineRule="auto" w:before="56"/>
        <w:ind w:left="218"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left="218" w:right="-1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17"/>
        <w:jc w:val="left"/>
      </w:pPr>
      <w:r>
        <w:rPr/>
        <w:t>□适用 √不适用</w:t>
      </w:r>
    </w:p>
    <w:p>
      <w:pPr>
        <w:pStyle w:val="Heading2"/>
        <w:spacing w:line="240" w:lineRule="auto" w:before="58"/>
        <w:ind w:left="218"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64" w:val="left" w:leader="none"/>
        </w:tabs>
        <w:spacing w:line="240" w:lineRule="auto" w:before="56"/>
        <w:ind w:left="218" w:right="-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689" w:val="left" w:leader="none"/>
        </w:tabs>
        <w:spacing w:line="240" w:lineRule="auto" w:before="138"/>
        <w:ind w:left="218" w:right="0"/>
        <w:jc w:val="left"/>
      </w:pPr>
      <w:r>
        <w:rPr>
          <w:spacing w:val="-1"/>
        </w:rPr>
        <w:t>单位：元</w:t>
        <w:tab/>
        <w:t>币种：人民币</w:t>
      </w:r>
    </w:p>
    <w:p>
      <w:pPr>
        <w:spacing w:after="0" w:line="240" w:lineRule="auto"/>
        <w:jc w:val="left"/>
        <w:sectPr>
          <w:type w:val="continuous"/>
          <w:pgSz w:w="11910" w:h="16840"/>
          <w:pgMar w:top="1120" w:bottom="1380" w:left="1580" w:right="1060"/>
          <w:cols w:num="2" w:equalWidth="0">
            <w:col w:w="5698" w:space="404"/>
            <w:col w:w="316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58"/>
        <w:gridCol w:w="1133"/>
        <w:gridCol w:w="994"/>
        <w:gridCol w:w="1275"/>
        <w:gridCol w:w="1418"/>
        <w:gridCol w:w="1162"/>
        <w:gridCol w:w="1080"/>
      </w:tblGrid>
      <w:tr>
        <w:trPr>
          <w:trHeight w:val="694"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00"/>
              <w:ind w:left="395" w:right="36" w:hanging="360"/>
              <w:jc w:val="left"/>
              <w:rPr>
                <w:rFonts w:ascii="宋体" w:hAnsi="宋体" w:cs="宋体" w:eastAsia="宋体" w:hint="default"/>
                <w:sz w:val="18"/>
                <w:szCs w:val="18"/>
              </w:rPr>
            </w:pPr>
            <w:r>
              <w:rPr>
                <w:rFonts w:ascii="宋体" w:hAnsi="宋体" w:cs="宋体" w:eastAsia="宋体" w:hint="default"/>
                <w:sz w:val="18"/>
                <w:szCs w:val="18"/>
              </w:rPr>
              <w:t>关联交易类 型</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tcBorders>
              <w:top w:val="single" w:sz="4" w:space="0" w:color="000000"/>
              <w:left w:val="single" w:sz="8" w:space="0" w:color="000000"/>
              <w:bottom w:val="single" w:sz="8" w:space="0" w:color="000000"/>
              <w:right w:val="single" w:sz="8" w:space="0" w:color="000000"/>
            </w:tcBorders>
          </w:tcPr>
          <w:p>
            <w:pPr>
              <w:pStyle w:val="TableParagraph"/>
              <w:spacing w:line="272" w:lineRule="exact"/>
              <w:ind w:left="489" w:right="65" w:hanging="420"/>
              <w:jc w:val="left"/>
              <w:rPr>
                <w:rFonts w:ascii="宋体" w:hAnsi="宋体" w:cs="宋体" w:eastAsia="宋体" w:hint="default"/>
                <w:sz w:val="21"/>
                <w:szCs w:val="21"/>
              </w:rPr>
            </w:pPr>
            <w:r>
              <w:rPr>
                <w:rFonts w:ascii="宋体" w:hAnsi="宋体" w:cs="宋体" w:eastAsia="宋体" w:hint="default"/>
                <w:sz w:val="21"/>
                <w:szCs w:val="21"/>
              </w:rPr>
              <w:t>关联交易定价</w:t>
            </w:r>
            <w:r>
              <w:rPr>
                <w:rFonts w:ascii="宋体" w:hAnsi="宋体" w:cs="宋体" w:eastAsia="宋体" w:hint="default"/>
                <w:w w:val="100"/>
                <w:sz w:val="21"/>
                <w:szCs w:val="21"/>
              </w:rPr>
              <w:t> </w:t>
            </w:r>
            <w:r>
              <w:rPr>
                <w:rFonts w:ascii="宋体" w:hAnsi="宋体" w:cs="宋体" w:eastAsia="宋体" w:hint="default"/>
                <w:sz w:val="21"/>
                <w:szCs w:val="21"/>
              </w:rPr>
              <w:t>原则</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关联交易金额</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金额的比例</w:t>
            </w:r>
          </w:p>
          <w:p>
            <w:pPr>
              <w:pStyle w:val="TableParagraph"/>
              <w:spacing w:line="240" w:lineRule="auto" w:before="27"/>
              <w:ind w:right="4"/>
              <w:jc w:val="center"/>
              <w:rPr>
                <w:rFonts w:ascii="Arial Narrow" w:hAnsi="Arial Narrow" w:cs="Arial Narrow" w:eastAsia="Arial Narrow" w:hint="default"/>
                <w:sz w:val="18"/>
                <w:szCs w:val="18"/>
              </w:rPr>
            </w:pPr>
            <w:r>
              <w:rPr>
                <w:rFonts w:ascii="Arial Narrow"/>
                <w:sz w:val="18"/>
              </w:rPr>
              <w:t>(%)</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泰豪沈阳电机有限公司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2"/>
              <w:jc w:val="right"/>
              <w:rPr>
                <w:rFonts w:ascii="Arial Narrow" w:hAnsi="Arial Narrow" w:cs="Arial Narrow" w:eastAsia="Arial Narrow" w:hint="default"/>
                <w:sz w:val="18"/>
                <w:szCs w:val="18"/>
              </w:rPr>
            </w:pPr>
            <w:r>
              <w:rPr>
                <w:rFonts w:ascii="Arial Narrow"/>
                <w:spacing w:val="-1"/>
                <w:sz w:val="18"/>
              </w:rPr>
              <w:t>16,973,504.23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84" w:right="0"/>
              <w:jc w:val="left"/>
              <w:rPr>
                <w:rFonts w:ascii="Arial Narrow" w:hAnsi="Arial Narrow" w:cs="Arial Narrow" w:eastAsia="Arial Narrow" w:hint="default"/>
                <w:sz w:val="18"/>
                <w:szCs w:val="18"/>
              </w:rPr>
            </w:pPr>
            <w:r>
              <w:rPr>
                <w:rFonts w:ascii="Arial Narrow"/>
                <w:sz w:val="18"/>
              </w:rPr>
              <w:t>0.40</w:t>
            </w:r>
          </w:p>
        </w:tc>
      </w:tr>
      <w:tr>
        <w:trPr>
          <w:trHeight w:val="488"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13" w:lineRule="exact"/>
              <w:ind w:left="24"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发电机有限公</w:t>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125"/>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22"/>
              <w:jc w:val="right"/>
              <w:rPr>
                <w:rFonts w:ascii="Arial Narrow" w:hAnsi="Arial Narrow" w:cs="Arial Narrow" w:eastAsia="Arial Narrow" w:hint="default"/>
                <w:sz w:val="18"/>
                <w:szCs w:val="18"/>
              </w:rPr>
            </w:pPr>
            <w:r>
              <w:rPr>
                <w:rFonts w:ascii="Arial Narrow"/>
                <w:spacing w:val="-1"/>
                <w:sz w:val="18"/>
              </w:rPr>
              <w:t>12,380,879.45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left="384" w:right="0"/>
              <w:jc w:val="left"/>
              <w:rPr>
                <w:rFonts w:ascii="Arial Narrow" w:hAnsi="Arial Narrow" w:cs="Arial Narrow" w:eastAsia="Arial Narrow" w:hint="default"/>
                <w:sz w:val="18"/>
                <w:szCs w:val="18"/>
              </w:rPr>
            </w:pPr>
            <w:r>
              <w:rPr>
                <w:rFonts w:ascii="Arial Narrow"/>
                <w:sz w:val="18"/>
              </w:rPr>
              <w:t>0.29</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北京泰豪智能工程有限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2,594,881.01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0.06</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北京泰豪装备科技有限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1,842,735.04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0.04</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1"/>
              <w:jc w:val="right"/>
              <w:rPr>
                <w:rFonts w:ascii="Arial Narrow" w:hAnsi="Arial Narrow" w:cs="Arial Narrow" w:eastAsia="Arial Narrow" w:hint="default"/>
                <w:sz w:val="18"/>
                <w:szCs w:val="18"/>
              </w:rPr>
            </w:pPr>
            <w:r>
              <w:rPr>
                <w:rFonts w:ascii="Arial Narrow"/>
                <w:spacing w:val="-1"/>
                <w:sz w:val="18"/>
              </w:rPr>
              <w:t>920,415.22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84" w:right="0"/>
              <w:jc w:val="left"/>
              <w:rPr>
                <w:rFonts w:ascii="Arial Narrow" w:hAnsi="Arial Narrow" w:cs="Arial Narrow" w:eastAsia="Arial Narrow" w:hint="default"/>
                <w:sz w:val="18"/>
                <w:szCs w:val="18"/>
              </w:rPr>
            </w:pPr>
            <w:r>
              <w:rPr>
                <w:rFonts w:ascii="Arial Narrow"/>
                <w:sz w:val="18"/>
              </w:rPr>
              <w:t>0.02</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江西泰豪信息技术有限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28,418.80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43" w:right="0"/>
              <w:jc w:val="left"/>
              <w:rPr>
                <w:rFonts w:ascii="Arial Narrow" w:hAnsi="Arial Narrow" w:cs="Arial Narrow" w:eastAsia="Arial Narrow" w:hint="default"/>
                <w:sz w:val="18"/>
                <w:szCs w:val="18"/>
              </w:rPr>
            </w:pPr>
            <w:r>
              <w:rPr>
                <w:rFonts w:ascii="Arial Narrow"/>
                <w:sz w:val="18"/>
              </w:rPr>
              <w:t>0.001</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21"/>
              <w:jc w:val="right"/>
              <w:rPr>
                <w:rFonts w:ascii="Arial Narrow" w:hAnsi="Arial Narrow" w:cs="Arial Narrow" w:eastAsia="Arial Narrow" w:hint="default"/>
                <w:sz w:val="18"/>
                <w:szCs w:val="18"/>
              </w:rPr>
            </w:pPr>
            <w:r>
              <w:rPr>
                <w:rFonts w:ascii="Arial Narrow"/>
                <w:spacing w:val="-1"/>
                <w:sz w:val="18"/>
              </w:rPr>
              <w:t>557,124.80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84" w:right="0"/>
              <w:jc w:val="left"/>
              <w:rPr>
                <w:rFonts w:ascii="Arial Narrow" w:hAnsi="Arial Narrow" w:cs="Arial Narrow" w:eastAsia="Arial Narrow" w:hint="default"/>
                <w:sz w:val="18"/>
                <w:szCs w:val="18"/>
              </w:rPr>
            </w:pPr>
            <w:r>
              <w:rPr>
                <w:rFonts w:ascii="Arial Narrow"/>
                <w:sz w:val="18"/>
              </w:rPr>
              <w:t>0.01</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同方物业管理有限公司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1"/>
              <w:jc w:val="right"/>
              <w:rPr>
                <w:rFonts w:ascii="Arial Narrow" w:hAnsi="Arial Narrow" w:cs="Arial Narrow" w:eastAsia="Arial Narrow" w:hint="default"/>
                <w:sz w:val="18"/>
                <w:szCs w:val="18"/>
              </w:rPr>
            </w:pPr>
            <w:r>
              <w:rPr>
                <w:rFonts w:ascii="Arial Narrow"/>
                <w:spacing w:val="-1"/>
                <w:sz w:val="18"/>
              </w:rPr>
              <w:t>328,192.66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84" w:right="0"/>
              <w:jc w:val="left"/>
              <w:rPr>
                <w:rFonts w:ascii="Arial Narrow" w:hAnsi="Arial Narrow" w:cs="Arial Narrow" w:eastAsia="Arial Narrow" w:hint="default"/>
                <w:sz w:val="18"/>
                <w:szCs w:val="18"/>
              </w:rPr>
            </w:pPr>
            <w:r>
              <w:rPr>
                <w:rFonts w:ascii="Arial Narrow"/>
                <w:sz w:val="18"/>
              </w:rPr>
              <w:t>0.04</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江西泰豪职业技能培训</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学院</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培训</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156,280.01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43" w:right="0"/>
              <w:jc w:val="left"/>
              <w:rPr>
                <w:rFonts w:ascii="Arial Narrow" w:hAnsi="Arial Narrow" w:cs="Arial Narrow" w:eastAsia="Arial Narrow" w:hint="default"/>
                <w:sz w:val="18"/>
                <w:szCs w:val="18"/>
              </w:rPr>
            </w:pPr>
            <w:r>
              <w:rPr>
                <w:rFonts w:ascii="Arial Narrow"/>
                <w:sz w:val="18"/>
              </w:rPr>
              <w:t>0.004</w:t>
            </w:r>
          </w:p>
        </w:tc>
      </w:tr>
      <w:tr>
        <w:trPr>
          <w:trHeight w:val="488"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南昌泰豪动漫园区服务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2,929,154.70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43" w:right="0"/>
              <w:jc w:val="left"/>
              <w:rPr>
                <w:rFonts w:ascii="Arial Narrow" w:hAnsi="Arial Narrow" w:cs="Arial Narrow" w:eastAsia="Arial Narrow" w:hint="default"/>
                <w:sz w:val="18"/>
                <w:szCs w:val="18"/>
              </w:rPr>
            </w:pPr>
            <w:r>
              <w:rPr>
                <w:rFonts w:ascii="Arial Narrow"/>
                <w:sz w:val="18"/>
              </w:rPr>
              <w:t>0.067</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同方江新造船有限公司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21"/>
              <w:jc w:val="right"/>
              <w:rPr>
                <w:rFonts w:ascii="Arial Narrow" w:hAnsi="Arial Narrow" w:cs="Arial Narrow" w:eastAsia="Arial Narrow" w:hint="default"/>
                <w:sz w:val="18"/>
                <w:szCs w:val="18"/>
              </w:rPr>
            </w:pPr>
            <w:r>
              <w:rPr>
                <w:rFonts w:ascii="Arial Narrow"/>
                <w:spacing w:val="-1"/>
                <w:sz w:val="18"/>
              </w:rPr>
              <w:t>2,268,000.00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43" w:right="0"/>
              <w:jc w:val="left"/>
              <w:rPr>
                <w:rFonts w:ascii="Arial Narrow" w:hAnsi="Arial Narrow" w:cs="Arial Narrow" w:eastAsia="Arial Narrow" w:hint="default"/>
                <w:sz w:val="18"/>
                <w:szCs w:val="18"/>
              </w:rPr>
            </w:pPr>
            <w:r>
              <w:rPr>
                <w:rFonts w:ascii="Arial Narrow"/>
                <w:sz w:val="18"/>
              </w:rPr>
              <w:t>0.052</w:t>
            </w:r>
          </w:p>
        </w:tc>
      </w:tr>
    </w:tbl>
    <w:p>
      <w:pPr>
        <w:spacing w:after="0" w:line="240" w:lineRule="auto"/>
        <w:jc w:val="left"/>
        <w:rPr>
          <w:rFonts w:ascii="Arial Narrow" w:hAnsi="Arial Narrow" w:cs="Arial Narrow" w:eastAsia="Arial Narrow" w:hint="default"/>
          <w:sz w:val="18"/>
          <w:szCs w:val="18"/>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958"/>
        <w:gridCol w:w="1133"/>
        <w:gridCol w:w="994"/>
        <w:gridCol w:w="1275"/>
        <w:gridCol w:w="1418"/>
        <w:gridCol w:w="1162"/>
        <w:gridCol w:w="1080"/>
      </w:tblGrid>
      <w:tr>
        <w:trPr>
          <w:trHeight w:val="296" w:hRule="exact"/>
        </w:trPr>
        <w:tc>
          <w:tcPr>
            <w:tcW w:w="1958" w:type="dxa"/>
            <w:tcBorders>
              <w:top w:val="nil" w:sz="6" w:space="0" w:color="auto"/>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1133"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nil" w:sz="6" w:space="0" w:color="auto"/>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nil" w:sz="6" w:space="0" w:color="auto"/>
              <w:left w:val="single" w:sz="8" w:space="0" w:color="000000"/>
              <w:bottom w:val="single" w:sz="8" w:space="0" w:color="000000"/>
              <w:right w:val="single" w:sz="8" w:space="0" w:color="000000"/>
            </w:tcBorders>
          </w:tcPr>
          <w:p>
            <w:pPr>
              <w:pStyle w:val="TableParagraph"/>
              <w:spacing w:line="206"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0"/>
              <w:ind w:right="21"/>
              <w:jc w:val="right"/>
              <w:rPr>
                <w:rFonts w:ascii="Arial Narrow" w:hAnsi="Arial Narrow" w:cs="Arial Narrow" w:eastAsia="Arial Narrow" w:hint="default"/>
                <w:sz w:val="18"/>
                <w:szCs w:val="18"/>
              </w:rPr>
            </w:pPr>
            <w:r>
              <w:rPr>
                <w:rFonts w:ascii="Arial Narrow"/>
                <w:spacing w:val="-1"/>
                <w:sz w:val="18"/>
              </w:rPr>
              <w:t>1,358,490.57</w:t>
            </w:r>
          </w:p>
        </w:tc>
        <w:tc>
          <w:tcPr>
            <w:tcW w:w="108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0"/>
              <w:ind w:left="343" w:right="0"/>
              <w:jc w:val="left"/>
              <w:rPr>
                <w:rFonts w:ascii="Arial Narrow" w:hAnsi="Arial Narrow" w:cs="Arial Narrow" w:eastAsia="Arial Narrow" w:hint="default"/>
                <w:sz w:val="18"/>
                <w:szCs w:val="18"/>
              </w:rPr>
            </w:pPr>
            <w:r>
              <w:rPr>
                <w:rFonts w:ascii="Arial Narrow"/>
                <w:sz w:val="18"/>
              </w:rPr>
              <w:t>0.031</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江西泰豪紫荆公寓建设</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1,184,482.20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43" w:right="0"/>
              <w:jc w:val="left"/>
              <w:rPr>
                <w:rFonts w:ascii="Arial Narrow" w:hAnsi="Arial Narrow" w:cs="Arial Narrow" w:eastAsia="Arial Narrow" w:hint="default"/>
                <w:sz w:val="18"/>
                <w:szCs w:val="18"/>
              </w:rPr>
            </w:pPr>
            <w:r>
              <w:rPr>
                <w:rFonts w:ascii="Arial Narrow"/>
                <w:sz w:val="18"/>
              </w:rPr>
              <w:t>0.027</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贵州大学明德学院</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1"/>
              <w:jc w:val="right"/>
              <w:rPr>
                <w:rFonts w:ascii="Arial Narrow" w:hAnsi="Arial Narrow" w:cs="Arial Narrow" w:eastAsia="Arial Narrow" w:hint="default"/>
                <w:sz w:val="18"/>
                <w:szCs w:val="18"/>
              </w:rPr>
            </w:pPr>
            <w:r>
              <w:rPr>
                <w:rFonts w:ascii="Arial Narrow"/>
                <w:spacing w:val="-1"/>
                <w:sz w:val="18"/>
              </w:rPr>
              <w:t>1,053,629.73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43" w:right="0"/>
              <w:jc w:val="left"/>
              <w:rPr>
                <w:rFonts w:ascii="Arial Narrow" w:hAnsi="Arial Narrow" w:cs="Arial Narrow" w:eastAsia="Arial Narrow" w:hint="default"/>
                <w:sz w:val="18"/>
                <w:szCs w:val="18"/>
              </w:rPr>
            </w:pPr>
            <w:r>
              <w:rPr>
                <w:rFonts w:ascii="Arial Narrow"/>
                <w:sz w:val="18"/>
              </w:rPr>
              <w:t>0.024</w:t>
            </w:r>
          </w:p>
        </w:tc>
      </w:tr>
      <w:tr>
        <w:trPr>
          <w:trHeight w:val="434"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tabs>
                <w:tab w:pos="877" w:val="left" w:leader="none"/>
              </w:tabs>
              <w:spacing w:line="242" w:lineRule="auto"/>
              <w:ind w:left="24" w:right="18"/>
              <w:jc w:val="left"/>
              <w:rPr>
                <w:rFonts w:ascii="Times New Roman" w:hAnsi="Times New Roman" w:cs="Times New Roman" w:eastAsia="Times New Roman" w:hint="default"/>
                <w:sz w:val="18"/>
                <w:szCs w:val="18"/>
              </w:rPr>
            </w:pPr>
            <w:r>
              <w:rPr>
                <w:rFonts w:ascii="Times New Roman"/>
                <w:spacing w:val="-1"/>
                <w:sz w:val="18"/>
              </w:rPr>
              <w:t>3TECH</w:t>
              <w:tab/>
            </w:r>
            <w:r>
              <w:rPr>
                <w:rFonts w:ascii="Times New Roman"/>
                <w:spacing w:val="-3"/>
                <w:sz w:val="18"/>
              </w:rPr>
              <w:t>CORPORATE</w:t>
            </w:r>
            <w:r>
              <w:rPr>
                <w:rFonts w:ascii="Times New Roman"/>
                <w:sz w:val="18"/>
              </w:rPr>
              <w:t> LIMITED</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21"/>
              <w:jc w:val="right"/>
              <w:rPr>
                <w:rFonts w:ascii="Arial Narrow" w:hAnsi="Arial Narrow" w:cs="Arial Narrow" w:eastAsia="Arial Narrow" w:hint="default"/>
                <w:sz w:val="18"/>
                <w:szCs w:val="18"/>
              </w:rPr>
            </w:pPr>
            <w:r>
              <w:rPr>
                <w:rFonts w:ascii="Arial Narrow"/>
                <w:spacing w:val="-1"/>
                <w:sz w:val="18"/>
              </w:rPr>
              <w:t>1,014,140.84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384" w:right="0"/>
              <w:jc w:val="left"/>
              <w:rPr>
                <w:rFonts w:ascii="Arial Narrow" w:hAnsi="Arial Narrow" w:cs="Arial Narrow" w:eastAsia="Arial Narrow" w:hint="default"/>
                <w:sz w:val="18"/>
                <w:szCs w:val="18"/>
              </w:rPr>
            </w:pPr>
            <w:r>
              <w:rPr>
                <w:rFonts w:ascii="Arial Narrow"/>
                <w:sz w:val="18"/>
              </w:rPr>
              <w:t>0.02</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北京泰豪智能工程有限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65,618.09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43" w:right="0"/>
              <w:jc w:val="left"/>
              <w:rPr>
                <w:rFonts w:ascii="Arial Narrow" w:hAnsi="Arial Narrow" w:cs="Arial Narrow" w:eastAsia="Arial Narrow" w:hint="default"/>
                <w:sz w:val="18"/>
                <w:szCs w:val="18"/>
              </w:rPr>
            </w:pPr>
            <w:r>
              <w:rPr>
                <w:rFonts w:ascii="Arial Narrow"/>
                <w:sz w:val="18"/>
              </w:rPr>
              <w:t>0.002</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长春泰豪房地产置业有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63,068.63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43" w:right="0"/>
              <w:jc w:val="left"/>
              <w:rPr>
                <w:rFonts w:ascii="Arial Narrow" w:hAnsi="Arial Narrow" w:cs="Arial Narrow" w:eastAsia="Arial Narrow" w:hint="default"/>
                <w:sz w:val="18"/>
                <w:szCs w:val="18"/>
              </w:rPr>
            </w:pPr>
            <w:r>
              <w:rPr>
                <w:rFonts w:ascii="Arial Narrow"/>
                <w:sz w:val="18"/>
              </w:rPr>
              <w:t>0.001</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贵州泰豪文创置业发展</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33,400.05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43" w:right="0"/>
              <w:jc w:val="left"/>
              <w:rPr>
                <w:rFonts w:ascii="Arial Narrow" w:hAnsi="Arial Narrow" w:cs="Arial Narrow" w:eastAsia="Arial Narrow" w:hint="default"/>
                <w:sz w:val="18"/>
                <w:szCs w:val="18"/>
              </w:rPr>
            </w:pPr>
            <w:r>
              <w:rPr>
                <w:rFonts w:ascii="Arial Narrow"/>
                <w:sz w:val="18"/>
              </w:rPr>
              <w:t>0.001</w:t>
            </w:r>
          </w:p>
        </w:tc>
      </w:tr>
      <w:tr>
        <w:trPr>
          <w:trHeight w:val="48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北京泰豪太阳能电源技</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智慧能源产品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28,301.89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43" w:right="0"/>
              <w:jc w:val="left"/>
              <w:rPr>
                <w:rFonts w:ascii="Arial Narrow" w:hAnsi="Arial Narrow" w:cs="Arial Narrow" w:eastAsia="Arial Narrow" w:hint="default"/>
                <w:sz w:val="18"/>
                <w:szCs w:val="18"/>
              </w:rPr>
            </w:pPr>
            <w:r>
              <w:rPr>
                <w:rFonts w:ascii="Arial Narrow"/>
                <w:sz w:val="18"/>
              </w:rPr>
              <w:t>0.001</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北京泰豪装备科技有限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军工装备产品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549,900.00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43" w:right="0"/>
              <w:jc w:val="left"/>
              <w:rPr>
                <w:rFonts w:ascii="Arial Narrow" w:hAnsi="Arial Narrow" w:cs="Arial Narrow" w:eastAsia="Arial Narrow" w:hint="default"/>
                <w:sz w:val="18"/>
                <w:szCs w:val="18"/>
              </w:rPr>
            </w:pPr>
            <w:r>
              <w:rPr>
                <w:rFonts w:ascii="Arial Narrow"/>
                <w:sz w:val="18"/>
              </w:rPr>
              <w:t>0.001</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南昌小蓝创新创业基地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2,340,746.36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5.34</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上海信业智能科技股份</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788,400.00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1.80</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江西国科军工集团有限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586,270.01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1.34</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北京泰豪智能工程有限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317,301.96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84" w:right="0"/>
              <w:jc w:val="left"/>
              <w:rPr>
                <w:rFonts w:ascii="Arial Narrow" w:hAnsi="Arial Narrow" w:cs="Arial Narrow" w:eastAsia="Arial Narrow" w:hint="default"/>
                <w:sz w:val="18"/>
                <w:szCs w:val="18"/>
              </w:rPr>
            </w:pPr>
            <w:r>
              <w:rPr>
                <w:rFonts w:ascii="Arial Narrow"/>
                <w:sz w:val="18"/>
              </w:rPr>
              <w:t>0.72</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江西泰豪职业技能培训</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学院</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289,734.84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84" w:right="0"/>
              <w:jc w:val="left"/>
              <w:rPr>
                <w:rFonts w:ascii="Arial Narrow" w:hAnsi="Arial Narrow" w:cs="Arial Narrow" w:eastAsia="Arial Narrow" w:hint="default"/>
                <w:sz w:val="18"/>
                <w:szCs w:val="18"/>
              </w:rPr>
            </w:pPr>
            <w:r>
              <w:rPr>
                <w:rFonts w:ascii="Arial Narrow"/>
                <w:sz w:val="18"/>
              </w:rPr>
              <w:t>0.66</w:t>
            </w:r>
          </w:p>
        </w:tc>
      </w:tr>
      <w:tr>
        <w:trPr>
          <w:trHeight w:val="48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江西广泰传媒股份有限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240,745.80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84" w:right="0"/>
              <w:jc w:val="left"/>
              <w:rPr>
                <w:rFonts w:ascii="Arial Narrow" w:hAnsi="Arial Narrow" w:cs="Arial Narrow" w:eastAsia="Arial Narrow" w:hint="default"/>
                <w:sz w:val="18"/>
                <w:szCs w:val="18"/>
              </w:rPr>
            </w:pPr>
            <w:r>
              <w:rPr>
                <w:rFonts w:ascii="Arial Narrow"/>
                <w:sz w:val="18"/>
              </w:rPr>
              <w:t>0.55</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赣资泰豪（上海）股权管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190,084.86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0.43</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1"/>
              <w:jc w:val="right"/>
              <w:rPr>
                <w:rFonts w:ascii="Arial Narrow" w:hAnsi="Arial Narrow" w:cs="Arial Narrow" w:eastAsia="Arial Narrow" w:hint="default"/>
                <w:sz w:val="18"/>
                <w:szCs w:val="18"/>
              </w:rPr>
            </w:pPr>
            <w:r>
              <w:rPr>
                <w:rFonts w:ascii="Arial Narrow"/>
                <w:spacing w:val="-1"/>
                <w:sz w:val="18"/>
              </w:rPr>
              <w:t>172,232.64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84" w:right="0"/>
              <w:jc w:val="left"/>
              <w:rPr>
                <w:rFonts w:ascii="Arial Narrow" w:hAnsi="Arial Narrow" w:cs="Arial Narrow" w:eastAsia="Arial Narrow" w:hint="default"/>
                <w:sz w:val="18"/>
                <w:szCs w:val="18"/>
              </w:rPr>
            </w:pPr>
            <w:r>
              <w:rPr>
                <w:rFonts w:ascii="Arial Narrow"/>
                <w:sz w:val="18"/>
              </w:rPr>
              <w:t>0.39</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江西汇水科技有限公司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其他关联人</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1"/>
              <w:jc w:val="right"/>
              <w:rPr>
                <w:rFonts w:ascii="Arial Narrow" w:hAnsi="Arial Narrow" w:cs="Arial Narrow" w:eastAsia="Arial Narrow" w:hint="default"/>
                <w:sz w:val="18"/>
                <w:szCs w:val="18"/>
              </w:rPr>
            </w:pPr>
            <w:r>
              <w:rPr>
                <w:rFonts w:ascii="Arial Narrow"/>
                <w:spacing w:val="-1"/>
                <w:sz w:val="18"/>
              </w:rPr>
              <w:t>124,748.47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384" w:right="0"/>
              <w:jc w:val="left"/>
              <w:rPr>
                <w:rFonts w:ascii="Arial Narrow" w:hAnsi="Arial Narrow" w:cs="Arial Narrow" w:eastAsia="Arial Narrow" w:hint="default"/>
                <w:sz w:val="18"/>
                <w:szCs w:val="18"/>
              </w:rPr>
            </w:pPr>
            <w:r>
              <w:rPr>
                <w:rFonts w:ascii="Arial Narrow"/>
                <w:sz w:val="18"/>
              </w:rPr>
              <w:t>0.28</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南昌泰豪文化创意产业</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园建设发展有限公司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69,247.24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0.16</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江西泰豪信息技术有限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55,678.56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0.13</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泰豪（上海）股权投资管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8"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47,521.22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91" w:right="0"/>
              <w:jc w:val="left"/>
              <w:rPr>
                <w:rFonts w:ascii="Arial Narrow" w:hAnsi="Arial Narrow" w:cs="Arial Narrow" w:eastAsia="Arial Narrow" w:hint="default"/>
                <w:sz w:val="18"/>
                <w:szCs w:val="18"/>
              </w:rPr>
            </w:pPr>
            <w:r>
              <w:rPr>
                <w:rFonts w:ascii="Arial Narrow"/>
                <w:spacing w:val="-4"/>
                <w:sz w:val="18"/>
              </w:rPr>
              <w:t>0.11</w:t>
            </w:r>
          </w:p>
        </w:tc>
      </w:tr>
      <w:tr>
        <w:trPr>
          <w:trHeight w:val="488"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江西大麦互娱科技股份</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43,687.42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0.10</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北京泰豪智能科技有限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21"/>
              <w:jc w:val="right"/>
              <w:rPr>
                <w:rFonts w:ascii="Arial Narrow" w:hAnsi="Arial Narrow" w:cs="Arial Narrow" w:eastAsia="Arial Narrow" w:hint="default"/>
                <w:sz w:val="18"/>
                <w:szCs w:val="18"/>
              </w:rPr>
            </w:pPr>
            <w:r>
              <w:rPr>
                <w:rFonts w:ascii="Arial Narrow"/>
                <w:spacing w:val="-1"/>
                <w:sz w:val="18"/>
              </w:rPr>
              <w:t>42,406.56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left="384" w:right="0"/>
              <w:jc w:val="left"/>
              <w:rPr>
                <w:rFonts w:ascii="Arial Narrow" w:hAnsi="Arial Narrow" w:cs="Arial Narrow" w:eastAsia="Arial Narrow" w:hint="default"/>
                <w:sz w:val="18"/>
                <w:szCs w:val="18"/>
              </w:rPr>
            </w:pPr>
            <w:r>
              <w:rPr>
                <w:rFonts w:ascii="Arial Narrow"/>
                <w:sz w:val="18"/>
              </w:rPr>
              <w:t>0.10</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江西泰豪配售电有限公</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32,501.63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84" w:right="0"/>
              <w:jc w:val="left"/>
              <w:rPr>
                <w:rFonts w:ascii="Arial Narrow" w:hAnsi="Arial Narrow" w:cs="Arial Narrow" w:eastAsia="Arial Narrow" w:hint="default"/>
                <w:sz w:val="18"/>
                <w:szCs w:val="18"/>
              </w:rPr>
            </w:pPr>
            <w:r>
              <w:rPr>
                <w:rFonts w:ascii="Arial Narrow"/>
                <w:sz w:val="18"/>
              </w:rPr>
              <w:t>0.07</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泰豪园区投资有限公司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21"/>
              <w:jc w:val="right"/>
              <w:rPr>
                <w:rFonts w:ascii="Arial Narrow" w:hAnsi="Arial Narrow" w:cs="Arial Narrow" w:eastAsia="Arial Narrow" w:hint="default"/>
                <w:sz w:val="18"/>
                <w:szCs w:val="18"/>
              </w:rPr>
            </w:pPr>
            <w:r>
              <w:rPr>
                <w:rFonts w:ascii="Arial Narrow"/>
                <w:spacing w:val="-1"/>
                <w:sz w:val="18"/>
              </w:rPr>
              <w:t>25,273.08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84" w:right="0"/>
              <w:jc w:val="left"/>
              <w:rPr>
                <w:rFonts w:ascii="Arial Narrow" w:hAnsi="Arial Narrow" w:cs="Arial Narrow" w:eastAsia="Arial Narrow" w:hint="default"/>
                <w:sz w:val="18"/>
                <w:szCs w:val="18"/>
              </w:rPr>
            </w:pPr>
            <w:r>
              <w:rPr>
                <w:rFonts w:ascii="Arial Narrow"/>
                <w:sz w:val="18"/>
              </w:rPr>
              <w:t>0.06</w:t>
            </w:r>
          </w:p>
        </w:tc>
      </w:tr>
      <w:tr>
        <w:trPr>
          <w:trHeight w:val="305"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南昌创业投资有限公司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联营公司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其他流入</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21"/>
              <w:jc w:val="right"/>
              <w:rPr>
                <w:rFonts w:ascii="Arial Narrow" w:hAnsi="Arial Narrow" w:cs="Arial Narrow" w:eastAsia="Arial Narrow" w:hint="default"/>
                <w:sz w:val="18"/>
                <w:szCs w:val="18"/>
              </w:rPr>
            </w:pPr>
            <w:r>
              <w:rPr>
                <w:rFonts w:ascii="Arial Narrow"/>
                <w:spacing w:val="-1"/>
                <w:sz w:val="18"/>
              </w:rPr>
              <w:t>20,786.64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84" w:right="0"/>
              <w:jc w:val="left"/>
              <w:rPr>
                <w:rFonts w:ascii="Arial Narrow" w:hAnsi="Arial Narrow" w:cs="Arial Narrow" w:eastAsia="Arial Narrow" w:hint="default"/>
                <w:sz w:val="18"/>
                <w:szCs w:val="18"/>
              </w:rPr>
            </w:pPr>
            <w:r>
              <w:rPr>
                <w:rFonts w:ascii="Arial Narrow"/>
                <w:sz w:val="18"/>
              </w:rPr>
              <w:t>0.05</w:t>
            </w:r>
          </w:p>
        </w:tc>
      </w:tr>
      <w:tr>
        <w:trPr>
          <w:trHeight w:val="487" w:hRule="exact"/>
        </w:trPr>
        <w:tc>
          <w:tcPr>
            <w:tcW w:w="1958" w:type="dxa"/>
            <w:tcBorders>
              <w:top w:val="single" w:sz="8" w:space="0" w:color="000000"/>
              <w:left w:val="single" w:sz="4" w:space="0" w:color="000000"/>
              <w:bottom w:val="single" w:sz="8" w:space="0" w:color="000000"/>
              <w:right w:val="single" w:sz="8"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北京泰豪智能科技有限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同一股东</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其他流出</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9" w:right="0"/>
              <w:jc w:val="left"/>
              <w:rPr>
                <w:rFonts w:ascii="宋体" w:hAnsi="宋体" w:cs="宋体" w:eastAsia="宋体" w:hint="default"/>
                <w:sz w:val="18"/>
                <w:szCs w:val="18"/>
              </w:rPr>
            </w:pPr>
            <w:r>
              <w:rPr>
                <w:rFonts w:ascii="宋体" w:hAnsi="宋体" w:cs="宋体" w:eastAsia="宋体" w:hint="default"/>
                <w:sz w:val="18"/>
                <w:szCs w:val="18"/>
              </w:rPr>
              <w:t>按市场价格执行</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1"/>
              <w:jc w:val="right"/>
              <w:rPr>
                <w:rFonts w:ascii="Arial Narrow" w:hAnsi="Arial Narrow" w:cs="Arial Narrow" w:eastAsia="Arial Narrow" w:hint="default"/>
                <w:sz w:val="18"/>
                <w:szCs w:val="18"/>
              </w:rPr>
            </w:pPr>
            <w:r>
              <w:rPr>
                <w:rFonts w:ascii="Arial Narrow"/>
                <w:spacing w:val="-1"/>
                <w:sz w:val="18"/>
              </w:rPr>
              <w:t>675,180.25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384" w:right="0"/>
              <w:jc w:val="left"/>
              <w:rPr>
                <w:rFonts w:ascii="Arial Narrow" w:hAnsi="Arial Narrow" w:cs="Arial Narrow" w:eastAsia="Arial Narrow" w:hint="default"/>
                <w:sz w:val="18"/>
                <w:szCs w:val="18"/>
              </w:rPr>
            </w:pPr>
            <w:r>
              <w:rPr>
                <w:rFonts w:ascii="Arial Narrow"/>
                <w:sz w:val="18"/>
              </w:rPr>
              <w:t>2.73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21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580" w:right="1060"/>
        </w:sectPr>
      </w:pP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58"/>
        <w:ind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83" w:val="left" w:leader="none"/>
        </w:tabs>
        <w:spacing w:line="240" w:lineRule="auto" w:before="56"/>
        <w:ind w:left="558" w:right="137" w:hanging="420"/>
        <w:jc w:val="left"/>
      </w:pPr>
      <w:r>
        <w:rPr/>
        <w:t>√适用</w:t>
        <w:tab/>
        <w:t>□不适用</w:t>
      </w:r>
      <w:r>
        <w:rPr>
          <w:w w:val="100"/>
        </w:rPr>
        <w:t> </w:t>
      </w:r>
      <w:r>
        <w:rPr>
          <w:spacing w:val="-2"/>
        </w:rPr>
        <w:t>公司与泰豪园区投资有限公司签订《江西泰豪科技进出口有限公司股权转让协议》，将全资</w:t>
      </w:r>
    </w:p>
    <w:p>
      <w:pPr>
        <w:pStyle w:val="BodyText"/>
        <w:spacing w:line="237" w:lineRule="auto"/>
        <w:ind w:right="127"/>
        <w:jc w:val="both"/>
      </w:pPr>
      <w:r>
        <w:rPr/>
        <w:t>子公司江西泰豪科技进出口有限公司</w:t>
      </w:r>
      <w:r>
        <w:rPr>
          <w:spacing w:val="-29"/>
        </w:rPr>
        <w:t> </w:t>
      </w:r>
      <w:r>
        <w:rPr>
          <w:rFonts w:ascii="宋体" w:hAnsi="宋体" w:cs="宋体" w:eastAsia="宋体" w:hint="default"/>
          <w:spacing w:val="-3"/>
        </w:rPr>
        <w:t>100%</w:t>
      </w:r>
      <w:r>
        <w:rPr>
          <w:spacing w:val="-3"/>
        </w:rPr>
        <w:t>股权转让给泰豪园区投资有限公司，经中铭国际资产评</w:t>
      </w:r>
      <w:r>
        <w:rPr>
          <w:spacing w:val="-95"/>
        </w:rPr>
        <w:t> </w:t>
      </w:r>
      <w:r>
        <w:rPr>
          <w:spacing w:val="-95"/>
        </w:rPr>
      </w:r>
      <w:r>
        <w:rPr>
          <w:spacing w:val="-2"/>
        </w:rPr>
        <w:t>估（北京）有限责任公司评估公司出具的《泰豪科技股份有限公司拟对外转让所持有的江西泰豪</w:t>
      </w:r>
      <w:r>
        <w:rPr>
          <w:spacing w:val="-25"/>
        </w:rPr>
        <w:t> </w:t>
      </w:r>
      <w:r>
        <w:rPr>
          <w:spacing w:val="-25"/>
        </w:rPr>
      </w:r>
      <w:r>
        <w:rPr>
          <w:spacing w:val="-2"/>
        </w:rPr>
        <w:t>科技进出口有限公司全部股权事宜涉及的江西泰豪科技进出口有限公司股东全部权益价值项目资</w:t>
      </w:r>
      <w:r>
        <w:rPr>
          <w:spacing w:val="-25"/>
        </w:rPr>
        <w:t> </w:t>
      </w:r>
      <w:r>
        <w:rPr>
          <w:spacing w:val="-25"/>
        </w:rPr>
      </w:r>
      <w:r>
        <w:rPr>
          <w:spacing w:val="-3"/>
        </w:rPr>
        <w:t>产评估报告书》（中铭评报字</w:t>
      </w:r>
      <w:r>
        <w:rPr>
          <w:rFonts w:ascii="宋体" w:hAnsi="宋体" w:cs="宋体" w:eastAsia="宋体" w:hint="default"/>
          <w:spacing w:val="-3"/>
        </w:rPr>
        <w:t>[2017]</w:t>
      </w:r>
      <w:r>
        <w:rPr>
          <w:spacing w:val="-3"/>
        </w:rPr>
        <w:t>第</w:t>
      </w:r>
      <w:r>
        <w:rPr>
          <w:spacing w:val="10"/>
        </w:rPr>
        <w:t> </w:t>
      </w:r>
      <w:r>
        <w:rPr>
          <w:rFonts w:ascii="宋体" w:hAnsi="宋体" w:cs="宋体" w:eastAsia="宋体" w:hint="default"/>
        </w:rPr>
        <w:t>2019</w:t>
      </w:r>
      <w:r>
        <w:rPr>
          <w:rFonts w:ascii="宋体" w:hAnsi="宋体" w:cs="宋体" w:eastAsia="宋体" w:hint="default"/>
          <w:spacing w:val="8"/>
        </w:rPr>
        <w:t> </w:t>
      </w:r>
      <w:r>
        <w:rPr>
          <w:spacing w:val="-4"/>
        </w:rPr>
        <w:t>号，评估基准日为</w:t>
      </w:r>
      <w:r>
        <w:rPr>
          <w:spacing w:val="-47"/>
        </w:rPr>
        <w:t> </w:t>
      </w:r>
      <w:r>
        <w:rPr>
          <w:rFonts w:ascii="宋体" w:hAnsi="宋体" w:cs="宋体" w:eastAsia="宋体" w:hint="default"/>
        </w:rPr>
        <w:t>2016</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51"/>
        </w:rPr>
        <w:t> </w:t>
      </w:r>
      <w:r>
        <w:rPr/>
        <w:t>月</w:t>
      </w:r>
      <w:r>
        <w:rPr>
          <w:spacing w:val="-47"/>
        </w:rPr>
        <w:t> </w:t>
      </w:r>
      <w:r>
        <w:rPr>
          <w:rFonts w:ascii="宋体" w:hAnsi="宋体" w:cs="宋体" w:eastAsia="宋体" w:hint="default"/>
        </w:rPr>
        <w:t>31</w:t>
      </w:r>
      <w:r>
        <w:rPr>
          <w:rFonts w:ascii="宋体" w:hAnsi="宋体" w:cs="宋体" w:eastAsia="宋体" w:hint="default"/>
          <w:spacing w:val="-51"/>
        </w:rPr>
        <w:t> </w:t>
      </w:r>
      <w:r>
        <w:rPr>
          <w:spacing w:val="-7"/>
        </w:rPr>
        <w:t>日），进出口公</w:t>
      </w:r>
    </w:p>
    <w:p>
      <w:pPr>
        <w:pStyle w:val="BodyText"/>
        <w:spacing w:line="271" w:lineRule="exact"/>
        <w:ind w:right="0"/>
        <w:jc w:val="both"/>
      </w:pPr>
      <w:r>
        <w:rPr>
          <w:w w:val="100"/>
        </w:rPr>
        <w:t>司全</w:t>
      </w:r>
      <w:r>
        <w:rPr>
          <w:spacing w:val="-3"/>
          <w:w w:val="100"/>
        </w:rPr>
        <w:t>部</w:t>
      </w:r>
      <w:r>
        <w:rPr>
          <w:w w:val="100"/>
        </w:rPr>
        <w:t>股</w:t>
      </w:r>
      <w:r>
        <w:rPr>
          <w:spacing w:val="-3"/>
          <w:w w:val="100"/>
        </w:rPr>
        <w:t>东</w:t>
      </w:r>
      <w:r>
        <w:rPr>
          <w:w w:val="100"/>
        </w:rPr>
        <w:t>全</w:t>
      </w:r>
      <w:r>
        <w:rPr>
          <w:spacing w:val="-3"/>
          <w:w w:val="100"/>
        </w:rPr>
        <w:t>部</w:t>
      </w:r>
      <w:r>
        <w:rPr>
          <w:w w:val="100"/>
        </w:rPr>
        <w:t>权</w:t>
      </w:r>
      <w:r>
        <w:rPr>
          <w:spacing w:val="-3"/>
          <w:w w:val="100"/>
        </w:rPr>
        <w:t>益</w:t>
      </w:r>
      <w:r>
        <w:rPr>
          <w:w w:val="100"/>
        </w:rPr>
        <w:t>价值</w:t>
      </w:r>
      <w:r>
        <w:rPr>
          <w:spacing w:val="-4"/>
        </w:rPr>
        <w:t> </w:t>
      </w:r>
      <w:r>
        <w:rPr>
          <w:rFonts w:ascii="宋体" w:hAnsi="宋体" w:cs="宋体" w:eastAsia="宋体" w:hint="default"/>
          <w:w w:val="100"/>
        </w:rPr>
        <w:t>16,26</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2"/>
        </w:rPr>
        <w:t> </w:t>
      </w:r>
      <w:r>
        <w:rPr>
          <w:w w:val="100"/>
        </w:rPr>
        <w:t>万</w:t>
      </w:r>
      <w:r>
        <w:rPr>
          <w:spacing w:val="-3"/>
          <w:w w:val="100"/>
        </w:rPr>
        <w:t>元</w:t>
      </w:r>
      <w:r>
        <w:rPr>
          <w:spacing w:val="-94"/>
          <w:w w:val="100"/>
        </w:rPr>
        <w:t>，</w:t>
      </w:r>
      <w:r>
        <w:rPr>
          <w:w w:val="100"/>
        </w:rPr>
        <w:t>经</w:t>
      </w:r>
      <w:r>
        <w:rPr>
          <w:spacing w:val="-3"/>
          <w:w w:val="100"/>
        </w:rPr>
        <w:t>双</w:t>
      </w:r>
      <w:r>
        <w:rPr>
          <w:w w:val="100"/>
        </w:rPr>
        <w:t>方</w:t>
      </w:r>
      <w:r>
        <w:rPr>
          <w:spacing w:val="-3"/>
          <w:w w:val="100"/>
        </w:rPr>
        <w:t>参</w:t>
      </w:r>
      <w:r>
        <w:rPr>
          <w:w w:val="100"/>
        </w:rPr>
        <w:t>考股</w:t>
      </w:r>
      <w:r>
        <w:rPr>
          <w:spacing w:val="-3"/>
          <w:w w:val="100"/>
        </w:rPr>
        <w:t>东</w:t>
      </w:r>
      <w:r>
        <w:rPr>
          <w:w w:val="100"/>
        </w:rPr>
        <w:t>权</w:t>
      </w:r>
      <w:r>
        <w:rPr>
          <w:spacing w:val="-3"/>
          <w:w w:val="100"/>
        </w:rPr>
        <w:t>益</w:t>
      </w:r>
      <w:r>
        <w:rPr>
          <w:w w:val="100"/>
        </w:rPr>
        <w:t>评</w:t>
      </w:r>
      <w:r>
        <w:rPr>
          <w:spacing w:val="-3"/>
          <w:w w:val="100"/>
        </w:rPr>
        <w:t>估</w:t>
      </w:r>
      <w:r>
        <w:rPr>
          <w:spacing w:val="-1"/>
          <w:w w:val="100"/>
        </w:rPr>
        <w:t>值</w:t>
      </w:r>
      <w:r>
        <w:rPr>
          <w:spacing w:val="-3"/>
          <w:w w:val="100"/>
        </w:rPr>
        <w:t>并</w:t>
      </w:r>
      <w:r>
        <w:rPr>
          <w:w w:val="100"/>
        </w:rPr>
        <w:t>协</w:t>
      </w:r>
      <w:r>
        <w:rPr>
          <w:spacing w:val="-3"/>
          <w:w w:val="100"/>
        </w:rPr>
        <w:t>商</w:t>
      </w:r>
      <w:r>
        <w:rPr>
          <w:w w:val="100"/>
        </w:rPr>
        <w:t>确定</w:t>
      </w:r>
      <w:r>
        <w:rPr>
          <w:spacing w:val="-3"/>
          <w:w w:val="100"/>
        </w:rPr>
        <w:t>股</w:t>
      </w:r>
      <w:r>
        <w:rPr>
          <w:w w:val="100"/>
        </w:rPr>
        <w:t>权</w:t>
      </w:r>
      <w:r>
        <w:rPr>
          <w:spacing w:val="-3"/>
          <w:w w:val="100"/>
        </w:rPr>
        <w:t>转</w:t>
      </w:r>
      <w:r>
        <w:rPr>
          <w:w w:val="100"/>
        </w:rPr>
        <w:t>让</w:t>
      </w:r>
      <w:r>
        <w:rPr>
          <w:spacing w:val="-3"/>
          <w:w w:val="100"/>
        </w:rPr>
        <w:t>价</w:t>
      </w:r>
      <w:r>
        <w:rPr>
          <w:w w:val="100"/>
        </w:rPr>
        <w:t>为</w:t>
      </w:r>
    </w:p>
    <w:p>
      <w:pPr>
        <w:pStyle w:val="BodyText"/>
        <w:spacing w:line="273" w:lineRule="exact"/>
        <w:ind w:right="0"/>
        <w:jc w:val="both"/>
      </w:pPr>
      <w:r>
        <w:rPr/>
        <w:t>人民币</w:t>
      </w:r>
      <w:r>
        <w:rPr>
          <w:spacing w:val="-55"/>
        </w:rPr>
        <w:t> </w:t>
      </w:r>
      <w:r>
        <w:rPr>
          <w:rFonts w:ascii="宋体" w:hAnsi="宋体" w:cs="宋体" w:eastAsia="宋体" w:hint="default"/>
        </w:rPr>
        <w:t>16,300</w:t>
      </w:r>
      <w:r>
        <w:rPr>
          <w:rFonts w:ascii="宋体" w:hAnsi="宋体" w:cs="宋体" w:eastAsia="宋体" w:hint="default"/>
          <w:spacing w:val="-57"/>
        </w:rPr>
        <w:t> </w:t>
      </w:r>
      <w:r>
        <w:rPr/>
        <w:t>万元，泰豪园区投资有限公司应于协议生效之日起</w:t>
      </w:r>
      <w:r>
        <w:rPr>
          <w:spacing w:val="-54"/>
        </w:rPr>
        <w:t> </w:t>
      </w:r>
      <w:r>
        <w:rPr>
          <w:rFonts w:ascii="宋体" w:hAnsi="宋体" w:cs="宋体" w:eastAsia="宋体" w:hint="default"/>
        </w:rPr>
        <w:t>60</w:t>
      </w:r>
      <w:r>
        <w:rPr>
          <w:rFonts w:ascii="宋体" w:hAnsi="宋体" w:cs="宋体" w:eastAsia="宋体" w:hint="default"/>
          <w:spacing w:val="-55"/>
        </w:rPr>
        <w:t> </w:t>
      </w:r>
      <w:r>
        <w:rPr/>
        <w:t>个工作日内支付股权转让价</w:t>
      </w:r>
    </w:p>
    <w:p>
      <w:pPr>
        <w:pStyle w:val="BodyText"/>
        <w:spacing w:line="272" w:lineRule="exact"/>
        <w:ind w:right="0"/>
        <w:jc w:val="both"/>
        <w:rPr>
          <w:rFonts w:ascii="宋体" w:hAnsi="宋体" w:cs="宋体" w:eastAsia="宋体" w:hint="default"/>
        </w:rPr>
      </w:pPr>
      <w:r>
        <w:rPr/>
        <w:t>款的</w:t>
      </w:r>
      <w:r>
        <w:rPr>
          <w:spacing w:val="-55"/>
        </w:rPr>
        <w:t> </w:t>
      </w:r>
      <w:r>
        <w:rPr>
          <w:rFonts w:ascii="宋体" w:hAnsi="宋体" w:cs="宋体" w:eastAsia="宋体" w:hint="default"/>
        </w:rPr>
        <w:t>50%</w:t>
      </w:r>
      <w:r>
        <w:rPr/>
        <w:t>，剩余</w:t>
      </w:r>
      <w:r>
        <w:rPr>
          <w:spacing w:val="-57"/>
        </w:rPr>
        <w:t> </w:t>
      </w:r>
      <w:r>
        <w:rPr>
          <w:rFonts w:ascii="宋体" w:hAnsi="宋体" w:cs="宋体" w:eastAsia="宋体" w:hint="default"/>
        </w:rPr>
        <w:t>50%</w:t>
      </w:r>
      <w:r>
        <w:rPr/>
        <w:t>的转让款应在完成工商变更登记后的</w:t>
      </w:r>
      <w:r>
        <w:rPr>
          <w:spacing w:val="-54"/>
        </w:rPr>
        <w:t> </w:t>
      </w:r>
      <w:r>
        <w:rPr>
          <w:rFonts w:ascii="宋体" w:hAnsi="宋体" w:cs="宋体" w:eastAsia="宋体" w:hint="default"/>
        </w:rPr>
        <w:t>180</w:t>
      </w:r>
      <w:r>
        <w:rPr>
          <w:rFonts w:ascii="宋体" w:hAnsi="宋体" w:cs="宋体" w:eastAsia="宋体" w:hint="default"/>
          <w:spacing w:val="-55"/>
        </w:rPr>
        <w:t> </w:t>
      </w:r>
      <w:r>
        <w:rPr/>
        <w:t>个工作日内支付完毕。双方于</w:t>
      </w:r>
      <w:r>
        <w:rPr>
          <w:spacing w:val="-55"/>
        </w:rPr>
        <w:t> </w:t>
      </w:r>
      <w:r>
        <w:rPr>
          <w:rFonts w:ascii="宋体" w:hAnsi="宋体" w:cs="宋体" w:eastAsia="宋体" w:hint="default"/>
        </w:rPr>
        <w:t>2017</w:t>
      </w:r>
    </w:p>
    <w:p>
      <w:pPr>
        <w:pStyle w:val="BodyText"/>
        <w:spacing w:line="274" w:lineRule="exact"/>
        <w:ind w:right="0"/>
        <w:jc w:val="both"/>
      </w:pP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日完成股权交割，截至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日共收回股权转让款</w:t>
      </w:r>
      <w:r>
        <w:rPr>
          <w:spacing w:val="-53"/>
        </w:rPr>
        <w:t> </w:t>
      </w:r>
      <w:r>
        <w:rPr>
          <w:rFonts w:ascii="宋体" w:hAnsi="宋体" w:cs="宋体" w:eastAsia="宋体" w:hint="default"/>
        </w:rPr>
        <w:t>8,150</w:t>
      </w:r>
      <w:r>
        <w:rPr>
          <w:rFonts w:ascii="宋体" w:hAnsi="宋体" w:cs="宋体" w:eastAsia="宋体" w:hint="default"/>
          <w:spacing w:val="-55"/>
        </w:rPr>
        <w:t> </w:t>
      </w:r>
      <w:r>
        <w:rPr/>
        <w:t>万元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before="0"/>
        <w:ind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0"/>
        <w:ind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footerReference w:type="default" r:id="rId22"/>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3"/>
          <w:footerReference w:type="default" r:id="rId24"/>
          <w:pgSz w:w="16840" w:h="11910" w:orient="landscape"/>
          <w:pgMar w:header="882" w:footer="1195" w:top="1120" w:bottom="1380" w:left="1300" w:right="1400"/>
          <w:pgNumType w:start="41"/>
        </w:sectPr>
      </w:pPr>
    </w:p>
    <w:p>
      <w:pPr>
        <w:pStyle w:val="Heading2"/>
        <w:spacing w:line="240" w:lineRule="auto" w:before="175"/>
        <w:ind w:left="140" w:right="-1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40" w:right="-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400"/>
          <w:cols w:num="2" w:equalWidth="0">
            <w:col w:w="2671" w:space="8892"/>
            <w:col w:w="2577"/>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692"/>
        <w:gridCol w:w="1418"/>
        <w:gridCol w:w="1558"/>
        <w:gridCol w:w="1560"/>
        <w:gridCol w:w="1560"/>
        <w:gridCol w:w="1275"/>
        <w:gridCol w:w="1440"/>
        <w:gridCol w:w="1400"/>
      </w:tblGrid>
      <w:tr>
        <w:trPr>
          <w:trHeight w:val="283" w:hRule="exact"/>
        </w:trPr>
        <w:tc>
          <w:tcPr>
            <w:tcW w:w="369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7"/>
              <w:ind w:left="28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46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2"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41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0"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81" w:hRule="exact"/>
        </w:trPr>
        <w:tc>
          <w:tcPr>
            <w:tcW w:w="3692"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405,149.00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405,149.00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泰豪园区投资有限公司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53,522,550.00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27,977,450.00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81,500,000.00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吉林博泰节能技术有限公司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90,513,835.26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-17,329,975.50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73,183,859.76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22,045,000.00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-1,476,976.45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20,568,023.55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36,400.00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3,444,846.00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3,481,246.00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贵州泰豪文创置业发展有限公司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4,386,010.20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-3,268,895.95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1,117,114.25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988,850.00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3"/>
                <w:sz w:val="21"/>
              </w:rPr>
              <w:t>111,350.00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1,100,200.00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同方（哈尔滨）水务有限公司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674,404.05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674,404.05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江西大麦互娱科技股份有限公司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587,207.48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587,207.48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463,974.00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463,974.00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江西泰豪紫荆公寓建设服务有限公司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5,272,142.30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-5,040,451.30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231,691.00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373,440.83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-180,075.45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193,365.38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赣资泰豪（上海）股权投资管理有限公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190,084.86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190,084.86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长春泰豪房地产置业有限公司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-267,739.31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112,260.69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47,521.22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47,521.22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549,087.70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-523,933.83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25,153.87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21,258,090.00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-21,258,090.00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977,499.99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-977,499.99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40,107.70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-40,107.70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江西笛卡传媒有限公司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7,659.00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-7,659.00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江西希望科技有限公司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70,394,119.35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70,394,119.35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1,357,324.66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84,912.30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1,442,236.96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3692"/>
        <w:gridCol w:w="1418"/>
        <w:gridCol w:w="1558"/>
        <w:gridCol w:w="1560"/>
        <w:gridCol w:w="1560"/>
        <w:gridCol w:w="1275"/>
        <w:gridCol w:w="1440"/>
        <w:gridCol w:w="1400"/>
      </w:tblGrid>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上海信业智能科技股份有限公司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197,100.00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197,100.00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24,899.18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150,000.00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174,899.18</w:t>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79,560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79,560.00</w:t>
            </w: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41,550.00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41,550.00</w:t>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9,692.30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9,692.30</w:t>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5,981.07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5,981.07</w:t>
            </w: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1,096.40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1,096.40</w:t>
            </w:r>
          </w:p>
        </w:tc>
      </w:tr>
      <w:tr>
        <w:trPr>
          <w:trHeight w:val="555"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南昌泰豪文化创意产业园建设发展有限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spacing w:val="-1"/>
                <w:sz w:val="21"/>
              </w:rPr>
              <w:t>-500,000.00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4,858,051.87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pacing w:val="-1"/>
                <w:sz w:val="21"/>
              </w:rPr>
              <w:t>-4,845,602.56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12,449.31</w:t>
            </w: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Times New Roman" w:hAnsi="Times New Roman" w:cs="Times New Roman" w:eastAsia="Times New Roman" w:hint="default"/>
                <w:sz w:val="21"/>
                <w:szCs w:val="21"/>
              </w:rPr>
              <w:t>ABB</w:t>
            </w:r>
            <w:r>
              <w:rPr>
                <w:rFonts w:ascii="宋体" w:hAnsi="宋体" w:cs="宋体" w:eastAsia="宋体" w:hint="default"/>
                <w:sz w:val="21"/>
                <w:szCs w:val="21"/>
              </w:rPr>
              <w:t>发电机有限公司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其他关联人</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2,466,686.12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2,586,932.92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5,053,619.04</w:t>
            </w:r>
          </w:p>
        </w:tc>
      </w:tr>
      <w:tr>
        <w:trPr>
          <w:trHeight w:val="281" w:hRule="exact"/>
        </w:trPr>
        <w:tc>
          <w:tcPr>
            <w:tcW w:w="5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204,108,732.17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52,055,979.25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256,164,711.42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7,935,178.24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-2,556,330.94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5,378,847.30</w:t>
            </w:r>
          </w:p>
        </w:tc>
      </w:tr>
      <w:tr>
        <w:trPr>
          <w:trHeight w:val="283" w:hRule="exact"/>
        </w:trPr>
        <w:tc>
          <w:tcPr>
            <w:tcW w:w="5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87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由于正常购销业务及股权转让结算形成的科目余额</w:t>
            </w:r>
          </w:p>
        </w:tc>
      </w:tr>
      <w:tr>
        <w:trPr>
          <w:trHeight w:val="283" w:hRule="exact"/>
        </w:trPr>
        <w:tc>
          <w:tcPr>
            <w:tcW w:w="5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关联债权债务对公司的影响</w:t>
            </w:r>
          </w:p>
        </w:tc>
        <w:tc>
          <w:tcPr>
            <w:tcW w:w="8793"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40"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898" w:val="left" w:leader="none"/>
        </w:tabs>
        <w:spacing w:line="240" w:lineRule="auto" w:before="29"/>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980" w:val="left" w:leader="none"/>
        </w:tabs>
        <w:spacing w:line="290" w:lineRule="auto" w:before="0"/>
        <w:ind w:left="140" w:right="11046"/>
        <w:jc w:val="left"/>
        <w:rPr>
          <w:b w:val="0"/>
          <w:bCs w:val="0"/>
        </w:rPr>
      </w:pPr>
      <w:r>
        <w:rPr/>
        <w:t>十五、重大合同及其履行情况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100"/>
        </w:rPr>
        <w:t> </w:t>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left="140"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2"/>
        <w:spacing w:line="240" w:lineRule="auto" w:before="0"/>
        <w:ind w:left="140"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140"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140"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140"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6840" w:h="11910" w:orient="landscape"/>
          <w:pgMar w:header="882" w:footer="1195"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6840" w:h="11910" w:orient="landscape"/>
          <w:pgMar w:header="882" w:footer="1195" w:top="1120" w:bottom="1380" w:left="1300" w:right="1400"/>
        </w:sectPr>
      </w:pPr>
    </w:p>
    <w:p>
      <w:pPr>
        <w:pStyle w:val="Heading2"/>
        <w:tabs>
          <w:tab w:pos="980" w:val="left" w:leader="none"/>
        </w:tabs>
        <w:spacing w:line="240" w:lineRule="auto"/>
        <w:ind w:left="140" w:right="-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8"/>
        <w:ind w:left="140" w:right="-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354" w:val="left" w:leader="none"/>
        </w:tabs>
        <w:spacing w:line="240" w:lineRule="auto"/>
        <w:ind w:left="140"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万元</w:t>
        <w:tab/>
        <w:t>币种</w:t>
      </w:r>
      <w:r>
        <w:rPr>
          <w:rFonts w:ascii="Times New Roman" w:hAnsi="Times New Roman" w:cs="Times New Roman" w:eastAsia="Times New Roman" w:hint="default"/>
        </w:rPr>
        <w:t>:  </w:t>
      </w:r>
      <w:r>
        <w:rPr/>
        <w:t>人民币</w:t>
      </w:r>
    </w:p>
    <w:p>
      <w:pPr>
        <w:spacing w:after="0" w:line="240" w:lineRule="auto"/>
        <w:jc w:val="left"/>
        <w:sectPr>
          <w:type w:val="continuous"/>
          <w:pgSz w:w="16840" w:h="11910" w:orient="landscape"/>
          <w:pgMar w:top="1120" w:bottom="1380" w:left="1300" w:right="1400"/>
          <w:cols w:num="2" w:equalWidth="0">
            <w:col w:w="1826" w:space="9202"/>
            <w:col w:w="3112"/>
          </w:cols>
        </w:sectPr>
      </w:pPr>
    </w:p>
    <w:tbl>
      <w:tblPr>
        <w:tblW w:w="0" w:type="auto"/>
        <w:jc w:val="left"/>
        <w:tblInd w:w="103" w:type="dxa"/>
        <w:tblLayout w:type="fixed"/>
        <w:tblCellMar>
          <w:top w:w="0" w:type="dxa"/>
          <w:left w:w="0" w:type="dxa"/>
          <w:bottom w:w="0" w:type="dxa"/>
          <w:right w:w="0" w:type="dxa"/>
        </w:tblCellMar>
        <w:tblLook w:val="01E0"/>
      </w:tblPr>
      <w:tblGrid>
        <w:gridCol w:w="1565"/>
        <w:gridCol w:w="864"/>
        <w:gridCol w:w="1520"/>
        <w:gridCol w:w="1085"/>
        <w:gridCol w:w="1090"/>
        <w:gridCol w:w="632"/>
        <w:gridCol w:w="679"/>
        <w:gridCol w:w="1022"/>
        <w:gridCol w:w="917"/>
        <w:gridCol w:w="869"/>
        <w:gridCol w:w="650"/>
        <w:gridCol w:w="571"/>
        <w:gridCol w:w="722"/>
        <w:gridCol w:w="662"/>
        <w:gridCol w:w="764"/>
      </w:tblGrid>
      <w:tr>
        <w:trPr>
          <w:trHeight w:val="302" w:hRule="exact"/>
        </w:trPr>
        <w:tc>
          <w:tcPr>
            <w:tcW w:w="13613"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10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sz w:val="21"/>
                <w:szCs w:val="21"/>
              </w:rPr>
              <w:t>担保方</w:t>
            </w:r>
          </w:p>
          <w:p>
            <w:pPr>
              <w:pStyle w:val="TableParagraph"/>
              <w:spacing w:line="237" w:lineRule="auto" w:before="2"/>
              <w:ind w:left="110" w:right="108"/>
              <w:jc w:val="both"/>
              <w:rPr>
                <w:rFonts w:ascii="宋体" w:hAnsi="宋体" w:cs="宋体" w:eastAsia="宋体" w:hint="default"/>
                <w:sz w:val="21"/>
                <w:szCs w:val="21"/>
              </w:rPr>
            </w:pPr>
            <w:r>
              <w:rPr>
                <w:rFonts w:ascii="宋体" w:hAnsi="宋体" w:cs="宋体" w:eastAsia="宋体" w:hint="default"/>
                <w:sz w:val="21"/>
                <w:szCs w:val="21"/>
              </w:rPr>
              <w:t>与上市</w:t>
            </w:r>
            <w:r>
              <w:rPr>
                <w:rFonts w:ascii="宋体" w:hAnsi="宋体" w:cs="宋体" w:eastAsia="宋体" w:hint="default"/>
                <w:spacing w:val="-102"/>
                <w:sz w:val="21"/>
                <w:szCs w:val="21"/>
              </w:rPr>
              <w:t> </w:t>
            </w:r>
            <w:r>
              <w:rPr>
                <w:rFonts w:ascii="宋体" w:hAnsi="宋体" w:cs="宋体" w:eastAsia="宋体" w:hint="default"/>
                <w:sz w:val="21"/>
                <w:szCs w:val="21"/>
              </w:rPr>
              <w:t>公司的</w:t>
            </w:r>
            <w:r>
              <w:rPr>
                <w:rFonts w:ascii="宋体" w:hAnsi="宋体" w:cs="宋体" w:eastAsia="宋体" w:hint="default"/>
                <w:spacing w:val="-102"/>
                <w:sz w:val="21"/>
                <w:szCs w:val="21"/>
              </w:rPr>
              <w:t> </w:t>
            </w:r>
            <w:r>
              <w:rPr>
                <w:rFonts w:ascii="宋体" w:hAnsi="宋体" w:cs="宋体" w:eastAsia="宋体" w:hint="default"/>
                <w:sz w:val="21"/>
                <w:szCs w:val="21"/>
              </w:rPr>
              <w:t>关系</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pacing w:val="-1"/>
                <w:sz w:val="21"/>
                <w:szCs w:val="21"/>
              </w:rPr>
              <w:t>担保金额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0"/>
              <w:ind w:left="86" w:right="83"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Times New Roman" w:hAnsi="Times New Roman" w:cs="Times New Roman" w:eastAsia="Times New Roman" w:hint="default"/>
                <w:sz w:val="21"/>
                <w:szCs w:val="21"/>
              </w:rPr>
              <w:t>(</w:t>
            </w:r>
            <w:r>
              <w:rPr>
                <w:rFonts w:ascii="宋体" w:hAnsi="宋体" w:cs="宋体" w:eastAsia="宋体" w:hint="default"/>
                <w:sz w:val="21"/>
                <w:szCs w:val="21"/>
              </w:rPr>
              <w:t>协议</w:t>
            </w:r>
            <w:r>
              <w:rPr>
                <w:rFonts w:ascii="宋体" w:hAnsi="宋体" w:cs="宋体" w:eastAsia="宋体" w:hint="default"/>
                <w:spacing w:val="-3"/>
                <w:w w:val="100"/>
                <w:sz w:val="21"/>
                <w:szCs w:val="21"/>
              </w:rPr>
              <w:t> </w:t>
            </w:r>
            <w:r>
              <w:rPr>
                <w:rFonts w:ascii="宋体" w:hAnsi="宋体" w:cs="宋体" w:eastAsia="宋体" w:hint="default"/>
                <w:sz w:val="21"/>
                <w:szCs w:val="21"/>
              </w:rPr>
              <w:t>签署日</w:t>
            </w:r>
            <w:r>
              <w:rPr>
                <w:rFonts w:ascii="Times New Roman" w:hAnsi="Times New Roman" w:cs="Times New Roman" w:eastAsia="Times New Roman" w:hint="default"/>
                <w:sz w:val="21"/>
                <w:szCs w:val="21"/>
              </w:rPr>
              <w:t>)</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33" w:right="333"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9" w:right="187"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w:t>
            </w:r>
          </w:p>
          <w:p>
            <w:pPr>
              <w:pStyle w:val="TableParagraph"/>
              <w:spacing w:line="237" w:lineRule="auto" w:before="2"/>
              <w:ind w:left="115" w:right="110"/>
              <w:jc w:val="center"/>
              <w:rPr>
                <w:rFonts w:ascii="宋体" w:hAnsi="宋体" w:cs="宋体" w:eastAsia="宋体" w:hint="default"/>
                <w:sz w:val="21"/>
                <w:szCs w:val="21"/>
              </w:rPr>
            </w:pP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8" w:right="10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2" w:right="6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40" w:right="36"/>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17" w:right="110"/>
              <w:jc w:val="both"/>
              <w:rPr>
                <w:rFonts w:ascii="宋体" w:hAnsi="宋体" w:cs="宋体" w:eastAsia="宋体" w:hint="default"/>
                <w:sz w:val="21"/>
                <w:szCs w:val="21"/>
              </w:rPr>
            </w:pP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8" w:right="16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55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泰豪科技股份有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6"/>
                <w:w w:val="100"/>
                <w:sz w:val="21"/>
                <w:szCs w:val="21"/>
              </w:rPr>
              <w:t>公</w:t>
            </w:r>
            <w:r>
              <w:rPr>
                <w:rFonts w:ascii="宋体" w:hAnsi="宋体" w:cs="宋体" w:eastAsia="宋体" w:hint="default"/>
                <w:w w:val="100"/>
                <w:sz w:val="21"/>
                <w:szCs w:val="21"/>
              </w:rPr>
              <w:t>司</w:t>
            </w:r>
            <w:r>
              <w:rPr>
                <w:rFonts w:ascii="宋体" w:hAnsi="宋体" w:cs="宋体" w:eastAsia="宋体" w:hint="default"/>
                <w:spacing w:val="-19"/>
                <w:sz w:val="21"/>
                <w:szCs w:val="21"/>
              </w:rPr>
              <w:t> </w:t>
            </w:r>
            <w:r>
              <w:rPr>
                <w:rFonts w:ascii="宋体" w:hAnsi="宋体" w:cs="宋体" w:eastAsia="宋体" w:hint="default"/>
                <w:w w:val="100"/>
                <w:sz w:val="21"/>
                <w:szCs w:val="21"/>
              </w:rPr>
              <w:t>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spacing w:val="-66"/>
                <w:sz w:val="21"/>
                <w:szCs w:val="21"/>
              </w:rPr>
              <w:t> </w:t>
            </w:r>
            <w:r>
              <w:rPr>
                <w:rFonts w:ascii="宋体" w:hAnsi="宋体" w:cs="宋体" w:eastAsia="宋体" w:hint="default"/>
                <w:sz w:val="21"/>
                <w:szCs w:val="21"/>
              </w:rPr>
              <w:t>豪</w:t>
            </w:r>
            <w:r>
              <w:rPr>
                <w:rFonts w:ascii="宋体" w:hAnsi="宋体" w:cs="宋体" w:eastAsia="宋体" w:hint="default"/>
                <w:spacing w:val="-66"/>
                <w:sz w:val="21"/>
                <w:szCs w:val="21"/>
              </w:rPr>
              <w:t> </w:t>
            </w:r>
            <w:r>
              <w:rPr>
                <w:rFonts w:ascii="宋体" w:hAnsi="宋体" w:cs="宋体" w:eastAsia="宋体" w:hint="default"/>
                <w:sz w:val="21"/>
                <w:szCs w:val="21"/>
              </w:rPr>
              <w:t>沈</w:t>
            </w:r>
            <w:r>
              <w:rPr>
                <w:rFonts w:ascii="宋体" w:hAnsi="宋体" w:cs="宋体" w:eastAsia="宋体" w:hint="default"/>
                <w:spacing w:val="-66"/>
                <w:sz w:val="21"/>
                <w:szCs w:val="21"/>
              </w:rPr>
              <w:t> </w:t>
            </w:r>
            <w:r>
              <w:rPr>
                <w:rFonts w:ascii="宋体" w:hAnsi="宋体" w:cs="宋体" w:eastAsia="宋体" w:hint="default"/>
                <w:sz w:val="21"/>
                <w:szCs w:val="21"/>
              </w:rPr>
              <w:t>阳</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4"/>
                <w:sz w:val="21"/>
                <w:szCs w:val="21"/>
              </w:rPr>
              <w:t> </w:t>
            </w:r>
            <w:r>
              <w:rPr>
                <w:rFonts w:ascii="宋体" w:hAnsi="宋体" w:cs="宋体" w:eastAsia="宋体" w:hint="default"/>
                <w:sz w:val="21"/>
                <w:szCs w:val="21"/>
              </w:rPr>
              <w:t>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23,000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2012.10.24</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2012.10.24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
              <w:jc w:val="center"/>
              <w:rPr>
                <w:rFonts w:ascii="Times New Roman" w:hAnsi="Times New Roman" w:cs="Times New Roman" w:eastAsia="Times New Roman" w:hint="default"/>
                <w:sz w:val="21"/>
                <w:szCs w:val="21"/>
              </w:rPr>
            </w:pPr>
            <w:r>
              <w:rPr>
                <w:rFonts w:ascii="Times New Roman"/>
                <w:sz w:val="21"/>
              </w:rPr>
              <w:t>2019.12.21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连带责任</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hAnsi="宋体" w:cs="宋体" w:eastAsia="宋体" w:hint="default"/>
                <w:sz w:val="21"/>
                <w:szCs w:val="21"/>
              </w:rPr>
              <w:t>股东的</w:t>
            </w:r>
          </w:p>
          <w:p>
            <w:pPr>
              <w:pStyle w:val="TableParagraph"/>
              <w:spacing w:line="274" w:lineRule="exact"/>
              <w:ind w:left="62" w:right="0"/>
              <w:jc w:val="left"/>
              <w:rPr>
                <w:rFonts w:ascii="宋体" w:hAnsi="宋体" w:cs="宋体" w:eastAsia="宋体" w:hint="default"/>
                <w:sz w:val="21"/>
                <w:szCs w:val="21"/>
              </w:rPr>
            </w:pPr>
            <w:r>
              <w:rPr>
                <w:rFonts w:ascii="宋体" w:hAnsi="宋体" w:cs="宋体" w:eastAsia="宋体" w:hint="default"/>
                <w:sz w:val="21"/>
                <w:szCs w:val="21"/>
              </w:rPr>
              <w:t>子公司</w:t>
            </w:r>
          </w:p>
        </w:tc>
      </w:tr>
      <w:tr>
        <w:trPr>
          <w:trHeight w:val="55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泰豪科技股份有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6"/>
                <w:w w:val="100"/>
                <w:sz w:val="21"/>
                <w:szCs w:val="21"/>
              </w:rPr>
              <w:t>公</w:t>
            </w:r>
            <w:r>
              <w:rPr>
                <w:rFonts w:ascii="宋体" w:hAnsi="宋体" w:cs="宋体" w:eastAsia="宋体" w:hint="default"/>
                <w:w w:val="100"/>
                <w:sz w:val="21"/>
                <w:szCs w:val="21"/>
              </w:rPr>
              <w:t>司</w:t>
            </w:r>
            <w:r>
              <w:rPr>
                <w:rFonts w:ascii="宋体" w:hAnsi="宋体" w:cs="宋体" w:eastAsia="宋体" w:hint="default"/>
                <w:spacing w:val="-19"/>
                <w:sz w:val="21"/>
                <w:szCs w:val="21"/>
              </w:rPr>
              <w:t> </w:t>
            </w:r>
            <w:r>
              <w:rPr>
                <w:rFonts w:ascii="宋体" w:hAnsi="宋体" w:cs="宋体" w:eastAsia="宋体" w:hint="default"/>
                <w:w w:val="100"/>
                <w:sz w:val="21"/>
                <w:szCs w:val="21"/>
              </w:rPr>
              <w:t>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西</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军</w:t>
            </w:r>
            <w:r>
              <w:rPr>
                <w:rFonts w:ascii="宋体" w:hAnsi="宋体" w:cs="宋体" w:eastAsia="宋体" w:hint="default"/>
                <w:spacing w:val="-64"/>
                <w:sz w:val="21"/>
                <w:szCs w:val="21"/>
              </w:rPr>
              <w:t> </w:t>
            </w:r>
            <w:r>
              <w:rPr>
                <w:rFonts w:ascii="宋体" w:hAnsi="宋体" w:cs="宋体" w:eastAsia="宋体" w:hint="default"/>
                <w:sz w:val="21"/>
                <w:szCs w:val="21"/>
              </w:rPr>
              <w:t>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2,000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2017.12.8</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2017.12.8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5"/>
              <w:jc w:val="center"/>
              <w:rPr>
                <w:rFonts w:ascii="Times New Roman" w:hAnsi="Times New Roman" w:cs="Times New Roman" w:eastAsia="Times New Roman" w:hint="default"/>
                <w:sz w:val="21"/>
                <w:szCs w:val="21"/>
              </w:rPr>
            </w:pPr>
            <w:r>
              <w:rPr>
                <w:rFonts w:ascii="Times New Roman"/>
                <w:sz w:val="21"/>
              </w:rPr>
              <w:t>2018.12.7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连带责任</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联营公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司</w:t>
            </w:r>
          </w:p>
        </w:tc>
      </w:tr>
      <w:tr>
        <w:trPr>
          <w:trHeight w:val="55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泰豪科技股份有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86"/>
                <w:w w:val="100"/>
                <w:sz w:val="21"/>
                <w:szCs w:val="21"/>
              </w:rPr>
              <w:t>公</w:t>
            </w:r>
            <w:r>
              <w:rPr>
                <w:rFonts w:ascii="宋体" w:hAnsi="宋体" w:cs="宋体" w:eastAsia="宋体" w:hint="default"/>
                <w:w w:val="100"/>
                <w:sz w:val="21"/>
                <w:szCs w:val="21"/>
              </w:rPr>
              <w:t>司</w:t>
            </w:r>
            <w:r>
              <w:rPr>
                <w:rFonts w:ascii="宋体" w:hAnsi="宋体" w:cs="宋体" w:eastAsia="宋体" w:hint="default"/>
                <w:spacing w:val="-19"/>
                <w:sz w:val="21"/>
                <w:szCs w:val="21"/>
              </w:rPr>
              <w:t> </w:t>
            </w:r>
            <w:r>
              <w:rPr>
                <w:rFonts w:ascii="宋体" w:hAnsi="宋体" w:cs="宋体" w:eastAsia="宋体" w:hint="default"/>
                <w:w w:val="100"/>
                <w:sz w:val="21"/>
                <w:szCs w:val="21"/>
              </w:rPr>
              <w:t>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西</w:t>
            </w:r>
            <w:r>
              <w:rPr>
                <w:rFonts w:ascii="宋体" w:hAnsi="宋体" w:cs="宋体" w:eastAsia="宋体" w:hint="default"/>
                <w:spacing w:val="-66"/>
                <w:sz w:val="21"/>
                <w:szCs w:val="21"/>
              </w:rPr>
              <w:t> </w:t>
            </w:r>
            <w:r>
              <w:rPr>
                <w:rFonts w:ascii="宋体" w:hAnsi="宋体" w:cs="宋体" w:eastAsia="宋体" w:hint="default"/>
                <w:sz w:val="21"/>
                <w:szCs w:val="21"/>
              </w:rPr>
              <w:t>特</w:t>
            </w:r>
            <w:r>
              <w:rPr>
                <w:rFonts w:ascii="宋体" w:hAnsi="宋体" w:cs="宋体" w:eastAsia="宋体" w:hint="default"/>
                <w:spacing w:val="-66"/>
                <w:sz w:val="21"/>
                <w:szCs w:val="21"/>
              </w:rPr>
              <w:t> </w:t>
            </w:r>
            <w:r>
              <w:rPr>
                <w:rFonts w:ascii="宋体" w:hAnsi="宋体" w:cs="宋体" w:eastAsia="宋体" w:hint="default"/>
                <w:sz w:val="21"/>
                <w:szCs w:val="21"/>
              </w:rPr>
              <w:t>种</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4"/>
                <w:sz w:val="21"/>
                <w:szCs w:val="21"/>
              </w:rPr>
              <w:t> </w:t>
            </w:r>
            <w:r>
              <w:rPr>
                <w:rFonts w:ascii="宋体" w:hAnsi="宋体" w:cs="宋体" w:eastAsia="宋体" w:hint="default"/>
                <w:sz w:val="21"/>
                <w:szCs w:val="21"/>
              </w:rPr>
              <w:t>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2,500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2017.12.21</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2017.12.21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
              <w:jc w:val="center"/>
              <w:rPr>
                <w:rFonts w:ascii="Times New Roman" w:hAnsi="Times New Roman" w:cs="Times New Roman" w:eastAsia="Times New Roman" w:hint="default"/>
                <w:sz w:val="21"/>
                <w:szCs w:val="21"/>
              </w:rPr>
            </w:pPr>
            <w:r>
              <w:rPr>
                <w:rFonts w:ascii="Times New Roman"/>
                <w:sz w:val="21"/>
              </w:rPr>
              <w:t>2018.12.21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连带责任</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1"/>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557"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泰豪科技股份有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86"/>
                <w:w w:val="100"/>
                <w:sz w:val="21"/>
                <w:szCs w:val="21"/>
              </w:rPr>
              <w:t>公</w:t>
            </w:r>
            <w:r>
              <w:rPr>
                <w:rFonts w:ascii="宋体" w:hAnsi="宋体" w:cs="宋体" w:eastAsia="宋体" w:hint="default"/>
                <w:w w:val="100"/>
                <w:sz w:val="21"/>
                <w:szCs w:val="21"/>
              </w:rPr>
              <w:t>司</w:t>
            </w:r>
            <w:r>
              <w:rPr>
                <w:rFonts w:ascii="宋体" w:hAnsi="宋体" w:cs="宋体" w:eastAsia="宋体" w:hint="default"/>
                <w:spacing w:val="-19"/>
                <w:sz w:val="21"/>
                <w:szCs w:val="21"/>
              </w:rPr>
              <w:t> </w:t>
            </w:r>
            <w:r>
              <w:rPr>
                <w:rFonts w:ascii="宋体" w:hAnsi="宋体" w:cs="宋体" w:eastAsia="宋体" w:hint="default"/>
                <w:w w:val="100"/>
                <w:sz w:val="21"/>
                <w:szCs w:val="21"/>
              </w:rPr>
              <w:t>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西</w:t>
            </w:r>
            <w:r>
              <w:rPr>
                <w:rFonts w:ascii="宋体" w:hAnsi="宋体" w:cs="宋体" w:eastAsia="宋体" w:hint="default"/>
                <w:spacing w:val="-66"/>
                <w:sz w:val="21"/>
                <w:szCs w:val="21"/>
              </w:rPr>
              <w:t> </w:t>
            </w:r>
            <w:r>
              <w:rPr>
                <w:rFonts w:ascii="宋体" w:hAnsi="宋体" w:cs="宋体" w:eastAsia="宋体" w:hint="default"/>
                <w:sz w:val="21"/>
                <w:szCs w:val="21"/>
              </w:rPr>
              <w:t>特</w:t>
            </w:r>
            <w:r>
              <w:rPr>
                <w:rFonts w:ascii="宋体" w:hAnsi="宋体" w:cs="宋体" w:eastAsia="宋体" w:hint="default"/>
                <w:spacing w:val="-66"/>
                <w:sz w:val="21"/>
                <w:szCs w:val="21"/>
              </w:rPr>
              <w:t> </w:t>
            </w:r>
            <w:r>
              <w:rPr>
                <w:rFonts w:ascii="宋体" w:hAnsi="宋体" w:cs="宋体" w:eastAsia="宋体" w:hint="default"/>
                <w:sz w:val="21"/>
                <w:szCs w:val="21"/>
              </w:rPr>
              <w:t>种</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4"/>
                <w:sz w:val="21"/>
                <w:szCs w:val="21"/>
              </w:rPr>
              <w:t> </w:t>
            </w:r>
            <w:r>
              <w:rPr>
                <w:rFonts w:ascii="宋体" w:hAnsi="宋体" w:cs="宋体" w:eastAsia="宋体" w:hint="default"/>
                <w:sz w:val="21"/>
                <w:szCs w:val="21"/>
              </w:rPr>
              <w:t>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3,000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2017.7.12</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2017.7.12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1"/>
              <w:jc w:val="center"/>
              <w:rPr>
                <w:rFonts w:ascii="Times New Roman" w:hAnsi="Times New Roman" w:cs="Times New Roman" w:eastAsia="Times New Roman" w:hint="default"/>
                <w:sz w:val="21"/>
                <w:szCs w:val="21"/>
              </w:rPr>
            </w:pPr>
            <w:r>
              <w:rPr>
                <w:rFonts w:ascii="Times New Roman"/>
                <w:spacing w:val="-3"/>
                <w:sz w:val="21"/>
              </w:rPr>
              <w:t>2018.7.11</w:t>
            </w:r>
            <w:r>
              <w:rPr>
                <w:rFonts w:ascii="Times New Roman"/>
                <w:sz w:val="21"/>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连带责任</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1"/>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317" w:hRule="exact"/>
        </w:trPr>
        <w:tc>
          <w:tcPr>
            <w:tcW w:w="74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6179"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7434" w:type="dxa"/>
            <w:gridSpan w:val="7"/>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合</w:t>
            </w:r>
            <w:r>
              <w:rPr>
                <w:rFonts w:ascii="宋体" w:hAnsi="宋体" w:cs="宋体" w:eastAsia="宋体" w:hint="default"/>
                <w:w w:val="100"/>
                <w:sz w:val="21"/>
                <w:szCs w:val="21"/>
              </w:rPr>
              <w:t>计</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1"/>
                <w:w w:val="100"/>
                <w:sz w:val="21"/>
                <w:szCs w:val="21"/>
              </w:rPr>
              <w:t>A</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包</w:t>
            </w:r>
            <w:r>
              <w:rPr>
                <w:rFonts w:ascii="宋体" w:hAnsi="宋体" w:cs="宋体" w:eastAsia="宋体" w:hint="default"/>
                <w:spacing w:val="-3"/>
                <w:w w:val="100"/>
                <w:sz w:val="21"/>
                <w:szCs w:val="21"/>
              </w:rPr>
              <w:t>括</w:t>
            </w:r>
            <w:r>
              <w:rPr>
                <w:rFonts w:ascii="宋体" w:hAnsi="宋体" w:cs="宋体" w:eastAsia="宋体" w:hint="default"/>
                <w:w w:val="100"/>
                <w:sz w:val="21"/>
                <w:szCs w:val="21"/>
              </w:rPr>
              <w:t>对</w:t>
            </w:r>
            <w:r>
              <w:rPr>
                <w:rFonts w:ascii="宋体" w:hAnsi="宋体" w:cs="宋体" w:eastAsia="宋体" w:hint="default"/>
                <w:spacing w:val="-3"/>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的担</w:t>
            </w:r>
            <w:r>
              <w:rPr>
                <w:rFonts w:ascii="宋体" w:hAnsi="宋体" w:cs="宋体" w:eastAsia="宋体" w:hint="default"/>
                <w:w w:val="100"/>
                <w:sz w:val="21"/>
                <w:szCs w:val="21"/>
              </w:rPr>
              <w:t>保）</w:t>
            </w:r>
          </w:p>
        </w:tc>
        <w:tc>
          <w:tcPr>
            <w:tcW w:w="61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z w:val="21"/>
              </w:rPr>
              <w:t>30,500</w:t>
            </w:r>
          </w:p>
        </w:tc>
      </w:tr>
      <w:tr>
        <w:trPr>
          <w:trHeight w:val="317" w:hRule="exact"/>
        </w:trPr>
        <w:tc>
          <w:tcPr>
            <w:tcW w:w="13613"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81"/>
              <w:jc w:val="center"/>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67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6858" w:type="dxa"/>
            <w:gridSpan w:val="9"/>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67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6858" w:type="dxa"/>
            <w:gridSpan w:val="9"/>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z w:val="21"/>
              </w:rPr>
              <w:t>95,339</w:t>
            </w:r>
          </w:p>
        </w:tc>
      </w:tr>
      <w:tr>
        <w:trPr>
          <w:trHeight w:val="319" w:hRule="exact"/>
        </w:trPr>
        <w:tc>
          <w:tcPr>
            <w:tcW w:w="13613" w:type="dxa"/>
            <w:gridSpan w:val="1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1"/>
              <w:jc w:val="center"/>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1" w:hRule="exact"/>
        </w:trPr>
        <w:tc>
          <w:tcPr>
            <w:tcW w:w="67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6858" w:type="dxa"/>
            <w:gridSpan w:val="9"/>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125,839</w:t>
            </w:r>
          </w:p>
        </w:tc>
      </w:tr>
      <w:tr>
        <w:trPr>
          <w:trHeight w:val="320" w:hRule="exact"/>
        </w:trPr>
        <w:tc>
          <w:tcPr>
            <w:tcW w:w="67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6858" w:type="dxa"/>
            <w:gridSpan w:val="9"/>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sz w:val="21"/>
              </w:rPr>
              <w:t>33.73</w:t>
            </w:r>
          </w:p>
        </w:tc>
      </w:tr>
      <w:tr>
        <w:trPr>
          <w:trHeight w:val="317" w:hRule="exact"/>
        </w:trPr>
        <w:tc>
          <w:tcPr>
            <w:tcW w:w="13613"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9" w:hRule="exact"/>
        </w:trPr>
        <w:tc>
          <w:tcPr>
            <w:tcW w:w="67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6858" w:type="dxa"/>
            <w:gridSpan w:val="9"/>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67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直接或间接为资产负债率超过</w:t>
            </w:r>
            <w:r>
              <w:rPr>
                <w:rFonts w:ascii="Times New Roman" w:hAnsi="Times New Roman" w:cs="Times New Roman" w:eastAsia="Times New Roman" w:hint="default"/>
                <w:spacing w:val="-3"/>
                <w:sz w:val="21"/>
                <w:szCs w:val="21"/>
              </w:rPr>
              <w:t>70%</w:t>
            </w:r>
            <w:r>
              <w:rPr>
                <w:rFonts w:ascii="宋体" w:hAnsi="宋体" w:cs="宋体" w:eastAsia="宋体" w:hint="default"/>
                <w:spacing w:val="-3"/>
                <w:sz w:val="21"/>
                <w:szCs w:val="21"/>
              </w:rPr>
              <w:t>的被担保对象提供的债务担保金额（</w:t>
            </w:r>
            <w:r>
              <w:rPr>
                <w:rFonts w:ascii="Times New Roman" w:hAnsi="Times New Roman" w:cs="Times New Roman" w:eastAsia="Times New Roman" w:hint="default"/>
                <w:spacing w:val="-3"/>
                <w:sz w:val="21"/>
                <w:szCs w:val="21"/>
              </w:rPr>
              <w:t>D</w:t>
            </w:r>
          </w:p>
        </w:tc>
        <w:tc>
          <w:tcPr>
            <w:tcW w:w="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22" w:type="dxa"/>
            <w:tcBorders>
              <w:top w:val="single" w:sz="4" w:space="0" w:color="000000"/>
              <w:left w:val="nil" w:sz="6" w:space="0" w:color="auto"/>
              <w:bottom w:val="single" w:sz="4" w:space="0" w:color="000000"/>
              <w:right w:val="nil" w:sz="6" w:space="0" w:color="auto"/>
            </w:tcBorders>
          </w:tcPr>
          <w:p>
            <w:pPr/>
          </w:p>
        </w:tc>
        <w:tc>
          <w:tcPr>
            <w:tcW w:w="917" w:type="dxa"/>
            <w:tcBorders>
              <w:top w:val="single" w:sz="4" w:space="0" w:color="000000"/>
              <w:left w:val="nil" w:sz="6" w:space="0" w:color="auto"/>
              <w:bottom w:val="single" w:sz="4" w:space="0" w:color="000000"/>
              <w:right w:val="nil" w:sz="6" w:space="0" w:color="auto"/>
            </w:tcBorders>
          </w:tcPr>
          <w:p>
            <w:pPr/>
          </w:p>
        </w:tc>
        <w:tc>
          <w:tcPr>
            <w:tcW w:w="869" w:type="dxa"/>
            <w:tcBorders>
              <w:top w:val="single" w:sz="4" w:space="0" w:color="000000"/>
              <w:left w:val="nil" w:sz="6" w:space="0" w:color="auto"/>
              <w:bottom w:val="single" w:sz="4" w:space="0" w:color="000000"/>
              <w:right w:val="nil" w:sz="6" w:space="0" w:color="auto"/>
            </w:tcBorders>
          </w:tcPr>
          <w:p>
            <w:pPr/>
          </w:p>
        </w:tc>
        <w:tc>
          <w:tcPr>
            <w:tcW w:w="650" w:type="dxa"/>
            <w:tcBorders>
              <w:top w:val="single" w:sz="4" w:space="0" w:color="000000"/>
              <w:left w:val="nil" w:sz="6" w:space="0" w:color="auto"/>
              <w:bottom w:val="single" w:sz="4" w:space="0" w:color="000000"/>
              <w:right w:val="nil" w:sz="6" w:space="0" w:color="auto"/>
            </w:tcBorders>
          </w:tcPr>
          <w:p>
            <w:pPr/>
          </w:p>
        </w:tc>
        <w:tc>
          <w:tcPr>
            <w:tcW w:w="571" w:type="dxa"/>
            <w:tcBorders>
              <w:top w:val="single" w:sz="4" w:space="0" w:color="000000"/>
              <w:left w:val="nil" w:sz="6" w:space="0" w:color="auto"/>
              <w:bottom w:val="single" w:sz="4" w:space="0" w:color="000000"/>
              <w:right w:val="nil" w:sz="6" w:space="0" w:color="auto"/>
            </w:tcBorders>
          </w:tcPr>
          <w:p>
            <w:pPr/>
          </w:p>
        </w:tc>
        <w:tc>
          <w:tcPr>
            <w:tcW w:w="722" w:type="dxa"/>
            <w:tcBorders>
              <w:top w:val="single" w:sz="4" w:space="0" w:color="000000"/>
              <w:left w:val="nil" w:sz="6" w:space="0" w:color="auto"/>
              <w:bottom w:val="single" w:sz="4" w:space="0" w:color="000000"/>
              <w:right w:val="nil" w:sz="6" w:space="0" w:color="auto"/>
            </w:tcBorders>
          </w:tcPr>
          <w:p>
            <w:pPr/>
          </w:p>
        </w:tc>
        <w:tc>
          <w:tcPr>
            <w:tcW w:w="662" w:type="dxa"/>
            <w:tcBorders>
              <w:top w:val="single" w:sz="4" w:space="0" w:color="000000"/>
              <w:left w:val="nil" w:sz="6" w:space="0" w:color="auto"/>
              <w:bottom w:val="single" w:sz="4" w:space="0" w:color="000000"/>
              <w:right w:val="nil" w:sz="6" w:space="0" w:color="auto"/>
            </w:tcBorders>
          </w:tcPr>
          <w:p>
            <w:pPr/>
          </w:p>
        </w:tc>
        <w:tc>
          <w:tcPr>
            <w:tcW w:w="764"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z w:val="21"/>
              </w:rPr>
              <w:t>72,401</w:t>
            </w:r>
          </w:p>
        </w:tc>
      </w:tr>
      <w:tr>
        <w:trPr>
          <w:trHeight w:val="319" w:hRule="exact"/>
        </w:trPr>
        <w:tc>
          <w:tcPr>
            <w:tcW w:w="67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6858" w:type="dxa"/>
            <w:gridSpan w:val="9"/>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6755"/>
        <w:gridCol w:w="6858"/>
      </w:tblGrid>
      <w:tr>
        <w:trPr>
          <w:trHeight w:val="317" w:hRule="exact"/>
        </w:trPr>
        <w:tc>
          <w:tcPr>
            <w:tcW w:w="675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68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z w:val="21"/>
              </w:rPr>
              <w:t>72,401</w:t>
            </w:r>
          </w:p>
        </w:tc>
      </w:tr>
      <w:tr>
        <w:trPr>
          <w:trHeight w:val="319" w:hRule="exact"/>
        </w:trPr>
        <w:tc>
          <w:tcPr>
            <w:tcW w:w="67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68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6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68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220" w:right="1300"/>
        </w:sectPr>
      </w:pPr>
    </w:p>
    <w:p>
      <w:pPr>
        <w:pStyle w:val="Heading2"/>
        <w:tabs>
          <w:tab w:pos="1060" w:val="left" w:leader="none"/>
        </w:tabs>
        <w:spacing w:line="290" w:lineRule="auto"/>
        <w:ind w:left="22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2"/>
        <w:spacing w:line="274" w:lineRule="exact" w:before="12"/>
        <w:ind w:left="220" w:right="0"/>
        <w:jc w:val="left"/>
        <w:rPr>
          <w:b w:val="0"/>
          <w:bCs w:val="0"/>
        </w:rPr>
      </w:pPr>
      <w:r>
        <w:rPr>
          <w:rFonts w:ascii="宋体" w:hAnsi="宋体" w:cs="宋体" w:eastAsia="宋体" w:hint="default"/>
        </w:rPr>
        <w:t>(1).</w:t>
      </w:r>
      <w:r>
        <w:rPr/>
        <w:t>委托理财总体情况</w:t>
      </w:r>
      <w:r>
        <w:rPr>
          <w:b w:val="0"/>
          <w:bCs w:val="0"/>
        </w:rPr>
      </w:r>
    </w:p>
    <w:p>
      <w:pPr>
        <w:pStyle w:val="BodyText"/>
        <w:tabs>
          <w:tab w:pos="1165" w:val="left" w:leader="none"/>
        </w:tabs>
        <w:spacing w:line="274" w:lineRule="exact"/>
        <w:ind w:left="22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71" w:val="left" w:leader="none"/>
        </w:tabs>
        <w:spacing w:line="240" w:lineRule="auto"/>
        <w:ind w:left="220" w:right="-19"/>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4224" w:space="7339"/>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97"/>
        <w:gridCol w:w="2650"/>
        <w:gridCol w:w="2650"/>
        <w:gridCol w:w="2648"/>
        <w:gridCol w:w="3545"/>
      </w:tblGrid>
      <w:tr>
        <w:trPr>
          <w:trHeight w:val="28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1"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银行理财服务</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1" w:right="0"/>
              <w:jc w:val="left"/>
              <w:rPr>
                <w:rFonts w:ascii="宋体" w:hAnsi="宋体" w:cs="宋体" w:eastAsia="宋体" w:hint="default"/>
                <w:sz w:val="21"/>
                <w:szCs w:val="21"/>
              </w:rPr>
            </w:pPr>
            <w:r>
              <w:rPr>
                <w:rFonts w:ascii="宋体"/>
                <w:sz w:val="21"/>
              </w:rPr>
              <w:t>50,000,000.00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35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74" w:lineRule="exact"/>
        <w:ind w:left="220" w:right="0"/>
        <w:jc w:val="left"/>
        <w:rPr>
          <w:b w:val="0"/>
          <w:bCs w:val="0"/>
        </w:rPr>
      </w:pPr>
      <w:r>
        <w:rPr/>
        <w:t>其他情况</w:t>
      </w:r>
      <w:r>
        <w:rPr>
          <w:b w:val="0"/>
          <w:bCs w:val="0"/>
        </w:rPr>
      </w:r>
    </w:p>
    <w:p>
      <w:pPr>
        <w:pStyle w:val="BodyText"/>
        <w:tabs>
          <w:tab w:pos="1062" w:val="left" w:leader="none"/>
        </w:tabs>
        <w:spacing w:line="274" w:lineRule="exact"/>
        <w:ind w:left="220" w:right="0"/>
        <w:jc w:val="left"/>
      </w:pPr>
      <w:r>
        <w:rPr/>
        <w:t>□适用</w:t>
        <w:tab/>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220" w:right="1300"/>
        </w:sectPr>
      </w:pPr>
    </w:p>
    <w:p>
      <w:pPr>
        <w:pStyle w:val="Heading2"/>
        <w:spacing w:line="273" w:lineRule="exact"/>
        <w:ind w:left="220" w:right="-15"/>
        <w:jc w:val="left"/>
        <w:rPr>
          <w:b w:val="0"/>
          <w:bCs w:val="0"/>
        </w:rPr>
      </w:pPr>
      <w:r>
        <w:rPr>
          <w:rFonts w:ascii="宋体" w:hAnsi="宋体" w:cs="宋体" w:eastAsia="宋体" w:hint="default"/>
        </w:rPr>
        <w:t>(2).</w:t>
      </w:r>
      <w:r>
        <w:rPr/>
        <w:t>单项委托理财情况</w:t>
      </w:r>
      <w:r>
        <w:rPr>
          <w:b w:val="0"/>
          <w:bCs w:val="0"/>
        </w:rPr>
      </w:r>
    </w:p>
    <w:p>
      <w:pPr>
        <w:pStyle w:val="BodyText"/>
        <w:tabs>
          <w:tab w:pos="1062" w:val="left" w:leader="none"/>
        </w:tabs>
        <w:spacing w:line="289" w:lineRule="exact"/>
        <w:ind w:left="220" w:right="-15"/>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71" w:val="left" w:leader="none"/>
        </w:tabs>
        <w:spacing w:line="240" w:lineRule="auto"/>
        <w:ind w:left="220" w:right="-19"/>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2335" w:space="9227"/>
            <w:col w:w="2758"/>
          </w:cols>
        </w:sectPr>
      </w:pPr>
    </w:p>
    <w:p>
      <w:pPr>
        <w:spacing w:line="240" w:lineRule="auto" w:before="4"/>
        <w:rPr>
          <w:rFonts w:ascii="宋体" w:hAnsi="宋体" w:cs="宋体" w:eastAsia="宋体" w:hint="default"/>
          <w:sz w:val="2"/>
          <w:szCs w:val="2"/>
        </w:rPr>
      </w:pPr>
    </w:p>
    <w:tbl>
      <w:tblPr>
        <w:tblW w:w="0" w:type="auto"/>
        <w:jc w:val="left"/>
        <w:tblInd w:w="239" w:type="dxa"/>
        <w:tblLayout w:type="fixed"/>
        <w:tblCellMar>
          <w:top w:w="0" w:type="dxa"/>
          <w:left w:w="0" w:type="dxa"/>
          <w:bottom w:w="0" w:type="dxa"/>
          <w:right w:w="0" w:type="dxa"/>
        </w:tblCellMar>
        <w:tblLook w:val="01E0"/>
      </w:tblPr>
      <w:tblGrid>
        <w:gridCol w:w="1172"/>
        <w:gridCol w:w="1373"/>
        <w:gridCol w:w="1292"/>
        <w:gridCol w:w="1104"/>
        <w:gridCol w:w="1080"/>
        <w:gridCol w:w="569"/>
        <w:gridCol w:w="368"/>
        <w:gridCol w:w="566"/>
        <w:gridCol w:w="586"/>
        <w:gridCol w:w="1001"/>
        <w:gridCol w:w="1052"/>
        <w:gridCol w:w="770"/>
        <w:gridCol w:w="970"/>
        <w:gridCol w:w="984"/>
        <w:gridCol w:w="994"/>
      </w:tblGrid>
      <w:tr>
        <w:trPr>
          <w:trHeight w:val="1102"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委托理财类型</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5" w:right="111" w:hanging="420"/>
              <w:jc w:val="left"/>
              <w:rPr>
                <w:rFonts w:ascii="宋体" w:hAnsi="宋体" w:cs="宋体" w:eastAsia="宋体" w:hint="default"/>
                <w:sz w:val="21"/>
                <w:szCs w:val="21"/>
              </w:rPr>
            </w:pPr>
            <w:r>
              <w:rPr>
                <w:rFonts w:ascii="宋体" w:hAnsi="宋体" w:cs="宋体" w:eastAsia="宋体" w:hint="default"/>
                <w:sz w:val="21"/>
                <w:szCs w:val="21"/>
              </w:rPr>
              <w:t>委托理财金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 w:right="125"/>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5" w:right="110"/>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7"/>
              <w:ind w:left="69" w:right="6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ind w:left="71" w:right="72"/>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7" w:right="65"/>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9" w:right="0"/>
              <w:jc w:val="left"/>
              <w:rPr>
                <w:rFonts w:ascii="宋体" w:hAnsi="宋体" w:cs="宋体" w:eastAsia="宋体" w:hint="default"/>
                <w:sz w:val="21"/>
                <w:szCs w:val="21"/>
              </w:rPr>
            </w:pPr>
            <w:r>
              <w:rPr>
                <w:rFonts w:ascii="宋体" w:hAnsi="宋体" w:cs="宋体" w:eastAsia="宋体" w:hint="default"/>
                <w:sz w:val="21"/>
                <w:szCs w:val="21"/>
              </w:rPr>
              <w:t>年化</w:t>
            </w:r>
          </w:p>
          <w:p>
            <w:pPr>
              <w:pStyle w:val="TableParagraph"/>
              <w:spacing w:line="272" w:lineRule="exact" w:before="27"/>
              <w:ind w:left="182" w:right="72" w:hanging="104"/>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19"/>
              <w:ind w:left="4" w:right="0"/>
              <w:jc w:val="center"/>
              <w:rPr>
                <w:rFonts w:ascii="宋体" w:hAnsi="宋体" w:cs="宋体" w:eastAsia="宋体" w:hint="default"/>
                <w:sz w:val="21"/>
                <w:szCs w:val="21"/>
              </w:rPr>
            </w:pPr>
            <w:r>
              <w:rPr>
                <w:rFonts w:ascii="宋体" w:hAnsi="宋体" w:cs="宋体" w:eastAsia="宋体" w:hint="default"/>
                <w:sz w:val="21"/>
                <w:szCs w:val="21"/>
              </w:rPr>
              <w:t>预期收益</w:t>
            </w:r>
          </w:p>
          <w:p>
            <w:pPr>
              <w:pStyle w:val="TableParagraph"/>
              <w:spacing w:line="289"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6" w:firstLine="2"/>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4" w:right="60"/>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 w:right="57"/>
              <w:jc w:val="left"/>
              <w:rPr>
                <w:rFonts w:ascii="宋体" w:hAnsi="宋体" w:cs="宋体" w:eastAsia="宋体" w:hint="default"/>
                <w:sz w:val="21"/>
                <w:szCs w:val="21"/>
              </w:rPr>
            </w:pPr>
            <w:r>
              <w:rPr>
                <w:rFonts w:ascii="宋体" w:hAnsi="宋体" w:cs="宋体" w:eastAsia="宋体" w:hint="default"/>
                <w:sz w:val="21"/>
                <w:szCs w:val="21"/>
              </w:rPr>
              <w:t>是否经过</w:t>
            </w:r>
            <w:r>
              <w:rPr>
                <w:rFonts w:ascii="宋体" w:hAnsi="宋体" w:cs="宋体" w:eastAsia="宋体" w:hint="default"/>
                <w:w w:val="100"/>
                <w:sz w:val="21"/>
                <w:szCs w:val="21"/>
              </w:rPr>
              <w:t> </w:t>
            </w:r>
            <w:r>
              <w:rPr>
                <w:rFonts w:ascii="宋体" w:hAnsi="宋体" w:cs="宋体" w:eastAsia="宋体" w:hint="default"/>
                <w:sz w:val="21"/>
                <w:szCs w:val="21"/>
              </w:rPr>
              <w:t>法定程序</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7" w:right="62"/>
              <w:jc w:val="both"/>
              <w:rPr>
                <w:rFonts w:ascii="宋体" w:hAnsi="宋体" w:cs="宋体" w:eastAsia="宋体" w:hint="default"/>
                <w:sz w:val="21"/>
                <w:szCs w:val="21"/>
              </w:rPr>
            </w:pPr>
            <w:r>
              <w:rPr>
                <w:rFonts w:ascii="宋体" w:hAnsi="宋体" w:cs="宋体" w:eastAsia="宋体" w:hint="default"/>
                <w:sz w:val="21"/>
                <w:szCs w:val="21"/>
              </w:rPr>
              <w:t>未来是否</w:t>
            </w:r>
            <w:r>
              <w:rPr>
                <w:rFonts w:ascii="宋体" w:hAnsi="宋体" w:cs="宋体" w:eastAsia="宋体" w:hint="default"/>
                <w:w w:val="100"/>
                <w:sz w:val="21"/>
                <w:szCs w:val="21"/>
              </w:rPr>
              <w:t> </w:t>
            </w:r>
            <w:r>
              <w:rPr>
                <w:rFonts w:ascii="宋体" w:hAnsi="宋体" w:cs="宋体" w:eastAsia="宋体" w:hint="default"/>
                <w:sz w:val="21"/>
                <w:szCs w:val="21"/>
              </w:rPr>
              <w:t>有委托理</w:t>
            </w:r>
            <w:r>
              <w:rPr>
                <w:rFonts w:ascii="宋体" w:hAnsi="宋体" w:cs="宋体" w:eastAsia="宋体" w:hint="default"/>
                <w:w w:val="100"/>
                <w:sz w:val="21"/>
                <w:szCs w:val="21"/>
              </w:rPr>
              <w:t> </w:t>
            </w:r>
            <w:r>
              <w:rPr>
                <w:rFonts w:ascii="宋体" w:hAnsi="宋体" w:cs="宋体" w:eastAsia="宋体" w:hint="default"/>
                <w:sz w:val="21"/>
                <w:szCs w:val="21"/>
              </w:rPr>
              <w:t>财计划</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计提金额</w:t>
            </w:r>
          </w:p>
          <w:p>
            <w:pPr>
              <w:pStyle w:val="TableParagraph"/>
              <w:spacing w:line="29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r>
      <w:tr>
        <w:trPr>
          <w:trHeight w:val="555"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11"/>
                <w:sz w:val="21"/>
                <w:szCs w:val="21"/>
              </w:rPr>
              <w:t>中国民生银</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行南昌分行</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私人银行客户</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综合理财服务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50,000,000.00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p>
          <w:p>
            <w:pPr>
              <w:pStyle w:val="TableParagraph"/>
              <w:spacing w:line="281"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12"/>
                <w:sz w:val="21"/>
                <w:szCs w:val="21"/>
              </w:rPr>
              <w:t> </w:t>
            </w:r>
            <w:r>
              <w:rPr>
                <w:rFonts w:ascii="宋体" w:hAnsi="宋体" w:cs="宋体" w:eastAsia="宋体" w:hint="default"/>
                <w:sz w:val="21"/>
                <w:szCs w:val="21"/>
              </w:rPr>
              <w:t>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3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12"/>
                <w:sz w:val="21"/>
                <w:szCs w:val="21"/>
              </w:rPr>
              <w:t> </w:t>
            </w:r>
            <w:r>
              <w:rPr>
                <w:rFonts w:ascii="宋体" w:hAnsi="宋体" w:cs="宋体" w:eastAsia="宋体" w:hint="default"/>
                <w:sz w:val="21"/>
                <w:szCs w:val="21"/>
              </w:rPr>
              <w:t>定</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3.5%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437,500.00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4" w:right="0"/>
              <w:jc w:val="left"/>
              <w:rPr>
                <w:rFonts w:ascii="Times New Roman" w:hAnsi="Times New Roman" w:cs="Times New Roman" w:eastAsia="Times New Roman" w:hint="default"/>
                <w:sz w:val="21"/>
                <w:szCs w:val="21"/>
              </w:rPr>
            </w:pPr>
            <w:r>
              <w:rPr>
                <w:rFonts w:ascii="Times New Roman"/>
                <w:sz w:val="21"/>
              </w:rPr>
              <w:t>437,500.00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已收回</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Heading2"/>
        <w:spacing w:line="274" w:lineRule="exact"/>
        <w:ind w:left="220" w:right="0"/>
        <w:jc w:val="left"/>
        <w:rPr>
          <w:b w:val="0"/>
          <w:bCs w:val="0"/>
        </w:rPr>
      </w:pPr>
      <w:r>
        <w:rPr/>
        <w:t>其他情况</w:t>
      </w:r>
      <w:r>
        <w:rPr>
          <w:b w:val="0"/>
          <w:bCs w:val="0"/>
        </w:rPr>
      </w:r>
    </w:p>
    <w:p>
      <w:pPr>
        <w:pStyle w:val="BodyText"/>
        <w:tabs>
          <w:tab w:pos="1062" w:val="left" w:leader="none"/>
        </w:tabs>
        <w:spacing w:line="274" w:lineRule="exact"/>
        <w:ind w:left="220" w:right="0"/>
        <w:jc w:val="left"/>
      </w:pPr>
      <w:r>
        <w:rPr/>
        <w:t>√适用</w:t>
        <w:tab/>
        <w:t>□不适用</w:t>
      </w:r>
    </w:p>
    <w:p>
      <w:pPr>
        <w:spacing w:after="0" w:line="274" w:lineRule="exact"/>
        <w:jc w:val="left"/>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220" w:right="0"/>
        <w:jc w:val="left"/>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6"/>
        </w:rPr>
        <w:t> </w:t>
      </w:r>
      <w:r>
        <w:rPr/>
        <w:t>日公司第六届董事会第十三次会议审议通过了《关于利用自有闲置资金进行委托理财的议案》，同意根据公司及纳入合并报表范围内的</w:t>
      </w:r>
    </w:p>
    <w:p>
      <w:pPr>
        <w:pStyle w:val="BodyText"/>
        <w:spacing w:line="272" w:lineRule="exact"/>
        <w:ind w:left="220" w:right="0"/>
        <w:jc w:val="left"/>
      </w:pPr>
      <w:r>
        <w:rPr/>
        <w:t>子公司的资金状况，使用任一时点合计不超过人民币</w:t>
      </w:r>
      <w:r>
        <w:rPr>
          <w:spacing w:val="-49"/>
        </w:rPr>
        <w:t> </w:t>
      </w:r>
      <w:r>
        <w:rPr>
          <w:rFonts w:ascii="宋体" w:hAnsi="宋体" w:cs="宋体" w:eastAsia="宋体" w:hint="default"/>
        </w:rPr>
        <w:t>2</w:t>
      </w:r>
      <w:r>
        <w:rPr>
          <w:rFonts w:ascii="宋体" w:hAnsi="宋体" w:cs="宋体" w:eastAsia="宋体" w:hint="default"/>
          <w:spacing w:val="-50"/>
        </w:rPr>
        <w:t> </w:t>
      </w:r>
      <w:r>
        <w:rPr>
          <w:spacing w:val="-3"/>
        </w:rPr>
        <w:t>亿元的自有资金进行理财，根据上述会议决议，</w:t>
      </w:r>
      <w:r>
        <w:rPr>
          <w:rFonts w:ascii="宋体" w:hAnsi="宋体" w:cs="宋体" w:eastAsia="宋体" w:hint="default"/>
          <w:spacing w:val="-3"/>
        </w:rPr>
        <w:t>2016</w:t>
      </w:r>
      <w:r>
        <w:rPr>
          <w:rFonts w:ascii="宋体" w:hAnsi="宋体" w:cs="宋体" w:eastAsia="宋体" w:hint="default"/>
          <w:spacing w:val="-53"/>
        </w:rPr>
        <w:t> </w:t>
      </w:r>
      <w:r>
        <w:rPr/>
        <w:t>年</w:t>
      </w:r>
      <w:r>
        <w:rPr>
          <w:spacing w:val="-49"/>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23</w:t>
      </w:r>
      <w:r>
        <w:rPr>
          <w:rFonts w:ascii="宋体" w:hAnsi="宋体" w:cs="宋体" w:eastAsia="宋体" w:hint="default"/>
          <w:spacing w:val="-50"/>
        </w:rPr>
        <w:t> </w:t>
      </w:r>
      <w:r>
        <w:rPr/>
        <w:t>日公司与中国民生银行股份有限</w:t>
      </w:r>
    </w:p>
    <w:p>
      <w:pPr>
        <w:pStyle w:val="BodyText"/>
        <w:spacing w:line="272" w:lineRule="exact"/>
        <w:ind w:left="220" w:right="0"/>
        <w:jc w:val="left"/>
        <w:rPr>
          <w:rFonts w:ascii="宋体" w:hAnsi="宋体" w:cs="宋体" w:eastAsia="宋体" w:hint="default"/>
        </w:rPr>
      </w:pPr>
      <w:r>
        <w:rPr>
          <w:spacing w:val="-3"/>
        </w:rPr>
        <w:t>公司南昌分行签署了《中国民生银行私人银行客户综合理财服务协议》，使用暂时闲置自有资金</w:t>
      </w:r>
      <w:r>
        <w:rPr>
          <w:spacing w:val="-32"/>
        </w:rPr>
        <w:t> </w:t>
      </w:r>
      <w:r>
        <w:rPr>
          <w:rFonts w:ascii="宋体" w:hAnsi="宋体" w:cs="宋体" w:eastAsia="宋体" w:hint="default"/>
        </w:rPr>
        <w:t>5,000</w:t>
      </w:r>
      <w:r>
        <w:rPr>
          <w:rFonts w:ascii="宋体" w:hAnsi="宋体" w:cs="宋体" w:eastAsia="宋体" w:hint="default"/>
          <w:spacing w:val="-32"/>
        </w:rPr>
        <w:t> </w:t>
      </w:r>
      <w:r>
        <w:rPr/>
        <w:t>万购买保本型理财产品。该笔委托理财已于</w:t>
      </w:r>
      <w:r>
        <w:rPr>
          <w:spacing w:val="-30"/>
        </w:rPr>
        <w:t> </w:t>
      </w:r>
      <w:r>
        <w:rPr>
          <w:rFonts w:ascii="宋体" w:hAnsi="宋体" w:cs="宋体" w:eastAsia="宋体" w:hint="default"/>
        </w:rPr>
        <w:t>2017</w:t>
      </w:r>
    </w:p>
    <w:p>
      <w:pPr>
        <w:pStyle w:val="BodyText"/>
        <w:spacing w:line="273" w:lineRule="exact"/>
        <w:ind w:left="220" w:right="0"/>
        <w:jc w:val="left"/>
      </w:pP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23</w:t>
      </w:r>
      <w:r>
        <w:rPr>
          <w:rFonts w:ascii="宋体" w:hAnsi="宋体" w:cs="宋体" w:eastAsia="宋体" w:hint="default"/>
          <w:spacing w:val="-54"/>
        </w:rPr>
        <w:t> </w:t>
      </w:r>
      <w:r>
        <w:rPr/>
        <w:t>日到期收回。</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73" w:lineRule="exact" w:before="0"/>
        <w:ind w:left="220" w:right="0"/>
        <w:jc w:val="left"/>
        <w:rPr>
          <w:b w:val="0"/>
          <w:bCs w:val="0"/>
        </w:rPr>
      </w:pPr>
      <w:r>
        <w:rPr>
          <w:rFonts w:ascii="宋体" w:hAnsi="宋体" w:cs="宋体" w:eastAsia="宋体" w:hint="default"/>
        </w:rPr>
        <w:t>(3).</w:t>
      </w:r>
      <w:r>
        <w:rPr/>
        <w:t>委托理财减值准备</w:t>
      </w:r>
      <w:r>
        <w:rPr>
          <w:b w:val="0"/>
          <w:bCs w:val="0"/>
        </w:rPr>
      </w:r>
    </w:p>
    <w:p>
      <w:pPr>
        <w:pStyle w:val="BodyText"/>
        <w:tabs>
          <w:tab w:pos="1062" w:val="left" w:leader="none"/>
        </w:tabs>
        <w:spacing w:line="273" w:lineRule="exact"/>
        <w:ind w:left="220"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220" w:right="1380"/>
        </w:sectPr>
      </w:pPr>
    </w:p>
    <w:p>
      <w:pPr>
        <w:pStyle w:val="Heading2"/>
        <w:spacing w:line="290" w:lineRule="auto"/>
        <w:ind w:left="220" w:right="-15"/>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966" w:val="left" w:leader="none"/>
        </w:tabs>
        <w:spacing w:line="243" w:lineRule="exact"/>
        <w:ind w:left="220" w:right="-1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71"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80"/>
          <w:cols w:num="2" w:equalWidth="0">
            <w:col w:w="2335" w:space="8807"/>
            <w:col w:w="309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878"/>
        <w:gridCol w:w="1747"/>
        <w:gridCol w:w="2098"/>
        <w:gridCol w:w="2096"/>
        <w:gridCol w:w="2792"/>
      </w:tblGrid>
      <w:tr>
        <w:trPr>
          <w:trHeight w:val="283"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81"/>
              <w:jc w:val="right"/>
              <w:rPr>
                <w:rFonts w:ascii="宋体" w:hAnsi="宋体" w:cs="宋体" w:eastAsia="宋体" w:hint="default"/>
                <w:sz w:val="21"/>
                <w:szCs w:val="21"/>
              </w:rPr>
            </w:pPr>
            <w:r>
              <w:rPr>
                <w:rFonts w:ascii="宋体" w:hAnsi="宋体" w:cs="宋体" w:eastAsia="宋体" w:hint="default"/>
                <w:sz w:val="21"/>
                <w:szCs w:val="21"/>
              </w:rPr>
              <w:t>类型</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5"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9"/>
              <w:jc w:val="right"/>
              <w:rPr>
                <w:rFonts w:ascii="宋体" w:hAnsi="宋体" w:cs="宋体" w:eastAsia="宋体" w:hint="default"/>
                <w:sz w:val="21"/>
                <w:szCs w:val="21"/>
              </w:rPr>
            </w:pPr>
            <w:r>
              <w:rPr>
                <w:rFonts w:ascii="宋体" w:hAnsi="宋体" w:cs="宋体" w:eastAsia="宋体" w:hint="default"/>
                <w:spacing w:val="-2"/>
                <w:sz w:val="21"/>
                <w:szCs w:val="21"/>
              </w:rPr>
              <w:t>江西泰豪紫荆公寓公租房项目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31" w:right="0"/>
              <w:jc w:val="left"/>
              <w:rPr>
                <w:rFonts w:ascii="Times New Roman" w:hAnsi="Times New Roman" w:cs="Times New Roman" w:eastAsia="Times New Roman" w:hint="default"/>
                <w:sz w:val="21"/>
                <w:szCs w:val="21"/>
              </w:rPr>
            </w:pPr>
            <w:r>
              <w:rPr>
                <w:rFonts w:ascii="Times New Roman"/>
                <w:sz w:val="21"/>
              </w:rPr>
              <w:t>170,000,000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31" w:right="0"/>
              <w:jc w:val="left"/>
              <w:rPr>
                <w:rFonts w:ascii="Times New Roman" w:hAnsi="Times New Roman" w:cs="Times New Roman" w:eastAsia="Times New Roman" w:hint="default"/>
                <w:sz w:val="21"/>
                <w:szCs w:val="21"/>
              </w:rPr>
            </w:pPr>
            <w:r>
              <w:rPr>
                <w:rFonts w:ascii="Times New Roman"/>
                <w:sz w:val="21"/>
              </w:rPr>
              <w:t>170,000,000</w:t>
            </w:r>
          </w:p>
        </w:tc>
        <w:tc>
          <w:tcPr>
            <w:tcW w:w="27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Heading2"/>
        <w:spacing w:line="274" w:lineRule="exact"/>
        <w:ind w:left="220" w:right="0"/>
        <w:jc w:val="left"/>
        <w:rPr>
          <w:b w:val="0"/>
          <w:bCs w:val="0"/>
        </w:rPr>
      </w:pPr>
      <w:r>
        <w:rPr/>
        <w:t>其他情况</w:t>
      </w:r>
      <w:r>
        <w:rPr>
          <w:b w:val="0"/>
          <w:bCs w:val="0"/>
        </w:rPr>
      </w:r>
    </w:p>
    <w:p>
      <w:pPr>
        <w:pStyle w:val="BodyText"/>
        <w:tabs>
          <w:tab w:pos="1062" w:val="left" w:leader="none"/>
        </w:tabs>
        <w:spacing w:line="274" w:lineRule="exact"/>
        <w:ind w:left="220" w:right="0"/>
        <w:jc w:val="left"/>
      </w:pPr>
      <w:r>
        <w:rPr/>
        <w:t>□适用</w:t>
        <w:tab/>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220" w:right="1380"/>
        </w:sectPr>
      </w:pPr>
    </w:p>
    <w:p>
      <w:pPr>
        <w:pStyle w:val="Heading2"/>
        <w:spacing w:line="273" w:lineRule="exact"/>
        <w:ind w:left="220" w:right="-15"/>
        <w:jc w:val="left"/>
        <w:rPr>
          <w:b w:val="0"/>
          <w:bCs w:val="0"/>
        </w:rPr>
      </w:pPr>
      <w:r>
        <w:rPr>
          <w:rFonts w:ascii="宋体" w:hAnsi="宋体" w:cs="宋体" w:eastAsia="宋体" w:hint="default"/>
        </w:rPr>
        <w:t>(2).</w:t>
      </w:r>
      <w:r>
        <w:rPr/>
        <w:t>单项委托贷款情况</w:t>
      </w:r>
      <w:r>
        <w:rPr>
          <w:b w:val="0"/>
          <w:bCs w:val="0"/>
        </w:rPr>
      </w:r>
    </w:p>
    <w:p>
      <w:pPr>
        <w:pStyle w:val="BodyText"/>
        <w:tabs>
          <w:tab w:pos="966" w:val="left" w:leader="none"/>
        </w:tabs>
        <w:spacing w:line="289" w:lineRule="exact"/>
        <w:ind w:left="220" w:right="-1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80"/>
          <w:cols w:num="2" w:equalWidth="0">
            <w:col w:w="2335" w:space="9227"/>
            <w:col w:w="2678"/>
          </w:cols>
        </w:sectPr>
      </w:pPr>
    </w:p>
    <w:p>
      <w:pPr>
        <w:spacing w:line="240" w:lineRule="auto" w:before="4"/>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932"/>
        <w:gridCol w:w="634"/>
        <w:gridCol w:w="1370"/>
        <w:gridCol w:w="1191"/>
        <w:gridCol w:w="1190"/>
        <w:gridCol w:w="487"/>
        <w:gridCol w:w="708"/>
        <w:gridCol w:w="1198"/>
        <w:gridCol w:w="458"/>
        <w:gridCol w:w="1159"/>
        <w:gridCol w:w="1160"/>
        <w:gridCol w:w="636"/>
        <w:gridCol w:w="782"/>
        <w:gridCol w:w="1001"/>
        <w:gridCol w:w="1025"/>
      </w:tblGrid>
      <w:tr>
        <w:trPr>
          <w:trHeight w:val="1616"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spacing w:val="-2"/>
                <w:sz w:val="21"/>
                <w:szCs w:val="21"/>
              </w:rPr>
              <w:t>委托贷款金额</w:t>
            </w:r>
            <w:r>
              <w:rPr>
                <w:rFonts w:ascii="宋体" w:hAnsi="宋体" w:cs="宋体" w:eastAsia="宋体" w:hint="default"/>
                <w:sz w:val="21"/>
                <w:szCs w:val="21"/>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3" w:right="62" w:hanging="212"/>
              <w:jc w:val="left"/>
              <w:rPr>
                <w:rFonts w:ascii="宋体" w:hAnsi="宋体" w:cs="宋体" w:eastAsia="宋体" w:hint="default"/>
                <w:sz w:val="21"/>
                <w:szCs w:val="21"/>
              </w:rPr>
            </w:pPr>
            <w:r>
              <w:rPr>
                <w:rFonts w:ascii="宋体" w:hAnsi="宋体" w:cs="宋体" w:eastAsia="宋体" w:hint="default"/>
                <w:sz w:val="21"/>
                <w:szCs w:val="21"/>
              </w:rPr>
              <w:t>委托贷款起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6" w:right="60" w:hanging="212"/>
              <w:jc w:val="left"/>
              <w:rPr>
                <w:rFonts w:ascii="宋体" w:hAnsi="宋体" w:cs="宋体" w:eastAsia="宋体" w:hint="default"/>
                <w:sz w:val="21"/>
                <w:szCs w:val="21"/>
              </w:rPr>
            </w:pPr>
            <w:r>
              <w:rPr>
                <w:rFonts w:ascii="宋体" w:hAnsi="宋体" w:cs="宋体" w:eastAsia="宋体" w:hint="default"/>
                <w:sz w:val="21"/>
                <w:szCs w:val="21"/>
              </w:rPr>
              <w:t>委托贷款终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 w:right="24"/>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84" w:right="171" w:hanging="212"/>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both"/>
              <w:rPr>
                <w:rFonts w:ascii="宋体" w:hAnsi="宋体" w:cs="宋体" w:eastAsia="宋体" w:hint="default"/>
                <w:sz w:val="21"/>
                <w:szCs w:val="21"/>
              </w:rPr>
            </w:pPr>
            <w:r>
              <w:rPr>
                <w:rFonts w:ascii="宋体" w:hAnsi="宋体" w:cs="宋体" w:eastAsia="宋体" w:hint="default"/>
                <w:w w:val="100"/>
                <w:sz w:val="21"/>
                <w:szCs w:val="21"/>
              </w:rPr>
              <w:t>年</w:t>
            </w:r>
          </w:p>
          <w:p>
            <w:pPr>
              <w:pStyle w:val="TableParagraph"/>
              <w:spacing w:line="237" w:lineRule="auto"/>
              <w:ind w:left="119" w:right="115"/>
              <w:jc w:val="both"/>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预期收益</w:t>
            </w:r>
          </w:p>
          <w:p>
            <w:pPr>
              <w:pStyle w:val="TableParagraph"/>
              <w:spacing w:line="289"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0" w:right="44" w:firstLine="31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情况</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37" w:lineRule="auto"/>
              <w:ind w:left="69" w:right="67"/>
              <w:jc w:val="both"/>
              <w:rPr>
                <w:rFonts w:ascii="宋体" w:hAnsi="宋体" w:cs="宋体" w:eastAsia="宋体" w:hint="default"/>
                <w:sz w:val="21"/>
                <w:szCs w:val="21"/>
              </w:rPr>
            </w:pPr>
            <w:r>
              <w:rPr>
                <w:rFonts w:ascii="宋体" w:hAnsi="宋体" w:cs="宋体" w:eastAsia="宋体" w:hint="default"/>
                <w:sz w:val="21"/>
                <w:szCs w:val="21"/>
              </w:rPr>
              <w:t>是否经</w:t>
            </w:r>
            <w:r>
              <w:rPr>
                <w:rFonts w:ascii="宋体" w:hAnsi="宋体" w:cs="宋体" w:eastAsia="宋体" w:hint="default"/>
                <w:spacing w:val="-102"/>
                <w:sz w:val="21"/>
                <w:szCs w:val="21"/>
              </w:rPr>
              <w:t> </w:t>
            </w:r>
            <w:r>
              <w:rPr>
                <w:rFonts w:ascii="宋体" w:hAnsi="宋体" w:cs="宋体" w:eastAsia="宋体" w:hint="default"/>
                <w:sz w:val="21"/>
                <w:szCs w:val="21"/>
              </w:rPr>
              <w:t>过法定</w:t>
            </w:r>
            <w:r>
              <w:rPr>
                <w:rFonts w:ascii="宋体" w:hAnsi="宋体" w:cs="宋体" w:eastAsia="宋体" w:hint="default"/>
                <w:spacing w:val="-102"/>
                <w:sz w:val="21"/>
                <w:szCs w:val="21"/>
              </w:rPr>
              <w:t> </w:t>
            </w:r>
            <w:r>
              <w:rPr>
                <w:rFonts w:ascii="宋体" w:hAnsi="宋体" w:cs="宋体" w:eastAsia="宋体" w:hint="default"/>
                <w:sz w:val="21"/>
                <w:szCs w:val="21"/>
              </w:rPr>
              <w:t>程序</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37" w:lineRule="auto"/>
              <w:ind w:left="74" w:right="72"/>
              <w:jc w:val="both"/>
              <w:rPr>
                <w:rFonts w:ascii="宋体" w:hAnsi="宋体" w:cs="宋体" w:eastAsia="宋体" w:hint="default"/>
                <w:sz w:val="21"/>
                <w:szCs w:val="21"/>
              </w:rPr>
            </w:pPr>
            <w:r>
              <w:rPr>
                <w:rFonts w:ascii="宋体" w:hAnsi="宋体" w:cs="宋体" w:eastAsia="宋体" w:hint="default"/>
                <w:sz w:val="21"/>
                <w:szCs w:val="21"/>
              </w:rPr>
              <w:t>未来是否</w:t>
            </w:r>
            <w:r>
              <w:rPr>
                <w:rFonts w:ascii="宋体" w:hAnsi="宋体" w:cs="宋体" w:eastAsia="宋体" w:hint="default"/>
                <w:w w:val="100"/>
                <w:sz w:val="21"/>
                <w:szCs w:val="21"/>
              </w:rPr>
              <w:t> </w:t>
            </w:r>
            <w:r>
              <w:rPr>
                <w:rFonts w:ascii="宋体" w:hAnsi="宋体" w:cs="宋体" w:eastAsia="宋体" w:hint="default"/>
                <w:sz w:val="21"/>
                <w:szCs w:val="21"/>
              </w:rPr>
              <w:t>有委托贷</w:t>
            </w:r>
            <w:r>
              <w:rPr>
                <w:rFonts w:ascii="宋体" w:hAnsi="宋体" w:cs="宋体" w:eastAsia="宋体" w:hint="default"/>
                <w:w w:val="100"/>
                <w:sz w:val="21"/>
                <w:szCs w:val="21"/>
              </w:rPr>
              <w:t> </w:t>
            </w:r>
            <w:r>
              <w:rPr>
                <w:rFonts w:ascii="宋体" w:hAnsi="宋体" w:cs="宋体" w:eastAsia="宋体" w:hint="default"/>
                <w:sz w:val="21"/>
                <w:szCs w:val="21"/>
              </w:rPr>
              <w:t>款计划</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37" w:lineRule="auto"/>
              <w:ind w:left="86" w:right="84"/>
              <w:jc w:val="both"/>
              <w:rPr>
                <w:rFonts w:ascii="Times New Roman" w:hAnsi="Times New Roman" w:cs="Times New Roman" w:eastAsia="Times New Roman"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计提金额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r>
      <w:tr>
        <w:trPr>
          <w:trHeight w:val="826"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中国银行</w:t>
            </w:r>
          </w:p>
          <w:p>
            <w:pPr>
              <w:pStyle w:val="TableParagraph"/>
              <w:spacing w:line="240" w:lineRule="auto"/>
              <w:ind w:left="23" w:right="20"/>
              <w:jc w:val="left"/>
              <w:rPr>
                <w:rFonts w:ascii="宋体" w:hAnsi="宋体" w:cs="宋体" w:eastAsia="宋体" w:hint="default"/>
                <w:sz w:val="21"/>
                <w:szCs w:val="21"/>
              </w:rPr>
            </w:pPr>
            <w:r>
              <w:rPr>
                <w:rFonts w:ascii="宋体" w:hAnsi="宋体" w:cs="宋体" w:eastAsia="宋体" w:hint="default"/>
                <w:spacing w:val="6"/>
                <w:sz w:val="21"/>
                <w:szCs w:val="21"/>
              </w:rPr>
              <w:t>南昌西湖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支行</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170,000,000.00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 w:right="0"/>
              <w:jc w:val="left"/>
              <w:rPr>
                <w:rFonts w:ascii="Times New Roman" w:hAnsi="Times New Roman" w:cs="Times New Roman" w:eastAsia="Times New Roman" w:hint="default"/>
                <w:sz w:val="21"/>
                <w:szCs w:val="21"/>
              </w:rPr>
            </w:pPr>
            <w:r>
              <w:rPr>
                <w:rFonts w:ascii="Times New Roman"/>
                <w:sz w:val="21"/>
              </w:rPr>
              <w:t>2015.9.15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2020.9.14</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自有</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公租房</w:t>
            </w:r>
          </w:p>
          <w:p>
            <w:pPr>
              <w:pStyle w:val="TableParagraph"/>
              <w:spacing w:line="240" w:lineRule="auto"/>
              <w:ind w:left="24" w:right="17"/>
              <w:jc w:val="left"/>
              <w:rPr>
                <w:rFonts w:ascii="宋体" w:hAnsi="宋体" w:cs="宋体" w:eastAsia="宋体" w:hint="default"/>
                <w:sz w:val="21"/>
                <w:szCs w:val="21"/>
              </w:rPr>
            </w:pPr>
            <w:r>
              <w:rPr>
                <w:rFonts w:ascii="宋体" w:hAnsi="宋体" w:cs="宋体" w:eastAsia="宋体" w:hint="default"/>
                <w:spacing w:val="6"/>
                <w:sz w:val="21"/>
                <w:szCs w:val="21"/>
              </w:rPr>
              <w:t>项目建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银行同期贷</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款利率上浮</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26"/>
              <w:ind w:left="24" w:right="0"/>
              <w:jc w:val="left"/>
              <w:rPr>
                <w:rFonts w:ascii="Times New Roman" w:hAnsi="Times New Roman" w:cs="Times New Roman" w:eastAsia="Times New Roman" w:hint="default"/>
                <w:sz w:val="21"/>
                <w:szCs w:val="21"/>
              </w:rPr>
            </w:pPr>
            <w:r>
              <w:rPr>
                <w:rFonts w:ascii="Times New Roman"/>
                <w:sz w:val="21"/>
              </w:rPr>
              <w:t>20%</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9,756,289.31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9,756,289.31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尚未</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到期</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2"/>
        <w:spacing w:line="274" w:lineRule="exact"/>
        <w:ind w:left="140" w:right="0"/>
        <w:jc w:val="both"/>
        <w:rPr>
          <w:b w:val="0"/>
          <w:bCs w:val="0"/>
        </w:rPr>
      </w:pPr>
      <w:r>
        <w:rPr/>
        <w:t>其他情况</w:t>
      </w:r>
      <w:r>
        <w:rPr>
          <w:b w:val="0"/>
          <w:bCs w:val="0"/>
        </w:rPr>
      </w:r>
    </w:p>
    <w:p>
      <w:pPr>
        <w:pStyle w:val="BodyText"/>
        <w:spacing w:line="272" w:lineRule="exact"/>
        <w:ind w:left="140" w:right="0"/>
        <w:jc w:val="both"/>
      </w:pPr>
      <w:r>
        <w:rPr/>
        <w:t>√适用 </w:t>
      </w:r>
      <w:r>
        <w:rPr>
          <w:spacing w:val="1"/>
        </w:rPr>
        <w:t> </w:t>
      </w:r>
      <w:r>
        <w:rPr/>
        <w:t>□不适用</w:t>
      </w:r>
    </w:p>
    <w:p>
      <w:pPr>
        <w:pStyle w:val="BodyText"/>
        <w:spacing w:line="272" w:lineRule="exact"/>
        <w:ind w:left="140" w:right="0"/>
        <w:jc w:val="both"/>
      </w:pPr>
      <w:r>
        <w:rPr>
          <w:spacing w:val="-5"/>
        </w:rPr>
        <w:t>为吸引及稳定公司优秀人才，解决人才的租房困难，公司于</w:t>
      </w:r>
      <w:r>
        <w:rPr>
          <w:spacing w:val="-47"/>
        </w:rPr>
        <w:t> </w:t>
      </w:r>
      <w:r>
        <w:rPr>
          <w:rFonts w:ascii="宋体" w:hAnsi="宋体" w:cs="宋体" w:eastAsia="宋体" w:hint="default"/>
        </w:rPr>
        <w:t>2013</w:t>
      </w:r>
      <w:r>
        <w:rPr>
          <w:rFonts w:ascii="宋体" w:hAnsi="宋体" w:cs="宋体" w:eastAsia="宋体" w:hint="default"/>
          <w:spacing w:val="-47"/>
        </w:rPr>
        <w:t> </w:t>
      </w:r>
      <w:r>
        <w:rPr/>
        <w:t>年</w:t>
      </w:r>
      <w:r>
        <w:rPr>
          <w:spacing w:val="-49"/>
        </w:rPr>
        <w:t> </w:t>
      </w:r>
      <w:r>
        <w:rPr>
          <w:rFonts w:ascii="宋体" w:hAnsi="宋体" w:cs="宋体" w:eastAsia="宋体" w:hint="default"/>
        </w:rPr>
        <w:t>7</w:t>
      </w:r>
      <w:r>
        <w:rPr>
          <w:rFonts w:ascii="宋体" w:hAnsi="宋体" w:cs="宋体" w:eastAsia="宋体" w:hint="default"/>
          <w:spacing w:val="-47"/>
        </w:rPr>
        <w:t> </w:t>
      </w:r>
      <w:r>
        <w:rPr/>
        <w:t>月成立了全资子公司江西泰豪紫荆公寓建设服务有限公司承建面向优秀人才的公租</w:t>
      </w:r>
    </w:p>
    <w:p>
      <w:pPr>
        <w:pStyle w:val="BodyText"/>
        <w:spacing w:line="272" w:lineRule="exact"/>
        <w:ind w:left="140" w:right="0"/>
        <w:jc w:val="both"/>
      </w:pPr>
      <w:r>
        <w:rPr>
          <w:spacing w:val="-3"/>
        </w:rPr>
        <w:t>房项目，为保证该项目顺利实施，</w:t>
      </w:r>
      <w:r>
        <w:rPr>
          <w:rFonts w:ascii="宋体" w:hAnsi="宋体" w:cs="宋体" w:eastAsia="宋体" w:hint="default"/>
          <w:spacing w:val="-3"/>
        </w:rPr>
        <w:t>2015</w:t>
      </w:r>
      <w:r>
        <w:rPr>
          <w:rFonts w:ascii="宋体" w:hAnsi="宋体" w:cs="宋体" w:eastAsia="宋体" w:hint="default"/>
          <w:spacing w:val="-51"/>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6</w:t>
      </w:r>
      <w:r>
        <w:rPr>
          <w:rFonts w:ascii="宋体" w:hAnsi="宋体" w:cs="宋体" w:eastAsia="宋体" w:hint="default"/>
          <w:spacing w:val="-52"/>
        </w:rPr>
        <w:t> </w:t>
      </w:r>
      <w:r>
        <w:rPr/>
        <w:t>日公司第六届董事会第二次会议审议通过了《关于向全资子公司江西泰豪紫荆公寓建设服务有限公司提</w:t>
      </w:r>
    </w:p>
    <w:p>
      <w:pPr>
        <w:pStyle w:val="BodyText"/>
        <w:spacing w:line="272" w:lineRule="exact"/>
        <w:ind w:left="140" w:right="0"/>
        <w:jc w:val="both"/>
      </w:pPr>
      <w:r>
        <w:rPr/>
        <w:t>供委托贷款的议案》，同意向紫荆公寓公司提供</w:t>
      </w:r>
      <w:r>
        <w:rPr>
          <w:spacing w:val="-46"/>
        </w:rPr>
        <w:t> </w:t>
      </w:r>
      <w:r>
        <w:rPr>
          <w:rFonts w:ascii="宋体" w:hAnsi="宋体" w:cs="宋体" w:eastAsia="宋体" w:hint="default"/>
        </w:rPr>
        <w:t>1.7</w:t>
      </w:r>
      <w:r>
        <w:rPr>
          <w:rFonts w:ascii="宋体" w:hAnsi="宋体" w:cs="宋体" w:eastAsia="宋体" w:hint="default"/>
          <w:spacing w:val="-46"/>
        </w:rPr>
        <w:t> </w:t>
      </w:r>
      <w:r>
        <w:rPr/>
        <w:t>亿元人民币委托贷款，贷款用途为用于公租房项目建设，贷款期限为</w:t>
      </w:r>
      <w:r>
        <w:rPr>
          <w:spacing w:val="-41"/>
        </w:rPr>
        <w:t> </w:t>
      </w:r>
      <w:r>
        <w:rPr>
          <w:rFonts w:ascii="宋体" w:hAnsi="宋体" w:cs="宋体" w:eastAsia="宋体" w:hint="default"/>
        </w:rPr>
        <w:t>5</w:t>
      </w:r>
      <w:r>
        <w:rPr>
          <w:rFonts w:ascii="宋体" w:hAnsi="宋体" w:cs="宋体" w:eastAsia="宋体" w:hint="default"/>
          <w:spacing w:val="-42"/>
        </w:rPr>
        <w:t> </w:t>
      </w:r>
      <w:r>
        <w:rPr/>
        <w:t>年，贷款利率为年利率</w:t>
      </w:r>
      <w:r>
        <w:rPr>
          <w:spacing w:val="-41"/>
        </w:rPr>
        <w:t> </w:t>
      </w:r>
      <w:r>
        <w:rPr>
          <w:rFonts w:ascii="宋体" w:hAnsi="宋体" w:cs="宋体" w:eastAsia="宋体" w:hint="default"/>
        </w:rPr>
        <w:t>6%</w:t>
      </w:r>
      <w:r>
        <w:rPr/>
        <w:t>，</w:t>
      </w:r>
    </w:p>
    <w:p>
      <w:pPr>
        <w:pStyle w:val="BodyText"/>
        <w:spacing w:line="237" w:lineRule="auto" w:before="2"/>
        <w:ind w:left="140" w:right="217"/>
        <w:jc w:val="both"/>
      </w:pPr>
      <w:r>
        <w:rPr/>
        <w:t>较同期银行基准贷款利率上浮</w:t>
      </w:r>
      <w:r>
        <w:rPr>
          <w:spacing w:val="-47"/>
        </w:rPr>
        <w:t> </w:t>
      </w:r>
      <w:r>
        <w:rPr>
          <w:rFonts w:ascii="宋体" w:hAnsi="宋体" w:cs="宋体" w:eastAsia="宋体" w:hint="default"/>
          <w:spacing w:val="-6"/>
        </w:rPr>
        <w:t>20%</w:t>
      </w:r>
      <w:r>
        <w:rPr>
          <w:spacing w:val="-6"/>
        </w:rPr>
        <w:t>，贷款将于</w:t>
      </w:r>
      <w:r>
        <w:rPr>
          <w:spacing w:val="-46"/>
        </w:rPr>
        <w:t> </w:t>
      </w:r>
      <w:r>
        <w:rPr>
          <w:rFonts w:ascii="宋体" w:hAnsi="宋体" w:cs="宋体" w:eastAsia="宋体" w:hint="default"/>
        </w:rPr>
        <w:t>2020</w:t>
      </w:r>
      <w:r>
        <w:rPr>
          <w:rFonts w:ascii="宋体" w:hAnsi="宋体" w:cs="宋体" w:eastAsia="宋体" w:hint="default"/>
          <w:spacing w:val="-49"/>
        </w:rPr>
        <w:t> </w:t>
      </w:r>
      <w:r>
        <w:rPr/>
        <w:t>年</w:t>
      </w:r>
      <w:r>
        <w:rPr>
          <w:spacing w:val="-47"/>
        </w:rPr>
        <w:t> </w:t>
      </w:r>
      <w:r>
        <w:rPr>
          <w:rFonts w:ascii="宋体" w:hAnsi="宋体" w:cs="宋体" w:eastAsia="宋体" w:hint="default"/>
        </w:rPr>
        <w:t>9</w:t>
      </w:r>
      <w:r>
        <w:rPr>
          <w:rFonts w:ascii="宋体" w:hAnsi="宋体" w:cs="宋体" w:eastAsia="宋体" w:hint="default"/>
          <w:spacing w:val="-49"/>
        </w:rPr>
        <w:t> </w:t>
      </w:r>
      <w:r>
        <w:rPr/>
        <w:t>月</w:t>
      </w:r>
      <w:r>
        <w:rPr>
          <w:spacing w:val="-47"/>
        </w:rPr>
        <w:t> </w:t>
      </w:r>
      <w:r>
        <w:rPr>
          <w:rFonts w:ascii="宋体" w:hAnsi="宋体" w:cs="宋体" w:eastAsia="宋体" w:hint="default"/>
        </w:rPr>
        <w:t>14</w:t>
      </w:r>
      <w:r>
        <w:rPr>
          <w:rFonts w:ascii="宋体" w:hAnsi="宋体" w:cs="宋体" w:eastAsia="宋体" w:hint="default"/>
          <w:spacing w:val="-49"/>
        </w:rPr>
        <w:t> </w:t>
      </w:r>
      <w:r>
        <w:rPr>
          <w:spacing w:val="-5"/>
        </w:rPr>
        <w:t>日到期。</w:t>
      </w:r>
      <w:r>
        <w:rPr>
          <w:rFonts w:ascii="宋体" w:hAnsi="宋体" w:cs="宋体" w:eastAsia="宋体" w:hint="default"/>
          <w:spacing w:val="-5"/>
        </w:rPr>
        <w:t>2016</w:t>
      </w:r>
      <w:r>
        <w:rPr>
          <w:rFonts w:ascii="宋体" w:hAnsi="宋体" w:cs="宋体" w:eastAsia="宋体" w:hint="default"/>
          <w:spacing w:val="-49"/>
        </w:rPr>
        <w:t> </w:t>
      </w:r>
      <w:r>
        <w:rPr/>
        <w:t>年</w:t>
      </w:r>
      <w:r>
        <w:rPr>
          <w:spacing w:val="-47"/>
        </w:rPr>
        <w:t> </w:t>
      </w:r>
      <w:r>
        <w:rPr>
          <w:rFonts w:ascii="宋体" w:hAnsi="宋体" w:cs="宋体" w:eastAsia="宋体" w:hint="default"/>
        </w:rPr>
        <w:t>6</w:t>
      </w:r>
      <w:r>
        <w:rPr>
          <w:rFonts w:ascii="宋体" w:hAnsi="宋体" w:cs="宋体" w:eastAsia="宋体" w:hint="default"/>
          <w:spacing w:val="-49"/>
        </w:rPr>
        <w:t> </w:t>
      </w:r>
      <w:r>
        <w:rPr/>
        <w:t>月</w:t>
      </w:r>
      <w:r>
        <w:rPr>
          <w:spacing w:val="-47"/>
        </w:rPr>
        <w:t> </w:t>
      </w:r>
      <w:r>
        <w:rPr>
          <w:rFonts w:ascii="宋体" w:hAnsi="宋体" w:cs="宋体" w:eastAsia="宋体" w:hint="default"/>
        </w:rPr>
        <w:t>14</w:t>
      </w:r>
      <w:r>
        <w:rPr>
          <w:rFonts w:ascii="宋体" w:hAnsi="宋体" w:cs="宋体" w:eastAsia="宋体" w:hint="default"/>
          <w:spacing w:val="-49"/>
        </w:rPr>
        <w:t> </w:t>
      </w:r>
      <w:r>
        <w:rPr>
          <w:spacing w:val="-3"/>
        </w:rPr>
        <w:t>日公司召开的第六届董事会第十三次董事会审议通过了《关于转让</w:t>
      </w:r>
      <w:r>
        <w:rPr>
          <w:spacing w:val="-102"/>
        </w:rPr>
        <w:t> </w:t>
      </w:r>
      <w:r>
        <w:rPr>
          <w:spacing w:val="-102"/>
        </w:rPr>
      </w:r>
      <w:r>
        <w:rPr/>
        <w:t>全资子公司江西泰豪紫荆公寓建设服务有限公司</w:t>
      </w:r>
      <w:r>
        <w:rPr>
          <w:spacing w:val="-32"/>
        </w:rPr>
        <w:t> </w:t>
      </w:r>
      <w:r>
        <w:rPr>
          <w:rFonts w:ascii="宋体" w:hAnsi="宋体" w:cs="宋体" w:eastAsia="宋体" w:hint="default"/>
          <w:spacing w:val="-4"/>
        </w:rPr>
        <w:t>100%</w:t>
      </w:r>
      <w:r>
        <w:rPr>
          <w:spacing w:val="-4"/>
        </w:rPr>
        <w:t>股权暨关联交易的议案》，同意公司将持有的江西泰豪紫荆公寓建设服务有限公司</w:t>
      </w:r>
      <w:r>
        <w:rPr>
          <w:spacing w:val="-34"/>
        </w:rPr>
        <w:t> </w:t>
      </w:r>
      <w:r>
        <w:rPr>
          <w:rFonts w:ascii="宋体" w:hAnsi="宋体" w:cs="宋体" w:eastAsia="宋体" w:hint="default"/>
        </w:rPr>
        <w:t>100%</w:t>
      </w:r>
      <w:r>
        <w:rPr/>
        <w:t>股权转让给</w:t>
      </w:r>
      <w:r>
        <w:rPr>
          <w:spacing w:val="-95"/>
        </w:rPr>
        <w:t> </w:t>
      </w:r>
      <w:r>
        <w:rPr>
          <w:spacing w:val="-95"/>
        </w:rPr>
      </w:r>
      <w:r>
        <w:rPr/>
        <w:t>泰豪园区投资有限公司。</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2"/>
        <w:spacing w:line="274" w:lineRule="exact" w:before="0"/>
        <w:ind w:left="140" w:right="0"/>
        <w:jc w:val="both"/>
        <w:rPr>
          <w:b w:val="0"/>
          <w:bCs w:val="0"/>
        </w:rPr>
      </w:pPr>
      <w:r>
        <w:rPr>
          <w:rFonts w:ascii="宋体" w:hAnsi="宋体" w:cs="宋体" w:eastAsia="宋体" w:hint="default"/>
        </w:rPr>
        <w:t>(3).</w:t>
      </w:r>
      <w:r>
        <w:rPr/>
        <w:t>委托贷款减值准备</w:t>
      </w:r>
      <w:r>
        <w:rPr>
          <w:b w:val="0"/>
          <w:bCs w:val="0"/>
        </w:rPr>
      </w:r>
    </w:p>
    <w:p>
      <w:pPr>
        <w:pStyle w:val="BodyText"/>
        <w:spacing w:line="290" w:lineRule="exact"/>
        <w:ind w:left="140" w:right="0"/>
        <w:jc w:val="both"/>
      </w:pPr>
      <w:r>
        <w:rPr>
          <w:rFonts w:ascii="Times New Roman" w:hAnsi="Times New Roman" w:cs="Times New Roman" w:eastAsia="Times New Roman" w:hint="default"/>
        </w:rPr>
        <w:t>□</w:t>
      </w:r>
      <w:r>
        <w:rPr/>
        <w:t>适用 </w:t>
      </w:r>
      <w:r>
        <w:rPr>
          <w:spacing w:val="1"/>
        </w:rPr>
        <w:t> </w:t>
      </w:r>
      <w:r>
        <w:rPr>
          <w:rFonts w:ascii="Times New Roman" w:hAnsi="Times New Roman" w:cs="Times New Roman" w:eastAsia="Times New Roman" w:hint="default"/>
        </w:rPr>
        <w:t>√</w:t>
      </w:r>
      <w:r>
        <w:rPr/>
        <w:t>不适用</w:t>
      </w:r>
    </w:p>
    <w:p>
      <w:pPr>
        <w:spacing w:after="0" w:line="290" w:lineRule="exact"/>
        <w:jc w:val="both"/>
        <w:sectPr>
          <w:pgSz w:w="16840" w:h="11910" w:orient="landscape"/>
          <w:pgMar w:header="882" w:footer="1195" w:top="1120" w:bottom="1380" w:left="130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right="0"/>
        <w:jc w:val="both"/>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40" w:lineRule="auto" w:before="56"/>
        <w:ind w:right="0"/>
        <w:jc w:val="both"/>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right="0"/>
        <w:jc w:val="both"/>
        <w:rPr>
          <w:b w:val="0"/>
          <w:bCs w:val="0"/>
        </w:rPr>
      </w:pPr>
      <w:r>
        <w:rPr/>
        <w:t>十六、其他重大事项的说明</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tabs>
          <w:tab w:pos="781" w:val="left" w:leader="none"/>
        </w:tabs>
        <w:spacing w:line="290" w:lineRule="auto" w:before="0"/>
        <w:ind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4"/>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2"/>
        <w:spacing w:line="240" w:lineRule="auto" w:before="0"/>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tabs>
          <w:tab w:pos="884" w:val="left" w:leader="none"/>
        </w:tabs>
        <w:spacing w:line="272" w:lineRule="exact" w:before="86"/>
        <w:ind w:left="558" w:right="137"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公司是一家高度重视社会责任的企业，秉承“个人的成功在于承担责任的实现，人生的价值</w:t>
      </w:r>
    </w:p>
    <w:p>
      <w:pPr>
        <w:pStyle w:val="BodyText"/>
        <w:spacing w:line="272" w:lineRule="exact" w:before="1"/>
        <w:ind w:right="0"/>
        <w:jc w:val="left"/>
      </w:pPr>
      <w:r>
        <w:rPr>
          <w:spacing w:val="-7"/>
        </w:rPr>
        <w:t>在于不断地承担责任”的核心价值观，以“创导智能技术、产品和服务，以提高人类生活的品质”</w:t>
      </w:r>
      <w:r>
        <w:rPr>
          <w:spacing w:val="-14"/>
        </w:rPr>
        <w:t> </w:t>
      </w:r>
      <w:r>
        <w:rPr>
          <w:spacing w:val="-14"/>
        </w:rPr>
      </w:r>
      <w:r>
        <w:rPr>
          <w:spacing w:val="-1"/>
        </w:rPr>
        <w:t>为使命，积极参与投资者权益保护，供应商、客户、消费者权益保护等社会公益活动，努力推进</w:t>
      </w:r>
    </w:p>
    <w:p>
      <w:pPr>
        <w:pStyle w:val="BodyText"/>
        <w:spacing w:line="247" w:lineRule="exact"/>
        <w:ind w:right="0"/>
        <w:jc w:val="both"/>
      </w:pPr>
      <w:r>
        <w:rPr/>
        <w:t>企业社会责任的建设，以求实现企业与社会、环境的和谐发展。</w:t>
      </w:r>
    </w:p>
    <w:p>
      <w:pPr>
        <w:pStyle w:val="BodyText"/>
        <w:spacing w:line="274" w:lineRule="exact" w:before="24"/>
        <w:ind w:left="558" w:right="0"/>
        <w:jc w:val="left"/>
      </w:pPr>
      <w:r>
        <w:rPr>
          <w:rFonts w:ascii="Times New Roman" w:hAnsi="Times New Roman" w:cs="Times New Roman" w:eastAsia="Times New Roman" w:hint="default"/>
        </w:rPr>
        <w:t>1</w:t>
      </w:r>
      <w:r>
        <w:rPr/>
        <w:t>、技术先行、严控质量，服务国防建设、保障电力安全</w:t>
      </w:r>
      <w:r>
        <w:rPr>
          <w:w w:val="100"/>
        </w:rPr>
        <w:t> </w:t>
      </w:r>
      <w:r>
        <w:rPr>
          <w:spacing w:val="-1"/>
        </w:rPr>
        <w:t>报告期内，公司主营业务收入实现了大幅增长。其中，军工装备产业的主要产品车载通讯指</w:t>
      </w:r>
    </w:p>
    <w:p>
      <w:pPr>
        <w:pStyle w:val="BodyText"/>
        <w:spacing w:line="245" w:lineRule="exact"/>
        <w:ind w:right="0"/>
        <w:jc w:val="both"/>
      </w:pPr>
      <w:r>
        <w:rPr/>
        <w:t>挥系统、舰载作战辅助系统、军用电站和雷达产品等，广泛服役于各大军兵种，服务国防建设。</w:t>
      </w:r>
    </w:p>
    <w:p>
      <w:pPr>
        <w:pStyle w:val="BodyText"/>
        <w:spacing w:line="232" w:lineRule="auto" w:before="6"/>
        <w:ind w:right="128"/>
        <w:jc w:val="both"/>
      </w:pPr>
      <w:r>
        <w:rPr/>
        <w:t>在中国人民解放军建军</w:t>
      </w:r>
      <w:r>
        <w:rPr>
          <w:spacing w:val="-29"/>
        </w:rPr>
        <w:t> </w:t>
      </w:r>
      <w:r>
        <w:rPr>
          <w:rFonts w:ascii="Times New Roman" w:hAnsi="Times New Roman" w:cs="Times New Roman" w:eastAsia="Times New Roman" w:hint="default"/>
        </w:rPr>
        <w:t>90</w:t>
      </w:r>
      <w:r>
        <w:rPr>
          <w:rFonts w:ascii="Times New Roman" w:hAnsi="Times New Roman" w:cs="Times New Roman" w:eastAsia="Times New Roman" w:hint="default"/>
          <w:spacing w:val="19"/>
        </w:rPr>
        <w:t> </w:t>
      </w:r>
      <w:r>
        <w:rPr>
          <w:spacing w:val="-5"/>
        </w:rPr>
        <w:t>周年阅兵仪式上，公司多款产品亮相沙场；智慧能源产业主要产品有电</w:t>
      </w:r>
      <w:r>
        <w:rPr>
          <w:spacing w:val="-96"/>
        </w:rPr>
        <w:t> </w:t>
      </w:r>
      <w:r>
        <w:rPr>
          <w:spacing w:val="-96"/>
        </w:rPr>
      </w:r>
      <w:r>
        <w:rPr>
          <w:spacing w:val="-1"/>
        </w:rPr>
        <w:t>力信息化相关软件、智能应急电源、配电自动化产品以及能源互联网系统解决方案等，产品在国</w:t>
      </w:r>
      <w:r>
        <w:rPr>
          <w:spacing w:val="-55"/>
        </w:rPr>
        <w:t> </w:t>
      </w:r>
      <w:r>
        <w:rPr>
          <w:spacing w:val="-55"/>
        </w:rPr>
      </w:r>
      <w:r>
        <w:rPr>
          <w:spacing w:val="-1"/>
        </w:rPr>
        <w:t>家电网、南方电网、轨道交通、数据中心、电信运营商等基础建设领域有着长期、稳定的应用。</w:t>
      </w:r>
      <w:r>
        <w:rPr>
          <w:spacing w:val="-55"/>
        </w:rPr>
        <w:t> </w:t>
      </w:r>
      <w:r>
        <w:rPr>
          <w:spacing w:val="-55"/>
        </w:rPr>
      </w:r>
      <w:r>
        <w:rPr/>
        <w:t>公司通过不断提高服务质量、提升产品技术和质量水平，为国内外电力安全贡献自己的力量。</w:t>
      </w:r>
    </w:p>
    <w:p>
      <w:pPr>
        <w:pStyle w:val="BodyText"/>
        <w:spacing w:line="272" w:lineRule="exact" w:before="27"/>
        <w:ind w:left="558" w:right="0"/>
        <w:jc w:val="left"/>
      </w:pPr>
      <w:r>
        <w:rPr>
          <w:rFonts w:ascii="Times New Roman" w:hAnsi="Times New Roman" w:cs="Times New Roman" w:eastAsia="Times New Roman" w:hint="default"/>
        </w:rPr>
        <w:t>2</w:t>
      </w:r>
      <w:r>
        <w:rPr/>
        <w:t>、</w:t>
      </w:r>
      <w:r>
        <w:rPr>
          <w:spacing w:val="-1"/>
        </w:rPr>
        <w:t> </w:t>
      </w:r>
      <w:r>
        <w:rPr/>
        <w:t>挖掘整合协同机遇，促进行业内部互利共赢</w:t>
      </w:r>
      <w:r>
        <w:rPr>
          <w:w w:val="100"/>
        </w:rPr>
        <w:t> </w:t>
      </w:r>
      <w:r>
        <w:rPr>
          <w:spacing w:val="-2"/>
        </w:rPr>
        <w:t>近年来，中国智能应急电源产业进入稳定发展阶段，优胜劣汰进程加快。行业流通模式正在</w:t>
      </w:r>
    </w:p>
    <w:p>
      <w:pPr>
        <w:pStyle w:val="BodyText"/>
        <w:spacing w:line="272" w:lineRule="exact" w:before="1"/>
        <w:ind w:right="0"/>
        <w:jc w:val="left"/>
      </w:pPr>
      <w:r>
        <w:rPr>
          <w:spacing w:val="-1"/>
        </w:rPr>
        <w:t>逐步由以贸易为核心向以相关配套服务为核心转变，综合服务能力将是决胜未来的关键。为此，</w:t>
      </w:r>
      <w:r>
        <w:rPr>
          <w:spacing w:val="-55"/>
        </w:rPr>
        <w:t> </w:t>
      </w:r>
      <w:r>
        <w:rPr>
          <w:spacing w:val="-55"/>
        </w:rPr>
      </w:r>
      <w:r>
        <w:rPr>
          <w:spacing w:val="-1"/>
        </w:rPr>
        <w:t>公司确立了“强化行业整合、加强供应链金融创新服务”的发展思路，加快建设融合分销服务网</w:t>
      </w:r>
    </w:p>
    <w:p>
      <w:pPr>
        <w:pStyle w:val="BodyText"/>
        <w:spacing w:line="272" w:lineRule="exact" w:before="1"/>
        <w:ind w:right="0"/>
        <w:jc w:val="left"/>
      </w:pPr>
      <w:r>
        <w:rPr>
          <w:spacing w:val="-3"/>
        </w:rPr>
        <w:t>络、供应链管理新模式，通过行业整合进一步提高竞争能力及品牌形象。</w:t>
      </w:r>
      <w:r>
        <w:rPr>
          <w:rFonts w:ascii="Times New Roman" w:hAnsi="Times New Roman" w:cs="Times New Roman" w:eastAsia="Times New Roman" w:hint="default"/>
          <w:spacing w:val="-3"/>
        </w:rPr>
        <w:t>2017 </w:t>
      </w:r>
      <w:r>
        <w:rPr>
          <w:spacing w:val="-3"/>
        </w:rPr>
        <w:t>年，公司成功吸引</w:t>
      </w:r>
      <w:r>
        <w:rPr>
          <w:spacing w:val="-69"/>
        </w:rPr>
        <w:t> </w:t>
      </w:r>
      <w:r>
        <w:rPr>
          <w:spacing w:val="-69"/>
        </w:rPr>
      </w:r>
      <w:r>
        <w:rPr>
          <w:spacing w:val="-1"/>
        </w:rPr>
        <w:t>三家业内优质企业开展合作，通过资源整合，进一步降低采购成本，提升产品盈利能力和业务规</w:t>
      </w:r>
    </w:p>
    <w:p>
      <w:pPr>
        <w:pStyle w:val="BodyText"/>
        <w:spacing w:line="246" w:lineRule="exact"/>
        <w:ind w:right="0"/>
        <w:jc w:val="both"/>
      </w:pPr>
      <w:r>
        <w:rPr/>
        <w:t>模。上述公司业务经营举措的实施与落地，不仅将有助于公司实现自身业务的战略转型的目标，</w:t>
      </w:r>
    </w:p>
    <w:p>
      <w:pPr>
        <w:pStyle w:val="BodyText"/>
        <w:spacing w:line="272" w:lineRule="exact"/>
        <w:ind w:right="0"/>
        <w:jc w:val="both"/>
      </w:pPr>
      <w:r>
        <w:rPr/>
        <w:t>同时也将为整个智能应急电源产业的转型升级注入动力与活力。</w:t>
      </w:r>
    </w:p>
    <w:p>
      <w:pPr>
        <w:pStyle w:val="BodyText"/>
        <w:spacing w:line="274" w:lineRule="exact" w:before="24"/>
        <w:ind w:left="558" w:right="0"/>
        <w:jc w:val="left"/>
      </w:pPr>
      <w:r>
        <w:rPr>
          <w:rFonts w:ascii="Times New Roman" w:hAnsi="Times New Roman" w:cs="Times New Roman" w:eastAsia="Times New Roman" w:hint="default"/>
        </w:rPr>
        <w:t>3</w:t>
      </w:r>
      <w:r>
        <w:rPr/>
        <w:t>、投资者权益保护</w:t>
      </w:r>
      <w:r>
        <w:rPr>
          <w:w w:val="100"/>
        </w:rPr>
        <w:t> </w:t>
      </w:r>
      <w:r>
        <w:rPr>
          <w:spacing w:val="-2"/>
        </w:rPr>
        <w:t>公司建立了较为完善的治理结构，形成了完整的内控制度，建立投资者多种沟通渠道，采取</w:t>
      </w:r>
    </w:p>
    <w:p>
      <w:pPr>
        <w:pStyle w:val="BodyText"/>
        <w:spacing w:line="245" w:lineRule="exact"/>
        <w:ind w:right="0"/>
        <w:jc w:val="both"/>
      </w:pPr>
      <w:r>
        <w:rPr/>
        <w:t>了稳定的现金分红政策，保障股东及投资者咨询权、建议权、表决权。为了做好投资者关系管理</w:t>
      </w:r>
    </w:p>
    <w:p>
      <w:pPr>
        <w:pStyle w:val="BodyText"/>
        <w:spacing w:line="232" w:lineRule="auto" w:before="6"/>
        <w:ind w:right="128"/>
        <w:jc w:val="both"/>
      </w:pPr>
      <w:r>
        <w:rPr>
          <w:spacing w:val="-6"/>
          <w:w w:val="100"/>
        </w:rPr>
        <w:t>工作，帮助投资者更好的了解公司，公司设有专人进行投资者热线接听、微信公众号互动、“上证</w:t>
      </w:r>
      <w:r>
        <w:rPr>
          <w:w w:val="100"/>
        </w:rPr>
        <w:t> </w:t>
      </w:r>
      <w:r>
        <w:rPr>
          <w:rFonts w:ascii="Times New Roman" w:hAnsi="Times New Roman" w:cs="Times New Roman" w:eastAsia="Times New Roman" w:hint="default"/>
        </w:rPr>
        <w:t>e</w:t>
      </w:r>
      <w:r>
        <w:rPr>
          <w:rFonts w:ascii="Times New Roman" w:hAnsi="Times New Roman" w:cs="Times New Roman" w:eastAsia="Times New Roman" w:hint="default"/>
          <w:spacing w:val="16"/>
        </w:rPr>
        <w:t> </w:t>
      </w:r>
      <w:r>
        <w:rPr/>
        <w:t>互动平台”问题回复，使普通投资者可以更加便利及时地了解公司发展状况并反映相关情况。</w:t>
      </w:r>
      <w:r>
        <w:rPr>
          <w:spacing w:val="-103"/>
        </w:rPr>
        <w:t> </w:t>
      </w:r>
      <w:r>
        <w:rPr>
          <w:spacing w:val="-103"/>
        </w:rPr>
      </w:r>
      <w:r>
        <w:rPr>
          <w:spacing w:val="-3"/>
        </w:rPr>
        <w:t>针对投资者提出的相关合理建议，公司会及时采纳并积极落实。</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3"/>
        </w:rPr>
        <w:t> </w:t>
      </w:r>
      <w:r>
        <w:rPr/>
        <w:t>年公司召开现场和网络的投</w:t>
      </w:r>
      <w:r>
        <w:rPr>
          <w:spacing w:val="-91"/>
        </w:rPr>
        <w:t> </w:t>
      </w:r>
      <w:r>
        <w:rPr>
          <w:spacing w:val="-91"/>
        </w:rPr>
      </w:r>
      <w:r>
        <w:rPr/>
        <w:t>资者说明会</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次，介绍公司业绩、重大事项等进展情况，回答投资者关心的问题，为公司与投资</w:t>
      </w:r>
      <w:r>
        <w:rPr>
          <w:w w:val="100"/>
        </w:rPr>
        <w:t> </w:t>
      </w:r>
      <w:r>
        <w:rPr>
          <w:spacing w:val="-1"/>
        </w:rPr>
        <w:t>者之间搭建了沟通的桥梁。此外，公司还邀请股东实地参观，了解公司发展现状；通过不定期开</w:t>
      </w:r>
      <w:r>
        <w:rPr>
          <w:spacing w:val="-56"/>
        </w:rPr>
        <w:t> </w:t>
      </w:r>
      <w:r>
        <w:rPr>
          <w:spacing w:val="-56"/>
        </w:rPr>
      </w:r>
      <w:r>
        <w:rPr>
          <w:spacing w:val="-1"/>
        </w:rPr>
        <w:t>展投资者保护等专项活动，增强投资者的守法意识和风险防范意识。公司自上市以来每年进行现</w:t>
      </w:r>
      <w:r>
        <w:rPr>
          <w:spacing w:val="-55"/>
        </w:rPr>
        <w:t> </w:t>
      </w:r>
      <w:r>
        <w:rPr>
          <w:spacing w:val="-55"/>
        </w:rPr>
      </w:r>
      <w:r>
        <w:rPr>
          <w:spacing w:val="-1"/>
        </w:rPr>
        <w:t>金分红，保持了利润分配的连续性，以实际行动回报股东。同时，为保护投资者特别是中小投资</w:t>
      </w:r>
      <w:r>
        <w:rPr>
          <w:spacing w:val="-55"/>
        </w:rPr>
        <w:t> </w:t>
      </w:r>
      <w:r>
        <w:rPr>
          <w:spacing w:val="-55"/>
        </w:rPr>
      </w:r>
      <w:r>
        <w:rPr>
          <w:spacing w:val="-1"/>
        </w:rPr>
        <w:t>者的利益，公司合理安排股东大会召开时间，提供包括网络投票在内的表决方式，按照法律法规</w:t>
      </w:r>
      <w:r>
        <w:rPr>
          <w:spacing w:val="-55"/>
        </w:rPr>
        <w:t> </w:t>
      </w:r>
      <w:r>
        <w:rPr>
          <w:spacing w:val="-55"/>
        </w:rPr>
      </w:r>
      <w:r>
        <w:rPr/>
        <w:t>的要求引入累积投票制，保障中小股东行使表决权。</w:t>
      </w:r>
    </w:p>
    <w:p>
      <w:pPr>
        <w:pStyle w:val="BodyText"/>
        <w:spacing w:line="288" w:lineRule="exact"/>
        <w:ind w:left="558" w:right="0"/>
        <w:jc w:val="left"/>
      </w:pPr>
      <w:r>
        <w:rPr>
          <w:rFonts w:ascii="Times New Roman" w:hAnsi="Times New Roman" w:cs="Times New Roman" w:eastAsia="Times New Roman" w:hint="default"/>
        </w:rPr>
        <w:t>4</w:t>
      </w:r>
      <w:r>
        <w:rPr/>
        <w:t>、供应商、客户、消费者权益保护</w:t>
      </w:r>
    </w:p>
    <w:p>
      <w:pPr>
        <w:spacing w:after="0" w:line="288" w:lineRule="exact"/>
        <w:jc w:val="left"/>
        <w:sectPr>
          <w:headerReference w:type="default" r:id="rId25"/>
          <w:footerReference w:type="default" r:id="rId26"/>
          <w:pgSz w:w="11910" w:h="16840"/>
          <w:pgMar w:header="882" w:footer="1195" w:top="1120" w:bottom="1380" w:left="1660" w:right="1140"/>
          <w:pgNumType w:start="47"/>
        </w:sectPr>
      </w:pPr>
    </w:p>
    <w:p>
      <w:pPr>
        <w:spacing w:line="240" w:lineRule="auto" w:before="1"/>
        <w:rPr>
          <w:rFonts w:ascii="宋体" w:hAnsi="宋体" w:cs="宋体" w:eastAsia="宋体" w:hint="default"/>
          <w:sz w:val="25"/>
          <w:szCs w:val="25"/>
        </w:rPr>
      </w:pPr>
    </w:p>
    <w:p>
      <w:pPr>
        <w:pStyle w:val="BodyText"/>
        <w:spacing w:line="235" w:lineRule="auto" w:before="41"/>
        <w:ind w:right="98" w:firstLine="419"/>
        <w:jc w:val="left"/>
      </w:pPr>
      <w:r>
        <w:rPr/>
        <w:t>公司注重与供应商、合作伙伴的合作共赢。报告期内，公司举办了以“合心聚力</w:t>
      </w:r>
      <w:r>
        <w:rPr>
          <w:spacing w:val="6"/>
        </w:rPr>
        <w:t> </w:t>
      </w:r>
      <w:r>
        <w:rPr/>
        <w:t>共创共赢”</w:t>
      </w:r>
      <w:r>
        <w:rPr>
          <w:w w:val="100"/>
        </w:rPr>
        <w:t> </w:t>
      </w:r>
      <w:r>
        <w:rPr/>
        <w:t>为主题的泰豪科技</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年度供应商大会，来自全国各地的</w:t>
      </w:r>
      <w:r>
        <w:rPr>
          <w:spacing w:val="-41"/>
        </w:rPr>
        <w:t> </w:t>
      </w:r>
      <w:r>
        <w:rPr>
          <w:rFonts w:ascii="Times New Roman" w:hAnsi="Times New Roman" w:cs="Times New Roman" w:eastAsia="Times New Roman" w:hint="default"/>
        </w:rPr>
        <w:t>102</w:t>
      </w:r>
      <w:r>
        <w:rPr>
          <w:rFonts w:ascii="Times New Roman" w:hAnsi="Times New Roman" w:cs="Times New Roman" w:eastAsia="Times New Roman" w:hint="default"/>
          <w:spacing w:val="12"/>
        </w:rPr>
        <w:t> </w:t>
      </w:r>
      <w:r>
        <w:rPr/>
        <w:t>家供应商参加此次盛会。</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w w:val="100"/>
        </w:rPr>
        <w:t> </w:t>
      </w:r>
      <w:r>
        <w:rPr/>
        <w:t>以来，公司逐步通过供应链融资体系的建立，利用自身品牌影响力，为优质供应商及经销商提供</w:t>
      </w:r>
      <w:r>
        <w:rPr>
          <w:spacing w:val="-97"/>
        </w:rPr>
        <w:t> </w:t>
      </w:r>
      <w:r>
        <w:rPr>
          <w:spacing w:val="-97"/>
        </w:rPr>
      </w:r>
      <w:r>
        <w:rPr/>
        <w:t>信用背书，带动合作伙伴共同成长。公司承诺将一如既往地为供应商伙伴提供公开、公平、公证</w:t>
      </w:r>
      <w:r>
        <w:rPr>
          <w:spacing w:val="-97"/>
        </w:rPr>
        <w:t> </w:t>
      </w:r>
      <w:r>
        <w:rPr>
          <w:spacing w:val="-97"/>
        </w:rPr>
      </w:r>
      <w:r>
        <w:rPr/>
        <w:t>的供应商评价体系和良好的业务合作平台，在互信互利的基础上，共同创造价值实现合作共赢。</w:t>
      </w:r>
    </w:p>
    <w:p>
      <w:pPr>
        <w:pStyle w:val="BodyText"/>
        <w:spacing w:line="237" w:lineRule="auto" w:before="2"/>
        <w:ind w:right="208" w:firstLine="419"/>
        <w:jc w:val="both"/>
      </w:pPr>
      <w:r>
        <w:rPr>
          <w:spacing w:val="-2"/>
        </w:rPr>
        <w:t>另外，公司一直注重服务意识，以客户为中心，以客户增值服务为导向，以互利双赢，共同</w:t>
      </w:r>
      <w:r>
        <w:rPr>
          <w:w w:val="100"/>
        </w:rPr>
        <w:t> </w:t>
      </w:r>
      <w:r>
        <w:rPr>
          <w:spacing w:val="-1"/>
        </w:rPr>
        <w:t>发展为合作理念，想客户所想，注重服务好每一个细节，以诚信的态度赢得了客户的信赖。公司</w:t>
      </w:r>
      <w:r>
        <w:rPr>
          <w:spacing w:val="-55"/>
        </w:rPr>
        <w:t> </w:t>
      </w:r>
      <w:r>
        <w:rPr>
          <w:spacing w:val="-55"/>
        </w:rPr>
      </w:r>
      <w:r>
        <w:rPr>
          <w:spacing w:val="-1"/>
        </w:rPr>
        <w:t>一直以“产品质量是企业的生命线”为宗旨，始终遵循“坚持以人为本、构建和谐环境、客户满</w:t>
      </w:r>
      <w:r>
        <w:rPr>
          <w:spacing w:val="-55"/>
        </w:rPr>
        <w:t> </w:t>
      </w:r>
      <w:r>
        <w:rPr>
          <w:spacing w:val="-55"/>
        </w:rPr>
      </w:r>
      <w:r>
        <w:rPr/>
        <w:t>意至上、不断追求卓越”</w:t>
      </w:r>
      <w:r>
        <w:rPr>
          <w:spacing w:val="-3"/>
        </w:rPr>
        <w:t> </w:t>
      </w:r>
      <w:r>
        <w:rPr/>
        <w:t>的质量方针，不断提高产品和服务质量。</w:t>
      </w:r>
    </w:p>
    <w:p>
      <w:pPr>
        <w:pStyle w:val="BodyText"/>
        <w:spacing w:line="272" w:lineRule="exact" w:before="26"/>
        <w:ind w:left="558" w:right="100"/>
        <w:jc w:val="left"/>
      </w:pPr>
      <w:r>
        <w:rPr>
          <w:rFonts w:ascii="Times New Roman" w:hAnsi="Times New Roman" w:cs="Times New Roman" w:eastAsia="Times New Roman" w:hint="default"/>
        </w:rPr>
        <w:t>5</w:t>
      </w:r>
      <w:r>
        <w:rPr/>
        <w:t>、奖、助学金设立及社会活动参与</w:t>
      </w:r>
      <w:r>
        <w:rPr>
          <w:w w:val="100"/>
        </w:rPr>
        <w:t> </w:t>
      </w:r>
      <w:r>
        <w:rPr>
          <w:spacing w:val="-7"/>
          <w:w w:val="100"/>
        </w:rPr>
        <w:t>报告期内，公司向清华大学捐赠设立“清华之友—泰豪军工奖学金”，助力清华大学国防人才</w:t>
      </w:r>
    </w:p>
    <w:p>
      <w:pPr>
        <w:pStyle w:val="BodyText"/>
        <w:spacing w:line="272" w:lineRule="exact" w:before="1"/>
        <w:ind w:right="100"/>
        <w:jc w:val="left"/>
      </w:pPr>
      <w:r>
        <w:rPr>
          <w:spacing w:val="-6"/>
        </w:rPr>
        <w:t>的教育与培养，为国家国防建设输送高素质高层次的优秀人才；与山东大学合作设立“泰豪之星”</w:t>
      </w:r>
      <w:r>
        <w:rPr>
          <w:spacing w:val="-54"/>
        </w:rPr>
        <w:t> </w:t>
      </w:r>
      <w:r>
        <w:rPr>
          <w:spacing w:val="-54"/>
        </w:rPr>
      </w:r>
      <w:r>
        <w:rPr>
          <w:spacing w:val="-1"/>
        </w:rPr>
        <w:t>奖、助学金，用于奖励优秀学生、资助定向培养学生；在南昌大学、湖南大学、华中科技大学等</w:t>
      </w:r>
    </w:p>
    <w:p>
      <w:pPr>
        <w:pStyle w:val="BodyText"/>
        <w:spacing w:line="272" w:lineRule="exact" w:before="1"/>
        <w:ind w:left="558" w:right="100" w:hanging="420"/>
        <w:jc w:val="left"/>
      </w:pPr>
      <w:r>
        <w:rPr/>
        <w:t>国内高校设立奖学金，为共同培养高素质人才提供支持。</w:t>
      </w:r>
      <w:r>
        <w:rPr>
          <w:w w:val="100"/>
        </w:rPr>
        <w:t> </w:t>
      </w:r>
      <w:r>
        <w:rPr>
          <w:spacing w:val="-3"/>
        </w:rPr>
        <w:t>为了激励赣籍青年科技创新人才创新创业</w:t>
      </w:r>
      <w:r>
        <w:rPr>
          <w:rFonts w:ascii="Times New Roman" w:hAnsi="Times New Roman" w:cs="Times New Roman" w:eastAsia="Times New Roman" w:hint="default"/>
          <w:spacing w:val="-3"/>
        </w:rPr>
        <w:t>,</w:t>
      </w:r>
      <w:r>
        <w:rPr>
          <w:spacing w:val="-3"/>
        </w:rPr>
        <w:t>助力江西省青年科技创新发展，公司承办了由江西</w:t>
      </w:r>
    </w:p>
    <w:p>
      <w:pPr>
        <w:pStyle w:val="BodyText"/>
        <w:spacing w:line="255" w:lineRule="exact"/>
        <w:ind w:right="100"/>
        <w:jc w:val="left"/>
      </w:pPr>
      <w:r>
        <w:rPr>
          <w:spacing w:val="-4"/>
        </w:rPr>
        <w:t>省委人才办、江西团省委等单位联合举办的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spacing w:val="-4"/>
        </w:rPr>
        <w:t>年江西青年科技创新项目评选活动，该活动共吸</w:t>
      </w:r>
    </w:p>
    <w:p>
      <w:pPr>
        <w:pStyle w:val="BodyText"/>
        <w:spacing w:line="281" w:lineRule="exact"/>
        <w:ind w:right="100"/>
        <w:jc w:val="left"/>
      </w:pPr>
      <w:r>
        <w:rPr/>
        <w:t>引了省内外</w:t>
      </w:r>
      <w:r>
        <w:rPr>
          <w:spacing w:val="-54"/>
        </w:rPr>
        <w:t> </w:t>
      </w:r>
      <w:r>
        <w:rPr>
          <w:rFonts w:ascii="Times New Roman" w:hAnsi="Times New Roman" w:cs="Times New Roman" w:eastAsia="Times New Roman" w:hint="default"/>
        </w:rPr>
        <w:t>268</w:t>
      </w:r>
      <w:r>
        <w:rPr>
          <w:rFonts w:ascii="Times New Roman" w:hAnsi="Times New Roman" w:cs="Times New Roman" w:eastAsia="Times New Roman" w:hint="default"/>
          <w:spacing w:val="-4"/>
        </w:rPr>
        <w:t> </w:t>
      </w:r>
      <w:r>
        <w:rPr/>
        <w:t>个项目，为青年搭建了创新项目展示平台、资源对接平台和成果转化平台。</w:t>
      </w:r>
    </w:p>
    <w:p>
      <w:pPr>
        <w:spacing w:line="240" w:lineRule="auto" w:before="8"/>
        <w:rPr>
          <w:rFonts w:ascii="宋体" w:hAnsi="宋体" w:cs="宋体" w:eastAsia="宋体" w:hint="default"/>
          <w:sz w:val="21"/>
          <w:szCs w:val="21"/>
        </w:rPr>
      </w:pPr>
    </w:p>
    <w:p>
      <w:pPr>
        <w:pStyle w:val="Heading2"/>
        <w:tabs>
          <w:tab w:pos="781" w:val="left" w:leader="none"/>
        </w:tabs>
        <w:spacing w:line="240" w:lineRule="auto" w:before="0"/>
        <w:ind w:right="10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58"/>
        <w:ind w:right="10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980" w:val="left" w:leader="none"/>
        </w:tabs>
        <w:spacing w:line="240" w:lineRule="auto" w:before="56"/>
        <w:ind w:left="558" w:right="2320" w:hanging="420"/>
        <w:jc w:val="left"/>
      </w:pPr>
      <w:r>
        <w:rPr/>
        <w:t>√适用</w:t>
        <w:tab/>
        <w:t>□不适用</w:t>
      </w:r>
      <w:r>
        <w:rPr>
          <w:w w:val="100"/>
        </w:rPr>
        <w:t> </w:t>
      </w:r>
      <w:r>
        <w:rPr>
          <w:spacing w:val="-2"/>
        </w:rPr>
        <w:t>公司及所属子公司不属于环境保护部门公布的重点排污单位的公司。</w:t>
      </w:r>
    </w:p>
    <w:p>
      <w:pPr>
        <w:spacing w:line="240" w:lineRule="auto" w:before="11"/>
        <w:rPr>
          <w:rFonts w:ascii="宋体" w:hAnsi="宋体" w:cs="宋体" w:eastAsia="宋体" w:hint="default"/>
          <w:sz w:val="22"/>
          <w:szCs w:val="22"/>
        </w:rPr>
      </w:pPr>
    </w:p>
    <w:p>
      <w:pPr>
        <w:pStyle w:val="Heading2"/>
        <w:tabs>
          <w:tab w:pos="562" w:val="left" w:leader="none"/>
        </w:tabs>
        <w:spacing w:line="240" w:lineRule="auto" w:before="0"/>
        <w:ind w:right="100"/>
        <w:jc w:val="left"/>
        <w:rPr>
          <w:b w:val="0"/>
          <w:bCs w:val="0"/>
        </w:rPr>
      </w:pPr>
      <w:r>
        <w:rPr>
          <w:rFonts w:ascii="宋体" w:hAnsi="宋体" w:cs="宋体" w:eastAsia="宋体" w:hint="default"/>
          <w:w w:val="95"/>
        </w:rPr>
        <w:t>2.</w:t>
        <w:tab/>
      </w:r>
      <w:r>
        <w:rPr/>
        <w:t>重点排污单位之外的公司</w:t>
      </w:r>
      <w:r>
        <w:rPr>
          <w:b w:val="0"/>
          <w:bCs w:val="0"/>
        </w:rPr>
      </w:r>
    </w:p>
    <w:p>
      <w:pPr>
        <w:pStyle w:val="BodyText"/>
        <w:tabs>
          <w:tab w:pos="980" w:val="left" w:leader="none"/>
        </w:tabs>
        <w:spacing w:line="240" w:lineRule="auto" w:before="56"/>
        <w:ind w:left="558" w:right="2320" w:hanging="420"/>
        <w:jc w:val="left"/>
      </w:pPr>
      <w:r>
        <w:rPr/>
        <w:t>√适用</w:t>
        <w:tab/>
        <w:t>□不适用</w:t>
      </w:r>
      <w:r>
        <w:rPr>
          <w:w w:val="100"/>
        </w:rPr>
        <w:t> </w:t>
      </w:r>
      <w:r>
        <w:rPr>
          <w:spacing w:val="-2"/>
        </w:rPr>
        <w:t>公司及所属子公司不属于环境保护部门公布的重点排污单位的公司。</w:t>
      </w:r>
    </w:p>
    <w:p>
      <w:pPr>
        <w:spacing w:line="240" w:lineRule="auto" w:before="11"/>
        <w:rPr>
          <w:rFonts w:ascii="宋体" w:hAnsi="宋体" w:cs="宋体" w:eastAsia="宋体" w:hint="default"/>
          <w:sz w:val="22"/>
          <w:szCs w:val="22"/>
        </w:rPr>
      </w:pPr>
    </w:p>
    <w:p>
      <w:pPr>
        <w:pStyle w:val="Heading2"/>
        <w:tabs>
          <w:tab w:pos="562" w:val="left" w:leader="none"/>
        </w:tabs>
        <w:spacing w:line="240" w:lineRule="auto" w:before="0"/>
        <w:ind w:right="100"/>
        <w:jc w:val="left"/>
        <w:rPr>
          <w:b w:val="0"/>
          <w:bCs w:val="0"/>
        </w:rPr>
      </w:pPr>
      <w:r>
        <w:rPr>
          <w:rFonts w:ascii="宋体" w:hAnsi="宋体" w:cs="宋体" w:eastAsia="宋体" w:hint="default"/>
          <w:w w:val="95"/>
        </w:rPr>
        <w:t>3.</w:t>
        <w:tab/>
      </w:r>
      <w:r>
        <w:rPr/>
        <w:t>其他说明</w:t>
      </w:r>
      <w:r>
        <w:rPr>
          <w:b w:val="0"/>
          <w:bCs w:val="0"/>
        </w:rPr>
      </w:r>
    </w:p>
    <w:p>
      <w:pPr>
        <w:pStyle w:val="BodyText"/>
        <w:tabs>
          <w:tab w:pos="896" w:val="left" w:leader="none"/>
        </w:tabs>
        <w:spacing w:line="240" w:lineRule="auto" w:before="56"/>
        <w:ind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781" w:val="left" w:leader="none"/>
        </w:tabs>
        <w:spacing w:line="240" w:lineRule="auto" w:before="0"/>
        <w:ind w:right="10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896" w:val="left" w:leader="none"/>
        </w:tabs>
        <w:spacing w:line="240" w:lineRule="auto" w:before="58"/>
        <w:ind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right="100"/>
        <w:jc w:val="left"/>
        <w:rPr>
          <w:b w:val="0"/>
          <w:bCs w:val="0"/>
        </w:rPr>
      </w:pPr>
      <w:r>
        <w:rPr/>
        <w:t>十八、可转换公司债券情况</w:t>
      </w:r>
      <w:r>
        <w:rPr>
          <w:b w:val="0"/>
          <w:bCs w:val="0"/>
        </w:rPr>
      </w:r>
    </w:p>
    <w:p>
      <w:pPr>
        <w:pStyle w:val="Heading2"/>
        <w:spacing w:line="240" w:lineRule="auto" w:before="57"/>
        <w:ind w:right="10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896" w:val="left" w:leader="none"/>
        </w:tabs>
        <w:spacing w:line="240" w:lineRule="auto" w:before="32"/>
        <w:ind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0"/>
        <w:ind w:right="10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10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right="60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报告期转债累计转股情况</w:t>
      </w:r>
    </w:p>
    <w:p>
      <w:pPr>
        <w:pStyle w:val="BodyText"/>
        <w:spacing w:line="265" w:lineRule="exact"/>
        <w:ind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10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1"/>
        <w:ind w:right="10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896" w:val="left" w:leader="none"/>
        </w:tabs>
        <w:spacing w:line="240" w:lineRule="auto" w:before="32"/>
        <w:ind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40" w:lineRule="auto"/>
        <w:ind w:left="658" w:right="681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416" w:val="left" w:leader="none"/>
        </w:tabs>
        <w:spacing w:line="240" w:lineRule="auto" w:before="32"/>
        <w:ind w:left="658" w:right="68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1260" w:val="left" w:leader="none"/>
        </w:tabs>
        <w:spacing w:line="240" w:lineRule="auto" w:before="0"/>
        <w:ind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1224" w:val="left" w:leader="none"/>
        </w:tabs>
        <w:spacing w:line="278" w:lineRule="auto" w:before="0"/>
        <w:ind w:left="658" w:right="681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2"/>
        <w:ind w:left="658" w:right="399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1416" w:val="left" w:leader="none"/>
        </w:tabs>
        <w:spacing w:line="240" w:lineRule="auto" w:before="15"/>
        <w:ind w:left="658" w:right="68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0"/>
        <w:ind w:left="658" w:right="646"/>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416" w:val="left" w:leader="none"/>
        </w:tabs>
        <w:spacing w:line="240" w:lineRule="auto" w:before="58"/>
        <w:ind w:left="658" w:right="68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spacing w:line="240" w:lineRule="auto" w:before="40"/>
        <w:ind w:left="658" w:right="3991"/>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416" w:val="left" w:leader="none"/>
        </w:tabs>
        <w:spacing w:line="240" w:lineRule="auto" w:before="58"/>
        <w:ind w:left="658" w:right="68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1224" w:val="left" w:leader="none"/>
        </w:tabs>
        <w:spacing w:line="240" w:lineRule="auto" w:before="40"/>
        <w:ind w:left="658" w:right="68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658" w:right="68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1" w:lineRule="exact"/>
        <w:ind w:left="0" w:right="650"/>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10" w:type="dxa"/>
        <w:tblLayout w:type="fixed"/>
        <w:tblCellMar>
          <w:top w:w="0" w:type="dxa"/>
          <w:left w:w="0" w:type="dxa"/>
          <w:bottom w:w="0" w:type="dxa"/>
          <w:right w:w="0" w:type="dxa"/>
        </w:tblCellMar>
        <w:tblLook w:val="01E0"/>
      </w:tblPr>
      <w:tblGrid>
        <w:gridCol w:w="1222"/>
        <w:gridCol w:w="1373"/>
        <w:gridCol w:w="1289"/>
        <w:gridCol w:w="1159"/>
        <w:gridCol w:w="1460"/>
        <w:gridCol w:w="1880"/>
        <w:gridCol w:w="1536"/>
      </w:tblGrid>
      <w:tr>
        <w:trPr>
          <w:trHeight w:val="55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14,272,042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2"/>
                <w:sz w:val="21"/>
              </w:rPr>
              <w:t>3,568,011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10,704,031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2017-05-05</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10,704,031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1,427,204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9,276,827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2018-04-30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9,276,827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2,140,806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7,136,021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2019-04-30</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7,136,021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2"/>
                <w:sz w:val="21"/>
              </w:rPr>
              <w:t>3,568,011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3,568,010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2020-04-30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3,568,010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3,568,010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2021-04-30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4,527,682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1,131,920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3,395,762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2017-05-05</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3,395,762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452,768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2,942,994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2018-04-30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2,942,994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679,153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2,263,841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2019-04-30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2,263,841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1,131,920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1,131,921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2020-04-30</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1,131,921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1,131,921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2021-04-30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2,427,887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606,971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1,820,916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2017-05-05</w:t>
            </w:r>
          </w:p>
        </w:tc>
      </w:tr>
      <w:tr>
        <w:trPr>
          <w:trHeight w:val="28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1,820,916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242,789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1,578,127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2018-04-30</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1,578,127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364,183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1,213,944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2019-04-30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1,213,944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606,972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606,972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2020-04-30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606,972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606,972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2021-04-30</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李爱明</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328,092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z w:val="21"/>
              </w:rPr>
              <w:t>82,023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246,069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2017-05-05</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李爱明</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246,069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z w:val="21"/>
              </w:rPr>
              <w:t>32,809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213,260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2018-04-30</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李爱明</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213,260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213,260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2019-04-30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sz w:val="21"/>
                <w:szCs w:val="21"/>
              </w:rPr>
              <w:t>郭兆滨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328,092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z w:val="21"/>
              </w:rPr>
              <w:t>82,023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246,069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2017-05-05</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郭兆滨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246,069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z w:val="21"/>
              </w:rPr>
              <w:t>32,809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213,260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2018-04-30</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郭兆滨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213,260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213,260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2019-04-30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328,092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z w:val="21"/>
              </w:rPr>
              <w:t>82,023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246,069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2017-05-05</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246,069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z w:val="21"/>
              </w:rPr>
              <w:t>32,809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213,260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2018-04-30</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张磊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213,260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213,260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2019-04-30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宁波杰赢</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4,035,543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1,008,885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3,026,658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2017-05-05</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宁波杰赢</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3,026,658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403,555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2,623,103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2018-04-30</w:t>
            </w:r>
          </w:p>
        </w:tc>
      </w:tr>
    </w:tbl>
    <w:p>
      <w:pPr>
        <w:spacing w:after="0" w:line="240" w:lineRule="auto"/>
        <w:jc w:val="left"/>
        <w:rPr>
          <w:rFonts w:ascii="Times New Roman" w:hAnsi="Times New Roman" w:cs="Times New Roman" w:eastAsia="Times New Roman" w:hint="default"/>
          <w:sz w:val="21"/>
          <w:szCs w:val="21"/>
        </w:rPr>
        <w:sectPr>
          <w:pgSz w:w="11910" w:h="16840"/>
          <w:pgMar w:header="882" w:footer="1195" w:top="1120" w:bottom="1380" w:left="114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222"/>
        <w:gridCol w:w="1373"/>
        <w:gridCol w:w="1289"/>
        <w:gridCol w:w="1159"/>
        <w:gridCol w:w="1460"/>
        <w:gridCol w:w="1880"/>
        <w:gridCol w:w="1536"/>
      </w:tblGrid>
      <w:tr>
        <w:trPr>
          <w:trHeight w:val="28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 w:right="0"/>
              <w:jc w:val="left"/>
              <w:rPr>
                <w:rFonts w:ascii="宋体" w:hAnsi="宋体" w:cs="宋体" w:eastAsia="宋体" w:hint="default"/>
                <w:sz w:val="21"/>
                <w:szCs w:val="21"/>
              </w:rPr>
            </w:pPr>
            <w:r>
              <w:rPr>
                <w:rFonts w:ascii="宋体" w:hAnsi="宋体" w:cs="宋体" w:eastAsia="宋体" w:hint="default"/>
                <w:sz w:val="21"/>
                <w:szCs w:val="21"/>
              </w:rPr>
              <w:t>宁波杰赢</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2,623,103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2,623,103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2019-04-30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宁波杰宝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6,830,509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1,707,627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5,122,882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2017-05-05</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宁波杰宝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5,122,882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683,051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4,439,831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2018-04-30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sz w:val="21"/>
                <w:szCs w:val="21"/>
              </w:rPr>
              <w:t>宁波杰宝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4,439,831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4,439,831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2019-04-30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浙江赛盛</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2,003,602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2,003,602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2017-02-20</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宁波赛伯乐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2,003,602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2,003,602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2017-02-20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杭州赛伯乐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1,821,459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1,821,459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2017-02-20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宁波市科发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2,094,678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2,094,678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2017-02-20</w:t>
            </w:r>
          </w:p>
        </w:tc>
      </w:tr>
      <w:tr>
        <w:trPr>
          <w:trHeight w:val="55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left"/>
              <w:rPr>
                <w:rFonts w:ascii="宋体" w:hAnsi="宋体" w:cs="宋体" w:eastAsia="宋体" w:hint="default"/>
                <w:sz w:val="21"/>
                <w:szCs w:val="21"/>
              </w:rPr>
            </w:pPr>
            <w:r>
              <w:rPr>
                <w:rFonts w:ascii="宋体" w:hAnsi="宋体" w:cs="宋体" w:eastAsia="宋体" w:hint="default"/>
                <w:spacing w:val="9"/>
                <w:sz w:val="21"/>
                <w:szCs w:val="21"/>
              </w:rPr>
              <w:t>宁波市科发</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二号</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965,371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965,371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left"/>
              <w:rPr>
                <w:rFonts w:ascii="Times New Roman" w:hAnsi="Times New Roman" w:cs="Times New Roman" w:eastAsia="Times New Roman" w:hint="default"/>
                <w:sz w:val="21"/>
                <w:szCs w:val="21"/>
              </w:rPr>
            </w:pPr>
            <w:r>
              <w:rPr>
                <w:rFonts w:ascii="Times New Roman"/>
                <w:sz w:val="21"/>
              </w:rPr>
              <w:t>2017-02-20</w:t>
            </w:r>
          </w:p>
        </w:tc>
      </w:tr>
      <w:tr>
        <w:trPr>
          <w:trHeight w:val="28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杭州科发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3,387,914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3,387,914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r>
              <w:rPr>
                <w:rFonts w:ascii="Times New Roman"/>
                <w:sz w:val="21"/>
              </w:rPr>
              <w:t>2017-02-20</w:t>
            </w:r>
          </w:p>
        </w:tc>
      </w:tr>
      <w:tr>
        <w:trPr>
          <w:trHeight w:val="28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谢建军</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182,157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182,157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2017-02-20</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浙江中赢</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2,178,790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Times New Roman" w:hAnsi="Times New Roman" w:cs="Times New Roman" w:eastAsia="Times New Roman" w:hint="default"/>
                <w:sz w:val="21"/>
                <w:szCs w:val="21"/>
              </w:rPr>
            </w:pPr>
            <w:r>
              <w:rPr>
                <w:rFonts w:ascii="Times New Roman"/>
                <w:spacing w:val="-1"/>
                <w:sz w:val="21"/>
              </w:rPr>
              <w:t>2,178,790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见表后注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r>
              <w:rPr>
                <w:rFonts w:ascii="Times New Roman"/>
                <w:sz w:val="21"/>
              </w:rPr>
              <w:t>2017-02-20</w:t>
            </w:r>
          </w:p>
        </w:tc>
      </w:tr>
      <w:tr>
        <w:trPr>
          <w:trHeight w:val="55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1,120,000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1,120,000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pacing w:val="8"/>
                <w:sz w:val="21"/>
                <w:szCs w:val="21"/>
              </w:rPr>
              <w:t>《限制性股票激励</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计划》相关规定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left"/>
              <w:rPr>
                <w:rFonts w:ascii="Times New Roman" w:hAnsi="Times New Roman" w:cs="Times New Roman" w:eastAsia="Times New Roman" w:hint="default"/>
                <w:sz w:val="21"/>
                <w:szCs w:val="21"/>
              </w:rPr>
            </w:pPr>
            <w:r>
              <w:rPr>
                <w:rFonts w:ascii="Times New Roman"/>
                <w:sz w:val="21"/>
              </w:rPr>
              <w:t>2017-12-21</w:t>
            </w:r>
          </w:p>
        </w:tc>
      </w:tr>
      <w:tr>
        <w:trPr>
          <w:trHeight w:val="55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240,000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240,000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pacing w:val="8"/>
                <w:sz w:val="21"/>
                <w:szCs w:val="21"/>
              </w:rPr>
              <w:t>《限制性股票激励</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计划》相关规定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left"/>
              <w:rPr>
                <w:rFonts w:ascii="Times New Roman" w:hAnsi="Times New Roman" w:cs="Times New Roman" w:eastAsia="Times New Roman" w:hint="default"/>
                <w:sz w:val="21"/>
                <w:szCs w:val="21"/>
              </w:rPr>
            </w:pPr>
            <w:r>
              <w:rPr>
                <w:rFonts w:ascii="Times New Roman"/>
                <w:sz w:val="21"/>
              </w:rPr>
              <w:t>2017-12-21</w:t>
            </w:r>
          </w:p>
        </w:tc>
      </w:tr>
      <w:tr>
        <w:trPr>
          <w:trHeight w:val="55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200,000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200,000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pacing w:val="8"/>
                <w:sz w:val="21"/>
                <w:szCs w:val="21"/>
              </w:rPr>
              <w:t>《限制性股票激励</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计划》相关规定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left"/>
              <w:rPr>
                <w:rFonts w:ascii="Times New Roman" w:hAnsi="Times New Roman" w:cs="Times New Roman" w:eastAsia="Times New Roman" w:hint="default"/>
                <w:sz w:val="21"/>
                <w:szCs w:val="21"/>
              </w:rPr>
            </w:pPr>
            <w:r>
              <w:rPr>
                <w:rFonts w:ascii="Times New Roman"/>
                <w:sz w:val="21"/>
              </w:rPr>
              <w:t>2017-12-21</w:t>
            </w:r>
          </w:p>
        </w:tc>
      </w:tr>
      <w:tr>
        <w:trPr>
          <w:trHeight w:val="55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160,000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160,000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pacing w:val="8"/>
                <w:sz w:val="21"/>
                <w:szCs w:val="21"/>
              </w:rPr>
              <w:t>《限制性股票激励</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计划》相关规定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left"/>
              <w:rPr>
                <w:rFonts w:ascii="Times New Roman" w:hAnsi="Times New Roman" w:cs="Times New Roman" w:eastAsia="Times New Roman" w:hint="default"/>
                <w:sz w:val="21"/>
                <w:szCs w:val="21"/>
              </w:rPr>
            </w:pPr>
            <w:r>
              <w:rPr>
                <w:rFonts w:ascii="Times New Roman"/>
                <w:sz w:val="21"/>
              </w:rPr>
              <w:t>2017-12-21</w:t>
            </w:r>
          </w:p>
        </w:tc>
      </w:tr>
      <w:tr>
        <w:trPr>
          <w:trHeight w:val="55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160,000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pacing w:val="-1"/>
                <w:sz w:val="21"/>
              </w:rPr>
              <w:t>160,000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pacing w:val="8"/>
                <w:sz w:val="21"/>
                <w:szCs w:val="21"/>
              </w:rPr>
              <w:t>《限制性股票激励</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计划》相关规定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left"/>
              <w:rPr>
                <w:rFonts w:ascii="Times New Roman" w:hAnsi="Times New Roman" w:cs="Times New Roman" w:eastAsia="Times New Roman" w:hint="default"/>
                <w:sz w:val="21"/>
                <w:szCs w:val="21"/>
              </w:rPr>
            </w:pPr>
            <w:r>
              <w:rPr>
                <w:rFonts w:ascii="Times New Roman"/>
                <w:sz w:val="21"/>
              </w:rPr>
              <w:t>2017-12-21</w:t>
            </w:r>
          </w:p>
        </w:tc>
      </w:tr>
      <w:tr>
        <w:trPr>
          <w:trHeight w:val="555"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0"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48"/>
              <w:jc w:val="right"/>
              <w:rPr>
                <w:rFonts w:ascii="Times New Roman" w:hAnsi="Times New Roman" w:cs="Times New Roman" w:eastAsia="Times New Roman" w:hint="default"/>
                <w:sz w:val="21"/>
                <w:szCs w:val="21"/>
              </w:rPr>
            </w:pPr>
            <w:r>
              <w:rPr>
                <w:rFonts w:ascii="Times New Roman"/>
                <w:spacing w:val="-1"/>
                <w:sz w:val="21"/>
              </w:rPr>
              <w:t>120,000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48"/>
              <w:jc w:val="right"/>
              <w:rPr>
                <w:rFonts w:ascii="Times New Roman" w:hAnsi="Times New Roman" w:cs="Times New Roman" w:eastAsia="Times New Roman" w:hint="default"/>
                <w:sz w:val="21"/>
                <w:szCs w:val="21"/>
              </w:rPr>
            </w:pPr>
            <w:r>
              <w:rPr>
                <w:rFonts w:ascii="Times New Roman"/>
                <w:spacing w:val="-1"/>
                <w:sz w:val="21"/>
              </w:rPr>
              <w:t>120,000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pacing w:val="8"/>
                <w:sz w:val="21"/>
                <w:szCs w:val="21"/>
              </w:rPr>
              <w:t>《限制性股票激励</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计划》相关规定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2" w:right="0"/>
              <w:jc w:val="left"/>
              <w:rPr>
                <w:rFonts w:ascii="Times New Roman" w:hAnsi="Times New Roman" w:cs="Times New Roman" w:eastAsia="Times New Roman" w:hint="default"/>
                <w:sz w:val="21"/>
                <w:szCs w:val="21"/>
              </w:rPr>
            </w:pPr>
            <w:r>
              <w:rPr>
                <w:rFonts w:ascii="Times New Roman"/>
                <w:sz w:val="21"/>
              </w:rPr>
              <w:t>2017-12-21</w:t>
            </w:r>
          </w:p>
        </w:tc>
      </w:tr>
      <w:tr>
        <w:trPr>
          <w:trHeight w:val="55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许全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0"/>
              <w:jc w:val="right"/>
              <w:rPr>
                <w:rFonts w:ascii="Times New Roman" w:hAnsi="Times New Roman" w:cs="Times New Roman" w:eastAsia="Times New Roman" w:hint="default"/>
                <w:sz w:val="21"/>
                <w:szCs w:val="21"/>
              </w:rPr>
            </w:pPr>
            <w:r>
              <w:rPr>
                <w:rFonts w:ascii="Times New Roman"/>
                <w:sz w:val="21"/>
              </w:rPr>
              <w:t>80,000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48"/>
              <w:jc w:val="right"/>
              <w:rPr>
                <w:rFonts w:ascii="Times New Roman" w:hAnsi="Times New Roman" w:cs="Times New Roman" w:eastAsia="Times New Roman" w:hint="default"/>
                <w:sz w:val="21"/>
                <w:szCs w:val="21"/>
              </w:rPr>
            </w:pPr>
            <w:r>
              <w:rPr>
                <w:rFonts w:ascii="Times New Roman"/>
                <w:sz w:val="21"/>
              </w:rPr>
              <w:t>80,000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pacing w:val="8"/>
                <w:sz w:val="21"/>
                <w:szCs w:val="21"/>
              </w:rPr>
              <w:t>《限制性股票激励</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计划》相关规定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2" w:right="0"/>
              <w:jc w:val="left"/>
              <w:rPr>
                <w:rFonts w:ascii="Times New Roman" w:hAnsi="Times New Roman" w:cs="Times New Roman" w:eastAsia="Times New Roman" w:hint="default"/>
                <w:sz w:val="21"/>
                <w:szCs w:val="21"/>
              </w:rPr>
            </w:pPr>
            <w:r>
              <w:rPr>
                <w:rFonts w:ascii="Times New Roman"/>
                <w:sz w:val="21"/>
              </w:rPr>
              <w:t>2017-12-21</w:t>
            </w:r>
          </w:p>
        </w:tc>
      </w:tr>
      <w:tr>
        <w:trPr>
          <w:trHeight w:val="557"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饶琛敏</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0"/>
              <w:jc w:val="right"/>
              <w:rPr>
                <w:rFonts w:ascii="Times New Roman" w:hAnsi="Times New Roman" w:cs="Times New Roman" w:eastAsia="Times New Roman" w:hint="default"/>
                <w:sz w:val="21"/>
                <w:szCs w:val="21"/>
              </w:rPr>
            </w:pPr>
            <w:r>
              <w:rPr>
                <w:rFonts w:ascii="Times New Roman"/>
                <w:sz w:val="21"/>
              </w:rPr>
              <w:t>80,000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48"/>
              <w:jc w:val="right"/>
              <w:rPr>
                <w:rFonts w:ascii="Times New Roman" w:hAnsi="Times New Roman" w:cs="Times New Roman" w:eastAsia="Times New Roman" w:hint="default"/>
                <w:sz w:val="21"/>
                <w:szCs w:val="21"/>
              </w:rPr>
            </w:pPr>
            <w:r>
              <w:rPr>
                <w:rFonts w:ascii="Times New Roman"/>
                <w:sz w:val="21"/>
              </w:rPr>
              <w:t>80,000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pacing w:val="8"/>
                <w:sz w:val="21"/>
                <w:szCs w:val="21"/>
              </w:rPr>
              <w:t>《限制性股票激励</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计划》相关规定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2" w:right="0"/>
              <w:jc w:val="left"/>
              <w:rPr>
                <w:rFonts w:ascii="Times New Roman" w:hAnsi="Times New Roman" w:cs="Times New Roman" w:eastAsia="Times New Roman" w:hint="default"/>
                <w:sz w:val="21"/>
                <w:szCs w:val="21"/>
              </w:rPr>
            </w:pPr>
            <w:r>
              <w:rPr>
                <w:rFonts w:ascii="Times New Roman"/>
                <w:sz w:val="21"/>
              </w:rPr>
              <w:t>2017-12-21</w:t>
            </w:r>
          </w:p>
        </w:tc>
      </w:tr>
      <w:tr>
        <w:trPr>
          <w:trHeight w:val="55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sz w:val="21"/>
              </w:rPr>
              <w:t>80,000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8"/>
              <w:jc w:val="right"/>
              <w:rPr>
                <w:rFonts w:ascii="Times New Roman" w:hAnsi="Times New Roman" w:cs="Times New Roman" w:eastAsia="Times New Roman" w:hint="default"/>
                <w:sz w:val="21"/>
                <w:szCs w:val="21"/>
              </w:rPr>
            </w:pPr>
            <w:r>
              <w:rPr>
                <w:rFonts w:ascii="Times New Roman"/>
                <w:sz w:val="21"/>
              </w:rPr>
              <w:t>80,000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0"/>
              <w:jc w:val="right"/>
              <w:rPr>
                <w:rFonts w:ascii="Times New Roman" w:hAnsi="Times New Roman" w:cs="Times New Roman" w:eastAsia="Times New Roman" w:hint="default"/>
                <w:sz w:val="21"/>
                <w:szCs w:val="21"/>
              </w:rPr>
            </w:pPr>
            <w:r>
              <w:rPr>
                <w:rFonts w:ascii="Times New Roman"/>
                <w:w w:val="100"/>
                <w:sz w:val="21"/>
              </w:rPr>
              <w:t>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pacing w:val="8"/>
                <w:sz w:val="21"/>
                <w:szCs w:val="21"/>
              </w:rPr>
              <w:t>《限制性股票激励</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计划》相关规定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left"/>
              <w:rPr>
                <w:rFonts w:ascii="Times New Roman" w:hAnsi="Times New Roman" w:cs="Times New Roman" w:eastAsia="Times New Roman" w:hint="default"/>
                <w:sz w:val="21"/>
                <w:szCs w:val="21"/>
              </w:rPr>
            </w:pPr>
            <w:r>
              <w:rPr>
                <w:rFonts w:ascii="Times New Roman"/>
                <w:sz w:val="21"/>
              </w:rPr>
              <w:t>2017-12-21</w:t>
            </w: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2"/>
                <w:sz w:val="21"/>
              </w:rPr>
              <w:t>112,185,339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49,955,512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62,229,827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5"/>
        <w:rPr>
          <w:rFonts w:ascii="宋体" w:hAnsi="宋体" w:cs="宋体" w:eastAsia="宋体" w:hint="default"/>
          <w:sz w:val="15"/>
          <w:szCs w:val="15"/>
        </w:rPr>
      </w:pPr>
    </w:p>
    <w:p>
      <w:pPr>
        <w:pStyle w:val="BodyText"/>
        <w:spacing w:line="272" w:lineRule="exact" w:before="64"/>
        <w:ind w:left="658" w:right="646" w:firstLine="419"/>
        <w:jc w:val="left"/>
      </w:pPr>
      <w:r>
        <w:rPr>
          <w:spacing w:val="-7"/>
        </w:rPr>
        <w:t>注：限售股份变动情况的说明：胡健、余弓卜、成海林、李爱明、郭兆滨、张磊、宁波杰赢、</w:t>
      </w:r>
      <w:r>
        <w:rPr>
          <w:w w:val="100"/>
        </w:rPr>
        <w:t> </w:t>
      </w:r>
      <w:r>
        <w:rPr/>
        <w:t>宁波杰宝限售解禁期为每年度的</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spacing w:val="-6"/>
        </w:rPr>
        <w:t>日，由于双方协议约定有业绩补偿条款，实际解禁日期应</w:t>
      </w:r>
    </w:p>
    <w:p>
      <w:pPr>
        <w:pStyle w:val="BodyText"/>
        <w:spacing w:line="255" w:lineRule="exact"/>
        <w:ind w:left="658" w:right="0"/>
        <w:jc w:val="both"/>
        <w:rPr>
          <w:rFonts w:ascii="Times New Roman" w:hAnsi="Times New Roman" w:cs="Times New Roman" w:eastAsia="Times New Roman" w:hint="default"/>
        </w:rPr>
      </w:pPr>
      <w:r>
        <w:rPr/>
        <w:t>满足上述解禁日期且博辕信息的年度《专项审核报告》出具后。故实际解禁时间在每年 </w:t>
      </w:r>
      <w:r>
        <w:rPr>
          <w:rFonts w:ascii="Times New Roman" w:hAnsi="Times New Roman" w:cs="Times New Roman" w:eastAsia="Times New Roman" w:hint="default"/>
        </w:rPr>
        <w:t>4  </w:t>
      </w:r>
      <w:r>
        <w:rPr/>
        <w:t>月</w:t>
      </w:r>
      <w:r>
        <w:rPr>
          <w:spacing w:val="8"/>
        </w:rPr>
        <w:t> </w:t>
      </w:r>
      <w:r>
        <w:rPr>
          <w:rFonts w:ascii="Times New Roman" w:hAnsi="Times New Roman" w:cs="Times New Roman" w:eastAsia="Times New Roman" w:hint="default"/>
        </w:rPr>
        <w:t>30</w:t>
      </w:r>
    </w:p>
    <w:p>
      <w:pPr>
        <w:pStyle w:val="BodyText"/>
        <w:spacing w:line="274" w:lineRule="exact" w:before="16"/>
        <w:ind w:left="658" w:right="648"/>
        <w:jc w:val="left"/>
      </w:pPr>
      <w:r>
        <w:rPr>
          <w:spacing w:val="-1"/>
        </w:rPr>
        <w:t>日左右，具体每年解禁日期以当年公告为准。具体内容详见公司《发行股份购买资产之股份发行</w:t>
      </w:r>
      <w:r>
        <w:rPr>
          <w:spacing w:val="-55"/>
        </w:rPr>
        <w:t> </w:t>
      </w:r>
      <w:r>
        <w:rPr>
          <w:spacing w:val="-55"/>
        </w:rPr>
      </w:r>
      <w:r>
        <w:rPr>
          <w:spacing w:val="-14"/>
          <w:w w:val="100"/>
        </w:rPr>
        <w:t>结果暨股本变动公告》（公告编号：</w:t>
      </w:r>
      <w:r>
        <w:rPr>
          <w:rFonts w:ascii="Times New Roman" w:hAnsi="Times New Roman" w:cs="Times New Roman" w:eastAsia="Times New Roman" w:hint="default"/>
          <w:spacing w:val="-14"/>
          <w:w w:val="100"/>
        </w:rPr>
        <w:t>2016-016</w:t>
      </w:r>
      <w:r>
        <w:rPr>
          <w:spacing w:val="-14"/>
          <w:w w:val="100"/>
        </w:rPr>
        <w:t>）。</w:t>
      </w:r>
      <w:r>
        <w:rPr>
          <w:w w:val="100"/>
        </w:rPr>
      </w:r>
    </w:p>
    <w:p>
      <w:pPr>
        <w:pStyle w:val="BodyText"/>
        <w:spacing w:line="253" w:lineRule="exact"/>
        <w:ind w:left="1078"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年限制性股票激励计划在</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日完成股份划转，包括公司董事、高级管理人</w:t>
      </w:r>
    </w:p>
    <w:p>
      <w:pPr>
        <w:pStyle w:val="BodyText"/>
        <w:spacing w:line="225" w:lineRule="auto" w:before="6"/>
        <w:ind w:left="658" w:right="649"/>
        <w:jc w:val="both"/>
      </w:pPr>
      <w:r>
        <w:rPr>
          <w:w w:val="100"/>
        </w:rPr>
        <w:t>员</w:t>
      </w:r>
      <w:r>
        <w:rPr>
          <w:spacing w:val="-99"/>
          <w:w w:val="100"/>
        </w:rPr>
        <w:t>、</w:t>
      </w:r>
      <w:r>
        <w:rPr>
          <w:spacing w:val="-3"/>
          <w:w w:val="100"/>
        </w:rPr>
        <w:t>主</w:t>
      </w:r>
      <w:r>
        <w:rPr>
          <w:w w:val="100"/>
        </w:rPr>
        <w:t>要</w:t>
      </w:r>
      <w:r>
        <w:rPr>
          <w:spacing w:val="-3"/>
          <w:w w:val="100"/>
        </w:rPr>
        <w:t>中</w:t>
      </w:r>
      <w:r>
        <w:rPr>
          <w:w w:val="100"/>
        </w:rPr>
        <w:t>层</w:t>
      </w:r>
      <w:r>
        <w:rPr>
          <w:spacing w:val="-3"/>
          <w:w w:val="100"/>
        </w:rPr>
        <w:t>管</w:t>
      </w:r>
      <w:r>
        <w:rPr>
          <w:w w:val="100"/>
        </w:rPr>
        <w:t>理</w:t>
      </w:r>
      <w:r>
        <w:rPr>
          <w:spacing w:val="-3"/>
          <w:w w:val="100"/>
        </w:rPr>
        <w:t>人</w:t>
      </w:r>
      <w:r>
        <w:rPr>
          <w:w w:val="100"/>
        </w:rPr>
        <w:t>员</w:t>
      </w:r>
      <w:r>
        <w:rPr>
          <w:spacing w:val="-3"/>
          <w:w w:val="100"/>
        </w:rPr>
        <w:t>及核</w:t>
      </w:r>
      <w:r>
        <w:rPr>
          <w:w w:val="100"/>
        </w:rPr>
        <w:t>心骨</w:t>
      </w:r>
      <w:r>
        <w:rPr>
          <w:spacing w:val="-3"/>
          <w:w w:val="100"/>
        </w:rPr>
        <w:t>干</w:t>
      </w:r>
      <w:r>
        <w:rPr>
          <w:w w:val="100"/>
        </w:rPr>
        <w:t>在</w:t>
      </w:r>
      <w:r>
        <w:rPr>
          <w:spacing w:val="-3"/>
          <w:w w:val="100"/>
        </w:rPr>
        <w:t>内</w:t>
      </w:r>
      <w:r>
        <w:rPr>
          <w:w w:val="100"/>
        </w:rPr>
        <w:t>的</w:t>
      </w:r>
      <w:r>
        <w:rPr>
          <w:spacing w:val="-55"/>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人</w:t>
      </w:r>
      <w:r>
        <w:rPr>
          <w:spacing w:val="-3"/>
          <w:w w:val="100"/>
        </w:rPr>
        <w:t>合计</w:t>
      </w:r>
      <w:r>
        <w:rPr>
          <w:w w:val="100"/>
        </w:rPr>
        <w:t>授予</w:t>
      </w:r>
      <w:r>
        <w:rPr>
          <w:spacing w:val="-3"/>
          <w:w w:val="100"/>
        </w:rPr>
        <w:t>限</w:t>
      </w:r>
      <w:r>
        <w:rPr>
          <w:w w:val="100"/>
        </w:rPr>
        <w:t>制</w:t>
      </w:r>
      <w:r>
        <w:rPr>
          <w:spacing w:val="-3"/>
          <w:w w:val="100"/>
        </w:rPr>
        <w:t>性股</w:t>
      </w:r>
      <w:r>
        <w:rPr>
          <w:w w:val="100"/>
        </w:rPr>
        <w:t>票</w:t>
      </w:r>
      <w:r>
        <w:rPr>
          <w:spacing w:val="-53"/>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万股</w:t>
      </w:r>
      <w:r>
        <w:rPr>
          <w:spacing w:val="-99"/>
          <w:w w:val="100"/>
        </w:rPr>
        <w:t>。</w:t>
      </w:r>
      <w:r>
        <w:rPr>
          <w:w w:val="100"/>
        </w:rPr>
        <w:t>具</w:t>
      </w:r>
      <w:r>
        <w:rPr>
          <w:spacing w:val="-3"/>
          <w:w w:val="100"/>
        </w:rPr>
        <w:t>体</w:t>
      </w:r>
      <w:r>
        <w:rPr>
          <w:w w:val="100"/>
        </w:rPr>
        <w:t>内</w:t>
      </w:r>
      <w:r>
        <w:rPr>
          <w:spacing w:val="-3"/>
          <w:w w:val="100"/>
        </w:rPr>
        <w:t>容</w:t>
      </w:r>
      <w:r>
        <w:rPr>
          <w:w w:val="100"/>
        </w:rPr>
        <w:t>详</w:t>
      </w:r>
      <w:r>
        <w:rPr>
          <w:spacing w:val="-101"/>
          <w:w w:val="100"/>
        </w:rPr>
        <w:t>见</w:t>
      </w:r>
      <w:r>
        <w:rPr>
          <w:w w:val="100"/>
        </w:rPr>
        <w:t>《泰</w:t>
      </w:r>
      <w:r>
        <w:rPr>
          <w:w w:val="100"/>
        </w:rPr>
        <w:t> </w:t>
      </w:r>
      <w:r>
        <w:rPr>
          <w:spacing w:val="14"/>
          <w:w w:val="100"/>
        </w:rPr>
        <w:t>豪科</w:t>
      </w:r>
      <w:r>
        <w:rPr>
          <w:spacing w:val="11"/>
          <w:w w:val="100"/>
        </w:rPr>
        <w:t>技</w:t>
      </w:r>
      <w:r>
        <w:rPr>
          <w:spacing w:val="14"/>
          <w:w w:val="100"/>
        </w:rPr>
        <w:t>股</w:t>
      </w:r>
      <w:r>
        <w:rPr>
          <w:spacing w:val="11"/>
          <w:w w:val="100"/>
        </w:rPr>
        <w:t>份</w:t>
      </w:r>
      <w:r>
        <w:rPr>
          <w:spacing w:val="14"/>
          <w:w w:val="100"/>
        </w:rPr>
        <w:t>有限</w:t>
      </w:r>
      <w:r>
        <w:rPr>
          <w:spacing w:val="11"/>
          <w:w w:val="100"/>
        </w:rPr>
        <w:t>公</w:t>
      </w:r>
      <w:r>
        <w:rPr>
          <w:spacing w:val="14"/>
          <w:w w:val="100"/>
        </w:rPr>
        <w:t>司</w:t>
      </w:r>
      <w:r>
        <w:rPr>
          <w:spacing w:val="11"/>
          <w:w w:val="100"/>
        </w:rPr>
        <w:t>关</w:t>
      </w:r>
      <w:r>
        <w:rPr>
          <w:w w:val="100"/>
        </w:rPr>
        <w:t>于</w:t>
      </w:r>
      <w:r>
        <w:rPr>
          <w:spacing w:val="17"/>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spacing w:val="11"/>
          <w:w w:val="100"/>
        </w:rPr>
        <w:t>年</w:t>
      </w:r>
      <w:r>
        <w:rPr>
          <w:spacing w:val="14"/>
          <w:w w:val="100"/>
        </w:rPr>
        <w:t>限</w:t>
      </w:r>
      <w:r>
        <w:rPr>
          <w:spacing w:val="11"/>
          <w:w w:val="100"/>
        </w:rPr>
        <w:t>制</w:t>
      </w:r>
      <w:r>
        <w:rPr>
          <w:spacing w:val="14"/>
          <w:w w:val="100"/>
        </w:rPr>
        <w:t>性股</w:t>
      </w:r>
      <w:r>
        <w:rPr>
          <w:spacing w:val="11"/>
          <w:w w:val="100"/>
        </w:rPr>
        <w:t>票激</w:t>
      </w:r>
      <w:r>
        <w:rPr>
          <w:spacing w:val="14"/>
          <w:w w:val="100"/>
        </w:rPr>
        <w:t>励计</w:t>
      </w:r>
      <w:r>
        <w:rPr>
          <w:spacing w:val="11"/>
          <w:w w:val="100"/>
        </w:rPr>
        <w:t>划</w:t>
      </w:r>
      <w:r>
        <w:rPr>
          <w:spacing w:val="14"/>
          <w:w w:val="100"/>
        </w:rPr>
        <w:t>首</w:t>
      </w:r>
      <w:r>
        <w:rPr>
          <w:spacing w:val="11"/>
          <w:w w:val="100"/>
        </w:rPr>
        <w:t>次</w:t>
      </w:r>
      <w:r>
        <w:rPr>
          <w:spacing w:val="14"/>
          <w:w w:val="100"/>
        </w:rPr>
        <w:t>授予</w:t>
      </w:r>
      <w:r>
        <w:rPr>
          <w:spacing w:val="11"/>
          <w:w w:val="100"/>
        </w:rPr>
        <w:t>结</w:t>
      </w:r>
      <w:r>
        <w:rPr>
          <w:spacing w:val="14"/>
          <w:w w:val="100"/>
        </w:rPr>
        <w:t>果</w:t>
      </w:r>
      <w:r>
        <w:rPr>
          <w:spacing w:val="11"/>
          <w:w w:val="100"/>
        </w:rPr>
        <w:t>公</w:t>
      </w:r>
      <w:r>
        <w:rPr>
          <w:w w:val="100"/>
        </w:rPr>
        <w:t>告</w:t>
      </w:r>
      <w:r>
        <w:rPr>
          <w:spacing w:val="-86"/>
        </w:rPr>
        <w:t> </w:t>
      </w:r>
      <w:r>
        <w:rPr>
          <w:spacing w:val="-92"/>
          <w:w w:val="100"/>
        </w:rPr>
        <w:t>》</w:t>
      </w:r>
      <w:r>
        <w:rPr>
          <w:spacing w:val="14"/>
          <w:w w:val="100"/>
        </w:rPr>
        <w:t>（</w:t>
      </w:r>
      <w:r>
        <w:rPr>
          <w:spacing w:val="11"/>
          <w:w w:val="100"/>
        </w:rPr>
        <w:t>公</w:t>
      </w:r>
      <w:r>
        <w:rPr>
          <w:spacing w:val="14"/>
          <w:w w:val="100"/>
        </w:rPr>
        <w:t>告</w:t>
      </w:r>
      <w:r>
        <w:rPr>
          <w:spacing w:val="11"/>
          <w:w w:val="100"/>
        </w:rPr>
        <w:t>编</w:t>
      </w:r>
      <w:r>
        <w:rPr>
          <w:spacing w:val="14"/>
          <w:w w:val="100"/>
        </w:rPr>
        <w:t>号</w:t>
      </w:r>
      <w:r>
        <w:rPr>
          <w:spacing w:val="11"/>
          <w:w w:val="100"/>
        </w:rPr>
        <w:t>：</w:t>
      </w:r>
      <w:r>
        <w:rPr>
          <w:w w:val="100"/>
        </w:rPr>
        <w:t>临</w:t>
      </w:r>
      <w:r>
        <w:rPr>
          <w:w w:val="100"/>
        </w:rPr>
        <w:t> </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001</w:t>
      </w:r>
      <w:r>
        <w:rPr>
          <w:spacing w:val="-106"/>
          <w:w w:val="100"/>
        </w:rPr>
        <w:t>）。</w:t>
      </w:r>
      <w:r>
        <w:rPr>
          <w:w w:val="100"/>
        </w:rPr>
      </w:r>
    </w:p>
    <w:p>
      <w:pPr>
        <w:pStyle w:val="Heading2"/>
        <w:spacing w:line="290" w:lineRule="auto" w:before="43"/>
        <w:ind w:left="658" w:right="651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4" w:lineRule="exact" w:before="38"/>
        <w:ind w:left="658" w:right="89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5"/>
          <w:w w:val="100"/>
        </w:rPr>
        <w:t>截至报告期内证券发行情况的说明（存续期内利率不同的债券，请分别说明）：</w:t>
      </w:r>
    </w:p>
    <w:p>
      <w:pPr>
        <w:pStyle w:val="BodyText"/>
        <w:spacing w:line="262" w:lineRule="exact"/>
        <w:ind w:left="65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62" w:lineRule="exact"/>
        <w:jc w:val="both"/>
        <w:sectPr>
          <w:footerReference w:type="default" r:id="rId27"/>
          <w:pgSz w:w="11910" w:h="16840"/>
          <w:pgMar w:footer="1195" w:header="882" w:top="1120" w:bottom="1380" w:left="1140" w:right="620"/>
        </w:sectPr>
      </w:pPr>
    </w:p>
    <w:p>
      <w:pPr>
        <w:spacing w:line="240" w:lineRule="auto" w:before="1"/>
        <w:rPr>
          <w:rFonts w:ascii="宋体" w:hAnsi="宋体" w:cs="宋体" w:eastAsia="宋体" w:hint="default"/>
          <w:sz w:val="25"/>
          <w:szCs w:val="25"/>
        </w:rPr>
      </w:pPr>
    </w:p>
    <w:p>
      <w:pPr>
        <w:pStyle w:val="Heading2"/>
        <w:spacing w:line="240" w:lineRule="auto"/>
        <w:ind w:left="218" w:right="10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976" w:val="left" w:leader="none"/>
        </w:tabs>
        <w:spacing w:line="240" w:lineRule="auto" w:before="58"/>
        <w:ind w:left="218"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218" w:right="10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218"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left="218" w:right="100"/>
        <w:jc w:val="left"/>
        <w:rPr>
          <w:b w:val="0"/>
          <w:bCs w:val="0"/>
        </w:rPr>
      </w:pPr>
      <w:r>
        <w:rPr/>
        <w:t>三、</w:t>
      </w:r>
      <w:r>
        <w:rPr>
          <w:spacing w:val="-80"/>
        </w:rPr>
        <w:t> </w:t>
      </w:r>
      <w:r>
        <w:rPr/>
        <w:t>股东和实际控制人情况</w:t>
      </w:r>
      <w:r>
        <w:rPr>
          <w:b w:val="0"/>
          <w:bCs w:val="0"/>
        </w:rPr>
      </w:r>
    </w:p>
    <w:p>
      <w:pPr>
        <w:pStyle w:val="Heading2"/>
        <w:spacing w:line="240" w:lineRule="auto" w:before="56"/>
        <w:ind w:left="218" w:right="10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6092"/>
        <w:gridCol w:w="2732"/>
      </w:tblGrid>
      <w:tr>
        <w:trPr>
          <w:trHeight w:val="283"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37,487</w:t>
            </w:r>
          </w:p>
        </w:tc>
      </w:tr>
      <w:tr>
        <w:trPr>
          <w:trHeight w:val="281"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38,230</w:t>
            </w:r>
          </w:p>
        </w:tc>
      </w:tr>
      <w:tr>
        <w:trPr>
          <w:trHeight w:val="283"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6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35" w:lineRule="exact"/>
        <w:jc w:val="right"/>
        <w:rPr>
          <w:rFonts w:ascii="Times New Roman" w:hAnsi="Times New Roman" w:cs="Times New Roman" w:eastAsia="Times New Roman" w:hint="default"/>
          <w:sz w:val="21"/>
          <w:szCs w:val="21"/>
        </w:rPr>
        <w:sectPr>
          <w:footerReference w:type="default" r:id="rId28"/>
          <w:pgSz w:w="11910" w:h="16840"/>
          <w:pgMar w:footer="1195" w:header="882" w:top="1120" w:bottom="1380" w:left="158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ind w:left="14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32"/>
        <w:ind w:left="0" w:right="119"/>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267" w:type="dxa"/>
        <w:tblLayout w:type="fixed"/>
        <w:tblCellMar>
          <w:top w:w="0" w:type="dxa"/>
          <w:left w:w="0" w:type="dxa"/>
          <w:bottom w:w="0" w:type="dxa"/>
          <w:right w:w="0" w:type="dxa"/>
        </w:tblCellMar>
        <w:tblLook w:val="01E0"/>
      </w:tblPr>
      <w:tblGrid>
        <w:gridCol w:w="4532"/>
        <w:gridCol w:w="896"/>
        <w:gridCol w:w="947"/>
        <w:gridCol w:w="1419"/>
        <w:gridCol w:w="708"/>
        <w:gridCol w:w="1419"/>
        <w:gridCol w:w="708"/>
        <w:gridCol w:w="1284"/>
        <w:gridCol w:w="132"/>
        <w:gridCol w:w="1565"/>
      </w:tblGrid>
      <w:tr>
        <w:trPr>
          <w:trHeight w:val="283" w:hRule="exact"/>
        </w:trPr>
        <w:tc>
          <w:tcPr>
            <w:tcW w:w="136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4532" w:type="dxa"/>
            <w:vMerge w:val="restart"/>
            <w:tcBorders>
              <w:top w:val="single" w:sz="4" w:space="0" w:color="000000"/>
              <w:left w:val="single" w:sz="4" w:space="0" w:color="000000"/>
              <w:right w:val="single" w:sz="4" w:space="0" w:color="000000"/>
            </w:tcBorders>
          </w:tcPr>
          <w:p>
            <w:pPr>
              <w:pStyle w:val="TableParagraph"/>
              <w:spacing w:line="273" w:lineRule="exact" w:before="107"/>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843" w:type="dxa"/>
            <w:gridSpan w:val="2"/>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2"/>
              <w:ind w:left="13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89" w:right="0"/>
              <w:jc w:val="left"/>
              <w:rPr>
                <w:rFonts w:ascii="Times New Roman" w:hAnsi="Times New Roman" w:cs="Times New Roman" w:eastAsia="Times New Roman" w:hint="default"/>
                <w:sz w:val="21"/>
                <w:szCs w:val="21"/>
              </w:rPr>
            </w:pPr>
            <w:r>
              <w:rPr>
                <w:rFonts w:ascii="Times New Roman"/>
                <w:sz w:val="21"/>
              </w:rPr>
              <w:t>(%)</w:t>
            </w:r>
          </w:p>
        </w:tc>
        <w:tc>
          <w:tcPr>
            <w:tcW w:w="1419" w:type="dxa"/>
            <w:vMerge w:val="restart"/>
            <w:tcBorders>
              <w:top w:val="single" w:sz="4" w:space="0" w:color="000000"/>
              <w:left w:val="single" w:sz="4" w:space="0" w:color="000000"/>
              <w:right w:val="single" w:sz="4" w:space="0" w:color="000000"/>
            </w:tcBorders>
          </w:tcPr>
          <w:p>
            <w:pPr>
              <w:pStyle w:val="TableParagraph"/>
              <w:spacing w:line="272" w:lineRule="exact" w:before="135"/>
              <w:ind w:left="177" w:right="72" w:hanging="106"/>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21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565" w:type="dxa"/>
            <w:vMerge w:val="restart"/>
            <w:tcBorders>
              <w:top w:val="single" w:sz="4" w:space="0" w:color="000000"/>
              <w:left w:val="single" w:sz="4" w:space="0" w:color="000000"/>
              <w:right w:val="single" w:sz="4" w:space="0" w:color="000000"/>
            </w:tcBorders>
          </w:tcPr>
          <w:p>
            <w:pPr>
              <w:pStyle w:val="TableParagraph"/>
              <w:spacing w:line="272" w:lineRule="exact" w:before="135"/>
              <w:ind w:left="566" w:right="564"/>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5" w:hRule="exact"/>
        </w:trPr>
        <w:tc>
          <w:tcPr>
            <w:tcW w:w="4532" w:type="dxa"/>
            <w:vMerge/>
            <w:tcBorders>
              <w:left w:val="single" w:sz="4" w:space="0" w:color="000000"/>
              <w:bottom w:val="single" w:sz="4" w:space="0" w:color="000000"/>
              <w:right w:val="single" w:sz="4" w:space="0" w:color="000000"/>
            </w:tcBorders>
          </w:tcPr>
          <w:p>
            <w:pPr/>
          </w:p>
        </w:tc>
        <w:tc>
          <w:tcPr>
            <w:tcW w:w="1843" w:type="dxa"/>
            <w:gridSpan w:val="2"/>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565" w:type="dxa"/>
            <w:vMerge/>
            <w:tcBorders>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6" w:right="0"/>
              <w:jc w:val="left"/>
              <w:rPr>
                <w:rFonts w:ascii="Times New Roman" w:hAnsi="Times New Roman" w:cs="Times New Roman" w:eastAsia="Times New Roman" w:hint="default"/>
                <w:sz w:val="21"/>
                <w:szCs w:val="21"/>
              </w:rPr>
            </w:pPr>
            <w:r>
              <w:rPr>
                <w:rFonts w:ascii="Times New Roman"/>
                <w:sz w:val="21"/>
              </w:rPr>
              <w:t>14,772,548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117,284,893.00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17.58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98,899,440.00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14.83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39,997,440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Times New Roman" w:hAnsi="Times New Roman" w:cs="Times New Roman" w:eastAsia="Times New Roman" w:hint="default"/>
                <w:sz w:val="21"/>
                <w:szCs w:val="21"/>
              </w:rPr>
            </w:pPr>
            <w:r>
              <w:rPr>
                <w:rFonts w:ascii="Times New Roman"/>
                <w:sz w:val="21"/>
              </w:rPr>
              <w:t>97,750,000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39,997,440.00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39,997,440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Times New Roman" w:hAnsi="Times New Roman" w:cs="Times New Roman" w:eastAsia="Times New Roman" w:hint="default"/>
                <w:sz w:val="21"/>
                <w:szCs w:val="21"/>
              </w:rPr>
            </w:pPr>
            <w:r>
              <w:rPr>
                <w:rFonts w:ascii="Times New Roman"/>
                <w:sz w:val="21"/>
              </w:rPr>
              <w:t>39,997,440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潘红生</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4" w:right="0"/>
              <w:jc w:val="left"/>
              <w:rPr>
                <w:rFonts w:ascii="Times New Roman" w:hAnsi="Times New Roman" w:cs="Times New Roman" w:eastAsia="Times New Roman" w:hint="default"/>
                <w:sz w:val="21"/>
                <w:szCs w:val="21"/>
              </w:rPr>
            </w:pPr>
            <w:r>
              <w:rPr>
                <w:rFonts w:ascii="Times New Roman"/>
                <w:sz w:val="21"/>
              </w:rPr>
              <w:t>20,477,402.00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20,477,402.00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3.07</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泰豪科技股份有限公司回购专用证券账户</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4" w:right="0"/>
              <w:jc w:val="left"/>
              <w:rPr>
                <w:rFonts w:ascii="Times New Roman" w:hAnsi="Times New Roman" w:cs="Times New Roman" w:eastAsia="Times New Roman" w:hint="default"/>
                <w:sz w:val="21"/>
                <w:szCs w:val="21"/>
              </w:rPr>
            </w:pPr>
            <w:r>
              <w:rPr>
                <w:rFonts w:ascii="Times New Roman"/>
                <w:sz w:val="21"/>
              </w:rPr>
              <w:t>19,999,918.00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19,999,918.00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冻结</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Times New Roman" w:hAnsi="Times New Roman" w:cs="Times New Roman" w:eastAsia="Times New Roman" w:hint="default"/>
                <w:sz w:val="21"/>
                <w:szCs w:val="21"/>
              </w:rPr>
            </w:pPr>
            <w:r>
              <w:rPr>
                <w:rFonts w:ascii="Times New Roman"/>
                <w:sz w:val="21"/>
              </w:rPr>
              <w:t>17,500,000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太平洋证券股份有限公司</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72" w:right="0"/>
              <w:jc w:val="left"/>
              <w:rPr>
                <w:rFonts w:ascii="Times New Roman" w:hAnsi="Times New Roman" w:cs="Times New Roman" w:eastAsia="Times New Roman" w:hint="default"/>
                <w:sz w:val="21"/>
                <w:szCs w:val="21"/>
              </w:rPr>
            </w:pPr>
            <w:r>
              <w:rPr>
                <w:rFonts w:ascii="Times New Roman"/>
                <w:sz w:val="21"/>
              </w:rPr>
              <w:t>3,768,665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15,186,156.00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2.28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14,272,042.00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2.14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10,704,031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Times New Roman" w:hAnsi="Times New Roman" w:cs="Times New Roman" w:eastAsia="Times New Roman" w:hint="default"/>
                <w:sz w:val="21"/>
                <w:szCs w:val="21"/>
              </w:rPr>
            </w:pPr>
            <w:r>
              <w:rPr>
                <w:rFonts w:ascii="Times New Roman"/>
                <w:sz w:val="21"/>
              </w:rPr>
              <w:t>14,272,042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南京瑞森投资管理合伙企业（有限合伙）</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13,325,760.00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13,325,760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9" w:right="0"/>
              <w:jc w:val="left"/>
              <w:rPr>
                <w:rFonts w:ascii="Times New Roman" w:hAnsi="Times New Roman" w:cs="Times New Roman" w:eastAsia="Times New Roman" w:hint="default"/>
                <w:sz w:val="21"/>
                <w:szCs w:val="21"/>
              </w:rPr>
            </w:pPr>
            <w:r>
              <w:rPr>
                <w:rFonts w:ascii="Times New Roman"/>
                <w:sz w:val="21"/>
              </w:rPr>
              <w:t>13,320,000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55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华澳国际信托有限公司－华澳·臻智 </w:t>
            </w:r>
            <w:r>
              <w:rPr>
                <w:rFonts w:ascii="Times New Roman" w:hAnsi="Times New Roman" w:cs="Times New Roman" w:eastAsia="Times New Roman" w:hint="default"/>
                <w:sz w:val="21"/>
                <w:szCs w:val="21"/>
              </w:rPr>
              <w:t>66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号－泰豪</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科技第一期员工持股集合资金信托计划</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04" w:right="0"/>
              <w:jc w:val="left"/>
              <w:rPr>
                <w:rFonts w:ascii="Times New Roman" w:hAnsi="Times New Roman" w:cs="Times New Roman" w:eastAsia="Times New Roman" w:hint="default"/>
                <w:sz w:val="21"/>
                <w:szCs w:val="21"/>
              </w:rPr>
            </w:pPr>
            <w:r>
              <w:rPr>
                <w:rFonts w:ascii="Times New Roman"/>
                <w:sz w:val="21"/>
              </w:rPr>
              <w:t>12,046,379.00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12,046,379.00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z w:val="21"/>
              </w:rPr>
              <w:t>1.81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w w:val="100"/>
                <w:sz w:val="21"/>
              </w:rPr>
              <w:t>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新疆硅谷天堂嘉鸿股权投资合伙企业（有限合伙</w:t>
            </w:r>
          </w:p>
        </w:tc>
        <w:tc>
          <w:tcPr>
            <w:tcW w:w="8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9,999,360.00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9,999,360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1" w:hRule="exact"/>
        </w:trPr>
        <w:tc>
          <w:tcPr>
            <w:tcW w:w="136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6375"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546"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398"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6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6375" w:type="dxa"/>
            <w:gridSpan w:val="3"/>
            <w:vMerge/>
            <w:tcBorders>
              <w:left w:val="single" w:sz="4" w:space="0" w:color="000000"/>
              <w:bottom w:val="single" w:sz="4" w:space="0" w:color="000000"/>
              <w:right w:val="single" w:sz="4" w:space="0" w:color="000000"/>
            </w:tcBorders>
          </w:tcPr>
          <w:p>
            <w:pPr/>
          </w:p>
        </w:tc>
        <w:tc>
          <w:tcPr>
            <w:tcW w:w="3546" w:type="dxa"/>
            <w:gridSpan w:val="3"/>
            <w:vMerge/>
            <w:tcBorders>
              <w:left w:val="single" w:sz="4" w:space="0" w:color="000000"/>
              <w:bottom w:val="single" w:sz="4" w:space="0" w:color="000000"/>
              <w:right w:val="single" w:sz="4" w:space="0" w:color="000000"/>
            </w:tcBorders>
          </w:tcPr>
          <w:p>
            <w:pP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1" w:hRule="exact"/>
        </w:trPr>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117,284,893</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21" w:right="0"/>
              <w:jc w:val="left"/>
              <w:rPr>
                <w:rFonts w:ascii="Times New Roman" w:hAnsi="Times New Roman" w:cs="Times New Roman" w:eastAsia="Times New Roman" w:hint="default"/>
                <w:sz w:val="21"/>
                <w:szCs w:val="21"/>
              </w:rPr>
            </w:pPr>
            <w:r>
              <w:rPr>
                <w:rFonts w:ascii="Times New Roman"/>
                <w:sz w:val="21"/>
              </w:rPr>
              <w:t>117,284,893</w:t>
            </w:r>
          </w:p>
        </w:tc>
      </w:tr>
      <w:tr>
        <w:trPr>
          <w:trHeight w:val="283" w:hRule="exact"/>
        </w:trPr>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58,902,000</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7" w:right="0"/>
              <w:jc w:val="left"/>
              <w:rPr>
                <w:rFonts w:ascii="Times New Roman" w:hAnsi="Times New Roman" w:cs="Times New Roman" w:eastAsia="Times New Roman" w:hint="default"/>
                <w:sz w:val="21"/>
                <w:szCs w:val="21"/>
              </w:rPr>
            </w:pPr>
            <w:r>
              <w:rPr>
                <w:rFonts w:ascii="Times New Roman"/>
                <w:sz w:val="21"/>
              </w:rPr>
              <w:t>58,902,000</w:t>
            </w:r>
          </w:p>
        </w:tc>
      </w:tr>
      <w:tr>
        <w:trPr>
          <w:trHeight w:val="281" w:hRule="exact"/>
        </w:trPr>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潘红生</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20,477,402</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7" w:right="0"/>
              <w:jc w:val="left"/>
              <w:rPr>
                <w:rFonts w:ascii="Times New Roman" w:hAnsi="Times New Roman" w:cs="Times New Roman" w:eastAsia="Times New Roman" w:hint="default"/>
                <w:sz w:val="21"/>
                <w:szCs w:val="21"/>
              </w:rPr>
            </w:pPr>
            <w:r>
              <w:rPr>
                <w:rFonts w:ascii="Times New Roman"/>
                <w:sz w:val="21"/>
              </w:rPr>
              <w:t>20,477,402</w:t>
            </w:r>
          </w:p>
        </w:tc>
      </w:tr>
      <w:tr>
        <w:trPr>
          <w:trHeight w:val="284" w:hRule="exact"/>
        </w:trPr>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太平洋证券股份有限公司</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15,186,156</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17" w:right="0"/>
              <w:jc w:val="left"/>
              <w:rPr>
                <w:rFonts w:ascii="Times New Roman" w:hAnsi="Times New Roman" w:cs="Times New Roman" w:eastAsia="Times New Roman" w:hint="default"/>
                <w:sz w:val="21"/>
                <w:szCs w:val="21"/>
              </w:rPr>
            </w:pPr>
            <w:r>
              <w:rPr>
                <w:rFonts w:ascii="Times New Roman"/>
                <w:sz w:val="21"/>
              </w:rPr>
              <w:t>15,186,156</w:t>
            </w:r>
          </w:p>
        </w:tc>
      </w:tr>
      <w:tr>
        <w:trPr>
          <w:trHeight w:val="554" w:hRule="exact"/>
        </w:trPr>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华澳国际信托有限公司－华澳</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臻智 </w:t>
            </w:r>
            <w:r>
              <w:rPr>
                <w:rFonts w:ascii="Times New Roman" w:hAnsi="Times New Roman" w:cs="Times New Roman" w:eastAsia="Times New Roman" w:hint="default"/>
                <w:sz w:val="21"/>
                <w:szCs w:val="21"/>
              </w:rPr>
              <w:t>66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号－泰豪科技第一期员工持股</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集合资金信托计划</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12,046,379</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7" w:right="0"/>
              <w:jc w:val="left"/>
              <w:rPr>
                <w:rFonts w:ascii="Times New Roman" w:hAnsi="Times New Roman" w:cs="Times New Roman" w:eastAsia="Times New Roman" w:hint="default"/>
                <w:sz w:val="21"/>
                <w:szCs w:val="21"/>
              </w:rPr>
            </w:pPr>
            <w:r>
              <w:rPr>
                <w:rFonts w:ascii="Times New Roman"/>
                <w:sz w:val="21"/>
              </w:rPr>
              <w:t>12,046,379</w:t>
            </w:r>
          </w:p>
        </w:tc>
      </w:tr>
      <w:tr>
        <w:trPr>
          <w:trHeight w:val="283" w:hRule="exact"/>
        </w:trPr>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曹关渔</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5,467,100</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23" w:right="0"/>
              <w:jc w:val="left"/>
              <w:rPr>
                <w:rFonts w:ascii="Times New Roman" w:hAnsi="Times New Roman" w:cs="Times New Roman" w:eastAsia="Times New Roman" w:hint="default"/>
                <w:sz w:val="21"/>
                <w:szCs w:val="21"/>
              </w:rPr>
            </w:pPr>
            <w:r>
              <w:rPr>
                <w:rFonts w:ascii="Times New Roman"/>
                <w:sz w:val="21"/>
              </w:rPr>
              <w:t>5,467,100</w:t>
            </w:r>
          </w:p>
        </w:tc>
      </w:tr>
      <w:tr>
        <w:trPr>
          <w:trHeight w:val="283" w:hRule="exact"/>
        </w:trPr>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招商证券股份有限公司－前海开源中航军工指数分级证券投资基金</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5,283,655</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23" w:right="0"/>
              <w:jc w:val="left"/>
              <w:rPr>
                <w:rFonts w:ascii="Times New Roman" w:hAnsi="Times New Roman" w:cs="Times New Roman" w:eastAsia="Times New Roman" w:hint="default"/>
                <w:sz w:val="21"/>
                <w:szCs w:val="21"/>
              </w:rPr>
            </w:pPr>
            <w:r>
              <w:rPr>
                <w:rFonts w:ascii="Times New Roman"/>
                <w:sz w:val="21"/>
              </w:rPr>
              <w:t>5,283,655</w:t>
            </w:r>
          </w:p>
        </w:tc>
      </w:tr>
      <w:tr>
        <w:trPr>
          <w:trHeight w:val="281" w:hRule="exact"/>
        </w:trPr>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全国社保基金一零七组合</w:t>
            </w:r>
          </w:p>
        </w:tc>
        <w:tc>
          <w:tcPr>
            <w:tcW w:w="35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3,949,930</w:t>
            </w:r>
          </w:p>
        </w:tc>
        <w:tc>
          <w:tcPr>
            <w:tcW w:w="1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23" w:right="0"/>
              <w:jc w:val="left"/>
              <w:rPr>
                <w:rFonts w:ascii="Times New Roman" w:hAnsi="Times New Roman" w:cs="Times New Roman" w:eastAsia="Times New Roman" w:hint="default"/>
                <w:sz w:val="21"/>
                <w:szCs w:val="21"/>
              </w:rPr>
            </w:pPr>
            <w:r>
              <w:rPr>
                <w:rFonts w:ascii="Times New Roman"/>
                <w:sz w:val="21"/>
              </w:rPr>
              <w:t>3,949,930</w:t>
            </w:r>
          </w:p>
        </w:tc>
      </w:tr>
    </w:tbl>
    <w:p>
      <w:pPr>
        <w:spacing w:after="0" w:line="235" w:lineRule="exact"/>
        <w:jc w:val="left"/>
        <w:rPr>
          <w:rFonts w:ascii="Times New Roman" w:hAnsi="Times New Roman" w:cs="Times New Roman" w:eastAsia="Times New Roman" w:hint="default"/>
          <w:sz w:val="21"/>
          <w:szCs w:val="21"/>
        </w:rPr>
        <w:sectPr>
          <w:headerReference w:type="default" r:id="rId29"/>
          <w:footerReference w:type="default" r:id="rId30"/>
          <w:pgSz w:w="16840" w:h="11910" w:orient="landscape"/>
          <w:pgMar w:header="882" w:footer="1195" w:top="1120" w:bottom="1380" w:left="1300" w:right="1400"/>
          <w:pgNumType w:start="5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267" w:type="dxa"/>
        <w:tblLayout w:type="fixed"/>
        <w:tblCellMar>
          <w:top w:w="0" w:type="dxa"/>
          <w:left w:w="0" w:type="dxa"/>
          <w:bottom w:w="0" w:type="dxa"/>
          <w:right w:w="0" w:type="dxa"/>
        </w:tblCellMar>
        <w:tblLook w:val="01E0"/>
      </w:tblPr>
      <w:tblGrid>
        <w:gridCol w:w="6375"/>
        <w:gridCol w:w="3546"/>
        <w:gridCol w:w="1992"/>
        <w:gridCol w:w="1697"/>
      </w:tblGrid>
      <w:tr>
        <w:trPr>
          <w:trHeight w:val="281"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3,568,011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3,568,011</w:t>
            </w:r>
          </w:p>
        </w:tc>
      </w:tr>
      <w:tr>
        <w:trPr>
          <w:trHeight w:val="283"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杭州科发创业投资合伙企业（有限合伙）</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3,387,914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3,387,914</w:t>
            </w:r>
          </w:p>
        </w:tc>
      </w:tr>
      <w:tr>
        <w:trPr>
          <w:trHeight w:val="554"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72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公司未知前十名股东中股东之间以及前十名无限售条件股东之间是否存在关联</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关系或是否属于一致行动人。</w:t>
            </w:r>
          </w:p>
        </w:tc>
      </w:tr>
      <w:tr>
        <w:trPr>
          <w:trHeight w:val="283"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72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82" w:footer="1195" w:top="1120" w:bottom="1380" w:left="1300" w:right="1400"/>
        </w:sectPr>
      </w:pPr>
    </w:p>
    <w:p>
      <w:pPr>
        <w:pStyle w:val="BodyText"/>
        <w:spacing w:line="273" w:lineRule="exact" w:before="36"/>
        <w:ind w:left="140" w:right="0"/>
        <w:jc w:val="left"/>
      </w:pPr>
      <w:r>
        <w:rPr>
          <w:spacing w:val="-2"/>
        </w:rPr>
        <w:t>前十名有限售条件股东持股数量及限售条件</w:t>
      </w:r>
    </w:p>
    <w:p>
      <w:pPr>
        <w:pStyle w:val="BodyText"/>
        <w:spacing w:line="289" w:lineRule="exact"/>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140" w:right="0"/>
        <w:jc w:val="left"/>
      </w:pPr>
      <w:r>
        <w:rPr/>
        <w:t>单位：股</w:t>
      </w:r>
    </w:p>
    <w:p>
      <w:pPr>
        <w:spacing w:after="0" w:line="240" w:lineRule="auto"/>
        <w:jc w:val="left"/>
        <w:sectPr>
          <w:type w:val="continuous"/>
          <w:pgSz w:w="16840" w:h="11910" w:orient="landscape"/>
          <w:pgMar w:top="1120" w:bottom="1380" w:left="1300" w:right="1400"/>
          <w:cols w:num="2" w:equalWidth="0">
            <w:col w:w="4135" w:space="8899"/>
            <w:col w:w="1106"/>
          </w:cols>
        </w:sectPr>
      </w:pPr>
    </w:p>
    <w:p>
      <w:pPr>
        <w:spacing w:line="240" w:lineRule="auto" w:before="4"/>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562"/>
        <w:gridCol w:w="3800"/>
        <w:gridCol w:w="1603"/>
        <w:gridCol w:w="1702"/>
        <w:gridCol w:w="1416"/>
        <w:gridCol w:w="4527"/>
      </w:tblGrid>
      <w:tr>
        <w:trPr>
          <w:trHeight w:val="283" w:hRule="exact"/>
        </w:trPr>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8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5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03" w:type="dxa"/>
            <w:vMerge w:val="restart"/>
            <w:tcBorders>
              <w:top w:val="single" w:sz="4" w:space="0" w:color="000000"/>
              <w:left w:val="single" w:sz="4" w:space="0" w:color="000000"/>
              <w:right w:val="single" w:sz="4" w:space="0" w:color="000000"/>
            </w:tcBorders>
          </w:tcPr>
          <w:p>
            <w:pPr>
              <w:pStyle w:val="TableParagraph"/>
              <w:spacing w:line="272" w:lineRule="exact" w:before="135"/>
              <w:ind w:left="271" w:right="55" w:hanging="209"/>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45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562" w:type="dxa"/>
            <w:vMerge/>
            <w:tcBorders>
              <w:left w:val="single" w:sz="4" w:space="0" w:color="000000"/>
              <w:bottom w:val="single" w:sz="4" w:space="0" w:color="000000"/>
              <w:right w:val="single" w:sz="4" w:space="0" w:color="000000"/>
            </w:tcBorders>
          </w:tcPr>
          <w:p>
            <w:pPr/>
          </w:p>
        </w:tc>
        <w:tc>
          <w:tcPr>
            <w:tcW w:w="3800"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4527" w:type="dxa"/>
            <w:vMerge/>
            <w:tcBorders>
              <w:left w:val="single" w:sz="4" w:space="0" w:color="000000"/>
              <w:bottom w:val="single" w:sz="4" w:space="0" w:color="000000"/>
              <w:right w:val="single" w:sz="4" w:space="0" w:color="000000"/>
            </w:tcBorders>
          </w:tcPr>
          <w:p>
            <w:pPr/>
          </w:p>
        </w:tc>
      </w:tr>
      <w:tr>
        <w:trPr>
          <w:trHeight w:val="355"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w w:val="100"/>
                <w:sz w:val="21"/>
              </w:rPr>
              <w:t>1</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21"/>
                <w:szCs w:val="21"/>
              </w:rPr>
            </w:pPr>
            <w:r>
              <w:rPr>
                <w:rFonts w:ascii="Times New Roman"/>
                <w:spacing w:val="-1"/>
                <w:sz w:val="21"/>
              </w:rPr>
              <w:t>39,997,440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39,997,440</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《上市公司非公开发行股票实施细则》相关规定</w:t>
            </w:r>
          </w:p>
        </w:tc>
      </w:tr>
      <w:tr>
        <w:trPr>
          <w:trHeight w:val="355"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w w:val="100"/>
                <w:sz w:val="21"/>
              </w:rPr>
              <w:t>2</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39,997,440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39,997,440</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w w:val="100"/>
                <w:sz w:val="21"/>
              </w:rPr>
              <w:t>3</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17"/>
              <w:jc w:val="left"/>
              <w:rPr>
                <w:rFonts w:ascii="宋体" w:hAnsi="宋体" w:cs="宋体" w:eastAsia="宋体" w:hint="default"/>
                <w:sz w:val="21"/>
                <w:szCs w:val="21"/>
              </w:rPr>
            </w:pPr>
            <w:r>
              <w:rPr>
                <w:rFonts w:ascii="宋体" w:hAnsi="宋体" w:cs="宋体" w:eastAsia="宋体" w:hint="default"/>
                <w:spacing w:val="-2"/>
                <w:sz w:val="21"/>
                <w:szCs w:val="21"/>
              </w:rPr>
              <w:t>南京瑞森投资管理合伙企业（有限合伙）</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13,325,760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13,325,760</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3" w:hRule="exact"/>
        </w:trPr>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124"/>
              <w:ind w:left="24" w:right="0"/>
              <w:jc w:val="left"/>
              <w:rPr>
                <w:rFonts w:ascii="宋体" w:hAnsi="宋体" w:cs="宋体" w:eastAsia="宋体" w:hint="default"/>
                <w:sz w:val="21"/>
                <w:szCs w:val="21"/>
              </w:rPr>
            </w:pPr>
            <w:r>
              <w:rPr>
                <w:rFonts w:ascii="宋体"/>
                <w:w w:val="100"/>
                <w:sz w:val="21"/>
              </w:rPr>
              <w:t>4</w:t>
            </w:r>
          </w:p>
        </w:tc>
        <w:tc>
          <w:tcPr>
            <w:tcW w:w="3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胡健</w:t>
            </w:r>
          </w:p>
        </w:tc>
        <w:tc>
          <w:tcPr>
            <w:tcW w:w="16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626" w:right="0"/>
              <w:jc w:val="left"/>
              <w:rPr>
                <w:rFonts w:ascii="Times New Roman" w:hAnsi="Times New Roman" w:cs="Times New Roman" w:eastAsia="Times New Roman" w:hint="default"/>
                <w:sz w:val="21"/>
                <w:szCs w:val="21"/>
              </w:rPr>
            </w:pPr>
            <w:r>
              <w:rPr>
                <w:rFonts w:ascii="Times New Roman"/>
                <w:sz w:val="21"/>
              </w:rPr>
              <w:t>10,704,031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1,427,204</w:t>
            </w:r>
          </w:p>
        </w:tc>
        <w:tc>
          <w:tcPr>
            <w:tcW w:w="4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24" w:right="24"/>
              <w:jc w:val="left"/>
              <w:rPr>
                <w:rFonts w:ascii="宋体" w:hAnsi="宋体" w:cs="宋体" w:eastAsia="宋体" w:hint="default"/>
                <w:sz w:val="21"/>
                <w:szCs w:val="21"/>
              </w:rPr>
            </w:pPr>
            <w:r>
              <w:rPr>
                <w:rFonts w:ascii="宋体" w:hAnsi="宋体" w:cs="宋体" w:eastAsia="宋体" w:hint="default"/>
                <w:sz w:val="21"/>
                <w:szCs w:val="21"/>
              </w:rPr>
              <w:t>《上市公司重大资产重组管理办法》相关规定、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协议双方约定和其承诺</w:t>
            </w:r>
          </w:p>
        </w:tc>
      </w:tr>
      <w:tr>
        <w:trPr>
          <w:trHeight w:val="355" w:hRule="exact"/>
        </w:trPr>
        <w:tc>
          <w:tcPr>
            <w:tcW w:w="562" w:type="dxa"/>
            <w:vMerge/>
            <w:tcBorders>
              <w:left w:val="single" w:sz="4" w:space="0" w:color="000000"/>
              <w:right w:val="single" w:sz="4" w:space="0" w:color="000000"/>
            </w:tcBorders>
          </w:tcPr>
          <w:p>
            <w:pPr/>
          </w:p>
        </w:tc>
        <w:tc>
          <w:tcPr>
            <w:tcW w:w="3800" w:type="dxa"/>
            <w:vMerge/>
            <w:tcBorders>
              <w:left w:val="single" w:sz="4" w:space="0" w:color="000000"/>
              <w:right w:val="single" w:sz="4" w:space="0" w:color="000000"/>
            </w:tcBorders>
          </w:tcPr>
          <w:p>
            <w:pPr/>
          </w:p>
        </w:tc>
        <w:tc>
          <w:tcPr>
            <w:tcW w:w="1603"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2,140,806</w:t>
            </w:r>
          </w:p>
        </w:tc>
        <w:tc>
          <w:tcPr>
            <w:tcW w:w="4527" w:type="dxa"/>
            <w:vMerge/>
            <w:tcBorders>
              <w:left w:val="single" w:sz="4" w:space="0" w:color="000000"/>
              <w:right w:val="single" w:sz="4" w:space="0" w:color="000000"/>
            </w:tcBorders>
          </w:tcPr>
          <w:p>
            <w:pPr/>
          </w:p>
        </w:tc>
      </w:tr>
      <w:tr>
        <w:trPr>
          <w:trHeight w:val="355" w:hRule="exact"/>
        </w:trPr>
        <w:tc>
          <w:tcPr>
            <w:tcW w:w="562" w:type="dxa"/>
            <w:vMerge/>
            <w:tcBorders>
              <w:left w:val="single" w:sz="4" w:space="0" w:color="000000"/>
              <w:right w:val="single" w:sz="4" w:space="0" w:color="000000"/>
            </w:tcBorders>
          </w:tcPr>
          <w:p>
            <w:pPr/>
          </w:p>
        </w:tc>
        <w:tc>
          <w:tcPr>
            <w:tcW w:w="3800" w:type="dxa"/>
            <w:vMerge/>
            <w:tcBorders>
              <w:left w:val="single" w:sz="4" w:space="0" w:color="000000"/>
              <w:right w:val="single" w:sz="4" w:space="0" w:color="000000"/>
            </w:tcBorders>
          </w:tcPr>
          <w:p>
            <w:pPr/>
          </w:p>
        </w:tc>
        <w:tc>
          <w:tcPr>
            <w:tcW w:w="1603"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2"/>
                <w:sz w:val="21"/>
              </w:rPr>
              <w:t>3,568,011</w:t>
            </w:r>
          </w:p>
        </w:tc>
        <w:tc>
          <w:tcPr>
            <w:tcW w:w="4527" w:type="dxa"/>
            <w:vMerge/>
            <w:tcBorders>
              <w:left w:val="single" w:sz="4" w:space="0" w:color="000000"/>
              <w:right w:val="single" w:sz="4" w:space="0" w:color="000000"/>
            </w:tcBorders>
          </w:tcPr>
          <w:p>
            <w:pPr/>
          </w:p>
        </w:tc>
      </w:tr>
      <w:tr>
        <w:trPr>
          <w:trHeight w:val="355" w:hRule="exact"/>
        </w:trPr>
        <w:tc>
          <w:tcPr>
            <w:tcW w:w="562" w:type="dxa"/>
            <w:vMerge/>
            <w:tcBorders>
              <w:left w:val="single" w:sz="4" w:space="0" w:color="000000"/>
              <w:bottom w:val="single" w:sz="4" w:space="0" w:color="000000"/>
              <w:right w:val="single" w:sz="4" w:space="0" w:color="000000"/>
            </w:tcBorders>
          </w:tcPr>
          <w:p>
            <w:pPr/>
          </w:p>
        </w:tc>
        <w:tc>
          <w:tcPr>
            <w:tcW w:w="3800"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3,568,010</w:t>
            </w:r>
          </w:p>
        </w:tc>
        <w:tc>
          <w:tcPr>
            <w:tcW w:w="4527" w:type="dxa"/>
            <w:vMerge/>
            <w:tcBorders>
              <w:left w:val="single" w:sz="4" w:space="0" w:color="000000"/>
              <w:bottom w:val="single" w:sz="4" w:space="0" w:color="000000"/>
              <w:right w:val="single" w:sz="4" w:space="0" w:color="000000"/>
            </w:tcBorders>
          </w:tcPr>
          <w:p>
            <w:pPr/>
          </w:p>
        </w:tc>
      </w:tr>
      <w:tr>
        <w:trPr>
          <w:trHeight w:val="554"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w w:val="100"/>
                <w:sz w:val="21"/>
              </w:rPr>
              <w:t>5</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新疆硅谷天堂嘉鸿股权投资合伙企业（有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9,999,360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9,999,360</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《上市公司非公开发行股票实施细则》相关规定</w:t>
            </w:r>
          </w:p>
        </w:tc>
      </w:tr>
      <w:tr>
        <w:trPr>
          <w:trHeight w:val="554"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w w:val="100"/>
                <w:sz w:val="21"/>
              </w:rPr>
              <w:t>6</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天津硅谷天堂阳光股权投资基金合伙企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业（有限合伙</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9,999,360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9,999,360</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6" w:hRule="exact"/>
        </w:trPr>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w w:val="100"/>
                <w:sz w:val="21"/>
              </w:rPr>
              <w:t>7</w:t>
            </w:r>
          </w:p>
        </w:tc>
        <w:tc>
          <w:tcPr>
            <w:tcW w:w="3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宁波杰宝投资合伙企业（有限合伙）</w:t>
            </w:r>
          </w:p>
        </w:tc>
        <w:tc>
          <w:tcPr>
            <w:tcW w:w="160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31" w:right="0"/>
              <w:jc w:val="left"/>
              <w:rPr>
                <w:rFonts w:ascii="Times New Roman" w:hAnsi="Times New Roman" w:cs="Times New Roman" w:eastAsia="Times New Roman" w:hint="default"/>
                <w:sz w:val="21"/>
                <w:szCs w:val="21"/>
              </w:rPr>
            </w:pPr>
            <w:r>
              <w:rPr>
                <w:rFonts w:ascii="Times New Roman"/>
                <w:sz w:val="21"/>
              </w:rPr>
              <w:t>5,122,882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21"/>
                <w:szCs w:val="21"/>
              </w:rPr>
            </w:pPr>
            <w:r>
              <w:rPr>
                <w:rFonts w:ascii="Times New Roman"/>
                <w:spacing w:val="-1"/>
                <w:sz w:val="21"/>
              </w:rPr>
              <w:t>683,051</w:t>
            </w:r>
          </w:p>
        </w:tc>
        <w:tc>
          <w:tcPr>
            <w:tcW w:w="4527" w:type="dxa"/>
            <w:vMerge w:val="restart"/>
            <w:tcBorders>
              <w:top w:val="single" w:sz="4" w:space="0" w:color="000000"/>
              <w:left w:val="single" w:sz="4" w:space="0" w:color="000000"/>
              <w:right w:val="single" w:sz="4" w:space="0" w:color="000000"/>
            </w:tcBorders>
          </w:tcPr>
          <w:p>
            <w:pPr>
              <w:pStyle w:val="TableParagraph"/>
              <w:spacing w:line="272" w:lineRule="exact" w:before="73"/>
              <w:ind w:left="24" w:right="24"/>
              <w:jc w:val="left"/>
              <w:rPr>
                <w:rFonts w:ascii="宋体" w:hAnsi="宋体" w:cs="宋体" w:eastAsia="宋体" w:hint="default"/>
                <w:sz w:val="21"/>
                <w:szCs w:val="21"/>
              </w:rPr>
            </w:pPr>
            <w:r>
              <w:rPr>
                <w:rFonts w:ascii="宋体" w:hAnsi="宋体" w:cs="宋体" w:eastAsia="宋体" w:hint="default"/>
                <w:sz w:val="21"/>
                <w:szCs w:val="21"/>
              </w:rPr>
              <w:t>《上市公司重大资产重组管理办法》相关规定、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协议双方约定和其承诺</w:t>
            </w:r>
          </w:p>
        </w:tc>
      </w:tr>
      <w:tr>
        <w:trPr>
          <w:trHeight w:val="355" w:hRule="exact"/>
        </w:trPr>
        <w:tc>
          <w:tcPr>
            <w:tcW w:w="562" w:type="dxa"/>
            <w:vMerge/>
            <w:tcBorders>
              <w:left w:val="single" w:sz="4" w:space="0" w:color="000000"/>
              <w:bottom w:val="single" w:sz="4" w:space="0" w:color="000000"/>
              <w:right w:val="single" w:sz="4" w:space="0" w:color="000000"/>
            </w:tcBorders>
          </w:tcPr>
          <w:p>
            <w:pPr/>
          </w:p>
        </w:tc>
        <w:tc>
          <w:tcPr>
            <w:tcW w:w="3800"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4,439,831</w:t>
            </w:r>
          </w:p>
        </w:tc>
        <w:tc>
          <w:tcPr>
            <w:tcW w:w="4527" w:type="dxa"/>
            <w:vMerge/>
            <w:tcBorders>
              <w:left w:val="single" w:sz="4" w:space="0" w:color="000000"/>
              <w:bottom w:val="single" w:sz="4" w:space="0" w:color="000000"/>
              <w:right w:val="single" w:sz="4" w:space="0" w:color="000000"/>
            </w:tcBorders>
          </w:tcPr>
          <w:p>
            <w:pPr/>
          </w:p>
        </w:tc>
      </w:tr>
      <w:tr>
        <w:trPr>
          <w:trHeight w:val="355" w:hRule="exact"/>
        </w:trPr>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w w:val="100"/>
                <w:sz w:val="21"/>
              </w:rPr>
              <w:t>8</w:t>
            </w:r>
          </w:p>
        </w:tc>
        <w:tc>
          <w:tcPr>
            <w:tcW w:w="3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余弓卜</w:t>
            </w:r>
          </w:p>
        </w:tc>
        <w:tc>
          <w:tcPr>
            <w:tcW w:w="16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31" w:right="0"/>
              <w:jc w:val="left"/>
              <w:rPr>
                <w:rFonts w:ascii="Times New Roman" w:hAnsi="Times New Roman" w:cs="Times New Roman" w:eastAsia="Times New Roman" w:hint="default"/>
                <w:sz w:val="21"/>
                <w:szCs w:val="21"/>
              </w:rPr>
            </w:pPr>
            <w:r>
              <w:rPr>
                <w:rFonts w:ascii="Times New Roman"/>
                <w:sz w:val="21"/>
              </w:rPr>
              <w:t>3,395,762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452,768</w:t>
            </w:r>
          </w:p>
        </w:tc>
        <w:tc>
          <w:tcPr>
            <w:tcW w:w="4527" w:type="dxa"/>
            <w:vMerge w:val="restart"/>
            <w:tcBorders>
              <w:top w:val="single" w:sz="4" w:space="0" w:color="000000"/>
              <w:left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5" w:hRule="exact"/>
        </w:trPr>
        <w:tc>
          <w:tcPr>
            <w:tcW w:w="562" w:type="dxa"/>
            <w:vMerge/>
            <w:tcBorders>
              <w:left w:val="single" w:sz="4" w:space="0" w:color="000000"/>
              <w:bottom w:val="single" w:sz="4" w:space="0" w:color="000000"/>
              <w:right w:val="single" w:sz="4" w:space="0" w:color="000000"/>
            </w:tcBorders>
          </w:tcPr>
          <w:p>
            <w:pPr/>
          </w:p>
        </w:tc>
        <w:tc>
          <w:tcPr>
            <w:tcW w:w="3800"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679,153</w:t>
            </w:r>
          </w:p>
        </w:tc>
        <w:tc>
          <w:tcPr>
            <w:tcW w:w="4527"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267" w:type="dxa"/>
        <w:tblLayout w:type="fixed"/>
        <w:tblCellMar>
          <w:top w:w="0" w:type="dxa"/>
          <w:left w:w="0" w:type="dxa"/>
          <w:bottom w:w="0" w:type="dxa"/>
          <w:right w:w="0" w:type="dxa"/>
        </w:tblCellMar>
        <w:tblLook w:val="01E0"/>
      </w:tblPr>
      <w:tblGrid>
        <w:gridCol w:w="562"/>
        <w:gridCol w:w="3800"/>
        <w:gridCol w:w="1603"/>
        <w:gridCol w:w="1702"/>
        <w:gridCol w:w="1416"/>
        <w:gridCol w:w="4527"/>
      </w:tblGrid>
      <w:tr>
        <w:trPr>
          <w:trHeight w:val="355" w:hRule="exact"/>
        </w:trPr>
        <w:tc>
          <w:tcPr>
            <w:tcW w:w="562" w:type="dxa"/>
            <w:vMerge w:val="restart"/>
            <w:tcBorders>
              <w:top w:val="single" w:sz="4" w:space="0" w:color="000000"/>
              <w:left w:val="single" w:sz="4" w:space="0" w:color="000000"/>
              <w:right w:val="single" w:sz="4" w:space="0" w:color="000000"/>
            </w:tcBorders>
          </w:tcPr>
          <w:p>
            <w:pPr/>
          </w:p>
        </w:tc>
        <w:tc>
          <w:tcPr>
            <w:tcW w:w="3800" w:type="dxa"/>
            <w:vMerge w:val="restart"/>
            <w:tcBorders>
              <w:top w:val="single" w:sz="4" w:space="0" w:color="000000"/>
              <w:left w:val="single" w:sz="4" w:space="0" w:color="000000"/>
              <w:right w:val="single" w:sz="4" w:space="0" w:color="000000"/>
            </w:tcBorders>
          </w:tcPr>
          <w:p>
            <w:pPr/>
          </w:p>
        </w:tc>
        <w:tc>
          <w:tcPr>
            <w:tcW w:w="1603" w:type="dxa"/>
            <w:vMerge w:val="restart"/>
            <w:tcBorders>
              <w:top w:val="single" w:sz="4" w:space="0" w:color="000000"/>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9"/>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1,131,920</w:t>
            </w:r>
          </w:p>
        </w:tc>
        <w:tc>
          <w:tcPr>
            <w:tcW w:w="4527" w:type="dxa"/>
            <w:vMerge w:val="restart"/>
            <w:tcBorders>
              <w:top w:val="single" w:sz="4" w:space="0" w:color="000000"/>
              <w:left w:val="single" w:sz="4" w:space="0" w:color="000000"/>
              <w:right w:val="single" w:sz="4" w:space="0" w:color="000000"/>
            </w:tcBorders>
          </w:tcPr>
          <w:p>
            <w:pPr/>
          </w:p>
        </w:tc>
      </w:tr>
      <w:tr>
        <w:trPr>
          <w:trHeight w:val="355" w:hRule="exact"/>
        </w:trPr>
        <w:tc>
          <w:tcPr>
            <w:tcW w:w="562" w:type="dxa"/>
            <w:vMerge/>
            <w:tcBorders>
              <w:left w:val="single" w:sz="4" w:space="0" w:color="000000"/>
              <w:bottom w:val="single" w:sz="4" w:space="0" w:color="000000"/>
              <w:right w:val="single" w:sz="4" w:space="0" w:color="000000"/>
            </w:tcBorders>
          </w:tcPr>
          <w:p>
            <w:pPr/>
          </w:p>
        </w:tc>
        <w:tc>
          <w:tcPr>
            <w:tcW w:w="3800"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9"/>
              <w:jc w:val="righ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1,131,921</w:t>
            </w:r>
          </w:p>
        </w:tc>
        <w:tc>
          <w:tcPr>
            <w:tcW w:w="4527" w:type="dxa"/>
            <w:vMerge/>
            <w:tcBorders>
              <w:left w:val="single" w:sz="4" w:space="0" w:color="000000"/>
              <w:bottom w:val="single" w:sz="4" w:space="0" w:color="000000"/>
              <w:right w:val="single" w:sz="4" w:space="0" w:color="000000"/>
            </w:tcBorders>
          </w:tcPr>
          <w:p>
            <w:pPr/>
          </w:p>
        </w:tc>
      </w:tr>
      <w:tr>
        <w:trPr>
          <w:trHeight w:val="355" w:hRule="exact"/>
        </w:trPr>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w w:val="100"/>
                <w:sz w:val="21"/>
              </w:rPr>
              <w:t>9</w:t>
            </w:r>
          </w:p>
        </w:tc>
        <w:tc>
          <w:tcPr>
            <w:tcW w:w="3800" w:type="dxa"/>
            <w:vMerge w:val="restart"/>
            <w:tcBorders>
              <w:top w:val="single" w:sz="4" w:space="0" w:color="000000"/>
              <w:left w:val="single" w:sz="4" w:space="0" w:color="000000"/>
              <w:right w:val="single" w:sz="4" w:space="0" w:color="000000"/>
            </w:tcBorders>
          </w:tcPr>
          <w:p>
            <w:pPr>
              <w:pStyle w:val="TableParagraph"/>
              <w:spacing w:line="240" w:lineRule="auto" w:before="179"/>
              <w:ind w:left="24" w:right="-17"/>
              <w:jc w:val="left"/>
              <w:rPr>
                <w:rFonts w:ascii="宋体" w:hAnsi="宋体" w:cs="宋体" w:eastAsia="宋体" w:hint="default"/>
                <w:sz w:val="21"/>
                <w:szCs w:val="21"/>
              </w:rPr>
            </w:pPr>
            <w:r>
              <w:rPr>
                <w:rFonts w:ascii="宋体" w:hAnsi="宋体" w:cs="宋体" w:eastAsia="宋体" w:hint="default"/>
                <w:spacing w:val="-2"/>
                <w:sz w:val="21"/>
                <w:szCs w:val="21"/>
              </w:rPr>
              <w:t>宁波杰赢投资管理合伙企业（有限合伙）</w:t>
            </w:r>
          </w:p>
        </w:tc>
        <w:tc>
          <w:tcPr>
            <w:tcW w:w="16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31" w:right="0"/>
              <w:jc w:val="left"/>
              <w:rPr>
                <w:rFonts w:ascii="Times New Roman" w:hAnsi="Times New Roman" w:cs="Times New Roman" w:eastAsia="Times New Roman" w:hint="default"/>
                <w:sz w:val="21"/>
                <w:szCs w:val="21"/>
              </w:rPr>
            </w:pPr>
            <w:r>
              <w:rPr>
                <w:rFonts w:ascii="Times New Roman"/>
                <w:sz w:val="21"/>
              </w:rPr>
              <w:t>3,026,658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9"/>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403,555</w:t>
            </w:r>
          </w:p>
        </w:tc>
        <w:tc>
          <w:tcPr>
            <w:tcW w:w="4527" w:type="dxa"/>
            <w:vMerge w:val="restart"/>
            <w:tcBorders>
              <w:top w:val="single" w:sz="4" w:space="0" w:color="000000"/>
              <w:left w:val="single" w:sz="4" w:space="0" w:color="000000"/>
              <w:right w:val="single" w:sz="4" w:space="0" w:color="000000"/>
            </w:tcBorders>
          </w:tcPr>
          <w:p>
            <w:pPr>
              <w:pStyle w:val="TableParagraph"/>
              <w:spacing w:line="240" w:lineRule="auto" w:before="179"/>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3" w:hRule="exact"/>
        </w:trPr>
        <w:tc>
          <w:tcPr>
            <w:tcW w:w="562" w:type="dxa"/>
            <w:vMerge/>
            <w:tcBorders>
              <w:left w:val="single" w:sz="4" w:space="0" w:color="000000"/>
              <w:bottom w:val="single" w:sz="4" w:space="0" w:color="000000"/>
              <w:right w:val="single" w:sz="4" w:space="0" w:color="000000"/>
            </w:tcBorders>
          </w:tcPr>
          <w:p>
            <w:pPr/>
          </w:p>
        </w:tc>
        <w:tc>
          <w:tcPr>
            <w:tcW w:w="3800"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9"/>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2,623,103</w:t>
            </w:r>
          </w:p>
        </w:tc>
        <w:tc>
          <w:tcPr>
            <w:tcW w:w="4527" w:type="dxa"/>
            <w:vMerge/>
            <w:tcBorders>
              <w:left w:val="single" w:sz="4" w:space="0" w:color="000000"/>
              <w:bottom w:val="single" w:sz="4" w:space="0" w:color="000000"/>
              <w:right w:val="single" w:sz="4" w:space="0" w:color="000000"/>
            </w:tcBorders>
          </w:tcPr>
          <w:p>
            <w:pPr/>
          </w:p>
        </w:tc>
      </w:tr>
      <w:tr>
        <w:trPr>
          <w:trHeight w:val="355" w:hRule="exact"/>
        </w:trPr>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21"/>
                <w:szCs w:val="21"/>
              </w:rPr>
            </w:pPr>
            <w:r>
              <w:rPr>
                <w:rFonts w:ascii="宋体"/>
                <w:sz w:val="21"/>
              </w:rPr>
              <w:t>10</w:t>
            </w:r>
          </w:p>
        </w:tc>
        <w:tc>
          <w:tcPr>
            <w:tcW w:w="3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成海林</w:t>
            </w:r>
          </w:p>
        </w:tc>
        <w:tc>
          <w:tcPr>
            <w:tcW w:w="16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731" w:right="0"/>
              <w:jc w:val="left"/>
              <w:rPr>
                <w:rFonts w:ascii="Times New Roman" w:hAnsi="Times New Roman" w:cs="Times New Roman" w:eastAsia="Times New Roman" w:hint="default"/>
                <w:sz w:val="21"/>
                <w:szCs w:val="21"/>
              </w:rPr>
            </w:pPr>
            <w:r>
              <w:rPr>
                <w:rFonts w:ascii="Times New Roman"/>
                <w:sz w:val="21"/>
              </w:rPr>
              <w:t>1,820,916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9"/>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242,789</w:t>
            </w:r>
          </w:p>
        </w:tc>
        <w:tc>
          <w:tcPr>
            <w:tcW w:w="4527" w:type="dxa"/>
            <w:vMerge w:val="restart"/>
            <w:tcBorders>
              <w:top w:val="single" w:sz="4" w:space="0" w:color="000000"/>
              <w:left w:val="single" w:sz="4" w:space="0" w:color="000000"/>
              <w:right w:val="single" w:sz="4" w:space="0" w:color="000000"/>
            </w:tcBorders>
          </w:tcPr>
          <w:p>
            <w:pPr>
              <w:pStyle w:val="TableParagraph"/>
              <w:spacing w:line="240" w:lineRule="auto" w:before="174"/>
              <w:ind w:left="24"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56" w:hRule="exact"/>
        </w:trPr>
        <w:tc>
          <w:tcPr>
            <w:tcW w:w="562" w:type="dxa"/>
            <w:vMerge/>
            <w:tcBorders>
              <w:left w:val="single" w:sz="4" w:space="0" w:color="000000"/>
              <w:right w:val="single" w:sz="4" w:space="0" w:color="000000"/>
            </w:tcBorders>
          </w:tcPr>
          <w:p>
            <w:pPr/>
          </w:p>
        </w:tc>
        <w:tc>
          <w:tcPr>
            <w:tcW w:w="3800" w:type="dxa"/>
            <w:vMerge/>
            <w:tcBorders>
              <w:left w:val="single" w:sz="4" w:space="0" w:color="000000"/>
              <w:right w:val="single" w:sz="4" w:space="0" w:color="000000"/>
            </w:tcBorders>
          </w:tcPr>
          <w:p>
            <w:pPr/>
          </w:p>
        </w:tc>
        <w:tc>
          <w:tcPr>
            <w:tcW w:w="1603"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9"/>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364,183</w:t>
            </w:r>
          </w:p>
        </w:tc>
        <w:tc>
          <w:tcPr>
            <w:tcW w:w="4527" w:type="dxa"/>
            <w:vMerge/>
            <w:tcBorders>
              <w:left w:val="single" w:sz="4" w:space="0" w:color="000000"/>
              <w:right w:val="single" w:sz="4" w:space="0" w:color="000000"/>
            </w:tcBorders>
          </w:tcPr>
          <w:p>
            <w:pPr/>
          </w:p>
        </w:tc>
      </w:tr>
      <w:tr>
        <w:trPr>
          <w:trHeight w:val="355" w:hRule="exact"/>
        </w:trPr>
        <w:tc>
          <w:tcPr>
            <w:tcW w:w="562" w:type="dxa"/>
            <w:vMerge/>
            <w:tcBorders>
              <w:left w:val="single" w:sz="4" w:space="0" w:color="000000"/>
              <w:right w:val="single" w:sz="4" w:space="0" w:color="000000"/>
            </w:tcBorders>
          </w:tcPr>
          <w:p>
            <w:pPr/>
          </w:p>
        </w:tc>
        <w:tc>
          <w:tcPr>
            <w:tcW w:w="3800" w:type="dxa"/>
            <w:vMerge/>
            <w:tcBorders>
              <w:left w:val="single" w:sz="4" w:space="0" w:color="000000"/>
              <w:right w:val="single" w:sz="4" w:space="0" w:color="000000"/>
            </w:tcBorders>
          </w:tcPr>
          <w:p>
            <w:pPr/>
          </w:p>
        </w:tc>
        <w:tc>
          <w:tcPr>
            <w:tcW w:w="1603"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9"/>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606,972</w:t>
            </w:r>
          </w:p>
        </w:tc>
        <w:tc>
          <w:tcPr>
            <w:tcW w:w="4527" w:type="dxa"/>
            <w:vMerge/>
            <w:tcBorders>
              <w:left w:val="single" w:sz="4" w:space="0" w:color="000000"/>
              <w:right w:val="single" w:sz="4" w:space="0" w:color="000000"/>
            </w:tcBorders>
          </w:tcPr>
          <w:p>
            <w:pPr/>
          </w:p>
        </w:tc>
      </w:tr>
      <w:tr>
        <w:trPr>
          <w:trHeight w:val="355" w:hRule="exact"/>
        </w:trPr>
        <w:tc>
          <w:tcPr>
            <w:tcW w:w="562" w:type="dxa"/>
            <w:vMerge/>
            <w:tcBorders>
              <w:left w:val="single" w:sz="4" w:space="0" w:color="000000"/>
              <w:bottom w:val="single" w:sz="4" w:space="0" w:color="000000"/>
              <w:right w:val="single" w:sz="4" w:space="0" w:color="000000"/>
            </w:tcBorders>
          </w:tcPr>
          <w:p>
            <w:pPr/>
          </w:p>
        </w:tc>
        <w:tc>
          <w:tcPr>
            <w:tcW w:w="3800"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9"/>
              <w:jc w:val="righ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606,972</w:t>
            </w:r>
          </w:p>
        </w:tc>
        <w:tc>
          <w:tcPr>
            <w:tcW w:w="4527" w:type="dxa"/>
            <w:vMerge/>
            <w:tcBorders>
              <w:left w:val="single" w:sz="4" w:space="0" w:color="000000"/>
              <w:bottom w:val="single" w:sz="4" w:space="0" w:color="000000"/>
              <w:right w:val="single" w:sz="4" w:space="0" w:color="000000"/>
            </w:tcBorders>
          </w:tcPr>
          <w:p>
            <w:pPr/>
          </w:p>
        </w:tc>
      </w:tr>
      <w:tr>
        <w:trPr>
          <w:trHeight w:val="854" w:hRule="exact"/>
        </w:trPr>
        <w:tc>
          <w:tcPr>
            <w:tcW w:w="4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92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上述股东中新疆硅谷天堂嘉鸿股权投资合伙企业（有限合伙）和天津硅谷天堂阳光股权投资基金合</w:t>
            </w:r>
          </w:p>
          <w:p>
            <w:pPr>
              <w:pStyle w:val="TableParagraph"/>
              <w:spacing w:line="286" w:lineRule="exact" w:before="25"/>
              <w:ind w:left="23" w:right="114"/>
              <w:jc w:val="left"/>
              <w:rPr>
                <w:rFonts w:ascii="宋体" w:hAnsi="宋体" w:cs="宋体" w:eastAsia="宋体" w:hint="default"/>
                <w:sz w:val="21"/>
                <w:szCs w:val="21"/>
              </w:rPr>
            </w:pPr>
            <w:r>
              <w:rPr>
                <w:rFonts w:ascii="宋体" w:hAnsi="宋体" w:cs="宋体" w:eastAsia="宋体" w:hint="default"/>
                <w:sz w:val="21"/>
                <w:szCs w:val="21"/>
              </w:rPr>
              <w:t>伙企业（有限合伙）系一致行动人，胡健、宁波杰宝</w:t>
            </w:r>
            <w:r>
              <w:rPr>
                <w:rFonts w:ascii="宋体" w:hAnsi="宋体" w:cs="宋体" w:eastAsia="宋体" w:hint="default"/>
                <w:sz w:val="22"/>
                <w:szCs w:val="22"/>
              </w:rPr>
              <w:t>投资合伙企业（有限合伙）</w:t>
            </w:r>
            <w:r>
              <w:rPr>
                <w:rFonts w:ascii="宋体" w:hAnsi="宋体" w:cs="宋体" w:eastAsia="宋体" w:hint="default"/>
                <w:sz w:val="21"/>
                <w:szCs w:val="21"/>
              </w:rPr>
              <w:t>和</w:t>
            </w:r>
            <w:r>
              <w:rPr>
                <w:rFonts w:ascii="宋体" w:hAnsi="宋体" w:cs="宋体" w:eastAsia="宋体" w:hint="default"/>
                <w:sz w:val="22"/>
                <w:szCs w:val="22"/>
              </w:rPr>
              <w:t>宁波杰赢投资</w:t>
            </w:r>
            <w:r>
              <w:rPr>
                <w:rFonts w:ascii="宋体" w:hAnsi="宋体" w:cs="宋体" w:eastAsia="宋体" w:hint="default"/>
                <w:spacing w:val="-17"/>
                <w:sz w:val="22"/>
                <w:szCs w:val="22"/>
              </w:rPr>
              <w:t> </w:t>
            </w:r>
            <w:r>
              <w:rPr>
                <w:rFonts w:ascii="宋体" w:hAnsi="宋体" w:cs="宋体" w:eastAsia="宋体" w:hint="default"/>
                <w:spacing w:val="-17"/>
                <w:sz w:val="22"/>
                <w:szCs w:val="22"/>
              </w:rPr>
            </w:r>
            <w:r>
              <w:rPr>
                <w:rFonts w:ascii="宋体" w:hAnsi="宋体" w:cs="宋体" w:eastAsia="宋体" w:hint="default"/>
                <w:sz w:val="22"/>
                <w:szCs w:val="22"/>
              </w:rPr>
              <w:t>管理合伙企业（有限合伙）为一致行动人。</w:t>
            </w:r>
            <w:r>
              <w:rPr>
                <w:rFonts w:ascii="宋体" w:hAnsi="宋体" w:cs="宋体" w:eastAsia="宋体" w:hint="default"/>
                <w:sz w:val="21"/>
                <w:szCs w:val="21"/>
              </w:rPr>
              <w:t>其他股东之间不存在关联关系或不属于一致行动人。</w:t>
            </w:r>
          </w:p>
        </w:tc>
      </w:tr>
    </w:tbl>
    <w:p>
      <w:pPr>
        <w:pStyle w:val="BodyText"/>
        <w:spacing w:line="247" w:lineRule="exact"/>
        <w:ind w:left="560" w:right="0"/>
        <w:jc w:val="left"/>
      </w:pPr>
      <w:r>
        <w:rPr>
          <w:spacing w:val="-3"/>
        </w:rPr>
        <w:t>注：限售股份变动情况的说明：胡健、余弓卜、成海林、李爱明、郭兆滨、张磊、宁波杰赢、宁波杰宝限售解禁期为每年度的</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月</w:t>
      </w:r>
      <w:r>
        <w:rPr>
          <w:spacing w:val="-34"/>
        </w:rPr>
        <w:t> </w:t>
      </w:r>
      <w:r>
        <w:rPr>
          <w:rFonts w:ascii="Times New Roman" w:hAnsi="Times New Roman" w:cs="Times New Roman" w:eastAsia="Times New Roman" w:hint="default"/>
        </w:rPr>
        <w:t>20</w:t>
      </w:r>
      <w:r>
        <w:rPr>
          <w:rFonts w:ascii="Times New Roman" w:hAnsi="Times New Roman" w:cs="Times New Roman" w:eastAsia="Times New Roman" w:hint="default"/>
          <w:spacing w:val="19"/>
        </w:rPr>
        <w:t> </w:t>
      </w:r>
      <w:r>
        <w:rPr>
          <w:spacing w:val="-3"/>
        </w:rPr>
        <w:t>日，由于双方</w:t>
      </w:r>
    </w:p>
    <w:p>
      <w:pPr>
        <w:pStyle w:val="BodyText"/>
        <w:spacing w:line="274" w:lineRule="exact" w:before="16"/>
        <w:ind w:left="140" w:right="0"/>
        <w:jc w:val="left"/>
      </w:pPr>
      <w:r>
        <w:rPr>
          <w:spacing w:val="-3"/>
        </w:rPr>
        <w:t>协议约定有业绩补偿条款，实际解禁日期应满足上述解禁日期且博辕信息的年度《专项审核报告》出具后。故实际解禁时间在每年</w:t>
      </w:r>
      <w:r>
        <w:rPr>
          <w:spacing w:val="-32"/>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月</w:t>
      </w:r>
      <w:r>
        <w:rPr>
          <w:spacing w:val="-32"/>
        </w:rPr>
        <w:t> </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spacing w:val="-5"/>
        </w:rPr>
        <w:t>日左右，具体</w:t>
      </w:r>
      <w:r>
        <w:rPr>
          <w:spacing w:val="-95"/>
        </w:rPr>
        <w:t> </w:t>
      </w:r>
      <w:r>
        <w:rPr>
          <w:spacing w:val="-95"/>
        </w:rPr>
      </w:r>
      <w:r>
        <w:rPr/>
        <w:t>解禁日期以当年公告为准。</w:t>
      </w:r>
    </w:p>
    <w:p>
      <w:pPr>
        <w:spacing w:line="240" w:lineRule="auto" w:before="12"/>
        <w:rPr>
          <w:rFonts w:ascii="宋体" w:hAnsi="宋体" w:cs="宋体" w:eastAsia="宋体" w:hint="default"/>
          <w:sz w:val="20"/>
          <w:szCs w:val="20"/>
        </w:rPr>
      </w:pPr>
    </w:p>
    <w:p>
      <w:pPr>
        <w:pStyle w:val="Heading2"/>
        <w:tabs>
          <w:tab w:pos="706" w:val="left" w:leader="none"/>
        </w:tabs>
        <w:spacing w:line="240" w:lineRule="auto" w:before="0"/>
        <w:ind w:left="140"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29"/>
        <w:ind w:left="14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5526"/>
        <w:gridCol w:w="4109"/>
        <w:gridCol w:w="3975"/>
      </w:tblGrid>
      <w:tr>
        <w:trPr>
          <w:trHeight w:val="281"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约定持股起始日期</w:t>
            </w:r>
          </w:p>
        </w:tc>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3" w:right="0"/>
              <w:jc w:val="left"/>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283"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2015-07-07</w:t>
            </w:r>
          </w:p>
        </w:tc>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2018-07-06</w:t>
            </w:r>
          </w:p>
        </w:tc>
      </w:tr>
      <w:tr>
        <w:trPr>
          <w:trHeight w:val="283"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南京瑞森投资管理合伙企业（有限合伙）</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2015-07-07</w:t>
            </w:r>
          </w:p>
        </w:tc>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2018-07-06</w:t>
            </w:r>
          </w:p>
        </w:tc>
      </w:tr>
      <w:tr>
        <w:trPr>
          <w:trHeight w:val="281"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天津硅谷天堂阳光股权投资基金合伙企业（有限合伙）</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2015-07-07</w:t>
            </w:r>
          </w:p>
        </w:tc>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21"/>
                <w:szCs w:val="21"/>
              </w:rPr>
            </w:pPr>
            <w:r>
              <w:rPr>
                <w:rFonts w:ascii="Times New Roman"/>
                <w:sz w:val="21"/>
              </w:rPr>
              <w:t>2018-07-06</w:t>
            </w:r>
          </w:p>
        </w:tc>
      </w:tr>
      <w:tr>
        <w:trPr>
          <w:trHeight w:val="283"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新疆硅谷天堂嘉鸿股权投资合伙企业（有限合伙）</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2015-07-07</w:t>
            </w:r>
          </w:p>
        </w:tc>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2018-07-06</w:t>
            </w:r>
          </w:p>
        </w:tc>
      </w:tr>
      <w:tr>
        <w:trPr>
          <w:trHeight w:val="555"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战略投资者或一般法人参与配售新股约定持股期限的说明</w:t>
            </w:r>
          </w:p>
        </w:tc>
        <w:tc>
          <w:tcPr>
            <w:tcW w:w="8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月，公司完成非公开发行股票事项，根据相关规定，本次非公开行股票认购对</w:t>
            </w:r>
          </w:p>
          <w:p>
            <w:pPr>
              <w:pStyle w:val="TableParagraph"/>
              <w:spacing w:line="267" w:lineRule="exact"/>
              <w:ind w:left="21" w:right="0"/>
              <w:jc w:val="left"/>
              <w:rPr>
                <w:rFonts w:ascii="宋体" w:hAnsi="宋体" w:cs="宋体" w:eastAsia="宋体" w:hint="default"/>
                <w:sz w:val="21"/>
                <w:szCs w:val="21"/>
              </w:rPr>
            </w:pPr>
            <w:r>
              <w:rPr>
                <w:rFonts w:ascii="宋体" w:hAnsi="宋体" w:cs="宋体" w:eastAsia="宋体" w:hint="default"/>
                <w:sz w:val="21"/>
                <w:szCs w:val="21"/>
              </w:rPr>
              <w:t>象锁定期限为三年。</w:t>
            </w:r>
          </w:p>
        </w:tc>
      </w:tr>
    </w:tbl>
    <w:p>
      <w:pPr>
        <w:spacing w:after="0" w:line="267" w:lineRule="exact"/>
        <w:jc w:val="left"/>
        <w:rPr>
          <w:rFonts w:ascii="宋体" w:hAnsi="宋体" w:cs="宋体" w:eastAsia="宋体" w:hint="default"/>
          <w:sz w:val="21"/>
          <w:szCs w:val="21"/>
        </w:rPr>
        <w:sectPr>
          <w:pgSz w:w="16840" w:h="11910" w:orient="landscape"/>
          <w:pgMar w:header="882" w:footer="1195" w:top="1120" w:bottom="1380" w:left="1300" w:right="1400"/>
        </w:sectPr>
      </w:pP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w:t>
      </w:r>
      <w:r>
        <w:rPr>
          <w:spacing w:val="-79"/>
        </w:rPr>
        <w:t> </w:t>
      </w:r>
      <w:r>
        <w:rPr/>
        <w:t>控股股东及实际控制人情况</w:t>
      </w:r>
      <w:r>
        <w:rPr>
          <w:b w:val="0"/>
          <w:bCs w:val="0"/>
        </w:rPr>
      </w:r>
    </w:p>
    <w:p>
      <w:pPr>
        <w:pStyle w:val="Heading2"/>
        <w:tabs>
          <w:tab w:pos="557" w:val="left" w:leader="none"/>
        </w:tabs>
        <w:spacing w:line="264" w:lineRule="auto" w:before="58"/>
        <w:ind w:right="72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557" w:val="left" w:leader="none"/>
        </w:tabs>
        <w:spacing w:line="273" w:lineRule="auto" w:before="37"/>
        <w:ind w:left="138" w:right="75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29"/>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557" w:val="left" w:leader="none"/>
        </w:tabs>
        <w:spacing w:line="240" w:lineRule="auto" w:before="40"/>
        <w:ind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884" w:val="left" w:leader="none"/>
        </w:tabs>
        <w:spacing w:line="281" w:lineRule="exact"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25" w:lineRule="auto" w:before="5"/>
        <w:ind w:right="129" w:firstLine="419"/>
        <w:jc w:val="both"/>
      </w:pPr>
      <w:r>
        <w:rPr/>
        <w:t>截至报告期末，公司第一大股东同方股份持有公司股份 </w:t>
      </w:r>
      <w:r>
        <w:rPr>
          <w:rFonts w:ascii="Times New Roman" w:hAnsi="Times New Roman" w:cs="Times New Roman" w:eastAsia="Times New Roman" w:hint="default"/>
        </w:rPr>
        <w:t>117,284,893</w:t>
      </w:r>
      <w:r>
        <w:rPr>
          <w:rFonts w:ascii="Times New Roman" w:hAnsi="Times New Roman" w:cs="Times New Roman" w:eastAsia="Times New Roman" w:hint="default"/>
          <w:spacing w:val="7"/>
        </w:rPr>
        <w:t> </w:t>
      </w:r>
      <w:r>
        <w:rPr/>
        <w:t>股，占公司股份总数的</w:t>
      </w:r>
      <w:r>
        <w:rPr>
          <w:w w:val="100"/>
        </w:rPr>
        <w:t> </w:t>
      </w:r>
      <w:r>
        <w:rPr>
          <w:rFonts w:ascii="Times New Roman" w:hAnsi="Times New Roman" w:cs="Times New Roman" w:eastAsia="Times New Roman" w:hint="default"/>
          <w:spacing w:val="-3"/>
        </w:rPr>
        <w:t>17.58%</w:t>
      </w:r>
      <w:r>
        <w:rPr>
          <w:spacing w:val="-3"/>
        </w:rPr>
        <w:t>，公司第二大股东泰豪集团持有公司股份</w:t>
      </w:r>
      <w:r>
        <w:rPr>
          <w:spacing w:val="-35"/>
        </w:rPr>
        <w:t> </w:t>
      </w:r>
      <w:r>
        <w:rPr>
          <w:rFonts w:ascii="Times New Roman" w:hAnsi="Times New Roman" w:cs="Times New Roman" w:eastAsia="Times New Roman" w:hint="default"/>
        </w:rPr>
        <w:t>98,899,440</w:t>
      </w:r>
      <w:r>
        <w:rPr>
          <w:rFonts w:ascii="Times New Roman" w:hAnsi="Times New Roman" w:cs="Times New Roman" w:eastAsia="Times New Roman" w:hint="default"/>
          <w:spacing w:val="19"/>
        </w:rPr>
        <w:t> </w:t>
      </w:r>
      <w:r>
        <w:rPr>
          <w:spacing w:val="-4"/>
        </w:rPr>
        <w:t>股，占公司股份总数的</w:t>
      </w:r>
      <w:r>
        <w:rPr>
          <w:spacing w:val="-33"/>
        </w:rPr>
        <w:t> </w:t>
      </w:r>
      <w:r>
        <w:rPr>
          <w:rFonts w:ascii="Times New Roman" w:hAnsi="Times New Roman" w:cs="Times New Roman" w:eastAsia="Times New Roman" w:hint="default"/>
          <w:spacing w:val="-4"/>
        </w:rPr>
        <w:t>14.83%</w:t>
      </w:r>
      <w:r>
        <w:rPr>
          <w:spacing w:val="-4"/>
        </w:rPr>
        <w:t>。公司</w:t>
      </w:r>
      <w:r>
        <w:rPr>
          <w:spacing w:val="-98"/>
        </w:rPr>
        <w:t> </w:t>
      </w:r>
      <w:r>
        <w:rPr>
          <w:spacing w:val="-98"/>
        </w:rPr>
      </w:r>
      <w:r>
        <w:rPr/>
        <w:t>董事会共</w:t>
      </w:r>
      <w:r>
        <w:rPr>
          <w:spacing w:val="-52"/>
        </w:rPr>
        <w:t> </w:t>
      </w:r>
      <w:r>
        <w:rPr>
          <w:rFonts w:ascii="Times New Roman" w:hAnsi="Times New Roman" w:cs="Times New Roman" w:eastAsia="Times New Roman" w:hint="default"/>
        </w:rPr>
        <w:t>7 </w:t>
      </w:r>
      <w:r>
        <w:rPr/>
        <w:t>名董事，其中同方股份和泰豪集团各提名了</w:t>
      </w:r>
      <w:r>
        <w:rPr>
          <w:spacing w:val="-52"/>
        </w:rPr>
        <w:t> </w:t>
      </w:r>
      <w:r>
        <w:rPr>
          <w:rFonts w:ascii="Times New Roman" w:hAnsi="Times New Roman" w:cs="Times New Roman" w:eastAsia="Times New Roman" w:hint="default"/>
        </w:rPr>
        <w:t>1 </w:t>
      </w:r>
      <w:r>
        <w:rPr/>
        <w:t>名董事，同方股份和泰豪集团均不对本</w:t>
      </w:r>
      <w:r>
        <w:rPr>
          <w:w w:val="100"/>
        </w:rPr>
        <w:t> </w:t>
      </w:r>
      <w:r>
        <w:rPr/>
        <w:t>公司财务报表进行合并。因此，本公司不存在控股股东，亦不存在实际控制人。</w:t>
      </w:r>
    </w:p>
    <w:p>
      <w:pPr>
        <w:spacing w:line="240" w:lineRule="auto" w:before="13"/>
        <w:rPr>
          <w:rFonts w:ascii="宋体" w:hAnsi="宋体" w:cs="宋体" w:eastAsia="宋体" w:hint="default"/>
          <w:sz w:val="22"/>
          <w:szCs w:val="22"/>
        </w:rPr>
      </w:pPr>
    </w:p>
    <w:p>
      <w:pPr>
        <w:pStyle w:val="Heading2"/>
        <w:tabs>
          <w:tab w:pos="557" w:val="left" w:leader="none"/>
        </w:tabs>
        <w:spacing w:line="240" w:lineRule="auto" w:before="0"/>
        <w:ind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2"/>
        <w:tabs>
          <w:tab w:pos="557" w:val="left" w:leader="none"/>
        </w:tabs>
        <w:spacing w:line="240" w:lineRule="auto" w:before="43"/>
        <w:ind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562" w:val="left" w:leader="none"/>
        </w:tabs>
        <w:spacing w:line="266" w:lineRule="auto" w:before="0"/>
        <w:ind w:right="70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562" w:val="left" w:leader="none"/>
        </w:tabs>
        <w:spacing w:line="276" w:lineRule="auto" w:before="33"/>
        <w:ind w:left="138" w:right="75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25"/>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tabs>
          <w:tab w:pos="562" w:val="left" w:leader="none"/>
        </w:tabs>
        <w:spacing w:line="240" w:lineRule="auto" w:before="43"/>
        <w:ind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884" w:val="left" w:leader="none"/>
        </w:tabs>
        <w:spacing w:line="282" w:lineRule="exact"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25" w:lineRule="auto" w:before="6"/>
        <w:ind w:right="129" w:firstLine="419"/>
        <w:jc w:val="both"/>
      </w:pPr>
      <w:r>
        <w:rPr/>
        <w:t>截至报告期末，公司第一大股东同方股份持有公司股份 </w:t>
      </w:r>
      <w:r>
        <w:rPr>
          <w:rFonts w:ascii="Times New Roman" w:hAnsi="Times New Roman" w:cs="Times New Roman" w:eastAsia="Times New Roman" w:hint="default"/>
        </w:rPr>
        <w:t>117,284,893</w:t>
      </w:r>
      <w:r>
        <w:rPr>
          <w:rFonts w:ascii="Times New Roman" w:hAnsi="Times New Roman" w:cs="Times New Roman" w:eastAsia="Times New Roman" w:hint="default"/>
          <w:spacing w:val="7"/>
        </w:rPr>
        <w:t> </w:t>
      </w:r>
      <w:r>
        <w:rPr/>
        <w:t>股，占公司股份总数的</w:t>
      </w:r>
      <w:r>
        <w:rPr>
          <w:w w:val="100"/>
        </w:rPr>
        <w:t> </w:t>
      </w:r>
      <w:r>
        <w:rPr>
          <w:rFonts w:ascii="Times New Roman" w:hAnsi="Times New Roman" w:cs="Times New Roman" w:eastAsia="Times New Roman" w:hint="default"/>
          <w:spacing w:val="-3"/>
        </w:rPr>
        <w:t>17.58%</w:t>
      </w:r>
      <w:r>
        <w:rPr>
          <w:spacing w:val="-3"/>
        </w:rPr>
        <w:t>，公司第二大股东泰豪集团持有公司股份</w:t>
      </w:r>
      <w:r>
        <w:rPr>
          <w:spacing w:val="-35"/>
        </w:rPr>
        <w:t> </w:t>
      </w:r>
      <w:r>
        <w:rPr>
          <w:rFonts w:ascii="Times New Roman" w:hAnsi="Times New Roman" w:cs="Times New Roman" w:eastAsia="Times New Roman" w:hint="default"/>
        </w:rPr>
        <w:t>98,899,440</w:t>
      </w:r>
      <w:r>
        <w:rPr>
          <w:rFonts w:ascii="Times New Roman" w:hAnsi="Times New Roman" w:cs="Times New Roman" w:eastAsia="Times New Roman" w:hint="default"/>
          <w:spacing w:val="19"/>
        </w:rPr>
        <w:t> </w:t>
      </w:r>
      <w:r>
        <w:rPr>
          <w:spacing w:val="-4"/>
        </w:rPr>
        <w:t>股，占公司股份总数的</w:t>
      </w:r>
      <w:r>
        <w:rPr>
          <w:spacing w:val="-33"/>
        </w:rPr>
        <w:t> </w:t>
      </w:r>
      <w:r>
        <w:rPr>
          <w:rFonts w:ascii="Times New Roman" w:hAnsi="Times New Roman" w:cs="Times New Roman" w:eastAsia="Times New Roman" w:hint="default"/>
          <w:spacing w:val="-4"/>
        </w:rPr>
        <w:t>14.83%</w:t>
      </w:r>
      <w:r>
        <w:rPr>
          <w:spacing w:val="-4"/>
        </w:rPr>
        <w:t>。公司</w:t>
      </w:r>
      <w:r>
        <w:rPr>
          <w:spacing w:val="-98"/>
        </w:rPr>
        <w:t> </w:t>
      </w:r>
      <w:r>
        <w:rPr>
          <w:spacing w:val="-98"/>
        </w:rPr>
      </w:r>
      <w:r>
        <w:rPr/>
        <w:t>董事会共</w:t>
      </w:r>
      <w:r>
        <w:rPr>
          <w:spacing w:val="-52"/>
        </w:rPr>
        <w:t> </w:t>
      </w:r>
      <w:r>
        <w:rPr>
          <w:rFonts w:ascii="Times New Roman" w:hAnsi="Times New Roman" w:cs="Times New Roman" w:eastAsia="Times New Roman" w:hint="default"/>
        </w:rPr>
        <w:t>7 </w:t>
      </w:r>
      <w:r>
        <w:rPr/>
        <w:t>名董事，其中同方股份和泰豪集团各提名了</w:t>
      </w:r>
      <w:r>
        <w:rPr>
          <w:spacing w:val="-52"/>
        </w:rPr>
        <w:t> </w:t>
      </w:r>
      <w:r>
        <w:rPr>
          <w:rFonts w:ascii="Times New Roman" w:hAnsi="Times New Roman" w:cs="Times New Roman" w:eastAsia="Times New Roman" w:hint="default"/>
        </w:rPr>
        <w:t>1 </w:t>
      </w:r>
      <w:r>
        <w:rPr/>
        <w:t>名董事，同方股份和泰豪集团均不对本</w:t>
      </w:r>
      <w:r>
        <w:rPr>
          <w:w w:val="100"/>
        </w:rPr>
        <w:t> </w:t>
      </w:r>
      <w:r>
        <w:rPr/>
        <w:t>公司财务报表进行合并。因此，本公司不存在控股股东，亦不存在实际控制人。</w:t>
      </w:r>
    </w:p>
    <w:p>
      <w:pPr>
        <w:spacing w:line="240" w:lineRule="auto" w:before="13"/>
        <w:rPr>
          <w:rFonts w:ascii="宋体" w:hAnsi="宋体" w:cs="宋体" w:eastAsia="宋体" w:hint="default"/>
          <w:sz w:val="22"/>
          <w:szCs w:val="22"/>
        </w:rPr>
      </w:pPr>
    </w:p>
    <w:p>
      <w:pPr>
        <w:pStyle w:val="Heading2"/>
        <w:tabs>
          <w:tab w:pos="562" w:val="left" w:leader="none"/>
        </w:tabs>
        <w:spacing w:line="240" w:lineRule="auto" w:before="0"/>
        <w:ind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896"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2"/>
        <w:tabs>
          <w:tab w:pos="562" w:val="left" w:leader="none"/>
        </w:tabs>
        <w:spacing w:line="240" w:lineRule="auto" w:before="0"/>
        <w:ind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896" w:val="left" w:leader="none"/>
        </w:tabs>
        <w:spacing w:line="240" w:lineRule="auto"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tabs>
          <w:tab w:pos="562" w:val="left" w:leader="none"/>
        </w:tabs>
        <w:spacing w:line="240" w:lineRule="auto" w:before="0"/>
        <w:ind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896"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896" w:val="left" w:leader="none"/>
        </w:tabs>
        <w:spacing w:line="240" w:lineRule="auto" w:before="29"/>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31"/>
          <w:footerReference w:type="default" r:id="rId32"/>
          <w:pgSz w:w="11910" w:h="16840"/>
          <w:pgMar w:header="882" w:footer="1195" w:top="1120" w:bottom="1380" w:left="1660" w:right="1140"/>
          <w:pgNumType w:start="55"/>
        </w:sectPr>
      </w:pPr>
    </w:p>
    <w:p>
      <w:pPr>
        <w:pStyle w:val="Heading2"/>
        <w:spacing w:line="240" w:lineRule="auto"/>
        <w:ind w:right="-17"/>
        <w:jc w:val="left"/>
        <w:rPr>
          <w:b w:val="0"/>
          <w:bCs w:val="0"/>
        </w:rPr>
      </w:pPr>
      <w:r>
        <w:rPr/>
        <w:t>五、</w:t>
      </w:r>
      <w:r>
        <w:rPr>
          <w:spacing w:val="-78"/>
        </w:rPr>
        <w:t> </w:t>
      </w:r>
      <w:r>
        <w:rPr/>
        <w:t>其他持股在百分之十以上的法人股东</w:t>
      </w:r>
      <w:r>
        <w:rPr>
          <w:b w:val="0"/>
          <w:bCs w:val="0"/>
        </w:rPr>
      </w:r>
    </w:p>
    <w:p>
      <w:pPr>
        <w:pStyle w:val="BodyText"/>
        <w:spacing w:line="240" w:lineRule="auto" w:before="59"/>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单位：万元币种：人民币</w:t>
      </w:r>
    </w:p>
    <w:p>
      <w:pPr>
        <w:spacing w:after="0" w:line="240" w:lineRule="auto"/>
        <w:jc w:val="left"/>
        <w:sectPr>
          <w:type w:val="continuous"/>
          <w:pgSz w:w="11910" w:h="16840"/>
          <w:pgMar w:top="1120" w:bottom="1380" w:left="1660" w:right="1140"/>
          <w:cols w:num="2" w:equalWidth="0">
            <w:col w:w="3964" w:space="2557"/>
            <w:col w:w="258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52"/>
        <w:gridCol w:w="937"/>
        <w:gridCol w:w="1274"/>
        <w:gridCol w:w="2129"/>
        <w:gridCol w:w="850"/>
        <w:gridCol w:w="2593"/>
      </w:tblGrid>
      <w:tr>
        <w:trPr>
          <w:trHeight w:val="828"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 w:right="0"/>
              <w:jc w:val="left"/>
              <w:rPr>
                <w:rFonts w:ascii="宋体" w:hAnsi="宋体" w:cs="宋体" w:eastAsia="宋体" w:hint="default"/>
                <w:sz w:val="21"/>
                <w:szCs w:val="21"/>
              </w:rPr>
            </w:pPr>
            <w:r>
              <w:rPr>
                <w:rFonts w:ascii="宋体" w:hAnsi="宋体" w:cs="宋体" w:eastAsia="宋体" w:hint="default"/>
                <w:sz w:val="21"/>
                <w:szCs w:val="21"/>
              </w:rPr>
              <w:t>单位负责</w:t>
            </w:r>
          </w:p>
          <w:p>
            <w:pPr>
              <w:pStyle w:val="TableParagraph"/>
              <w:spacing w:line="240" w:lineRule="auto"/>
              <w:ind w:left="146" w:right="41" w:hanging="106"/>
              <w:jc w:val="left"/>
              <w:rPr>
                <w:rFonts w:ascii="宋体" w:hAnsi="宋体" w:cs="宋体" w:eastAsia="宋体" w:hint="default"/>
                <w:sz w:val="21"/>
                <w:szCs w:val="21"/>
              </w:rPr>
            </w:pPr>
            <w:r>
              <w:rPr>
                <w:rFonts w:ascii="宋体" w:hAnsi="宋体" w:cs="宋体" w:eastAsia="宋体" w:hint="default"/>
                <w:sz w:val="21"/>
                <w:szCs w:val="21"/>
              </w:rPr>
              <w:t>人或法定</w:t>
            </w:r>
            <w:r>
              <w:rPr>
                <w:rFonts w:ascii="宋体" w:hAnsi="宋体" w:cs="宋体" w:eastAsia="宋体" w:hint="default"/>
                <w:w w:val="100"/>
                <w:sz w:val="21"/>
                <w:szCs w:val="21"/>
              </w:rPr>
              <w:t> </w:t>
            </w:r>
            <w:r>
              <w:rPr>
                <w:rFonts w:ascii="宋体" w:hAnsi="宋体" w:cs="宋体" w:eastAsia="宋体" w:hint="default"/>
                <w:sz w:val="21"/>
                <w:szCs w:val="21"/>
              </w:rPr>
              <w:t>代表人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49" w:right="636" w:hanging="212"/>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2" w:right="101" w:hanging="209"/>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0" w:right="29" w:hanging="1052"/>
              <w:jc w:val="left"/>
              <w:rPr>
                <w:rFonts w:ascii="宋体" w:hAnsi="宋体" w:cs="宋体" w:eastAsia="宋体" w:hint="default"/>
                <w:sz w:val="21"/>
                <w:szCs w:val="21"/>
              </w:rPr>
            </w:pPr>
            <w:r>
              <w:rPr>
                <w:rFonts w:ascii="宋体" w:hAnsi="宋体" w:cs="宋体" w:eastAsia="宋体" w:hint="default"/>
                <w:spacing w:val="-2"/>
                <w:sz w:val="21"/>
                <w:szCs w:val="21"/>
              </w:rPr>
              <w:t>主要经营业务或管理活动等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情况</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91110000100026793Y</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296,390</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信息技术、人工环境等领域</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产品的生产和销售</w:t>
            </w:r>
          </w:p>
        </w:tc>
      </w:tr>
      <w:tr>
        <w:trPr>
          <w:trHeight w:val="55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李华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913600001582806049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20,000</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高新技术产品研发、生产、</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销售和综合技术服务等</w:t>
            </w:r>
          </w:p>
        </w:tc>
      </w:tr>
      <w:tr>
        <w:trPr>
          <w:trHeight w:val="28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782"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ind w:left="458" w:right="0"/>
        <w:jc w:val="left"/>
        <w:rPr>
          <w:b w:val="0"/>
          <w:bCs w:val="0"/>
        </w:rPr>
      </w:pPr>
      <w:r>
        <w:rPr/>
        <w:t>六、</w:t>
      </w:r>
      <w:r>
        <w:rPr>
          <w:spacing w:val="-77"/>
        </w:rPr>
        <w:t> </w:t>
      </w:r>
      <w:r>
        <w:rPr/>
        <w:t>股份限制减持情况说明</w:t>
      </w:r>
      <w:r>
        <w:rPr>
          <w:b w:val="0"/>
          <w:bCs w:val="0"/>
        </w:rPr>
      </w:r>
    </w:p>
    <w:p>
      <w:pPr>
        <w:pStyle w:val="BodyText"/>
        <w:spacing w:line="240" w:lineRule="auto" w:before="56"/>
        <w:ind w:left="4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1"/>
        <w:tabs>
          <w:tab w:pos="1259" w:val="left" w:leader="none"/>
        </w:tabs>
        <w:spacing w:line="240" w:lineRule="auto"/>
        <w:ind w:right="17"/>
        <w:jc w:val="center"/>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4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340" w:right="8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5657" w:val="left" w:leader="none"/>
        </w:tabs>
        <w:spacing w:line="240" w:lineRule="auto"/>
        <w:ind w:left="439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3"/>
          <w:footerReference w:type="default" r:id="rId34"/>
          <w:pgSz w:w="16840" w:h="11910" w:orient="landscape"/>
          <w:pgMar w:header="877" w:footer="1195" w:top="1100" w:bottom="1380" w:left="960" w:right="1040"/>
          <w:pgNumType w:start="57"/>
        </w:sectPr>
      </w:pPr>
    </w:p>
    <w:p>
      <w:pPr>
        <w:pStyle w:val="Heading2"/>
        <w:spacing w:line="240" w:lineRule="auto"/>
        <w:ind w:left="480" w:right="-15"/>
        <w:jc w:val="left"/>
        <w:rPr>
          <w:b w:val="0"/>
          <w:bCs w:val="0"/>
        </w:rPr>
      </w:pPr>
      <w:r>
        <w:rPr/>
        <w:t>一、持股变动情况及报酬情况</w:t>
      </w:r>
      <w:r>
        <w:rPr>
          <w:b w:val="0"/>
          <w:bCs w:val="0"/>
        </w:rPr>
      </w:r>
    </w:p>
    <w:p>
      <w:pPr>
        <w:pStyle w:val="Heading2"/>
        <w:spacing w:line="240" w:lineRule="auto" w:before="56"/>
        <w:ind w:left="480"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480" w:right="-1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480" w:right="0"/>
        <w:jc w:val="left"/>
      </w:pPr>
      <w:r>
        <w:rPr/>
        <w:t>单位：股</w:t>
      </w:r>
    </w:p>
    <w:p>
      <w:pPr>
        <w:spacing w:after="0" w:line="240" w:lineRule="auto"/>
        <w:jc w:val="left"/>
        <w:sectPr>
          <w:type w:val="continuous"/>
          <w:pgSz w:w="16840" w:h="11910" w:orient="landscape"/>
          <w:pgMar w:top="1120" w:bottom="1380" w:left="960" w:right="1040"/>
          <w:cols w:num="2" w:equalWidth="0">
            <w:col w:w="7227" w:space="5807"/>
            <w:col w:w="1806"/>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706"/>
        <w:gridCol w:w="1274"/>
        <w:gridCol w:w="425"/>
        <w:gridCol w:w="569"/>
        <w:gridCol w:w="1700"/>
        <w:gridCol w:w="1702"/>
        <w:gridCol w:w="1136"/>
        <w:gridCol w:w="1282"/>
        <w:gridCol w:w="1274"/>
        <w:gridCol w:w="1844"/>
        <w:gridCol w:w="1560"/>
        <w:gridCol w:w="1133"/>
      </w:tblGrid>
      <w:tr>
        <w:trPr>
          <w:trHeight w:val="977"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年末持股数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5" w:right="103"/>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增减变动原因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3"/>
              <w:ind w:left="38" w:right="36"/>
              <w:jc w:val="both"/>
              <w:rPr>
                <w:rFonts w:ascii="宋体" w:hAnsi="宋体" w:cs="宋体" w:eastAsia="宋体" w:hint="default"/>
                <w:sz w:val="21"/>
                <w:szCs w:val="21"/>
              </w:rPr>
            </w:pPr>
            <w:r>
              <w:rPr>
                <w:rFonts w:ascii="宋体" w:hAnsi="宋体" w:cs="宋体" w:eastAsia="宋体" w:hint="default"/>
                <w:sz w:val="21"/>
                <w:szCs w:val="21"/>
              </w:rPr>
              <w:t>报告期内从公司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获得的税前报酬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总额（万元）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3"/>
              <w:ind w:left="33" w:right="34"/>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2,019,768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2,019,768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董事兼总裁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2,800,000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2,800,000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夏清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储一昀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李自强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孙江海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549,084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549,084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370,000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370,000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曾智杰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0" w:right="0"/>
              <w:jc w:val="left"/>
              <w:rPr>
                <w:rFonts w:ascii="Times New Roman" w:hAnsi="Times New Roman" w:cs="Times New Roman" w:eastAsia="Times New Roman" w:hint="default"/>
                <w:sz w:val="21"/>
                <w:szCs w:val="21"/>
              </w:rPr>
            </w:pPr>
            <w:r>
              <w:rPr>
                <w:rFonts w:ascii="Times New Roman"/>
                <w:sz w:val="21"/>
              </w:rPr>
              <w:t>277,500</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277,500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844"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706"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64"/>
                <w:sz w:val="21"/>
                <w:szCs w:val="21"/>
              </w:rPr>
              <w:t> </w:t>
            </w:r>
            <w:r>
              <w:rPr>
                <w:rFonts w:ascii="宋体" w:hAnsi="宋体" w:cs="宋体" w:eastAsia="宋体" w:hint="default"/>
                <w:sz w:val="21"/>
                <w:szCs w:val="21"/>
              </w:rPr>
              <w:t>总</w:t>
            </w:r>
            <w:r>
              <w:rPr>
                <w:rFonts w:ascii="宋体" w:hAnsi="宋体" w:cs="宋体" w:eastAsia="宋体" w:hint="default"/>
                <w:spacing w:val="-61"/>
                <w:sz w:val="21"/>
                <w:szCs w:val="21"/>
              </w:rPr>
              <w:t> </w:t>
            </w:r>
            <w:r>
              <w:rPr>
                <w:rFonts w:ascii="宋体" w:hAnsi="宋体" w:cs="宋体" w:eastAsia="宋体" w:hint="default"/>
                <w:sz w:val="21"/>
                <w:szCs w:val="21"/>
              </w:rPr>
              <w:t>裁</w:t>
            </w:r>
            <w:r>
              <w:rPr>
                <w:rFonts w:ascii="宋体" w:hAnsi="宋体" w:cs="宋体" w:eastAsia="宋体" w:hint="default"/>
                <w:spacing w:val="-64"/>
                <w:sz w:val="21"/>
                <w:szCs w:val="21"/>
              </w:rPr>
              <w:t> </w:t>
            </w:r>
            <w:r>
              <w:rPr>
                <w:rFonts w:ascii="宋体" w:hAnsi="宋体" w:cs="宋体" w:eastAsia="宋体" w:hint="default"/>
                <w:sz w:val="21"/>
                <w:szCs w:val="21"/>
              </w:rPr>
              <w:t>兼</w:t>
            </w:r>
            <w:r>
              <w:rPr>
                <w:rFonts w:ascii="宋体" w:hAnsi="宋体" w:cs="宋体" w:eastAsia="宋体" w:hint="default"/>
                <w:spacing w:val="-64"/>
                <w:sz w:val="21"/>
                <w:szCs w:val="21"/>
              </w:rPr>
              <w:t> </w:t>
            </w:r>
            <w:r>
              <w:rPr>
                <w:rFonts w:ascii="宋体" w:hAnsi="宋体" w:cs="宋体" w:eastAsia="宋体" w:hint="default"/>
                <w:sz w:val="21"/>
                <w:szCs w:val="21"/>
              </w:rPr>
              <w:t>董</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425"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朱宇华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4"/>
              <w:jc w:val="right"/>
              <w:rPr>
                <w:rFonts w:ascii="Times New Roman" w:hAnsi="Times New Roman" w:cs="Times New Roman" w:eastAsia="Times New Roman" w:hint="default"/>
                <w:sz w:val="21"/>
                <w:szCs w:val="21"/>
              </w:rPr>
            </w:pPr>
            <w:r>
              <w:rPr>
                <w:rFonts w:ascii="Times New Roman"/>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6,616,352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6,616,352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8"/>
              <w:jc w:val="right"/>
              <w:rPr>
                <w:rFonts w:ascii="Times New Roman" w:hAnsi="Times New Roman" w:cs="Times New Roman" w:eastAsia="Times New Roman" w:hint="default"/>
                <w:sz w:val="21"/>
                <w:szCs w:val="21"/>
              </w:rPr>
            </w:pPr>
            <w:r>
              <w:rPr>
                <w:rFonts w:ascii="Times New Roman"/>
                <w:w w:val="100"/>
                <w:sz w:val="21"/>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396.1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6840" w:h="11910" w:orient="landscape"/>
          <w:pgMar w:top="1120" w:bottom="1380" w:left="9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385"/>
        <w:gridCol w:w="13327"/>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年至今任泰豪集团有限公司董事长，</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月任本公司副董事长，</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月至今任本公司董事长。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年任同方股份副总裁、总工程师，现任同方股份副总裁。</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月至今任本公司副董事长。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月任公司总裁助理，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月任公司副总裁，</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月任公司总裁，</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月至今任公司董事兼总裁。</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月任泰豪软件股份有限公司董事长兼总裁，</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月至今任本公司董事兼泰豪软件董事长、总裁。</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月至今任本见投资（北京）有限公司董事长，</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夏清</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年至今任清华大学教授，</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储一昀</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年至今任上海财经大学教授，现任上海财经大学会计学教授、博士生导师；</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月至今任公司独立董事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李自强</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年至今任泰豪集团有限公司副总裁，</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月任公司监事会主席。</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月历任同方股份有限公司副总会计师、总会计师、总会计师兼财务负责人，</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月任同方股份有限公司</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副总裁兼财务负责人，</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月任同方股份有限公司副总裁；</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月至今任本公司监事。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孙江海</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月任公司全资子公司泰豪软件股份有限公司副总裁兼财务总监，</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月至今担任公司全资子公司泰豪软件股份有限公</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司副总裁。</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月至今任公司监事。</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杨骏</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月任本公司副总裁兼董事会秘书，</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月至今任公司常务副总裁。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月任公司总裁助理兼财务负责人，</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月任公司副总裁兼财务负责人，</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月至今任公司副</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叶敏华</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月任公司电力软件事业部总经理兼泰豪软件股份有限公司副总裁；</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月至今任公司副总裁。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曾智杰</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月任本公司副总裁，</w:t>
            </w:r>
            <w:r>
              <w:rPr>
                <w:rFonts w:ascii="Times New Roman" w:hAnsi="Times New Roman" w:cs="Times New Roman" w:eastAsia="Times New Roman" w:hint="default"/>
                <w:spacing w:val="-4"/>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月任泰豪军工集团总裁，</w:t>
            </w:r>
            <w:r>
              <w:rPr>
                <w:rFonts w:ascii="Times New Roman" w:hAnsi="Times New Roman" w:cs="Times New Roman" w:eastAsia="Times New Roman" w:hint="default"/>
                <w:spacing w:val="-4"/>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月至今任本公司副总裁兼泰豪军工集团</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李结平</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月任本公司产业投资部</w:t>
            </w:r>
            <w:r>
              <w:rPr>
                <w:rFonts w:ascii="Times New Roman" w:hAnsi="Times New Roman" w:cs="Times New Roman" w:eastAsia="Times New Roman" w:hint="default"/>
                <w:sz w:val="21"/>
                <w:szCs w:val="21"/>
              </w:rPr>
              <w:t>/</w:t>
            </w:r>
            <w:r>
              <w:rPr>
                <w:rFonts w:ascii="宋体" w:hAnsi="宋体" w:cs="宋体" w:eastAsia="宋体" w:hint="default"/>
                <w:sz w:val="21"/>
                <w:szCs w:val="21"/>
              </w:rPr>
              <w:t>证券部经理，</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月任公司总裁助理，</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月任公司董</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事会秘书，</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月至今任公司副总裁兼董事会秘书。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年进入公司，曾任公司总裁办副经理、经理、总裁助理兼行政部经理，</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月起任公司副总裁。</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朱宇华</w:t>
            </w:r>
          </w:p>
        </w:tc>
        <w:tc>
          <w:tcPr>
            <w:tcW w:w="1332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年进入公司，曾任公司电机事业部财务负责人、公司财务部主办会计、公司财务部副经理、总裁助理兼财务部经理，</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月起任公司</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财务</w:t>
            </w:r>
            <w:r>
              <w:rPr>
                <w:rFonts w:ascii="宋体" w:hAnsi="宋体" w:cs="宋体" w:eastAsia="宋体" w:hint="default"/>
                <w:spacing w:val="-3"/>
                <w:w w:val="100"/>
                <w:sz w:val="21"/>
                <w:szCs w:val="21"/>
              </w:rPr>
              <w:t>总</w:t>
            </w:r>
            <w:r>
              <w:rPr>
                <w:rFonts w:ascii="宋体" w:hAnsi="宋体" w:cs="宋体" w:eastAsia="宋体" w:hint="default"/>
                <w:w w:val="100"/>
                <w:sz w:val="21"/>
                <w:szCs w:val="21"/>
              </w:rPr>
              <w:t>监</w:t>
            </w:r>
            <w:r>
              <w:rPr>
                <w:rFonts w:ascii="宋体" w:hAnsi="宋体" w:cs="宋体" w:eastAsia="宋体" w:hint="default"/>
                <w:spacing w:val="-3"/>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负</w:t>
            </w:r>
            <w:r>
              <w:rPr>
                <w:rFonts w:ascii="宋体" w:hAnsi="宋体" w:cs="宋体" w:eastAsia="宋体" w:hint="default"/>
                <w:spacing w:val="-3"/>
                <w:w w:val="100"/>
                <w:sz w:val="21"/>
                <w:szCs w:val="21"/>
              </w:rPr>
              <w:t>责</w:t>
            </w:r>
            <w:r>
              <w:rPr>
                <w:rFonts w:ascii="宋体" w:hAnsi="宋体" w:cs="宋体" w:eastAsia="宋体" w:hint="default"/>
                <w:w w:val="100"/>
                <w:sz w:val="21"/>
                <w:szCs w:val="21"/>
              </w:rPr>
              <w:t>人</w:t>
            </w:r>
            <w:r>
              <w:rPr>
                <w:rFonts w:ascii="宋体" w:hAnsi="宋体" w:cs="宋体" w:eastAsia="宋体" w:hint="default"/>
                <w:spacing w:val="-109"/>
                <w:w w:val="100"/>
                <w:sz w:val="21"/>
                <w:szCs w:val="21"/>
              </w:rPr>
              <w:t>）</w:t>
            </w:r>
            <w:r>
              <w:rPr>
                <w:rFonts w:ascii="宋体" w:hAnsi="宋体" w:cs="宋体" w:eastAsia="宋体" w:hint="default"/>
                <w:w w:val="100"/>
                <w:sz w:val="21"/>
                <w:szCs w:val="21"/>
              </w:rPr>
              <w:t>。</w:t>
            </w:r>
          </w:p>
        </w:tc>
      </w:tr>
    </w:tbl>
    <w:p>
      <w:pPr>
        <w:spacing w:line="240" w:lineRule="auto" w:before="2"/>
        <w:rPr>
          <w:rFonts w:ascii="宋体" w:hAnsi="宋体" w:cs="宋体" w:eastAsia="宋体" w:hint="default"/>
          <w:sz w:val="13"/>
          <w:szCs w:val="13"/>
        </w:rPr>
      </w:pPr>
    </w:p>
    <w:p>
      <w:pPr>
        <w:pStyle w:val="BodyText"/>
        <w:spacing w:line="273" w:lineRule="exact" w:before="36"/>
        <w:ind w:left="540" w:right="0"/>
        <w:jc w:val="left"/>
      </w:pPr>
      <w:r>
        <w:rPr/>
        <w:t>其它情况说明</w:t>
      </w:r>
    </w:p>
    <w:p>
      <w:pPr>
        <w:pStyle w:val="BodyText"/>
        <w:spacing w:line="289" w:lineRule="exact"/>
        <w:ind w:left="540"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89" w:lineRule="exact"/>
        <w:jc w:val="left"/>
        <w:sectPr>
          <w:pgSz w:w="16840" w:h="11910" w:orient="landscape"/>
          <w:pgMar w:header="877" w:footer="1195" w:top="1100" w:bottom="1380" w:left="90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240" w:lineRule="auto"/>
        <w:ind w:left="220" w:right="780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83" w:lineRule="auto" w:before="29"/>
        <w:ind w:left="220" w:right="7801"/>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w:t>
      </w:r>
      <w:r>
        <w:rPr>
          <w:rFonts w:ascii="宋体" w:hAnsi="宋体" w:cs="宋体" w:eastAsia="宋体" w:hint="default"/>
          <w:b w:val="0"/>
          <w:bCs w:val="0"/>
          <w:spacing w:val="1"/>
        </w:rPr>
        <w:t>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76" w:lineRule="exact"/>
        <w:ind w:left="220" w:right="78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107" w:type="dxa"/>
        <w:tblLayout w:type="fixed"/>
        <w:tblCellMar>
          <w:top w:w="0" w:type="dxa"/>
          <w:left w:w="0" w:type="dxa"/>
          <w:bottom w:w="0" w:type="dxa"/>
          <w:right w:w="0" w:type="dxa"/>
        </w:tblCellMar>
        <w:tblLook w:val="01E0"/>
      </w:tblPr>
      <w:tblGrid>
        <w:gridCol w:w="2756"/>
        <w:gridCol w:w="3622"/>
        <w:gridCol w:w="2787"/>
        <w:gridCol w:w="2357"/>
        <w:gridCol w:w="2343"/>
      </w:tblGrid>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李自强</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副总裁兼财务负责人</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1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刘卫东先生自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日起任同方股份有限公司副总裁。</w:t>
            </w:r>
          </w:p>
        </w:tc>
      </w:tr>
    </w:tbl>
    <w:p>
      <w:pPr>
        <w:spacing w:line="240" w:lineRule="auto" w:before="11"/>
        <w:rPr>
          <w:rFonts w:ascii="宋体" w:hAnsi="宋体" w:cs="宋体" w:eastAsia="宋体" w:hint="default"/>
          <w:sz w:val="18"/>
          <w:szCs w:val="18"/>
        </w:rPr>
      </w:pPr>
    </w:p>
    <w:p>
      <w:pPr>
        <w:pStyle w:val="Heading2"/>
        <w:spacing w:line="240" w:lineRule="auto"/>
        <w:ind w:left="220" w:right="780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0" w:right="78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220" w:type="dxa"/>
        <w:tblLayout w:type="fixed"/>
        <w:tblCellMar>
          <w:top w:w="0" w:type="dxa"/>
          <w:left w:w="0" w:type="dxa"/>
          <w:bottom w:w="0" w:type="dxa"/>
          <w:right w:w="0" w:type="dxa"/>
        </w:tblCellMar>
        <w:tblLook w:val="01E0"/>
      </w:tblPr>
      <w:tblGrid>
        <w:gridCol w:w="2770"/>
        <w:gridCol w:w="3610"/>
        <w:gridCol w:w="2792"/>
        <w:gridCol w:w="2341"/>
        <w:gridCol w:w="2352"/>
      </w:tblGrid>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4" w:hRule="exact"/>
        </w:trPr>
        <w:tc>
          <w:tcPr>
            <w:tcW w:w="2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黄代放</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ABB </w:t>
            </w:r>
            <w:r>
              <w:rPr>
                <w:rFonts w:ascii="宋体" w:hAnsi="宋体" w:cs="宋体" w:eastAsia="宋体" w:hint="default"/>
                <w:sz w:val="21"/>
                <w:szCs w:val="21"/>
              </w:rPr>
              <w:t>发电机有限公司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达高泰豪（南昌）动漫有限公司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0"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江西赣锋锂业股份有限公司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江西风尚电视购物股份有限公司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清华大学江西校友会</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法定代表人兼会长</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夏清</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上海置信电气股份有限公司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770"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华能国际电力股份有限公司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储一昀</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环旭电子股份有限公司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2770"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中国巨石股份有限公司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4" w:hRule="exact"/>
        </w:trPr>
        <w:tc>
          <w:tcPr>
            <w:tcW w:w="2770"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上海同济科技股份有限公司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2770" w:type="dxa"/>
            <w:vMerge/>
            <w:tcBorders>
              <w:left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平安银行股份有限公司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770" w:type="dxa"/>
            <w:vMerge/>
            <w:tcBorders>
              <w:left w:val="single" w:sz="4" w:space="0" w:color="000000"/>
              <w:bottom w:val="single" w:sz="4" w:space="0" w:color="000000"/>
              <w:right w:val="single" w:sz="4" w:space="0" w:color="000000"/>
            </w:tcBorders>
          </w:tcPr>
          <w:p>
            <w:pP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嘉兴银行股份有限公司（非上市公司）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李自强</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ABB </w:t>
            </w:r>
            <w:r>
              <w:rPr>
                <w:rFonts w:ascii="宋体" w:hAnsi="宋体" w:cs="宋体" w:eastAsia="宋体" w:hint="default"/>
                <w:sz w:val="21"/>
                <w:szCs w:val="21"/>
              </w:rPr>
              <w:t>发电机有限公司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杨骏</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成都华太航空科技股份有限公司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5" w:top="1100" w:bottom="1380" w:left="12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220" w:type="dxa"/>
        <w:tblLayout w:type="fixed"/>
        <w:tblCellMar>
          <w:top w:w="0" w:type="dxa"/>
          <w:left w:w="0" w:type="dxa"/>
          <w:bottom w:w="0" w:type="dxa"/>
          <w:right w:w="0" w:type="dxa"/>
        </w:tblCellMar>
        <w:tblLook w:val="01E0"/>
      </w:tblPr>
      <w:tblGrid>
        <w:gridCol w:w="2770"/>
        <w:gridCol w:w="3610"/>
        <w:gridCol w:w="2792"/>
        <w:gridCol w:w="2341"/>
        <w:gridCol w:w="2352"/>
      </w:tblGrid>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李结平</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江西国科军工集团股份有限公司</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0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left="220" w:right="7801"/>
        <w:jc w:val="left"/>
        <w:rPr>
          <w:b w:val="0"/>
          <w:bCs w:val="0"/>
        </w:rPr>
      </w:pPr>
      <w:r>
        <w:rPr/>
        <w:t>三、董事、监事、高级管理人员报酬情况</w:t>
      </w:r>
      <w:r>
        <w:rPr>
          <w:b w:val="0"/>
          <w:bCs w:val="0"/>
        </w:rPr>
      </w:r>
    </w:p>
    <w:p>
      <w:pPr>
        <w:pStyle w:val="BodyText"/>
        <w:spacing w:line="240" w:lineRule="auto" w:before="58"/>
        <w:ind w:left="220" w:right="78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220" w:type="dxa"/>
        <w:tblLayout w:type="fixed"/>
        <w:tblCellMar>
          <w:top w:w="0" w:type="dxa"/>
          <w:left w:w="0" w:type="dxa"/>
          <w:bottom w:w="0" w:type="dxa"/>
          <w:right w:w="0" w:type="dxa"/>
        </w:tblCellMar>
        <w:tblLook w:val="01E0"/>
      </w:tblPr>
      <w:tblGrid>
        <w:gridCol w:w="4297"/>
        <w:gridCol w:w="9568"/>
      </w:tblGrid>
      <w:tr>
        <w:trPr>
          <w:trHeight w:val="555"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公司独立董事的薪酬计划由公司薪酬与考核委员会提出，报董事会审议通过后，提交股东大会审议通过</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后实施；公司高级管理人员的薪酬方案由公司薪酬与考核委员会提出，报董事会批准。</w:t>
            </w:r>
          </w:p>
        </w:tc>
      </w:tr>
      <w:tr>
        <w:trPr>
          <w:trHeight w:val="55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按公司资产规模、经营业绩和工作职责等维度对高级管理人员绩效进行考核，由公司薪酬与考核委员会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确定标准。</w:t>
            </w:r>
          </w:p>
        </w:tc>
      </w:tr>
      <w:tr>
        <w:trPr>
          <w:trHeight w:val="557"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董事、监事和高级管理人员报酬的实际支付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按规定支付</w:t>
            </w:r>
          </w:p>
        </w:tc>
      </w:tr>
      <w:tr>
        <w:trPr>
          <w:trHeight w:val="55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报告期末全体董事、监事和高级管理人员实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际获得的报酬合计</w:t>
            </w:r>
          </w:p>
        </w:tc>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396.10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11"/>
        <w:rPr>
          <w:rFonts w:ascii="宋体" w:hAnsi="宋体" w:cs="宋体" w:eastAsia="宋体" w:hint="default"/>
          <w:sz w:val="18"/>
          <w:szCs w:val="18"/>
        </w:rPr>
      </w:pPr>
    </w:p>
    <w:p>
      <w:pPr>
        <w:pStyle w:val="Heading2"/>
        <w:spacing w:line="240" w:lineRule="auto"/>
        <w:ind w:left="220" w:right="7801"/>
        <w:jc w:val="left"/>
        <w:rPr>
          <w:b w:val="0"/>
          <w:bCs w:val="0"/>
        </w:rPr>
      </w:pPr>
      <w:r>
        <w:rPr/>
        <w:t>四、公司董事、监事、高级管理人员变动情况</w:t>
      </w:r>
      <w:r>
        <w:rPr>
          <w:b w:val="0"/>
          <w:bCs w:val="0"/>
        </w:rPr>
      </w:r>
    </w:p>
    <w:p>
      <w:pPr>
        <w:pStyle w:val="BodyText"/>
        <w:spacing w:line="240" w:lineRule="auto" w:before="56"/>
        <w:ind w:left="220" w:right="78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107" w:type="dxa"/>
        <w:tblLayout w:type="fixed"/>
        <w:tblCellMar>
          <w:top w:w="0" w:type="dxa"/>
          <w:left w:w="0" w:type="dxa"/>
          <w:bottom w:w="0" w:type="dxa"/>
          <w:right w:w="0" w:type="dxa"/>
        </w:tblCellMar>
        <w:tblLook w:val="01E0"/>
      </w:tblPr>
      <w:tblGrid>
        <w:gridCol w:w="3466"/>
        <w:gridCol w:w="3467"/>
        <w:gridCol w:w="3466"/>
        <w:gridCol w:w="3466"/>
      </w:tblGrid>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朱宇华</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汪华艳</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吴菊林</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工作需要</w:t>
            </w:r>
          </w:p>
        </w:tc>
      </w:tr>
    </w:tbl>
    <w:p>
      <w:pPr>
        <w:pStyle w:val="BodyText"/>
        <w:spacing w:line="271" w:lineRule="exact"/>
        <w:ind w:left="640"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日，公司副总裁兼财务总监吴菊林先生辞去财务总监职务；辞去财务总监职务后，吴菊林先生仍担任公司副总裁职务。</w:t>
      </w:r>
    </w:p>
    <w:p>
      <w:pPr>
        <w:spacing w:line="240" w:lineRule="auto" w:before="8"/>
        <w:rPr>
          <w:rFonts w:ascii="宋体" w:hAnsi="宋体" w:cs="宋体" w:eastAsia="宋体" w:hint="default"/>
          <w:sz w:val="21"/>
          <w:szCs w:val="21"/>
        </w:rPr>
      </w:pPr>
    </w:p>
    <w:p>
      <w:pPr>
        <w:pStyle w:val="Heading2"/>
        <w:spacing w:line="240" w:lineRule="auto" w:before="0"/>
        <w:ind w:left="220" w:right="7801"/>
        <w:jc w:val="left"/>
        <w:rPr>
          <w:b w:val="0"/>
          <w:bCs w:val="0"/>
        </w:rPr>
      </w:pPr>
      <w:r>
        <w:rPr/>
        <w:t>五、近三年受证券监管机构处罚的情况说明</w:t>
      </w:r>
      <w:r>
        <w:rPr>
          <w:b w:val="0"/>
          <w:bCs w:val="0"/>
        </w:rPr>
      </w:r>
    </w:p>
    <w:p>
      <w:pPr>
        <w:pStyle w:val="BodyText"/>
        <w:spacing w:line="240" w:lineRule="auto" w:before="59"/>
        <w:ind w:left="220" w:right="780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footerReference w:type="default" r:id="rId35"/>
          <w:pgSz w:w="16840" w:h="11910" w:orient="landscape"/>
          <w:pgMar w:footer="1195" w:header="877" w:top="1100" w:bottom="1380" w:left="1220" w:right="1400"/>
        </w:sectPr>
      </w:pPr>
    </w:p>
    <w:p>
      <w:pPr>
        <w:spacing w:line="240" w:lineRule="auto" w:before="9"/>
        <w:rPr>
          <w:rFonts w:ascii="宋体" w:hAnsi="宋体" w:cs="宋体" w:eastAsia="宋体" w:hint="default"/>
          <w:sz w:val="25"/>
          <w:szCs w:val="25"/>
        </w:rPr>
      </w:pPr>
    </w:p>
    <w:p>
      <w:pPr>
        <w:pStyle w:val="Heading2"/>
        <w:spacing w:line="240" w:lineRule="auto"/>
        <w:ind w:left="218" w:right="100"/>
        <w:jc w:val="left"/>
        <w:rPr>
          <w:b w:val="0"/>
          <w:bCs w:val="0"/>
        </w:rPr>
      </w:pPr>
      <w:r>
        <w:rPr/>
        <w:t>六、母公司和主要子公司的员工情况</w:t>
      </w:r>
      <w:r>
        <w:rPr>
          <w:b w:val="0"/>
          <w:bCs w:val="0"/>
        </w:rPr>
      </w:r>
    </w:p>
    <w:p>
      <w:pPr>
        <w:pStyle w:val="Heading2"/>
        <w:spacing w:line="240" w:lineRule="auto" w:before="58"/>
        <w:ind w:left="218" w:right="10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099"/>
        <w:gridCol w:w="3725"/>
      </w:tblGrid>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99</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2,973</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3,072</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6" w:right="0"/>
              <w:jc w:val="left"/>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760</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492</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1,260</w:t>
            </w:r>
          </w:p>
        </w:tc>
      </w:tr>
      <w:tr>
        <w:trPr>
          <w:trHeight w:val="284"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107</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453</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3,072</w:t>
            </w:r>
          </w:p>
        </w:tc>
      </w:tr>
      <w:tr>
        <w:trPr>
          <w:trHeight w:val="283"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硕士以上</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199</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1,537</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687</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中专技校</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431</w:t>
            </w:r>
          </w:p>
        </w:tc>
      </w:tr>
      <w:tr>
        <w:trPr>
          <w:trHeight w:val="283"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218</w:t>
            </w:r>
          </w:p>
        </w:tc>
      </w:tr>
      <w:tr>
        <w:trPr>
          <w:trHeight w:val="281"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3,072</w:t>
            </w:r>
          </w:p>
        </w:tc>
      </w:tr>
    </w:tbl>
    <w:p>
      <w:pPr>
        <w:spacing w:line="240" w:lineRule="auto" w:before="10"/>
        <w:rPr>
          <w:rFonts w:ascii="宋体" w:hAnsi="宋体" w:cs="宋体" w:eastAsia="宋体" w:hint="default"/>
          <w:b/>
          <w:bCs/>
          <w:sz w:val="17"/>
          <w:szCs w:val="17"/>
        </w:rPr>
      </w:pPr>
    </w:p>
    <w:p>
      <w:pPr>
        <w:pStyle w:val="Heading2"/>
        <w:spacing w:line="240" w:lineRule="auto"/>
        <w:ind w:left="218" w:right="10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64" w:val="left" w:leader="none"/>
        </w:tabs>
        <w:spacing w:line="274" w:lineRule="exact" w:before="55"/>
        <w:ind w:left="638" w:right="1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公司根据“工资凭岗位、奖励凭绩效”的原则，制定员工薪酬管理办法，包含基准工资、绩</w:t>
      </w:r>
    </w:p>
    <w:p>
      <w:pPr>
        <w:pStyle w:val="BodyText"/>
        <w:spacing w:line="245" w:lineRule="exact"/>
        <w:ind w:left="218" w:right="100"/>
        <w:jc w:val="left"/>
      </w:pPr>
      <w:r>
        <w:rPr/>
        <w:t>效补贴、年度奖励、股权激励等短期、长期激励措施。结合年度“三考”结果和员工的绩效表现</w:t>
      </w:r>
    </w:p>
    <w:p>
      <w:pPr>
        <w:pStyle w:val="BodyText"/>
        <w:spacing w:line="274" w:lineRule="exact"/>
        <w:ind w:left="218" w:right="100"/>
        <w:jc w:val="left"/>
      </w:pPr>
      <w:r>
        <w:rPr/>
        <w:t>评定员工的薪酬，充分调动员工的积极性和竞争意识，保障公司健康、持续发展。</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64" w:val="left" w:leader="none"/>
        </w:tabs>
        <w:spacing w:line="274" w:lineRule="exact" w:before="55"/>
        <w:ind w:left="638" w:right="1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公司根据业务发展规划，在年初制定全年培训计划，包括内部培训和外部培训，为员工提供</w:t>
      </w:r>
    </w:p>
    <w:p>
      <w:pPr>
        <w:pStyle w:val="BodyText"/>
        <w:spacing w:line="245" w:lineRule="exact"/>
        <w:ind w:left="218" w:right="100"/>
        <w:jc w:val="left"/>
      </w:pPr>
      <w:r>
        <w:rPr/>
        <w:t>职业生涯规划、职业技能、专业能力和职业素养等方面的应知应会类培训。对入司不满三年的应</w:t>
      </w:r>
    </w:p>
    <w:p>
      <w:pPr>
        <w:pStyle w:val="BodyText"/>
        <w:spacing w:line="228" w:lineRule="auto" w:before="11"/>
        <w:ind w:left="218" w:right="127"/>
        <w:jc w:val="both"/>
      </w:pPr>
      <w:r>
        <w:rPr>
          <w:spacing w:val="-1"/>
        </w:rPr>
        <w:t>届毕业生安排“绿色人才”三年成才培养计划，实行导师一对一培养机制，单位人力资源负责人</w:t>
      </w:r>
      <w:r>
        <w:rPr>
          <w:spacing w:val="-55"/>
        </w:rPr>
        <w:t> </w:t>
      </w:r>
      <w:r>
        <w:rPr>
          <w:spacing w:val="-55"/>
        </w:rPr>
      </w:r>
      <w:r>
        <w:rPr>
          <w:spacing w:val="-3"/>
        </w:rPr>
        <w:t>跟踪培养机制和公司高层定期交流机制；对表现优秀的</w:t>
      </w:r>
      <w:r>
        <w:rPr>
          <w:spacing w:val="-42"/>
        </w:rPr>
        <w:t> </w:t>
      </w:r>
      <w:r>
        <w:rPr>
          <w:rFonts w:ascii="Times New Roman" w:hAnsi="Times New Roman" w:cs="Times New Roman" w:eastAsia="Times New Roman" w:hint="default"/>
          <w:spacing w:val="-7"/>
        </w:rPr>
        <w:t>80</w:t>
      </w:r>
      <w:r>
        <w:rPr>
          <w:spacing w:val="-7"/>
        </w:rPr>
        <w:t>、</w:t>
      </w:r>
      <w:r>
        <w:rPr>
          <w:rFonts w:ascii="Times New Roman" w:hAnsi="Times New Roman" w:cs="Times New Roman" w:eastAsia="Times New Roman" w:hint="default"/>
          <w:spacing w:val="-7"/>
        </w:rPr>
        <w:t>90</w:t>
      </w:r>
      <w:r>
        <w:rPr>
          <w:rFonts w:ascii="Times New Roman" w:hAnsi="Times New Roman" w:cs="Times New Roman" w:eastAsia="Times New Roman" w:hint="default"/>
          <w:spacing w:val="10"/>
        </w:rPr>
        <w:t> </w:t>
      </w:r>
      <w:r>
        <w:rPr/>
        <w:t>后员工安排</w:t>
      </w:r>
      <w:r>
        <w:rPr>
          <w:spacing w:val="-43"/>
        </w:rPr>
        <w:t> </w:t>
      </w:r>
      <w:r>
        <w:rPr>
          <w:rFonts w:ascii="Times New Roman" w:hAnsi="Times New Roman" w:cs="Times New Roman" w:eastAsia="Times New Roman" w:hint="default"/>
        </w:rPr>
        <w:t>MBA</w:t>
      </w:r>
      <w:r>
        <w:rPr>
          <w:rFonts w:ascii="Times New Roman" w:hAnsi="Times New Roman" w:cs="Times New Roman" w:eastAsia="Times New Roman" w:hint="default"/>
          <w:spacing w:val="6"/>
        </w:rPr>
        <w:t> </w:t>
      </w:r>
      <w:r>
        <w:rPr>
          <w:spacing w:val="-6"/>
        </w:rPr>
        <w:t>课程，系统学习</w:t>
      </w:r>
      <w:r>
        <w:rPr>
          <w:spacing w:val="-101"/>
        </w:rPr>
        <w:t> </w:t>
      </w:r>
      <w:r>
        <w:rPr>
          <w:spacing w:val="-101"/>
        </w:rPr>
      </w:r>
      <w:r>
        <w:rPr/>
        <w:t>财务、商务、组织行为、人力资源等管理知识；对中高层管理人员提供知名院校 </w:t>
      </w:r>
      <w:r>
        <w:rPr>
          <w:rFonts w:ascii="Times New Roman" w:hAnsi="Times New Roman" w:cs="Times New Roman" w:eastAsia="Times New Roman" w:hint="default"/>
        </w:rPr>
        <w:t>MBA </w:t>
      </w:r>
      <w:r>
        <w:rPr/>
        <w:t>或</w:t>
      </w:r>
      <w:r>
        <w:rPr>
          <w:spacing w:val="-83"/>
        </w:rPr>
        <w:t> </w:t>
      </w:r>
      <w:r>
        <w:rPr>
          <w:rFonts w:ascii="Times New Roman" w:hAnsi="Times New Roman" w:cs="Times New Roman" w:eastAsia="Times New Roman" w:hint="default"/>
        </w:rPr>
        <w:t>EMBA</w:t>
      </w:r>
      <w:r>
        <w:rPr>
          <w:rFonts w:ascii="Times New Roman" w:hAnsi="Times New Roman" w:cs="Times New Roman" w:eastAsia="Times New Roman" w:hint="default"/>
          <w:w w:val="100"/>
        </w:rPr>
        <w:t> </w:t>
      </w:r>
      <w:r>
        <w:rPr/>
        <w:t>培训。</w:t>
      </w:r>
    </w:p>
    <w:p>
      <w:pPr>
        <w:pStyle w:val="BodyText"/>
        <w:spacing w:line="237" w:lineRule="auto" w:before="2"/>
        <w:ind w:left="218" w:right="128" w:firstLine="419"/>
        <w:jc w:val="both"/>
      </w:pPr>
      <w:r>
        <w:rPr>
          <w:spacing w:val="-7"/>
        </w:rPr>
        <w:t>通过不同层次的培训，员工更加明确了工作任务、职责和目标，提高了知识技能和综合素质，</w:t>
      </w:r>
      <w:r>
        <w:rPr>
          <w:w w:val="100"/>
        </w:rPr>
        <w:t> </w:t>
      </w:r>
      <w:r>
        <w:rPr>
          <w:spacing w:val="-1"/>
        </w:rPr>
        <w:t>确立了清晰的职业发展规划，建立了符合公司战略发展需要的人才梯队，同时打造了一支企业内</w:t>
      </w:r>
      <w:r>
        <w:rPr>
          <w:spacing w:val="-55"/>
        </w:rPr>
        <w:t> </w:t>
      </w:r>
      <w:r>
        <w:rPr>
          <w:spacing w:val="-55"/>
        </w:rPr>
      </w:r>
      <w:r>
        <w:rPr/>
        <w:t>训师队伍。</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76" w:lineRule="auto" w:before="29"/>
        <w:ind w:left="218" w:right="75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976" w:val="left" w:leader="none"/>
        </w:tabs>
        <w:spacing w:line="240" w:lineRule="auto" w:before="25"/>
        <w:ind w:left="218"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headerReference w:type="default" r:id="rId36"/>
          <w:footerReference w:type="default" r:id="rId37"/>
          <w:pgSz w:w="11910" w:h="16840"/>
          <w:pgMar w:header="877" w:footer="1195" w:top="1100" w:bottom="1380" w:left="1580" w:right="1140"/>
          <w:pgNumType w:start="61"/>
        </w:sectPr>
      </w:pPr>
    </w:p>
    <w:p>
      <w:pPr>
        <w:spacing w:line="240" w:lineRule="auto" w:before="3"/>
        <w:rPr>
          <w:rFonts w:ascii="宋体" w:hAnsi="宋体" w:cs="宋体" w:eastAsia="宋体" w:hint="default"/>
          <w:sz w:val="26"/>
          <w:szCs w:val="26"/>
        </w:rPr>
      </w:pPr>
    </w:p>
    <w:p>
      <w:pPr>
        <w:pStyle w:val="Heading1"/>
        <w:tabs>
          <w:tab w:pos="1302" w:val="left" w:leader="none"/>
        </w:tabs>
        <w:spacing w:line="240" w:lineRule="auto"/>
        <w:ind w:left="42"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78" w:right="0"/>
        <w:jc w:val="both"/>
        <w:rPr>
          <w:b w:val="0"/>
          <w:bCs w:val="0"/>
        </w:rPr>
      </w:pPr>
      <w:r>
        <w:rPr/>
        <w:t>一、公司治理相关情况说明</w:t>
      </w:r>
      <w:r>
        <w:rPr>
          <w:b w:val="0"/>
          <w:bCs w:val="0"/>
        </w:rPr>
      </w:r>
    </w:p>
    <w:p>
      <w:pPr>
        <w:pStyle w:val="BodyText"/>
        <w:tabs>
          <w:tab w:pos="1123" w:val="left" w:leader="none"/>
        </w:tabs>
        <w:spacing w:line="272" w:lineRule="exact" w:before="86"/>
        <w:ind w:left="598" w:right="137" w:hanging="420"/>
        <w:jc w:val="left"/>
      </w:pPr>
      <w:r>
        <w:rPr/>
        <w:t>√适用</w:t>
        <w:tab/>
        <w:t>□不适用</w:t>
      </w:r>
      <w:r>
        <w:rPr>
          <w:w w:val="100"/>
        </w:rPr>
        <w:t> </w:t>
      </w:r>
      <w:r>
        <w:rPr>
          <w:spacing w:val="-2"/>
        </w:rPr>
        <w:t>报告期内，公司及公司董事、监事、高级管理人员严格按照《公司法》、《证券法》、《上</w:t>
      </w:r>
    </w:p>
    <w:p>
      <w:pPr>
        <w:pStyle w:val="BodyText"/>
        <w:spacing w:line="272" w:lineRule="exact" w:before="1"/>
        <w:ind w:left="178" w:right="0"/>
        <w:jc w:val="left"/>
      </w:pPr>
      <w:r>
        <w:rPr>
          <w:spacing w:val="-2"/>
        </w:rPr>
        <w:t>市公司治理准则》、《上海证券交易所上市规则》和中国证券监督管理委员会有关法律法规的要</w:t>
      </w:r>
      <w:r>
        <w:rPr>
          <w:spacing w:val="-25"/>
        </w:rPr>
        <w:t> </w:t>
      </w:r>
      <w:r>
        <w:rPr>
          <w:spacing w:val="-25"/>
        </w:rPr>
      </w:r>
      <w:r>
        <w:rPr>
          <w:spacing w:val="-7"/>
        </w:rPr>
        <w:t>求和《公司章程》的规定履行职责，不断完善公司法人治理结构，规范公司运作。公司股东大会、</w:t>
      </w:r>
    </w:p>
    <w:p>
      <w:pPr>
        <w:pStyle w:val="BodyText"/>
        <w:spacing w:line="272" w:lineRule="exact" w:before="1"/>
        <w:ind w:left="178" w:right="0"/>
        <w:jc w:val="left"/>
      </w:pPr>
      <w:r>
        <w:rPr>
          <w:spacing w:val="-2"/>
        </w:rPr>
        <w:t>董事会、监事会、董事会各专门委员会依法履行各自职责，运作规范，切实保障了公司和股东的</w:t>
      </w:r>
      <w:r>
        <w:rPr>
          <w:spacing w:val="-25"/>
        </w:rPr>
        <w:t> </w:t>
      </w:r>
      <w:r>
        <w:rPr>
          <w:spacing w:val="-25"/>
        </w:rPr>
      </w:r>
      <w:r>
        <w:rPr/>
        <w:t>合法权益。</w:t>
      </w:r>
    </w:p>
    <w:p>
      <w:pPr>
        <w:pStyle w:val="BodyText"/>
        <w:spacing w:line="272" w:lineRule="exact" w:before="1"/>
        <w:ind w:left="178" w:right="128" w:firstLine="419"/>
        <w:jc w:val="both"/>
      </w:pPr>
      <w:r>
        <w:rPr>
          <w:rFonts w:ascii="宋体" w:hAnsi="宋体" w:cs="宋体" w:eastAsia="宋体" w:hint="default"/>
          <w:spacing w:val="-4"/>
        </w:rPr>
        <w:t>1</w:t>
      </w:r>
      <w:r>
        <w:rPr>
          <w:spacing w:val="-4"/>
        </w:rPr>
        <w:t>、关于公司运作的规范性：报告期内，公司结合相关法律法规和公司实际情况的变化，提出</w:t>
      </w:r>
      <w:r>
        <w:rPr>
          <w:w w:val="100"/>
        </w:rPr>
        <w:t> </w:t>
      </w:r>
      <w:r>
        <w:rPr/>
        <w:t>对《公司章程》部分条款的修订，并于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月完成相关工商变更登记手续。</w:t>
      </w:r>
    </w:p>
    <w:p>
      <w:pPr>
        <w:pStyle w:val="BodyText"/>
        <w:spacing w:line="247" w:lineRule="exact"/>
        <w:ind w:left="598" w:right="0"/>
        <w:jc w:val="left"/>
      </w:pPr>
      <w:r>
        <w:rPr>
          <w:rFonts w:ascii="宋体" w:hAnsi="宋体" w:cs="宋体" w:eastAsia="宋体" w:hint="default"/>
          <w:spacing w:val="-4"/>
        </w:rPr>
        <w:t>2</w:t>
      </w:r>
      <w:r>
        <w:rPr>
          <w:spacing w:val="-4"/>
        </w:rPr>
        <w:t>、关于股东和股东大会：公司能够严格按照中国证监会《上市公司股东大会规范意见》以及</w:t>
      </w:r>
    </w:p>
    <w:p>
      <w:pPr>
        <w:pStyle w:val="BodyText"/>
        <w:spacing w:line="237" w:lineRule="auto" w:before="1"/>
        <w:ind w:left="178" w:right="137"/>
        <w:jc w:val="both"/>
      </w:pPr>
      <w:r>
        <w:rPr>
          <w:spacing w:val="-2"/>
        </w:rPr>
        <w:t>《公司章程》、《股东大会议事规则》的要求，规范股东大会的召集、召开和表决程序，并聘请</w:t>
      </w:r>
      <w:r>
        <w:rPr>
          <w:spacing w:val="-25"/>
        </w:rPr>
        <w:t> </w:t>
      </w:r>
      <w:r>
        <w:rPr>
          <w:spacing w:val="-25"/>
        </w:rPr>
      </w:r>
      <w:r>
        <w:rPr>
          <w:spacing w:val="-2"/>
        </w:rPr>
        <w:t>律师见证会议的合法性和合规性，出具法律意见书，保证了股东大会的合法有效；公司能够平等</w:t>
      </w:r>
      <w:r>
        <w:rPr>
          <w:spacing w:val="-25"/>
        </w:rPr>
        <w:t> </w:t>
      </w:r>
      <w:r>
        <w:rPr>
          <w:spacing w:val="-25"/>
        </w:rPr>
      </w:r>
      <w:r>
        <w:rPr>
          <w:spacing w:val="-2"/>
        </w:rPr>
        <w:t>对待所有股东，特别是中小股东能和大股东享有平等地位，确保所有股东能够充分行使自己的权</w:t>
      </w:r>
      <w:r>
        <w:rPr>
          <w:spacing w:val="-25"/>
        </w:rPr>
        <w:t> </w:t>
      </w:r>
      <w:r>
        <w:rPr>
          <w:spacing w:val="-25"/>
        </w:rPr>
      </w:r>
      <w:r>
        <w:rPr/>
        <w:t>利。</w:t>
      </w:r>
    </w:p>
    <w:p>
      <w:pPr>
        <w:pStyle w:val="BodyText"/>
        <w:spacing w:line="237" w:lineRule="auto"/>
        <w:ind w:left="178" w:right="128" w:firstLine="419"/>
        <w:jc w:val="both"/>
      </w:pPr>
      <w:r>
        <w:rPr>
          <w:rFonts w:ascii="宋体" w:hAnsi="宋体" w:cs="宋体" w:eastAsia="宋体" w:hint="default"/>
          <w:spacing w:val="-4"/>
        </w:rPr>
        <w:t>3</w:t>
      </w:r>
      <w:r>
        <w:rPr>
          <w:spacing w:val="-4"/>
        </w:rPr>
        <w:t>、关于董事和董事会：公司董事会会议严格按照《董事会议事规则》的规定召集、召开、表</w:t>
      </w:r>
      <w:r>
        <w:rPr>
          <w:w w:val="100"/>
        </w:rPr>
        <w:t> </w:t>
      </w:r>
      <w:r>
        <w:rPr>
          <w:spacing w:val="-2"/>
        </w:rPr>
        <w:t>决，公司董事能够勤勉尽责，正确行使权利、履行义务、承担责任，充分发挥了董事在经营决策</w:t>
      </w:r>
      <w:r>
        <w:rPr>
          <w:spacing w:val="-25"/>
        </w:rPr>
        <w:t> </w:t>
      </w:r>
      <w:r>
        <w:rPr>
          <w:spacing w:val="-25"/>
        </w:rPr>
      </w:r>
      <w:r>
        <w:rPr/>
        <w:t>中的重要作用。</w:t>
      </w:r>
    </w:p>
    <w:p>
      <w:pPr>
        <w:pStyle w:val="BodyText"/>
        <w:spacing w:line="237" w:lineRule="auto"/>
        <w:ind w:left="178" w:right="130" w:firstLine="419"/>
        <w:jc w:val="both"/>
      </w:pPr>
      <w:r>
        <w:rPr>
          <w:rFonts w:ascii="宋体" w:hAnsi="宋体" w:cs="宋体" w:eastAsia="宋体" w:hint="default"/>
          <w:spacing w:val="-9"/>
        </w:rPr>
        <w:t>4</w:t>
      </w:r>
      <w:r>
        <w:rPr>
          <w:spacing w:val="-9"/>
        </w:rPr>
        <w:t>、关于监事和监事会：报告期内，公司监事会会议严格按照《监事会议事规则》的规定召集、</w:t>
      </w:r>
      <w:r>
        <w:rPr>
          <w:w w:val="100"/>
        </w:rPr>
        <w:t> </w:t>
      </w:r>
      <w:r>
        <w:rPr>
          <w:spacing w:val="-2"/>
        </w:rPr>
        <w:t>召开、表决，公司监事勤勉尽责，认真履行《公司法》和《公司章程》赋予的各项职责，维护了</w:t>
      </w:r>
      <w:r>
        <w:rPr>
          <w:spacing w:val="-25"/>
        </w:rPr>
        <w:t> </w:t>
      </w:r>
      <w:r>
        <w:rPr>
          <w:spacing w:val="-25"/>
        </w:rPr>
      </w:r>
      <w:r>
        <w:rPr/>
        <w:t>公司及股东的合法权益。</w:t>
      </w:r>
    </w:p>
    <w:p>
      <w:pPr>
        <w:pStyle w:val="BodyText"/>
        <w:spacing w:line="237" w:lineRule="auto" w:before="1"/>
        <w:ind w:left="178" w:right="130" w:firstLine="419"/>
        <w:jc w:val="both"/>
      </w:pPr>
      <w:r>
        <w:rPr>
          <w:rFonts w:ascii="宋体" w:hAnsi="宋体" w:cs="宋体" w:eastAsia="宋体" w:hint="default"/>
          <w:spacing w:val="-4"/>
        </w:rPr>
        <w:t>5</w:t>
      </w:r>
      <w:r>
        <w:rPr>
          <w:spacing w:val="-4"/>
        </w:rPr>
        <w:t>、关于信息披露与透明度：报告期内，公司严格按照《公司法》、《证券法》、《上市公司</w:t>
      </w:r>
      <w:r>
        <w:rPr>
          <w:w w:val="100"/>
        </w:rPr>
        <w:t> </w:t>
      </w:r>
      <w:r>
        <w:rPr>
          <w:spacing w:val="-2"/>
        </w:rPr>
        <w:t>信息披露管理办法》等各项信息披露相关法律法规和规章制度的要求，履行上市公司信息披露义</w:t>
      </w:r>
      <w:r>
        <w:rPr>
          <w:spacing w:val="-25"/>
        </w:rPr>
        <w:t> </w:t>
      </w:r>
      <w:r>
        <w:rPr>
          <w:spacing w:val="-25"/>
        </w:rPr>
      </w:r>
      <w:r>
        <w:rPr/>
        <w:t>务，确保所有股东平等地获得信息，正确地做出投资决策，最大限度地保障其合法权益。</w:t>
      </w:r>
    </w:p>
    <w:p>
      <w:pPr>
        <w:pStyle w:val="BodyText"/>
        <w:spacing w:line="237" w:lineRule="auto"/>
        <w:ind w:left="178" w:right="0" w:firstLine="419"/>
        <w:jc w:val="left"/>
      </w:pPr>
      <w:r>
        <w:rPr>
          <w:rFonts w:ascii="宋体" w:hAnsi="宋体" w:cs="宋体" w:eastAsia="宋体" w:hint="default"/>
          <w:spacing w:val="-4"/>
        </w:rPr>
        <w:t>6</w:t>
      </w:r>
      <w:r>
        <w:rPr>
          <w:spacing w:val="-4"/>
        </w:rPr>
        <w:t>、关于投资者关系管理：公司一如既往重视投资者关系管理工作，并通过多种方式加强与投</w:t>
      </w:r>
      <w:r>
        <w:rPr>
          <w:w w:val="100"/>
        </w:rPr>
        <w:t> </w:t>
      </w:r>
      <w:r>
        <w:rPr>
          <w:spacing w:val="-2"/>
        </w:rPr>
        <w:t>资者的联系与交流。报告期内，在日常的投资者关系管理工作中，公司通过电话、电子邮件、投</w:t>
      </w:r>
      <w:r>
        <w:rPr>
          <w:spacing w:val="-25"/>
        </w:rPr>
        <w:t> </w:t>
      </w:r>
      <w:r>
        <w:rPr>
          <w:spacing w:val="-25"/>
        </w:rPr>
      </w:r>
      <w:r>
        <w:rPr/>
        <w:t>资者见面交流、网络说明会和“上证</w:t>
      </w:r>
      <w:r>
        <w:rPr>
          <w:spacing w:val="-55"/>
        </w:rPr>
        <w:t> </w:t>
      </w:r>
      <w:r>
        <w:rPr>
          <w:rFonts w:ascii="宋体" w:hAnsi="宋体" w:cs="宋体" w:eastAsia="宋体" w:hint="default"/>
        </w:rPr>
        <w:t>e</w:t>
      </w:r>
      <w:r>
        <w:rPr>
          <w:rFonts w:ascii="宋体" w:hAnsi="宋体" w:cs="宋体" w:eastAsia="宋体" w:hint="default"/>
          <w:spacing w:val="-55"/>
        </w:rPr>
        <w:t> </w:t>
      </w:r>
      <w:r>
        <w:rPr/>
        <w:t>互动”平台等方式，及时有效地解答投资者疑问，使投资</w:t>
      </w:r>
      <w:r>
        <w:rPr>
          <w:w w:val="100"/>
        </w:rPr>
        <w:t> </w:t>
      </w:r>
      <w:r>
        <w:rPr/>
        <w:t>者更进一步了解公司，维护了中小投资者利益。</w:t>
      </w:r>
      <w:r>
        <w:rPr>
          <w:w w:val="100"/>
        </w:rPr>
        <w:t> </w:t>
      </w:r>
      <w:r>
        <w:rPr/>
        <w:t>公司治理结构完善，符合相关法律法规</w:t>
      </w:r>
      <w:r>
        <w:rPr>
          <w:rFonts w:ascii="宋体" w:hAnsi="宋体" w:cs="宋体" w:eastAsia="宋体" w:hint="default"/>
        </w:rPr>
        <w:t>,</w:t>
      </w:r>
      <w:r>
        <w:rPr/>
        <w:t>与中国证监会有关文件的要求，不存在差异。</w:t>
      </w:r>
    </w:p>
    <w:p>
      <w:pPr>
        <w:spacing w:line="240" w:lineRule="auto" w:before="9"/>
        <w:rPr>
          <w:rFonts w:ascii="宋体" w:hAnsi="宋体" w:cs="宋体" w:eastAsia="宋体" w:hint="default"/>
          <w:sz w:val="20"/>
          <w:szCs w:val="20"/>
        </w:rPr>
      </w:pPr>
    </w:p>
    <w:p>
      <w:pPr>
        <w:pStyle w:val="BodyText"/>
        <w:spacing w:line="274" w:lineRule="exact"/>
        <w:ind w:left="178" w:right="0"/>
        <w:jc w:val="both"/>
      </w:pPr>
      <w:r>
        <w:rPr/>
        <w:t>公司治理与中国证监会相关规定的要求是否存在重大差异；如有重大差异，应当说明原因</w:t>
      </w:r>
    </w:p>
    <w:p>
      <w:pPr>
        <w:tabs>
          <w:tab w:pos="1020" w:val="left" w:leader="none"/>
        </w:tabs>
        <w:spacing w:line="290" w:lineRule="auto" w:before="0"/>
        <w:ind w:left="178" w:right="685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78" w:type="dxa"/>
        <w:tblLayout w:type="fixed"/>
        <w:tblCellMar>
          <w:top w:w="0" w:type="dxa"/>
          <w:left w:w="0" w:type="dxa"/>
          <w:bottom w:w="0" w:type="dxa"/>
          <w:right w:w="0" w:type="dxa"/>
        </w:tblCellMar>
        <w:tblLook w:val="01E0"/>
      </w:tblPr>
      <w:tblGrid>
        <w:gridCol w:w="3116"/>
        <w:gridCol w:w="1983"/>
        <w:gridCol w:w="1702"/>
        <w:gridCol w:w="2024"/>
      </w:tblGrid>
      <w:tr>
        <w:trPr>
          <w:trHeight w:val="555"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年第一次临时股东大会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年年度股东大会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年第二次临时股东大会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年第三次临时股东大会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年第四次临时股东大会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Style w:val="BodyText"/>
        <w:spacing w:line="240" w:lineRule="exact"/>
        <w:ind w:left="178" w:right="0"/>
        <w:jc w:val="left"/>
      </w:pPr>
      <w:r>
        <w:rPr/>
        <w:t>股东大会情况说明</w:t>
      </w:r>
    </w:p>
    <w:p>
      <w:pPr>
        <w:pStyle w:val="BodyText"/>
        <w:spacing w:line="290" w:lineRule="exact"/>
        <w:ind w:left="17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178" w:right="0"/>
        <w:jc w:val="left"/>
        <w:rPr>
          <w:b w:val="0"/>
          <w:bCs w:val="0"/>
        </w:rPr>
      </w:pPr>
      <w:r>
        <w:rPr/>
        <w:t>三、董事履行职责情况</w:t>
      </w:r>
      <w:r>
        <w:rPr>
          <w:b w:val="0"/>
          <w:bCs w:val="0"/>
        </w:rPr>
      </w:r>
    </w:p>
    <w:p>
      <w:pPr>
        <w:pStyle w:val="Heading2"/>
        <w:spacing w:line="240" w:lineRule="auto" w:before="56"/>
        <w:ind w:left="17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15" w:type="dxa"/>
        <w:tblLayout w:type="fixed"/>
        <w:tblCellMar>
          <w:top w:w="0" w:type="dxa"/>
          <w:left w:w="0" w:type="dxa"/>
          <w:bottom w:w="0" w:type="dxa"/>
          <w:right w:w="0" w:type="dxa"/>
        </w:tblCellMar>
        <w:tblLook w:val="01E0"/>
      </w:tblPr>
      <w:tblGrid>
        <w:gridCol w:w="955"/>
        <w:gridCol w:w="826"/>
        <w:gridCol w:w="1073"/>
        <w:gridCol w:w="830"/>
        <w:gridCol w:w="944"/>
        <w:gridCol w:w="883"/>
        <w:gridCol w:w="823"/>
        <w:gridCol w:w="1261"/>
        <w:gridCol w:w="1231"/>
      </w:tblGrid>
      <w:tr>
        <w:trPr>
          <w:trHeight w:val="572" w:hRule="exact"/>
        </w:trPr>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15"/>
              <w:ind w:left="261" w:right="25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15"/>
              <w:ind w:left="91" w:right="89"/>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8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5" w:right="81" w:hanging="212"/>
              <w:jc w:val="left"/>
              <w:rPr>
                <w:rFonts w:ascii="宋体" w:hAnsi="宋体" w:cs="宋体" w:eastAsia="宋体" w:hint="default"/>
                <w:sz w:val="21"/>
                <w:szCs w:val="21"/>
              </w:rPr>
            </w:pPr>
            <w:r>
              <w:rPr>
                <w:rFonts w:ascii="宋体" w:hAnsi="宋体" w:cs="宋体" w:eastAsia="宋体" w:hint="default"/>
                <w:sz w:val="21"/>
                <w:szCs w:val="21"/>
              </w:rPr>
              <w:t>参加股东大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会情况</w:t>
            </w:r>
          </w:p>
        </w:tc>
      </w:tr>
      <w:tr>
        <w:trPr>
          <w:trHeight w:val="281" w:hRule="exact"/>
        </w:trPr>
        <w:tc>
          <w:tcPr>
            <w:tcW w:w="955"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本年应参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亲自出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以通讯</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委托出</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缺席</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是否连续两</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出席股东大</w:t>
            </w:r>
          </w:p>
        </w:tc>
      </w:tr>
    </w:tbl>
    <w:p>
      <w:pPr>
        <w:spacing w:after="0" w:line="241" w:lineRule="exact"/>
        <w:jc w:val="left"/>
        <w:rPr>
          <w:rFonts w:ascii="宋体" w:hAnsi="宋体" w:cs="宋体" w:eastAsia="宋体" w:hint="default"/>
          <w:sz w:val="21"/>
          <w:szCs w:val="21"/>
        </w:rPr>
        <w:sectPr>
          <w:pgSz w:w="11910" w:h="16840"/>
          <w:pgMar w:header="877" w:footer="1195" w:top="1100" w:bottom="1380" w:left="1620" w:right="11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55" w:type="dxa"/>
        <w:tblLayout w:type="fixed"/>
        <w:tblCellMar>
          <w:top w:w="0" w:type="dxa"/>
          <w:left w:w="0" w:type="dxa"/>
          <w:bottom w:w="0" w:type="dxa"/>
          <w:right w:w="0" w:type="dxa"/>
        </w:tblCellMar>
        <w:tblLook w:val="01E0"/>
      </w:tblPr>
      <w:tblGrid>
        <w:gridCol w:w="955"/>
        <w:gridCol w:w="826"/>
        <w:gridCol w:w="1073"/>
        <w:gridCol w:w="830"/>
        <w:gridCol w:w="944"/>
        <w:gridCol w:w="883"/>
        <w:gridCol w:w="823"/>
        <w:gridCol w:w="1261"/>
        <w:gridCol w:w="1231"/>
      </w:tblGrid>
      <w:tr>
        <w:trPr>
          <w:trHeight w:val="557" w:hRule="exact"/>
        </w:trPr>
        <w:tc>
          <w:tcPr>
            <w:tcW w:w="955"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加董事会</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次数</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1"/>
              <w:jc w:val="right"/>
              <w:rPr>
                <w:rFonts w:ascii="宋体" w:hAnsi="宋体" w:cs="宋体" w:eastAsia="宋体" w:hint="default"/>
                <w:sz w:val="21"/>
                <w:szCs w:val="21"/>
              </w:rPr>
            </w:pPr>
            <w:r>
              <w:rPr>
                <w:rFonts w:ascii="宋体" w:hAnsi="宋体" w:cs="宋体" w:eastAsia="宋体" w:hint="default"/>
                <w:sz w:val="21"/>
                <w:szCs w:val="21"/>
              </w:rPr>
              <w:t>席次数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hAnsi="宋体" w:cs="宋体" w:eastAsia="宋体" w:hint="default"/>
                <w:sz w:val="21"/>
                <w:szCs w:val="21"/>
              </w:rPr>
              <w:t>方式参</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加次数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9"/>
              <w:jc w:val="right"/>
              <w:rPr>
                <w:rFonts w:ascii="宋体" w:hAnsi="宋体" w:cs="宋体" w:eastAsia="宋体" w:hint="default"/>
                <w:sz w:val="21"/>
                <w:szCs w:val="21"/>
              </w:rPr>
            </w:pPr>
            <w:r>
              <w:rPr>
                <w:rFonts w:ascii="宋体" w:hAnsi="宋体" w:cs="宋体" w:eastAsia="宋体" w:hint="default"/>
                <w:sz w:val="21"/>
                <w:szCs w:val="21"/>
              </w:rPr>
              <w:t>席次数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4"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次未亲自参</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加会议</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9" w:right="0"/>
              <w:jc w:val="left"/>
              <w:rPr>
                <w:rFonts w:ascii="宋体" w:hAnsi="宋体" w:cs="宋体" w:eastAsia="宋体" w:hint="default"/>
                <w:sz w:val="21"/>
                <w:szCs w:val="21"/>
              </w:rPr>
            </w:pPr>
            <w:r>
              <w:rPr>
                <w:rFonts w:ascii="宋体" w:hAnsi="宋体" w:cs="宋体" w:eastAsia="宋体" w:hint="default"/>
                <w:sz w:val="21"/>
                <w:szCs w:val="21"/>
              </w:rPr>
              <w:t>会的次数</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1"/>
              <w:jc w:val="right"/>
              <w:rPr>
                <w:rFonts w:ascii="Times New Roman" w:hAnsi="Times New Roman" w:cs="Times New Roman" w:eastAsia="Times New Roman" w:hint="default"/>
                <w:sz w:val="21"/>
                <w:szCs w:val="21"/>
              </w:rPr>
            </w:pPr>
            <w:r>
              <w:rPr>
                <w:rFonts w:ascii="Times New Roman"/>
                <w:sz w:val="21"/>
              </w:rPr>
              <w:t>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1"/>
              <w:jc w:val="right"/>
              <w:rPr>
                <w:rFonts w:ascii="Times New Roman" w:hAnsi="Times New Roman" w:cs="Times New Roman" w:eastAsia="Times New Roman" w:hint="default"/>
                <w:sz w:val="21"/>
                <w:szCs w:val="21"/>
              </w:rPr>
            </w:pPr>
            <w:r>
              <w:rPr>
                <w:rFonts w:ascii="Times New Roman"/>
                <w:sz w:val="21"/>
              </w:rPr>
              <w:t>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杨剑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1"/>
              <w:jc w:val="right"/>
              <w:rPr>
                <w:rFonts w:ascii="Times New Roman" w:hAnsi="Times New Roman" w:cs="Times New Roman" w:eastAsia="Times New Roman" w:hint="default"/>
                <w:sz w:val="21"/>
                <w:szCs w:val="21"/>
              </w:rPr>
            </w:pPr>
            <w:r>
              <w:rPr>
                <w:rFonts w:ascii="Times New Roman"/>
                <w:sz w:val="21"/>
              </w:rPr>
              <w:t>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4</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涂彦彬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1"/>
              <w:jc w:val="right"/>
              <w:rPr>
                <w:rFonts w:ascii="Times New Roman" w:hAnsi="Times New Roman" w:cs="Times New Roman" w:eastAsia="Times New Roman" w:hint="default"/>
                <w:sz w:val="21"/>
                <w:szCs w:val="21"/>
              </w:rPr>
            </w:pPr>
            <w:r>
              <w:rPr>
                <w:rFonts w:ascii="Times New Roman"/>
                <w:sz w:val="21"/>
              </w:rPr>
              <w:t>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夏朝阳</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1"/>
              <w:jc w:val="right"/>
              <w:rPr>
                <w:rFonts w:ascii="Times New Roman" w:hAnsi="Times New Roman" w:cs="Times New Roman" w:eastAsia="Times New Roman" w:hint="default"/>
                <w:sz w:val="21"/>
                <w:szCs w:val="21"/>
              </w:rPr>
            </w:pPr>
            <w:r>
              <w:rPr>
                <w:rFonts w:ascii="Times New Roman"/>
                <w:sz w:val="21"/>
              </w:rPr>
              <w:t>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5</w:t>
            </w:r>
          </w:p>
        </w:tc>
      </w:tr>
      <w:tr>
        <w:trPr>
          <w:trHeight w:val="281"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夏清</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1"/>
              <w:jc w:val="right"/>
              <w:rPr>
                <w:rFonts w:ascii="Times New Roman" w:hAnsi="Times New Roman" w:cs="Times New Roman" w:eastAsia="Times New Roman" w:hint="default"/>
                <w:sz w:val="21"/>
                <w:szCs w:val="21"/>
              </w:rPr>
            </w:pPr>
            <w:r>
              <w:rPr>
                <w:rFonts w:ascii="Times New Roman"/>
                <w:sz w:val="21"/>
              </w:rPr>
              <w:t>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sz w:val="21"/>
                <w:szCs w:val="21"/>
              </w:rPr>
              <w:t>储一昀</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5"/>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1"/>
              <w:jc w:val="right"/>
              <w:rPr>
                <w:rFonts w:ascii="Times New Roman" w:hAnsi="Times New Roman" w:cs="Times New Roman" w:eastAsia="Times New Roman" w:hint="default"/>
                <w:sz w:val="21"/>
                <w:szCs w:val="21"/>
              </w:rPr>
            </w:pPr>
            <w:r>
              <w:rPr>
                <w:rFonts w:ascii="Times New Roman"/>
                <w:sz w:val="21"/>
              </w:rPr>
              <w:t>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
              <w:jc w:val="right"/>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2"/>
        <w:rPr>
          <w:rFonts w:ascii="宋体" w:hAnsi="宋体" w:cs="宋体" w:eastAsia="宋体" w:hint="default"/>
          <w:b/>
          <w:bCs/>
          <w:sz w:val="13"/>
          <w:szCs w:val="13"/>
        </w:rPr>
      </w:pPr>
    </w:p>
    <w:p>
      <w:pPr>
        <w:pStyle w:val="BodyText"/>
        <w:spacing w:line="273" w:lineRule="exact" w:before="36"/>
        <w:ind w:left="218" w:right="0"/>
        <w:jc w:val="left"/>
      </w:pPr>
      <w:r>
        <w:rPr/>
        <w:t>连续两次未亲自出席董事会会议的说明</w:t>
      </w:r>
    </w:p>
    <w:p>
      <w:pPr>
        <w:pStyle w:val="BodyText"/>
        <w:spacing w:line="289" w:lineRule="exact"/>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414"/>
        <w:gridCol w:w="4410"/>
      </w:tblGrid>
      <w:tr>
        <w:trPr>
          <w:trHeight w:val="283" w:hRule="exact"/>
        </w:trPr>
        <w:tc>
          <w:tcPr>
            <w:tcW w:w="4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96"/>
              <w:jc w:val="right"/>
              <w:rPr>
                <w:rFonts w:ascii="Times New Roman" w:hAnsi="Times New Roman" w:cs="Times New Roman" w:eastAsia="Times New Roman" w:hint="default"/>
                <w:sz w:val="21"/>
                <w:szCs w:val="21"/>
              </w:rPr>
            </w:pPr>
            <w:r>
              <w:rPr>
                <w:rFonts w:ascii="Times New Roman"/>
                <w:spacing w:val="-4"/>
                <w:sz w:val="21"/>
              </w:rPr>
              <w:t>11</w:t>
            </w:r>
          </w:p>
        </w:tc>
      </w:tr>
      <w:tr>
        <w:trPr>
          <w:trHeight w:val="283" w:hRule="exact"/>
        </w:trPr>
        <w:tc>
          <w:tcPr>
            <w:tcW w:w="4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46"/>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93"/>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4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46"/>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sz w:val="17"/>
          <w:szCs w:val="17"/>
        </w:rPr>
      </w:pPr>
    </w:p>
    <w:p>
      <w:pPr>
        <w:pStyle w:val="Heading2"/>
        <w:spacing w:line="240" w:lineRule="auto"/>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76" w:val="left" w:leader="none"/>
        </w:tabs>
        <w:spacing w:line="240" w:lineRule="auto" w:before="32"/>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3"/>
          <w:szCs w:val="23"/>
        </w:rPr>
      </w:pPr>
    </w:p>
    <w:p>
      <w:pPr>
        <w:pStyle w:val="Heading2"/>
        <w:spacing w:line="272" w:lineRule="exact" w:before="0"/>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976" w:val="left" w:leader="none"/>
        </w:tabs>
        <w:spacing w:line="240" w:lineRule="auto" w:before="34"/>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218" w:right="0"/>
        <w:jc w:val="left"/>
        <w:rPr>
          <w:b w:val="0"/>
          <w:bCs w:val="0"/>
        </w:rPr>
      </w:pPr>
      <w:r>
        <w:rPr/>
        <w:t>五、监事会发现公司存在风险的说明</w:t>
      </w:r>
      <w:r>
        <w:rPr>
          <w:b w:val="0"/>
          <w:bCs w:val="0"/>
        </w:rPr>
      </w:r>
    </w:p>
    <w:p>
      <w:pPr>
        <w:pStyle w:val="BodyText"/>
        <w:spacing w:line="240" w:lineRule="auto" w:before="56"/>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3"/>
          <w:szCs w:val="23"/>
        </w:rPr>
      </w:pPr>
    </w:p>
    <w:p>
      <w:pPr>
        <w:pStyle w:val="Heading2"/>
        <w:spacing w:line="272" w:lineRule="exact" w:before="0"/>
        <w:ind w:left="64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76" w:val="left" w:leader="none"/>
        </w:tabs>
        <w:spacing w:line="240" w:lineRule="auto" w:before="31"/>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3"/>
        <w:rPr>
          <w:rFonts w:ascii="宋体" w:hAnsi="宋体" w:cs="宋体" w:eastAsia="宋体" w:hint="default"/>
          <w:sz w:val="17"/>
          <w:szCs w:val="17"/>
        </w:rPr>
      </w:pPr>
    </w:p>
    <w:p>
      <w:pPr>
        <w:pStyle w:val="BodyText"/>
        <w:spacing w:line="273" w:lineRule="exact"/>
        <w:ind w:left="218" w:right="0"/>
        <w:jc w:val="left"/>
      </w:pPr>
      <w:r>
        <w:rPr/>
        <w:t>存在同业竞争的，公司相应的解决措施、工作进度及后续工作计划</w:t>
      </w:r>
    </w:p>
    <w:p>
      <w:pPr>
        <w:pStyle w:val="BodyText"/>
        <w:tabs>
          <w:tab w:pos="976" w:val="left" w:leader="none"/>
        </w:tabs>
        <w:spacing w:line="289" w:lineRule="exact"/>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218" w:right="0"/>
        <w:jc w:val="left"/>
        <w:rPr>
          <w:b w:val="0"/>
          <w:bCs w:val="0"/>
        </w:rPr>
      </w:pPr>
      <w:r>
        <w:rPr/>
        <w:t>七、报告期内对高级管理人员的考评机制，以及激励机制的建立、实施情况</w:t>
      </w:r>
      <w:r>
        <w:rPr>
          <w:b w:val="0"/>
          <w:bCs w:val="0"/>
        </w:rPr>
      </w:r>
    </w:p>
    <w:p>
      <w:pPr>
        <w:pStyle w:val="BodyText"/>
        <w:tabs>
          <w:tab w:pos="964" w:val="left" w:leader="none"/>
        </w:tabs>
        <w:spacing w:line="272" w:lineRule="exact" w:before="86"/>
        <w:ind w:left="638"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公司建立了一套完整的目标、责任、业绩考核体系。在每个经营年度末，对公司高级管理人</w:t>
      </w:r>
    </w:p>
    <w:p>
      <w:pPr>
        <w:pStyle w:val="BodyText"/>
        <w:spacing w:line="272" w:lineRule="exact" w:before="1"/>
        <w:ind w:left="218" w:right="0"/>
        <w:jc w:val="left"/>
      </w:pPr>
      <w:r>
        <w:rPr>
          <w:spacing w:val="-1"/>
        </w:rPr>
        <w:t>员结合各自分管工作实际完成情况进行绩效考核，在绩效考核的基础上实行基本工资加奖金的激</w:t>
      </w:r>
      <w:r>
        <w:rPr>
          <w:spacing w:val="-55"/>
        </w:rPr>
        <w:t> </w:t>
      </w:r>
      <w:r>
        <w:rPr>
          <w:spacing w:val="-55"/>
        </w:rPr>
      </w:r>
      <w:r>
        <w:rPr/>
        <w:t>励制度。</w:t>
      </w:r>
    </w:p>
    <w:p>
      <w:pPr>
        <w:pStyle w:val="BodyText"/>
        <w:spacing w:line="272" w:lineRule="exact" w:before="1"/>
        <w:ind w:left="218" w:right="209" w:firstLine="419"/>
        <w:jc w:val="both"/>
      </w:pPr>
      <w:r>
        <w:rPr>
          <w:spacing w:val="-2"/>
        </w:rPr>
        <w:t>报告期内，公司根据《公司限制性股票激励计划》及《公司限制性股票激励计划实施考核办</w:t>
      </w:r>
      <w:r>
        <w:rPr>
          <w:w w:val="100"/>
        </w:rPr>
        <w:t> </w:t>
      </w:r>
      <w:r>
        <w:rPr>
          <w:spacing w:val="-7"/>
        </w:rPr>
        <w:t>法》中规定的相关考核条件及实际情况，完成</w:t>
      </w:r>
      <w:r>
        <w:rPr>
          <w:spacing w:val="-3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年限制性股票授予对象所持有的公司限制性股</w:t>
      </w:r>
      <w:r>
        <w:rPr>
          <w:spacing w:val="-99"/>
        </w:rPr>
        <w:t> </w:t>
      </w:r>
      <w:r>
        <w:rPr>
          <w:spacing w:val="-99"/>
        </w:rPr>
      </w:r>
      <w:r>
        <w:rPr/>
        <w:t>票的第三次解锁。</w:t>
      </w:r>
    </w:p>
    <w:p>
      <w:pPr>
        <w:pStyle w:val="BodyText"/>
        <w:spacing w:line="255" w:lineRule="exact"/>
        <w:ind w:left="638" w:right="0"/>
        <w:jc w:val="left"/>
      </w:pPr>
      <w:r>
        <w:rPr/>
        <w:t>报告期内，公司根据</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38"/>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日召开的</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年第三次临时股东大会会议决议，以及</w:t>
      </w:r>
    </w:p>
    <w:p>
      <w:pPr>
        <w:pStyle w:val="BodyText"/>
        <w:spacing w:line="281" w:lineRule="exact"/>
        <w:ind w:left="218"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24"/>
        </w:rPr>
        <w:t> </w:t>
      </w:r>
      <w:r>
        <w:rPr>
          <w:w w:val="100"/>
        </w:rPr>
        <w:t>年</w:t>
      </w:r>
      <w:r>
        <w:rPr>
          <w:spacing w:val="-79"/>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7"/>
        </w:rPr>
        <w:t> </w:t>
      </w:r>
      <w:r>
        <w:rPr>
          <w:w w:val="100"/>
        </w:rPr>
        <w:t>月</w:t>
      </w:r>
      <w:r>
        <w:rPr>
          <w:spacing w:val="-77"/>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27"/>
        </w:rPr>
        <w:t> </w:t>
      </w:r>
      <w:r>
        <w:rPr>
          <w:w w:val="100"/>
        </w:rPr>
        <w:t>日</w:t>
      </w:r>
      <w:r>
        <w:rPr>
          <w:spacing w:val="-3"/>
          <w:w w:val="100"/>
        </w:rPr>
        <w:t>召</w:t>
      </w:r>
      <w:r>
        <w:rPr>
          <w:w w:val="100"/>
        </w:rPr>
        <w:t>开的</w:t>
      </w:r>
      <w:r>
        <w:rPr>
          <w:spacing w:val="-76"/>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spacing w:val="-24"/>
        </w:rPr>
        <w:t> </w:t>
      </w:r>
      <w:r>
        <w:rPr>
          <w:spacing w:val="-3"/>
          <w:w w:val="100"/>
        </w:rPr>
        <w:t>年</w:t>
      </w:r>
      <w:r>
        <w:rPr>
          <w:w w:val="100"/>
        </w:rPr>
        <w:t>第</w:t>
      </w:r>
      <w:r>
        <w:rPr>
          <w:spacing w:val="-3"/>
          <w:w w:val="100"/>
        </w:rPr>
        <w:t>四</w:t>
      </w:r>
      <w:r>
        <w:rPr>
          <w:w w:val="100"/>
        </w:rPr>
        <w:t>次</w:t>
      </w:r>
      <w:r>
        <w:rPr>
          <w:spacing w:val="-3"/>
          <w:w w:val="100"/>
        </w:rPr>
        <w:t>临</w:t>
      </w:r>
      <w:r>
        <w:rPr>
          <w:w w:val="100"/>
        </w:rPr>
        <w:t>时</w:t>
      </w:r>
      <w:r>
        <w:rPr>
          <w:spacing w:val="-3"/>
          <w:w w:val="100"/>
        </w:rPr>
        <w:t>股</w:t>
      </w:r>
      <w:r>
        <w:rPr>
          <w:w w:val="100"/>
        </w:rPr>
        <w:t>东</w:t>
      </w:r>
      <w:r>
        <w:rPr>
          <w:spacing w:val="-3"/>
          <w:w w:val="100"/>
        </w:rPr>
        <w:t>大会</w:t>
      </w:r>
      <w:r>
        <w:rPr>
          <w:w w:val="100"/>
        </w:rPr>
        <w:t>会议</w:t>
      </w:r>
      <w:r>
        <w:rPr>
          <w:spacing w:val="-3"/>
          <w:w w:val="100"/>
        </w:rPr>
        <w:t>决</w:t>
      </w:r>
      <w:r>
        <w:rPr>
          <w:w w:val="100"/>
        </w:rPr>
        <w:t>议</w:t>
      </w:r>
      <w:r>
        <w:rPr>
          <w:spacing w:val="-108"/>
          <w:w w:val="100"/>
        </w:rPr>
        <w:t>，</w:t>
      </w:r>
      <w:r>
        <w:rPr>
          <w:w w:val="100"/>
        </w:rPr>
        <w:t>回</w:t>
      </w:r>
      <w:r>
        <w:rPr>
          <w:spacing w:val="-3"/>
          <w:w w:val="100"/>
        </w:rPr>
        <w:t>购</w:t>
      </w:r>
      <w:r>
        <w:rPr>
          <w:w w:val="100"/>
        </w:rPr>
        <w:t>了</w:t>
      </w:r>
      <w:r>
        <w:rPr>
          <w:spacing w:val="-3"/>
          <w:w w:val="100"/>
        </w:rPr>
        <w:t>公</w:t>
      </w:r>
      <w:r>
        <w:rPr>
          <w:w w:val="100"/>
        </w:rPr>
        <w:t>司</w:t>
      </w:r>
      <w:r>
        <w:rPr>
          <w:spacing w:val="-3"/>
          <w:w w:val="100"/>
        </w:rPr>
        <w:t>社会</w:t>
      </w:r>
      <w:r>
        <w:rPr>
          <w:w w:val="100"/>
        </w:rPr>
        <w:t>公众股</w:t>
      </w:r>
      <w:r>
        <w:rPr>
          <w:spacing w:val="-79"/>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99,9</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p>
    <w:p>
      <w:pPr>
        <w:spacing w:after="0" w:line="281" w:lineRule="exact"/>
        <w:jc w:val="left"/>
        <w:rPr>
          <w:rFonts w:ascii="Times New Roman" w:hAnsi="Times New Roman" w:cs="Times New Roman" w:eastAsia="Times New Roman" w:hint="default"/>
        </w:rPr>
        <w:sectPr>
          <w:pgSz w:w="11910" w:h="16840"/>
          <w:pgMar w:header="877" w:footer="1195" w:top="1100" w:bottom="1380" w:left="1580" w:right="1060"/>
        </w:sectPr>
      </w:pPr>
    </w:p>
    <w:p>
      <w:pPr>
        <w:spacing w:line="240" w:lineRule="auto" w:before="2"/>
        <w:rPr>
          <w:rFonts w:ascii="Times New Roman" w:hAnsi="Times New Roman" w:cs="Times New Roman" w:eastAsia="Times New Roman" w:hint="default"/>
          <w:sz w:val="29"/>
          <w:szCs w:val="29"/>
        </w:rPr>
      </w:pPr>
    </w:p>
    <w:p>
      <w:pPr>
        <w:pStyle w:val="BodyText"/>
        <w:spacing w:line="282" w:lineRule="exact" w:before="36"/>
        <w:ind w:right="100"/>
        <w:jc w:val="left"/>
      </w:pPr>
      <w:r>
        <w:rPr/>
        <w:t>股，并于</w:t>
      </w:r>
      <w:r>
        <w:rPr>
          <w:spacing w:val="-53"/>
        </w:rPr>
        <w:t>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rPr>
        <w:t>1 </w:t>
      </w:r>
      <w:r>
        <w:rPr/>
        <w:t>月</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日完成了</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年限制性股票激励计划的首次授予，以</w:t>
      </w:r>
      <w:r>
        <w:rPr>
          <w:spacing w:val="-55"/>
        </w:rPr>
        <w:t> </w:t>
      </w:r>
      <w:r>
        <w:rPr>
          <w:rFonts w:ascii="Times New Roman" w:hAnsi="Times New Roman" w:cs="Times New Roman" w:eastAsia="Times New Roman" w:hint="default"/>
        </w:rPr>
        <w:t>6.8 </w:t>
      </w:r>
      <w:r>
        <w:rPr/>
        <w:t>元</w:t>
      </w:r>
      <w:r>
        <w:rPr>
          <w:rFonts w:ascii="Times New Roman" w:hAnsi="Times New Roman" w:cs="Times New Roman" w:eastAsia="Times New Roman" w:hint="default"/>
        </w:rPr>
        <w:t>/</w:t>
      </w:r>
      <w:r>
        <w:rPr/>
        <w:t>股的价格合</w:t>
      </w:r>
    </w:p>
    <w:p>
      <w:pPr>
        <w:pStyle w:val="BodyText"/>
        <w:spacing w:line="282" w:lineRule="exact"/>
        <w:ind w:right="100"/>
        <w:jc w:val="left"/>
      </w:pPr>
      <w:r>
        <w:rPr/>
        <w:t>计授予</w:t>
      </w:r>
      <w:r>
        <w:rPr>
          <w:spacing w:val="-52"/>
        </w:rPr>
        <w:t> </w:t>
      </w:r>
      <w:r>
        <w:rPr>
          <w:rFonts w:ascii="Times New Roman" w:hAnsi="Times New Roman" w:cs="Times New Roman" w:eastAsia="Times New Roman" w:hint="default"/>
          <w:spacing w:val="-4"/>
        </w:rPr>
        <w:t>110</w:t>
      </w:r>
      <w:r>
        <w:rPr>
          <w:rFonts w:ascii="Times New Roman" w:hAnsi="Times New Roman" w:cs="Times New Roman" w:eastAsia="Times New Roman" w:hint="default"/>
          <w:spacing w:val="1"/>
        </w:rPr>
        <w:t> </w:t>
      </w:r>
      <w:r>
        <w:rPr/>
        <w:t>名被激励对象</w:t>
      </w:r>
      <w:r>
        <w:rPr>
          <w:spacing w:val="-54"/>
        </w:rPr>
        <w:t> </w:t>
      </w:r>
      <w:r>
        <w:rPr>
          <w:rFonts w:ascii="Times New Roman" w:hAnsi="Times New Roman" w:cs="Times New Roman" w:eastAsia="Times New Roman" w:hint="default"/>
        </w:rPr>
        <w:t>1,750</w:t>
      </w:r>
      <w:r>
        <w:rPr>
          <w:rFonts w:ascii="Times New Roman" w:hAnsi="Times New Roman" w:cs="Times New Roman" w:eastAsia="Times New Roman" w:hint="default"/>
          <w:spacing w:val="-2"/>
        </w:rPr>
        <w:t> </w:t>
      </w:r>
      <w:r>
        <w:rPr/>
        <w:t>万股。</w:t>
      </w:r>
    </w:p>
    <w:p>
      <w:pPr>
        <w:spacing w:line="240" w:lineRule="auto" w:before="8"/>
        <w:rPr>
          <w:rFonts w:ascii="宋体" w:hAnsi="宋体" w:cs="宋体" w:eastAsia="宋体" w:hint="default"/>
          <w:sz w:val="21"/>
          <w:szCs w:val="21"/>
        </w:rPr>
      </w:pPr>
    </w:p>
    <w:p>
      <w:pPr>
        <w:pStyle w:val="Heading2"/>
        <w:spacing w:line="240" w:lineRule="auto" w:before="0"/>
        <w:ind w:right="100"/>
        <w:jc w:val="left"/>
        <w:rPr>
          <w:b w:val="0"/>
          <w:bCs w:val="0"/>
        </w:rPr>
      </w:pPr>
      <w:r>
        <w:rPr/>
        <w:t>八、是否披露内部控制自我评价报告</w:t>
      </w:r>
      <w:r>
        <w:rPr>
          <w:b w:val="0"/>
          <w:bCs w:val="0"/>
        </w:rPr>
      </w:r>
    </w:p>
    <w:p>
      <w:pPr>
        <w:pStyle w:val="BodyText"/>
        <w:spacing w:line="282" w:lineRule="exact" w:before="56"/>
        <w:ind w:right="1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right="100" w:firstLine="419"/>
        <w:jc w:val="left"/>
      </w:pPr>
      <w:r>
        <w:rPr>
          <w:rFonts w:ascii="Times New Roman" w:hAnsi="Times New Roman" w:cs="Times New Roman" w:eastAsia="Times New Roman" w:hint="default"/>
          <w:w w:val="100"/>
        </w:rPr>
        <w:t>2018</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
          <w:w w:val="100"/>
        </w:rPr>
        <w:t> </w:t>
      </w:r>
      <w:r>
        <w:rPr>
          <w:spacing w:val="-7"/>
          <w:w w:val="100"/>
        </w:rPr>
        <w:t>日，公司披露了《</w:t>
      </w:r>
      <w:r>
        <w:rPr>
          <w:rFonts w:ascii="Times New Roman" w:hAnsi="Times New Roman" w:cs="Times New Roman" w:eastAsia="Times New Roman" w:hint="default"/>
          <w:spacing w:val="-7"/>
          <w:w w:val="100"/>
        </w:rPr>
        <w:t>2017</w:t>
      </w:r>
      <w:r>
        <w:rPr>
          <w:rFonts w:ascii="Times New Roman" w:hAnsi="Times New Roman" w:cs="Times New Roman" w:eastAsia="Times New Roman" w:hint="default"/>
          <w:spacing w:val="-2"/>
          <w:w w:val="100"/>
        </w:rPr>
        <w:t> </w:t>
      </w:r>
      <w:r>
        <w:rPr>
          <w:spacing w:val="-7"/>
          <w:w w:val="100"/>
        </w:rPr>
        <w:t>年度内部控制评价报告》，具体详见上海证券交易所网</w:t>
      </w:r>
      <w:r>
        <w:rPr>
          <w:w w:val="100"/>
        </w:rPr>
        <w:t> </w:t>
      </w:r>
      <w:r>
        <w:rPr/>
        <w:t>站。</w:t>
      </w:r>
    </w:p>
    <w:p>
      <w:pPr>
        <w:spacing w:line="240" w:lineRule="auto" w:before="7"/>
        <w:rPr>
          <w:rFonts w:ascii="宋体" w:hAnsi="宋体" w:cs="宋体" w:eastAsia="宋体" w:hint="default"/>
          <w:sz w:val="16"/>
          <w:szCs w:val="16"/>
        </w:rPr>
      </w:pPr>
    </w:p>
    <w:p>
      <w:pPr>
        <w:pStyle w:val="BodyText"/>
        <w:spacing w:line="273" w:lineRule="exact"/>
        <w:ind w:right="100"/>
        <w:jc w:val="left"/>
      </w:pPr>
      <w:r>
        <w:rPr/>
        <w:t>报告期内部控制存在重大缺陷情况的说明</w:t>
      </w:r>
    </w:p>
    <w:p>
      <w:pPr>
        <w:pStyle w:val="BodyText"/>
        <w:spacing w:line="289" w:lineRule="exact"/>
        <w:ind w:right="10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100"/>
        <w:jc w:val="left"/>
        <w:rPr>
          <w:b w:val="0"/>
          <w:bCs w:val="0"/>
        </w:rPr>
      </w:pPr>
      <w:r>
        <w:rPr/>
        <w:t>九、内部控制审计报告的相关情况说明</w:t>
      </w:r>
      <w:r>
        <w:rPr>
          <w:b w:val="0"/>
          <w:bCs w:val="0"/>
        </w:rPr>
      </w:r>
    </w:p>
    <w:p>
      <w:pPr>
        <w:pStyle w:val="BodyText"/>
        <w:tabs>
          <w:tab w:pos="884" w:val="left" w:leader="none"/>
        </w:tabs>
        <w:spacing w:line="281" w:lineRule="exact" w:before="59"/>
        <w:ind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ind w:left="558" w:right="100"/>
        <w:jc w:val="left"/>
      </w:pPr>
      <w:r>
        <w:rPr>
          <w:spacing w:val="-7"/>
        </w:rPr>
        <w:t>大信会计师事务所（特殊普通合伙）对公司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日财务报告内部控制的有效性进</w:t>
      </w:r>
    </w:p>
    <w:p>
      <w:pPr>
        <w:pStyle w:val="BodyText"/>
        <w:spacing w:line="272" w:lineRule="exact"/>
        <w:ind w:right="100"/>
        <w:jc w:val="left"/>
      </w:pPr>
      <w:r>
        <w:rPr>
          <w:w w:val="100"/>
        </w:rPr>
        <w:t>行了</w:t>
      </w:r>
      <w:r>
        <w:rPr>
          <w:spacing w:val="-3"/>
          <w:w w:val="100"/>
        </w:rPr>
        <w:t>审</w:t>
      </w:r>
      <w:r>
        <w:rPr>
          <w:w w:val="100"/>
        </w:rPr>
        <w:t>计</w:t>
      </w:r>
      <w:r>
        <w:rPr>
          <w:spacing w:val="-3"/>
          <w:w w:val="100"/>
        </w:rPr>
        <w:t>，</w:t>
      </w:r>
      <w:r>
        <w:rPr>
          <w:w w:val="100"/>
        </w:rPr>
        <w:t>出</w:t>
      </w:r>
      <w:r>
        <w:rPr>
          <w:spacing w:val="-3"/>
          <w:w w:val="100"/>
        </w:rPr>
        <w:t>具</w:t>
      </w:r>
      <w:r>
        <w:rPr>
          <w:w w:val="100"/>
        </w:rPr>
        <w:t>了</w:t>
      </w:r>
      <w:r>
        <w:rPr>
          <w:spacing w:val="-3"/>
          <w:w w:val="100"/>
        </w:rPr>
        <w:t>内</w:t>
      </w:r>
      <w:r>
        <w:rPr>
          <w:w w:val="100"/>
        </w:rPr>
        <w:t>部</w:t>
      </w:r>
      <w:r>
        <w:rPr>
          <w:spacing w:val="-3"/>
          <w:w w:val="100"/>
        </w:rPr>
        <w:t>控</w:t>
      </w:r>
      <w:r>
        <w:rPr>
          <w:w w:val="100"/>
        </w:rPr>
        <w:t>制审</w:t>
      </w:r>
      <w:r>
        <w:rPr>
          <w:spacing w:val="-3"/>
          <w:w w:val="100"/>
        </w:rPr>
        <w:t>计</w:t>
      </w:r>
      <w:r>
        <w:rPr>
          <w:w w:val="100"/>
        </w:rPr>
        <w:t>报</w:t>
      </w:r>
      <w:r>
        <w:rPr>
          <w:spacing w:val="-3"/>
          <w:w w:val="100"/>
        </w:rPr>
        <w:t>告</w:t>
      </w:r>
      <w:r>
        <w:rPr>
          <w:w w:val="100"/>
        </w:rPr>
        <w:t>（</w:t>
      </w:r>
      <w:r>
        <w:rPr>
          <w:spacing w:val="-3"/>
          <w:w w:val="100"/>
        </w:rPr>
        <w:t>大</w:t>
      </w:r>
      <w:r>
        <w:rPr>
          <w:w w:val="100"/>
        </w:rPr>
        <w:t>信</w:t>
      </w:r>
      <w:r>
        <w:rPr>
          <w:spacing w:val="-3"/>
          <w:w w:val="100"/>
        </w:rPr>
        <w:t>审</w:t>
      </w:r>
      <w:r>
        <w:rPr>
          <w:spacing w:val="-1"/>
          <w:w w:val="100"/>
        </w:rPr>
        <w:t>字</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spacing w:val="-1"/>
          <w:w w:val="100"/>
        </w:rPr>
        <w:t>]</w:t>
      </w:r>
      <w:r>
        <w:rPr>
          <w:w w:val="100"/>
        </w:rPr>
        <w:t>第</w:t>
      </w:r>
      <w:r>
        <w:rPr>
          <w:spacing w:val="-5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rPr>
        <w:t> </w:t>
      </w:r>
      <w:r>
        <w:rPr>
          <w:w w:val="100"/>
        </w:rPr>
        <w:t>号</w:t>
      </w:r>
      <w:r>
        <w:rPr>
          <w:spacing w:val="-108"/>
          <w:w w:val="100"/>
        </w:rPr>
        <w:t>）</w:t>
      </w:r>
      <w:r>
        <w:rPr>
          <w:w w:val="100"/>
        </w:rPr>
        <w:t>，</w:t>
      </w:r>
      <w:r>
        <w:rPr>
          <w:spacing w:val="-3"/>
          <w:w w:val="100"/>
        </w:rPr>
        <w:t>认</w:t>
      </w:r>
      <w:r>
        <w:rPr>
          <w:w w:val="100"/>
        </w:rPr>
        <w:t>为</w:t>
      </w:r>
      <w:r>
        <w:rPr>
          <w:spacing w:val="-3"/>
          <w:w w:val="100"/>
        </w:rPr>
        <w:t>公</w:t>
      </w:r>
      <w:r>
        <w:rPr>
          <w:w w:val="100"/>
        </w:rPr>
        <w:t>司于</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017</w:t>
      </w:r>
      <w:r>
        <w:rPr>
          <w:rFonts w:ascii="Times New Roman" w:hAnsi="Times New Roman" w:cs="Times New Roman" w:eastAsia="Times New Roman" w:hint="default"/>
        </w:rPr>
        <w:t> </w:t>
      </w:r>
      <w:r>
        <w:rPr>
          <w:w w:val="100"/>
        </w:rPr>
        <w:t>年</w:t>
      </w:r>
      <w:r>
        <w:rPr>
          <w:spacing w:val="-5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p>
    <w:p>
      <w:pPr>
        <w:pStyle w:val="BodyText"/>
        <w:spacing w:line="272" w:lineRule="exact" w:before="18"/>
        <w:ind w:right="10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39"/>
        </w:rPr>
        <w:t> </w:t>
      </w:r>
      <w:r>
        <w:rPr>
          <w:spacing w:val="-5"/>
        </w:rPr>
        <w:t>日按照《企业内部控制基本规范》和相关规定在所有重大方面保持了有效的财务报告内部控制。</w:t>
      </w:r>
      <w:r>
        <w:rPr>
          <w:spacing w:val="-90"/>
        </w:rPr>
        <w:t> </w:t>
      </w:r>
      <w:r>
        <w:rPr>
          <w:spacing w:val="-90"/>
        </w:rPr>
      </w:r>
      <w:r>
        <w:rPr/>
        <w:t>是否披露内部控制审计报告：是</w:t>
      </w:r>
    </w:p>
    <w:p>
      <w:pPr>
        <w:spacing w:line="240" w:lineRule="auto" w:before="2"/>
        <w:rPr>
          <w:rFonts w:ascii="宋体" w:hAnsi="宋体" w:cs="宋体" w:eastAsia="宋体" w:hint="default"/>
          <w:sz w:val="21"/>
          <w:szCs w:val="21"/>
        </w:rPr>
      </w:pPr>
    </w:p>
    <w:p>
      <w:pPr>
        <w:pStyle w:val="Heading2"/>
        <w:spacing w:line="240" w:lineRule="auto" w:before="0"/>
        <w:ind w:right="100"/>
        <w:jc w:val="left"/>
        <w:rPr>
          <w:b w:val="0"/>
          <w:bCs w:val="0"/>
        </w:rPr>
      </w:pPr>
      <w:r>
        <w:rPr/>
        <w:t>十、其他</w:t>
      </w:r>
      <w:r>
        <w:rPr>
          <w:b w:val="0"/>
          <w:bCs w:val="0"/>
        </w:rPr>
      </w:r>
    </w:p>
    <w:p>
      <w:pPr>
        <w:pStyle w:val="BodyText"/>
        <w:tabs>
          <w:tab w:pos="896" w:val="left" w:leader="none"/>
        </w:tabs>
        <w:spacing w:line="240" w:lineRule="auto" w:before="56"/>
        <w:ind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7"/>
        <w:rPr>
          <w:rFonts w:ascii="宋体" w:hAnsi="宋体" w:cs="宋体" w:eastAsia="宋体" w:hint="default"/>
          <w:sz w:val="20"/>
          <w:szCs w:val="20"/>
        </w:rPr>
      </w:pPr>
    </w:p>
    <w:p>
      <w:pPr>
        <w:pStyle w:val="Heading1"/>
        <w:tabs>
          <w:tab w:pos="1259" w:val="left" w:leader="none"/>
        </w:tabs>
        <w:spacing w:line="240" w:lineRule="auto" w:before="0"/>
        <w:ind w:right="75"/>
        <w:jc w:val="center"/>
        <w:rPr>
          <w:b w:val="0"/>
          <w:bCs w:val="0"/>
        </w:rPr>
      </w:pPr>
      <w:bookmarkStart w:name="_TOC_250002" w:id="10"/>
      <w:r>
        <w:rPr>
          <w:w w:val="95"/>
        </w:rPr>
        <w:t>第十节</w:t>
        <w:tab/>
      </w:r>
      <w:r>
        <w:rPr/>
        <w:t>公司债券相关情况</w:t>
      </w:r>
      <w:bookmarkEnd w:id="10"/>
      <w:r>
        <w:rPr>
          <w:b w:val="0"/>
          <w:bCs w:val="0"/>
        </w:rPr>
      </w:r>
    </w:p>
    <w:p>
      <w:pPr>
        <w:spacing w:line="240" w:lineRule="auto" w:before="8"/>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660" w:right="1060"/>
        </w:sectPr>
      </w:pPr>
    </w:p>
    <w:p>
      <w:pPr>
        <w:spacing w:line="276" w:lineRule="auto" w:before="36"/>
        <w:ind w:left="138" w:right="-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7"/>
        <w:rPr>
          <w:rFonts w:ascii="宋体" w:hAnsi="宋体" w:cs="宋体" w:eastAsia="宋体" w:hint="default"/>
          <w:b/>
          <w:bCs/>
          <w:sz w:val="31"/>
          <w:szCs w:val="31"/>
        </w:rPr>
      </w:pPr>
    </w:p>
    <w:p>
      <w:pPr>
        <w:pStyle w:val="BodyText"/>
        <w:spacing w:line="240" w:lineRule="auto"/>
        <w:ind w:right="0"/>
        <w:jc w:val="left"/>
      </w:pPr>
      <w:r>
        <w:rPr/>
        <w:t>单位</w:t>
      </w:r>
      <w:r>
        <w:rPr>
          <w:rFonts w:ascii="Times New Roman" w:hAnsi="Times New Roman" w:cs="Times New Roman" w:eastAsia="Times New Roman" w:hint="default"/>
        </w:rPr>
        <w:t>:</w:t>
      </w:r>
      <w:r>
        <w:rPr/>
        <w:t>亿元币种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660" w:right="1060"/>
          <w:cols w:num="2" w:equalWidth="0">
            <w:col w:w="2251" w:space="4576"/>
            <w:col w:w="2363"/>
          </w:cols>
        </w:sectPr>
      </w:pPr>
    </w:p>
    <w:tbl>
      <w:tblPr>
        <w:tblW w:w="0" w:type="auto"/>
        <w:jc w:val="left"/>
        <w:tblInd w:w="104" w:type="dxa"/>
        <w:tblLayout w:type="fixed"/>
        <w:tblCellMar>
          <w:top w:w="0" w:type="dxa"/>
          <w:left w:w="0" w:type="dxa"/>
          <w:bottom w:w="0" w:type="dxa"/>
          <w:right w:w="0" w:type="dxa"/>
        </w:tblCellMar>
        <w:tblLook w:val="01E0"/>
      </w:tblPr>
      <w:tblGrid>
        <w:gridCol w:w="1555"/>
        <w:gridCol w:w="430"/>
        <w:gridCol w:w="685"/>
        <w:gridCol w:w="744"/>
        <w:gridCol w:w="744"/>
        <w:gridCol w:w="408"/>
        <w:gridCol w:w="744"/>
        <w:gridCol w:w="3037"/>
        <w:gridCol w:w="545"/>
      </w:tblGrid>
      <w:tr>
        <w:trPr>
          <w:trHeight w:val="1099"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107"/>
              <w:jc w:val="left"/>
              <w:rPr>
                <w:rFonts w:ascii="宋体" w:hAnsi="宋体" w:cs="宋体" w:eastAsia="宋体" w:hint="default"/>
                <w:sz w:val="21"/>
                <w:szCs w:val="21"/>
              </w:rPr>
            </w:pPr>
            <w:r>
              <w:rPr>
                <w:rFonts w:ascii="宋体" w:hAnsi="宋体" w:cs="宋体" w:eastAsia="宋体" w:hint="default"/>
                <w:sz w:val="21"/>
                <w:szCs w:val="21"/>
              </w:rPr>
              <w:t>简</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代码</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3"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93" w:right="91"/>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90" w:lineRule="exact"/>
              <w:ind w:left="6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80" w:right="0"/>
              <w:jc w:val="left"/>
              <w:rPr>
                <w:rFonts w:ascii="宋体" w:hAnsi="宋体" w:cs="宋体" w:eastAsia="宋体" w:hint="default"/>
                <w:sz w:val="21"/>
                <w:szCs w:val="21"/>
              </w:rPr>
            </w:pPr>
            <w:r>
              <w:rPr>
                <w:rFonts w:ascii="宋体" w:hAnsi="宋体" w:cs="宋体" w:eastAsia="宋体" w:hint="default"/>
                <w:sz w:val="21"/>
                <w:szCs w:val="21"/>
              </w:rPr>
              <w:t>还本付息方式</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5" w:right="55"/>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场所</w:t>
            </w:r>
          </w:p>
        </w:tc>
      </w:tr>
      <w:tr>
        <w:trPr>
          <w:trHeight w:val="1371"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07"/>
              <w:ind w:left="23" w:right="19"/>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泰豪科技股份有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限公司公开发行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年公司债券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第一期</w:t>
            </w:r>
            <w:r>
              <w:rPr>
                <w:rFonts w:ascii="Times New Roman" w:hAnsi="Times New Roman" w:cs="Times New Roman" w:eastAsia="Times New Roman" w:hint="default"/>
                <w:sz w:val="21"/>
                <w:szCs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59"/>
              <w:ind w:left="21" w:right="0"/>
              <w:jc w:val="left"/>
              <w:rPr>
                <w:rFonts w:ascii="Times New Roman" w:hAnsi="Times New Roman" w:cs="Times New Roman" w:eastAsia="Times New Roman" w:hint="default"/>
                <w:sz w:val="21"/>
                <w:szCs w:val="21"/>
              </w:rPr>
            </w:pPr>
            <w:r>
              <w:rPr>
                <w:rFonts w:ascii="Times New Roman"/>
                <w:sz w:val="21"/>
              </w:rPr>
              <w:t>16</w:t>
            </w:r>
          </w:p>
          <w:p>
            <w:pPr>
              <w:pStyle w:val="TableParagraph"/>
              <w:spacing w:line="272" w:lineRule="exact" w:before="14"/>
              <w:ind w:left="21" w:right="185"/>
              <w:jc w:val="left"/>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w w:val="100"/>
                <w:sz w:val="21"/>
                <w:szCs w:val="21"/>
              </w:rPr>
              <w:t> </w:t>
            </w:r>
            <w:r>
              <w:rPr>
                <w:rFonts w:ascii="宋体" w:hAnsi="宋体" w:cs="宋体" w:eastAsia="宋体" w:hint="default"/>
                <w:sz w:val="21"/>
                <w:szCs w:val="21"/>
              </w:rPr>
              <w:t>豪</w:t>
            </w:r>
          </w:p>
          <w:p>
            <w:pPr>
              <w:pStyle w:val="TableParagraph"/>
              <w:spacing w:line="240" w:lineRule="auto" w:before="1"/>
              <w:ind w:left="21" w:right="0"/>
              <w:jc w:val="left"/>
              <w:rPr>
                <w:rFonts w:ascii="Times New Roman" w:hAnsi="Times New Roman" w:cs="Times New Roman" w:eastAsia="Times New Roman" w:hint="default"/>
                <w:sz w:val="21"/>
                <w:szCs w:val="21"/>
              </w:rPr>
            </w:pPr>
            <w:r>
              <w:rPr>
                <w:rFonts w:ascii="Times New Roman"/>
                <w:sz w:val="21"/>
              </w:rPr>
              <w:t>01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136332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w w:val="100"/>
                <w:sz w:val="21"/>
              </w:rPr>
              <w:t>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4.20</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spacing w:val="17"/>
                <w:sz w:val="21"/>
                <w:szCs w:val="21"/>
              </w:rPr>
              <w:t>本期公司债券采用单利按年计</w:t>
            </w:r>
          </w:p>
          <w:p>
            <w:pPr>
              <w:pStyle w:val="TableParagraph"/>
              <w:spacing w:line="237" w:lineRule="auto"/>
              <w:ind w:left="21" w:right="17"/>
              <w:jc w:val="both"/>
              <w:rPr>
                <w:rFonts w:ascii="宋体" w:hAnsi="宋体" w:cs="宋体" w:eastAsia="宋体" w:hint="default"/>
                <w:sz w:val="21"/>
                <w:szCs w:val="21"/>
              </w:rPr>
            </w:pPr>
            <w:r>
              <w:rPr>
                <w:rFonts w:ascii="宋体" w:hAnsi="宋体" w:cs="宋体" w:eastAsia="宋体" w:hint="default"/>
                <w:sz w:val="21"/>
                <w:szCs w:val="21"/>
              </w:rPr>
              <w:t>息，不计复利，逾期不另计息。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每年付息一次，到期一次还本，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最后一期利息随本金的兑付一起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支付</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21" w:right="-49"/>
              <w:jc w:val="both"/>
              <w:rPr>
                <w:rFonts w:ascii="宋体" w:hAnsi="宋体" w:cs="宋体" w:eastAsia="宋体" w:hint="default"/>
                <w:sz w:val="21"/>
                <w:szCs w:val="21"/>
              </w:rPr>
            </w:pPr>
            <w:r>
              <w:rPr>
                <w:rFonts w:ascii="宋体" w:hAnsi="宋体" w:cs="宋体" w:eastAsia="宋体" w:hint="default"/>
                <w:spacing w:val="34"/>
                <w:sz w:val="21"/>
                <w:szCs w:val="21"/>
              </w:rPr>
              <w:t>上海</w:t>
            </w:r>
            <w:r>
              <w:rPr>
                <w:rFonts w:ascii="宋体" w:hAnsi="宋体" w:cs="宋体" w:eastAsia="宋体" w:hint="default"/>
                <w:spacing w:val="-102"/>
                <w:sz w:val="21"/>
                <w:szCs w:val="21"/>
              </w:rPr>
              <w:t> </w:t>
            </w:r>
            <w:r>
              <w:rPr>
                <w:rFonts w:ascii="宋体" w:hAnsi="宋体" w:cs="宋体" w:eastAsia="宋体" w:hint="default"/>
                <w:spacing w:val="34"/>
                <w:sz w:val="21"/>
                <w:szCs w:val="21"/>
              </w:rPr>
              <w:t>证券</w:t>
            </w:r>
            <w:r>
              <w:rPr>
                <w:rFonts w:ascii="宋体" w:hAnsi="宋体" w:cs="宋体" w:eastAsia="宋体" w:hint="default"/>
                <w:spacing w:val="-102"/>
                <w:sz w:val="21"/>
                <w:szCs w:val="21"/>
              </w:rPr>
              <w:t> </w:t>
            </w:r>
            <w:r>
              <w:rPr>
                <w:rFonts w:ascii="宋体" w:hAnsi="宋体" w:cs="宋体" w:eastAsia="宋体" w:hint="default"/>
                <w:spacing w:val="34"/>
                <w:sz w:val="21"/>
                <w:szCs w:val="21"/>
              </w:rPr>
              <w:t>交易</w:t>
            </w:r>
            <w:r>
              <w:rPr>
                <w:rFonts w:ascii="宋体" w:hAnsi="宋体" w:cs="宋体" w:eastAsia="宋体" w:hint="default"/>
                <w:spacing w:val="-102"/>
                <w:sz w:val="21"/>
                <w:szCs w:val="21"/>
              </w:rPr>
              <w:t> </w:t>
            </w:r>
            <w:r>
              <w:rPr>
                <w:rFonts w:ascii="宋体" w:hAnsi="宋体" w:cs="宋体" w:eastAsia="宋体" w:hint="default"/>
                <w:sz w:val="21"/>
                <w:szCs w:val="21"/>
              </w:rPr>
              <w:t>所</w:t>
            </w:r>
          </w:p>
        </w:tc>
      </w:tr>
      <w:tr>
        <w:trPr>
          <w:trHeight w:val="137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0"/>
              <w:ind w:left="23" w:right="19"/>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泰豪科技股份有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限公司公开发行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年公司债券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第二期</w:t>
            </w:r>
            <w:r>
              <w:rPr>
                <w:rFonts w:ascii="Times New Roman" w:hAnsi="Times New Roman" w:cs="Times New Roman" w:eastAsia="Times New Roman" w:hint="default"/>
                <w:sz w:val="21"/>
                <w:szCs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61"/>
              <w:ind w:left="21" w:right="0"/>
              <w:jc w:val="left"/>
              <w:rPr>
                <w:rFonts w:ascii="Times New Roman" w:hAnsi="Times New Roman" w:cs="Times New Roman" w:eastAsia="Times New Roman" w:hint="default"/>
                <w:sz w:val="21"/>
                <w:szCs w:val="21"/>
              </w:rPr>
            </w:pPr>
            <w:r>
              <w:rPr>
                <w:rFonts w:ascii="Times New Roman"/>
                <w:sz w:val="21"/>
              </w:rPr>
              <w:t>16</w:t>
            </w:r>
          </w:p>
          <w:p>
            <w:pPr>
              <w:pStyle w:val="TableParagraph"/>
              <w:spacing w:line="272" w:lineRule="exact" w:before="14"/>
              <w:ind w:left="21" w:right="185"/>
              <w:jc w:val="left"/>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w w:val="100"/>
                <w:sz w:val="21"/>
                <w:szCs w:val="21"/>
              </w:rPr>
              <w:t> </w:t>
            </w:r>
            <w:r>
              <w:rPr>
                <w:rFonts w:ascii="宋体" w:hAnsi="宋体" w:cs="宋体" w:eastAsia="宋体" w:hint="default"/>
                <w:sz w:val="21"/>
                <w:szCs w:val="21"/>
              </w:rPr>
              <w:t>豪</w:t>
            </w:r>
          </w:p>
          <w:p>
            <w:pPr>
              <w:pStyle w:val="TableParagraph"/>
              <w:spacing w:line="241" w:lineRule="exact"/>
              <w:ind w:left="21" w:right="0"/>
              <w:jc w:val="left"/>
              <w:rPr>
                <w:rFonts w:ascii="Times New Roman" w:hAnsi="Times New Roman" w:cs="Times New Roman" w:eastAsia="Times New Roman" w:hint="default"/>
                <w:sz w:val="21"/>
                <w:szCs w:val="21"/>
              </w:rPr>
            </w:pPr>
            <w:r>
              <w:rPr>
                <w:rFonts w:ascii="Times New Roman"/>
                <w:sz w:val="21"/>
              </w:rPr>
              <w:t>02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136602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2</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2</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w w:val="100"/>
                <w:sz w:val="21"/>
              </w:rPr>
              <w:t>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4.19</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pacing w:val="17"/>
                <w:sz w:val="21"/>
                <w:szCs w:val="21"/>
              </w:rPr>
              <w:t>本期公司债券采用单利按年计</w:t>
            </w:r>
          </w:p>
          <w:p>
            <w:pPr>
              <w:pStyle w:val="TableParagraph"/>
              <w:spacing w:line="237" w:lineRule="auto" w:before="2"/>
              <w:ind w:left="21" w:right="17"/>
              <w:jc w:val="both"/>
              <w:rPr>
                <w:rFonts w:ascii="宋体" w:hAnsi="宋体" w:cs="宋体" w:eastAsia="宋体" w:hint="default"/>
                <w:sz w:val="21"/>
                <w:szCs w:val="21"/>
              </w:rPr>
            </w:pPr>
            <w:r>
              <w:rPr>
                <w:rFonts w:ascii="宋体" w:hAnsi="宋体" w:cs="宋体" w:eastAsia="宋体" w:hint="default"/>
                <w:sz w:val="21"/>
                <w:szCs w:val="21"/>
              </w:rPr>
              <w:t>息，不计复利，逾期不另计息。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每年付息一次，到期一次还本，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最后一期利息随本金的兑付一起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支付</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1" w:right="-49"/>
              <w:jc w:val="both"/>
              <w:rPr>
                <w:rFonts w:ascii="宋体" w:hAnsi="宋体" w:cs="宋体" w:eastAsia="宋体" w:hint="default"/>
                <w:sz w:val="21"/>
                <w:szCs w:val="21"/>
              </w:rPr>
            </w:pPr>
            <w:r>
              <w:rPr>
                <w:rFonts w:ascii="宋体" w:hAnsi="宋体" w:cs="宋体" w:eastAsia="宋体" w:hint="default"/>
                <w:spacing w:val="34"/>
                <w:sz w:val="21"/>
                <w:szCs w:val="21"/>
              </w:rPr>
              <w:t>上海</w:t>
            </w:r>
            <w:r>
              <w:rPr>
                <w:rFonts w:ascii="宋体" w:hAnsi="宋体" w:cs="宋体" w:eastAsia="宋体" w:hint="default"/>
                <w:spacing w:val="-102"/>
                <w:sz w:val="21"/>
                <w:szCs w:val="21"/>
              </w:rPr>
              <w:t> </w:t>
            </w:r>
            <w:r>
              <w:rPr>
                <w:rFonts w:ascii="宋体" w:hAnsi="宋体" w:cs="宋体" w:eastAsia="宋体" w:hint="default"/>
                <w:spacing w:val="34"/>
                <w:sz w:val="21"/>
                <w:szCs w:val="21"/>
              </w:rPr>
              <w:t>证券</w:t>
            </w:r>
            <w:r>
              <w:rPr>
                <w:rFonts w:ascii="宋体" w:hAnsi="宋体" w:cs="宋体" w:eastAsia="宋体" w:hint="default"/>
                <w:spacing w:val="-102"/>
                <w:sz w:val="21"/>
                <w:szCs w:val="21"/>
              </w:rPr>
              <w:t> </w:t>
            </w:r>
            <w:r>
              <w:rPr>
                <w:rFonts w:ascii="宋体" w:hAnsi="宋体" w:cs="宋体" w:eastAsia="宋体" w:hint="default"/>
                <w:spacing w:val="34"/>
                <w:sz w:val="21"/>
                <w:szCs w:val="21"/>
              </w:rPr>
              <w:t>交易</w:t>
            </w:r>
            <w:r>
              <w:rPr>
                <w:rFonts w:ascii="宋体" w:hAnsi="宋体" w:cs="宋体" w:eastAsia="宋体" w:hint="default"/>
                <w:spacing w:val="-102"/>
                <w:sz w:val="21"/>
                <w:szCs w:val="21"/>
              </w:rPr>
              <w:t> </w:t>
            </w:r>
            <w:r>
              <w:rPr>
                <w:rFonts w:ascii="宋体" w:hAnsi="宋体" w:cs="宋体" w:eastAsia="宋体" w:hint="default"/>
                <w:sz w:val="21"/>
                <w:szCs w:val="21"/>
              </w:rPr>
              <w:t>所</w:t>
            </w:r>
          </w:p>
        </w:tc>
      </w:tr>
    </w:tbl>
    <w:p>
      <w:pPr>
        <w:pStyle w:val="BodyText"/>
        <w:spacing w:line="256" w:lineRule="exact"/>
        <w:ind w:right="100"/>
        <w:jc w:val="left"/>
      </w:pPr>
      <w:r>
        <w:rPr/>
        <w:t>公司债券付息兑付情况</w:t>
      </w:r>
    </w:p>
    <w:p>
      <w:pPr>
        <w:pStyle w:val="BodyText"/>
        <w:tabs>
          <w:tab w:pos="884" w:val="left" w:leader="none"/>
        </w:tabs>
        <w:spacing w:line="280" w:lineRule="exact"/>
        <w:ind w:right="1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ind w:left="558" w:right="100"/>
        <w:jc w:val="left"/>
        <w:rPr>
          <w:rFonts w:ascii="Times New Roman" w:hAnsi="Times New Roman" w:cs="Times New Roman" w:eastAsia="Times New Roman" w:hint="default"/>
        </w:rPr>
      </w:pPr>
      <w:r>
        <w:rPr/>
        <w:t>具体情况详见公司于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4"/>
        </w:rPr>
        <w:t>日发布的《公司公开发行</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年公司债券</w:t>
      </w:r>
      <w:r>
        <w:rPr>
          <w:rFonts w:ascii="Times New Roman" w:hAnsi="Times New Roman" w:cs="Times New Roman" w:eastAsia="Times New Roman" w:hint="default"/>
        </w:rPr>
        <w:t>(</w:t>
      </w:r>
      <w:r>
        <w:rPr/>
        <w:t>第一期</w:t>
      </w:r>
      <w:r>
        <w:rPr>
          <w:rFonts w:ascii="Times New Roman" w:hAnsi="Times New Roman" w:cs="Times New Roman" w:eastAsia="Times New Roman" w:hint="default"/>
        </w:rPr>
        <w:t>)2017</w:t>
      </w:r>
    </w:p>
    <w:p>
      <w:pPr>
        <w:pStyle w:val="BodyText"/>
        <w:spacing w:line="274" w:lineRule="exact" w:before="16"/>
        <w:ind w:right="100"/>
        <w:jc w:val="left"/>
      </w:pPr>
      <w:r>
        <w:rPr>
          <w:w w:val="100"/>
        </w:rPr>
        <w:t>年付</w:t>
      </w:r>
      <w:r>
        <w:rPr>
          <w:spacing w:val="-3"/>
          <w:w w:val="100"/>
        </w:rPr>
        <w:t>息</w:t>
      </w:r>
      <w:r>
        <w:rPr>
          <w:w w:val="100"/>
        </w:rPr>
        <w:t>公</w:t>
      </w:r>
      <w:r>
        <w:rPr>
          <w:spacing w:val="-3"/>
          <w:w w:val="100"/>
        </w:rPr>
        <w:t>告</w:t>
      </w:r>
      <w:r>
        <w:rPr>
          <w:spacing w:val="-106"/>
          <w:w w:val="100"/>
        </w:rPr>
        <w:t>》</w:t>
      </w:r>
      <w:r>
        <w:rPr>
          <w:spacing w:val="-3"/>
          <w:w w:val="100"/>
        </w:rPr>
        <w:t>（</w:t>
      </w:r>
      <w:r>
        <w:rPr>
          <w:w w:val="100"/>
        </w:rPr>
        <w:t>公</w:t>
      </w:r>
      <w:r>
        <w:rPr>
          <w:spacing w:val="-3"/>
          <w:w w:val="100"/>
        </w:rPr>
        <w:t>告</w:t>
      </w:r>
      <w:r>
        <w:rPr>
          <w:w w:val="100"/>
        </w:rPr>
        <w:t>编</w:t>
      </w:r>
      <w:r>
        <w:rPr>
          <w:spacing w:val="-3"/>
          <w:w w:val="100"/>
        </w:rPr>
        <w:t>号：</w:t>
      </w:r>
      <w:r>
        <w:rPr>
          <w:w w:val="100"/>
        </w:rPr>
        <w:t>临</w:t>
      </w:r>
      <w:r>
        <w:rPr>
          <w:spacing w:val="-4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013</w:t>
      </w:r>
      <w:r>
        <w:rPr>
          <w:spacing w:val="-106"/>
          <w:w w:val="100"/>
        </w:rPr>
        <w:t>）</w:t>
      </w:r>
      <w:r>
        <w:rPr>
          <w:spacing w:val="-3"/>
          <w:w w:val="100"/>
        </w:rPr>
        <w:t>，</w:t>
      </w:r>
      <w:r>
        <w:rPr>
          <w:w w:val="100"/>
        </w:rPr>
        <w:t>于</w:t>
      </w:r>
      <w:r>
        <w:rPr>
          <w:spacing w:val="-41"/>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0"/>
        </w:rPr>
        <w:t> </w:t>
      </w:r>
      <w:r>
        <w:rPr>
          <w:w w:val="100"/>
        </w:rPr>
        <w:t>年</w:t>
      </w:r>
      <w:r>
        <w:rPr>
          <w:spacing w:val="-43"/>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9"/>
        </w:rPr>
        <w:t> </w:t>
      </w:r>
      <w:r>
        <w:rPr>
          <w:w w:val="100"/>
        </w:rPr>
        <w:t>月</w:t>
      </w:r>
      <w:r>
        <w:rPr>
          <w:spacing w:val="-41"/>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6</w:t>
      </w:r>
      <w:r>
        <w:rPr>
          <w:rFonts w:ascii="Times New Roman" w:hAnsi="Times New Roman" w:cs="Times New Roman" w:eastAsia="Times New Roman" w:hint="default"/>
          <w:spacing w:val="12"/>
        </w:rPr>
        <w:t> </w:t>
      </w:r>
      <w:r>
        <w:rPr>
          <w:spacing w:val="-3"/>
          <w:w w:val="100"/>
        </w:rPr>
        <w:t>日</w:t>
      </w:r>
      <w:r>
        <w:rPr>
          <w:w w:val="100"/>
        </w:rPr>
        <w:t>发</w:t>
      </w:r>
      <w:r>
        <w:rPr>
          <w:spacing w:val="-3"/>
          <w:w w:val="100"/>
        </w:rPr>
        <w:t>布</w:t>
      </w:r>
      <w:r>
        <w:rPr>
          <w:w w:val="100"/>
        </w:rPr>
        <w:t>的</w:t>
      </w:r>
      <w:r>
        <w:rPr>
          <w:spacing w:val="-3"/>
          <w:w w:val="100"/>
        </w:rPr>
        <w:t>《</w:t>
      </w:r>
      <w:r>
        <w:rPr>
          <w:w w:val="100"/>
        </w:rPr>
        <w:t>公</w:t>
      </w:r>
      <w:r>
        <w:rPr>
          <w:spacing w:val="-3"/>
          <w:w w:val="100"/>
        </w:rPr>
        <w:t>司公</w:t>
      </w:r>
      <w:r>
        <w:rPr>
          <w:w w:val="100"/>
        </w:rPr>
        <w:t>开</w:t>
      </w:r>
      <w:r>
        <w:rPr>
          <w:spacing w:val="-3"/>
          <w:w w:val="100"/>
        </w:rPr>
        <w:t>发</w:t>
      </w:r>
      <w:r>
        <w:rPr>
          <w:w w:val="100"/>
        </w:rPr>
        <w:t>行</w:t>
      </w:r>
      <w:r>
        <w:rPr>
          <w:spacing w:val="-41"/>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16</w:t>
      </w:r>
      <w:r>
        <w:rPr>
          <w:rFonts w:ascii="Times New Roman" w:hAnsi="Times New Roman" w:cs="Times New Roman" w:eastAsia="Times New Roman" w:hint="default"/>
          <w:spacing w:val="9"/>
        </w:rPr>
        <w:t> </w:t>
      </w:r>
      <w:r>
        <w:rPr>
          <w:w w:val="100"/>
        </w:rPr>
        <w:t>年公 司债</w:t>
      </w:r>
      <w:r>
        <w:rPr>
          <w:spacing w:val="-3"/>
          <w:w w:val="100"/>
        </w:rPr>
        <w:t>券</w:t>
      </w:r>
      <w:r>
        <w:rPr>
          <w:w w:val="100"/>
        </w:rPr>
        <w:t>（</w:t>
      </w:r>
      <w:r>
        <w:rPr>
          <w:spacing w:val="-3"/>
          <w:w w:val="100"/>
        </w:rPr>
        <w:t>第</w:t>
      </w:r>
      <w:r>
        <w:rPr>
          <w:w w:val="100"/>
        </w:rPr>
        <w:t>二</w:t>
      </w:r>
      <w:r>
        <w:rPr>
          <w:spacing w:val="-3"/>
          <w:w w:val="100"/>
        </w:rPr>
        <w:t>期</w:t>
      </w:r>
      <w:r>
        <w:rPr>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2"/>
        </w:rPr>
        <w:t> </w:t>
      </w:r>
      <w:r>
        <w:rPr>
          <w:spacing w:val="-3"/>
          <w:w w:val="100"/>
        </w:rPr>
        <w:t>年</w:t>
      </w:r>
      <w:r>
        <w:rPr>
          <w:w w:val="100"/>
        </w:rPr>
        <w:t>付息</w:t>
      </w:r>
      <w:r>
        <w:rPr>
          <w:spacing w:val="-3"/>
          <w:w w:val="100"/>
        </w:rPr>
        <w:t>公</w:t>
      </w:r>
      <w:r>
        <w:rPr>
          <w:w w:val="100"/>
        </w:rPr>
        <w:t>告</w:t>
      </w:r>
      <w:r>
        <w:rPr>
          <w:spacing w:val="-108"/>
          <w:w w:val="100"/>
        </w:rPr>
        <w:t>》</w:t>
      </w:r>
      <w:r>
        <w:rPr>
          <w:w w:val="100"/>
        </w:rPr>
        <w:t>（</w:t>
      </w:r>
      <w:r>
        <w:rPr>
          <w:spacing w:val="-3"/>
          <w:w w:val="100"/>
        </w:rPr>
        <w:t>公</w:t>
      </w:r>
      <w:r>
        <w:rPr>
          <w:w w:val="100"/>
        </w:rPr>
        <w:t>告</w:t>
      </w:r>
      <w:r>
        <w:rPr>
          <w:spacing w:val="-3"/>
          <w:w w:val="100"/>
        </w:rPr>
        <w:t>编</w:t>
      </w:r>
      <w:r>
        <w:rPr>
          <w:w w:val="100"/>
        </w:rPr>
        <w:t>号</w:t>
      </w:r>
      <w:r>
        <w:rPr>
          <w:spacing w:val="-3"/>
          <w:w w:val="100"/>
        </w:rPr>
        <w:t>：</w:t>
      </w:r>
      <w:r>
        <w:rPr>
          <w:w w:val="100"/>
        </w:rPr>
        <w:t>临</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075</w:t>
      </w:r>
      <w:r>
        <w:rPr>
          <w:spacing w:val="-106"/>
          <w:w w:val="100"/>
        </w:rPr>
        <w:t>）。</w:t>
      </w:r>
      <w:r>
        <w:rPr>
          <w:w w:val="100"/>
        </w:rPr>
      </w:r>
    </w:p>
    <w:p>
      <w:pPr>
        <w:pStyle w:val="BodyText"/>
        <w:spacing w:line="246" w:lineRule="exact"/>
        <w:ind w:right="100"/>
        <w:jc w:val="left"/>
      </w:pPr>
      <w:r>
        <w:rPr/>
        <w:t>公司债券其他情况的说明</w:t>
      </w:r>
    </w:p>
    <w:p>
      <w:pPr>
        <w:pStyle w:val="BodyText"/>
        <w:spacing w:line="273" w:lineRule="exact"/>
        <w:ind w:right="100"/>
        <w:jc w:val="left"/>
      </w:pPr>
      <w:r>
        <w:rPr/>
        <w:t>√适用 □不适用</w:t>
      </w:r>
    </w:p>
    <w:p>
      <w:pPr>
        <w:pStyle w:val="BodyText"/>
        <w:spacing w:line="274" w:lineRule="exact" w:before="24"/>
        <w:ind w:right="100" w:firstLine="419"/>
        <w:jc w:val="left"/>
      </w:pPr>
      <w:r>
        <w:rPr/>
        <w:t>根据募集说明书，</w:t>
      </w:r>
      <w:r>
        <w:rPr>
          <w:rFonts w:ascii="Times New Roman" w:hAnsi="Times New Roman" w:cs="Times New Roman" w:eastAsia="Times New Roman" w:hint="default"/>
        </w:rPr>
        <w:t>2016 </w:t>
      </w:r>
      <w:r>
        <w:rPr/>
        <w:t>年公司债券为存续期 </w:t>
      </w:r>
      <w:r>
        <w:rPr>
          <w:rFonts w:ascii="Times New Roman" w:hAnsi="Times New Roman" w:cs="Times New Roman" w:eastAsia="Times New Roman" w:hint="default"/>
        </w:rPr>
        <w:t>5 </w:t>
      </w:r>
      <w:r>
        <w:rPr/>
        <w:t>年期固定利率债券，附第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年末上调票面利</w:t>
      </w:r>
      <w:r>
        <w:rPr>
          <w:w w:val="100"/>
        </w:rPr>
        <w:t> </w:t>
      </w:r>
      <w:r>
        <w:rPr/>
        <w:t>率选择权和投资者回售选择权。</w:t>
      </w:r>
    </w:p>
    <w:p>
      <w:pPr>
        <w:spacing w:after="0" w:line="274" w:lineRule="exact"/>
        <w:jc w:val="left"/>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Heading2"/>
        <w:spacing w:line="240" w:lineRule="auto"/>
        <w:ind w:left="218" w:right="0"/>
        <w:jc w:val="left"/>
        <w:rPr>
          <w:b w:val="0"/>
          <w:bCs w:val="0"/>
        </w:rPr>
      </w:pPr>
      <w:r>
        <w:rPr/>
        <w:t>二、公司债券受托管理联系人、联系方式及资信评级机构联系方式</w:t>
      </w:r>
      <w:r>
        <w:rPr>
          <w:b w:val="0"/>
          <w:bCs w:val="0"/>
        </w:rPr>
      </w:r>
    </w:p>
    <w:p>
      <w:pPr>
        <w:spacing w:line="240" w:lineRule="auto" w:before="8"/>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149"/>
        <w:gridCol w:w="2232"/>
        <w:gridCol w:w="4443"/>
      </w:tblGrid>
      <w:tr>
        <w:trPr>
          <w:trHeight w:val="281" w:hRule="exact"/>
        </w:trPr>
        <w:tc>
          <w:tcPr>
            <w:tcW w:w="21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西部证券股份有限公司</w:t>
            </w:r>
          </w:p>
        </w:tc>
      </w:tr>
      <w:tr>
        <w:trPr>
          <w:trHeight w:val="283" w:hRule="exact"/>
        </w:trPr>
        <w:tc>
          <w:tcPr>
            <w:tcW w:w="2149" w:type="dxa"/>
            <w:vMerge/>
            <w:tcBorders>
              <w:left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北京市西城区月坛南街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号新华大厦</w:t>
            </w:r>
          </w:p>
        </w:tc>
      </w:tr>
      <w:tr>
        <w:trPr>
          <w:trHeight w:val="281" w:hRule="exact"/>
        </w:trPr>
        <w:tc>
          <w:tcPr>
            <w:tcW w:w="2149" w:type="dxa"/>
            <w:vMerge/>
            <w:tcBorders>
              <w:left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张德志、王元中</w:t>
            </w:r>
          </w:p>
        </w:tc>
      </w:tr>
      <w:tr>
        <w:trPr>
          <w:trHeight w:val="283" w:hRule="exact"/>
        </w:trPr>
        <w:tc>
          <w:tcPr>
            <w:tcW w:w="2149" w:type="dxa"/>
            <w:vMerge/>
            <w:tcBorders>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010-68588095</w:t>
            </w:r>
          </w:p>
        </w:tc>
      </w:tr>
      <w:tr>
        <w:trPr>
          <w:trHeight w:val="283" w:hRule="exact"/>
        </w:trPr>
        <w:tc>
          <w:tcPr>
            <w:tcW w:w="2149" w:type="dxa"/>
            <w:vMerge w:val="restart"/>
            <w:tcBorders>
              <w:top w:val="single" w:sz="4" w:space="0" w:color="000000"/>
              <w:left w:val="single" w:sz="4" w:space="0" w:color="000000"/>
              <w:right w:val="single" w:sz="4" w:space="0" w:color="000000"/>
            </w:tcBorders>
          </w:tcPr>
          <w:p>
            <w:pPr>
              <w:pStyle w:val="TableParagraph"/>
              <w:spacing w:line="240" w:lineRule="auto" w:before="107"/>
              <w:ind w:left="439"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p>
        </w:tc>
      </w:tr>
      <w:tr>
        <w:trPr>
          <w:trHeight w:val="283" w:hRule="exact"/>
        </w:trPr>
        <w:tc>
          <w:tcPr>
            <w:tcW w:w="2149" w:type="dxa"/>
            <w:vMerge/>
            <w:tcBorders>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上海市黄浦区西藏南路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号安基大厦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bl>
    <w:p>
      <w:pPr>
        <w:pStyle w:val="BodyText"/>
        <w:spacing w:line="239" w:lineRule="exact"/>
        <w:ind w:left="218" w:right="0"/>
        <w:jc w:val="left"/>
      </w:pPr>
      <w:r>
        <w:rPr/>
        <w:t>其他说明：</w:t>
      </w:r>
    </w:p>
    <w:p>
      <w:pPr>
        <w:pStyle w:val="BodyText"/>
        <w:tabs>
          <w:tab w:pos="976" w:val="left" w:leader="none"/>
        </w:tabs>
        <w:spacing w:line="289" w:lineRule="exact"/>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218" w:right="0"/>
        <w:jc w:val="left"/>
        <w:rPr>
          <w:b w:val="0"/>
          <w:bCs w:val="0"/>
        </w:rPr>
      </w:pPr>
      <w:r>
        <w:rPr/>
        <w:t>三、公司债券募集资金使用情况</w:t>
      </w:r>
      <w:r>
        <w:rPr>
          <w:b w:val="0"/>
          <w:bCs w:val="0"/>
        </w:rPr>
      </w:r>
    </w:p>
    <w:p>
      <w:pPr>
        <w:pStyle w:val="BodyText"/>
        <w:tabs>
          <w:tab w:pos="964" w:val="left" w:leader="none"/>
        </w:tabs>
        <w:spacing w:line="281" w:lineRule="exact" w:before="59"/>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ind w:left="638" w:right="0"/>
        <w:jc w:val="left"/>
      </w:pPr>
      <w:r>
        <w:rPr/>
        <w:t>根据</w:t>
      </w:r>
      <w:r>
        <w:rPr>
          <w:spacing w:val="-50"/>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23 </w:t>
      </w:r>
      <w:r>
        <w:rPr/>
        <w:t>日第三次临时股东大会审议通过的《关于公司申请公开发行公司债券的</w:t>
      </w:r>
    </w:p>
    <w:p>
      <w:pPr>
        <w:pStyle w:val="BodyText"/>
        <w:spacing w:line="272" w:lineRule="exact"/>
        <w:ind w:left="218" w:right="0"/>
        <w:jc w:val="left"/>
      </w:pPr>
      <w:r>
        <w:rPr>
          <w:w w:val="100"/>
        </w:rPr>
        <w:t>议案</w:t>
      </w:r>
      <w:r>
        <w:rPr>
          <w:spacing w:val="-108"/>
          <w:w w:val="100"/>
        </w:rPr>
        <w:t>》</w:t>
      </w:r>
      <w:r>
        <w:rPr>
          <w:w w:val="100"/>
        </w:rPr>
        <w:t>，</w:t>
      </w:r>
      <w:r>
        <w:rPr>
          <w:spacing w:val="-3"/>
          <w:w w:val="100"/>
        </w:rPr>
        <w:t>同</w:t>
      </w:r>
      <w:r>
        <w:rPr>
          <w:w w:val="100"/>
        </w:rPr>
        <w:t>意</w:t>
      </w:r>
      <w:r>
        <w:rPr>
          <w:spacing w:val="-3"/>
          <w:w w:val="100"/>
        </w:rPr>
        <w:t>公</w:t>
      </w:r>
      <w:r>
        <w:rPr>
          <w:w w:val="100"/>
        </w:rPr>
        <w:t>司</w:t>
      </w:r>
      <w:r>
        <w:rPr>
          <w:spacing w:val="-3"/>
          <w:w w:val="100"/>
        </w:rPr>
        <w:t>发</w:t>
      </w:r>
      <w:r>
        <w:rPr>
          <w:w w:val="100"/>
        </w:rPr>
        <w:t>行</w:t>
      </w:r>
      <w:r>
        <w:rPr>
          <w:spacing w:val="-3"/>
          <w:w w:val="100"/>
        </w:rPr>
        <w:t>不超</w:t>
      </w:r>
      <w:r>
        <w:rPr>
          <w:w w:val="100"/>
        </w:rPr>
        <w:t>过人</w:t>
      </w:r>
      <w:r>
        <w:rPr>
          <w:spacing w:val="-3"/>
          <w:w w:val="100"/>
        </w:rPr>
        <w:t>民</w:t>
      </w:r>
      <w:r>
        <w:rPr>
          <w:w w:val="100"/>
        </w:rPr>
        <w:t>币</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rPr>
        <w:t> </w:t>
      </w:r>
      <w:r>
        <w:rPr>
          <w:w w:val="100"/>
        </w:rPr>
        <w:t>亿</w:t>
      </w:r>
      <w:r>
        <w:rPr>
          <w:spacing w:val="-3"/>
          <w:w w:val="100"/>
        </w:rPr>
        <w:t>元（</w:t>
      </w:r>
      <w:r>
        <w:rPr>
          <w:w w:val="100"/>
        </w:rPr>
        <w:t>含</w:t>
      </w:r>
      <w:r>
        <w:rPr>
          <w:spacing w:val="-5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亿元</w:t>
      </w:r>
      <w:r>
        <w:rPr>
          <w:spacing w:val="-3"/>
          <w:w w:val="100"/>
        </w:rPr>
        <w:t>）</w:t>
      </w:r>
      <w:r>
        <w:rPr>
          <w:w w:val="100"/>
        </w:rPr>
        <w:t>的</w:t>
      </w:r>
      <w:r>
        <w:rPr>
          <w:spacing w:val="-3"/>
          <w:w w:val="100"/>
        </w:rPr>
        <w:t>公</w:t>
      </w:r>
      <w:r>
        <w:rPr>
          <w:w w:val="100"/>
        </w:rPr>
        <w:t>司</w:t>
      </w:r>
      <w:r>
        <w:rPr>
          <w:spacing w:val="-3"/>
          <w:w w:val="100"/>
        </w:rPr>
        <w:t>债</w:t>
      </w:r>
      <w:r>
        <w:rPr>
          <w:w w:val="100"/>
        </w:rPr>
        <w:t>券</w:t>
      </w:r>
      <w:r>
        <w:rPr>
          <w:spacing w:val="-3"/>
          <w:w w:val="100"/>
        </w:rPr>
        <w:t>。</w:t>
      </w:r>
      <w:r>
        <w:rPr>
          <w:w w:val="100"/>
        </w:rPr>
        <w:t>公</w:t>
      </w:r>
      <w:r>
        <w:rPr>
          <w:spacing w:val="-3"/>
          <w:w w:val="100"/>
        </w:rPr>
        <w:t>司</w:t>
      </w:r>
      <w:r>
        <w:rPr>
          <w:w w:val="100"/>
        </w:rPr>
        <w:t>分</w:t>
      </w:r>
      <w:r>
        <w:rPr>
          <w:spacing w:val="-3"/>
          <w:w w:val="100"/>
        </w:rPr>
        <w:t>别</w:t>
      </w:r>
      <w:r>
        <w:rPr>
          <w:w w:val="100"/>
        </w:rPr>
        <w:t>于</w:t>
      </w:r>
      <w:r>
        <w:rPr>
          <w:spacing w:val="-5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16</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rPr>
        <w:t> </w:t>
      </w:r>
      <w:r>
        <w:rPr>
          <w:w w:val="100"/>
        </w:rPr>
        <w:t>月</w:t>
      </w:r>
    </w:p>
    <w:p>
      <w:pPr>
        <w:pStyle w:val="BodyText"/>
        <w:spacing w:line="271" w:lineRule="exact"/>
        <w:ind w:left="218" w:right="0"/>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日及</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日发行了</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年公司债券（第一期</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亿元，扣除相关发行费用</w:t>
      </w:r>
      <w:r>
        <w:rPr>
          <w:spacing w:val="-49"/>
        </w:rPr>
        <w:t> </w:t>
      </w:r>
      <w:r>
        <w:rPr>
          <w:rFonts w:ascii="Times New Roman" w:hAnsi="Times New Roman" w:cs="Times New Roman" w:eastAsia="Times New Roman" w:hint="default"/>
        </w:rPr>
        <w:t>912</w:t>
      </w:r>
      <w:r>
        <w:rPr>
          <w:rFonts w:ascii="Times New Roman" w:hAnsi="Times New Roman" w:cs="Times New Roman" w:eastAsia="Times New Roman" w:hint="default"/>
          <w:spacing w:val="4"/>
        </w:rPr>
        <w:t> </w:t>
      </w:r>
      <w:r>
        <w:rPr/>
        <w:t>万元，</w:t>
      </w:r>
    </w:p>
    <w:p>
      <w:pPr>
        <w:pStyle w:val="BodyText"/>
        <w:spacing w:line="272" w:lineRule="exact"/>
        <w:ind w:left="218" w:right="0"/>
        <w:jc w:val="left"/>
        <w:rPr>
          <w:rFonts w:ascii="Times New Roman" w:hAnsi="Times New Roman" w:cs="Times New Roman" w:eastAsia="Times New Roman" w:hint="default"/>
        </w:rPr>
      </w:pPr>
      <w:r>
        <w:rPr/>
        <w:t>实际募集资金 </w:t>
      </w:r>
      <w:r>
        <w:rPr>
          <w:rFonts w:ascii="Times New Roman" w:hAnsi="Times New Roman" w:cs="Times New Roman" w:eastAsia="Times New Roman" w:hint="default"/>
        </w:rPr>
        <w:t>49,088 </w:t>
      </w:r>
      <w:r>
        <w:rPr/>
        <w:t>万元；第二期 </w:t>
      </w:r>
      <w:r>
        <w:rPr>
          <w:rFonts w:ascii="Times New Roman" w:hAnsi="Times New Roman" w:cs="Times New Roman" w:eastAsia="Times New Roman" w:hint="default"/>
        </w:rPr>
        <w:t>5 </w:t>
      </w:r>
      <w:r>
        <w:rPr/>
        <w:t>亿元，扣除相关发行费用 </w:t>
      </w:r>
      <w:r>
        <w:rPr>
          <w:rFonts w:ascii="Times New Roman" w:hAnsi="Times New Roman" w:cs="Times New Roman" w:eastAsia="Times New Roman" w:hint="default"/>
        </w:rPr>
        <w:t>593 </w:t>
      </w:r>
      <w:r>
        <w:rPr/>
        <w:t>万元，实际募集资金</w:t>
      </w:r>
      <w:r>
        <w:rPr>
          <w:spacing w:val="-48"/>
        </w:rPr>
        <w:t> </w:t>
      </w:r>
      <w:r>
        <w:rPr>
          <w:rFonts w:ascii="Times New Roman" w:hAnsi="Times New Roman" w:cs="Times New Roman" w:eastAsia="Times New Roman" w:hint="default"/>
        </w:rPr>
        <w:t>49,407</w:t>
      </w:r>
    </w:p>
    <w:p>
      <w:pPr>
        <w:pStyle w:val="BodyText"/>
        <w:spacing w:line="272" w:lineRule="exact" w:before="19"/>
        <w:ind w:left="218" w:right="0"/>
        <w:jc w:val="left"/>
      </w:pPr>
      <w:r>
        <w:rPr>
          <w:spacing w:val="-19"/>
          <w:w w:val="100"/>
        </w:rPr>
        <w:t>万元）。截至</w:t>
      </w:r>
      <w:r>
        <w:rPr>
          <w:spacing w:val="-48"/>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3"/>
          <w:w w:val="100"/>
        </w:rPr>
        <w:t> </w:t>
      </w:r>
      <w:r>
        <w:rPr>
          <w:w w:val="100"/>
        </w:rPr>
        <w:t>年</w:t>
      </w:r>
      <w:r>
        <w:rPr>
          <w:spacing w:val="-48"/>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3"/>
          <w:w w:val="100"/>
        </w:rPr>
        <w:t> </w:t>
      </w:r>
      <w:r>
        <w:rPr>
          <w:w w:val="100"/>
        </w:rPr>
        <w:t>月</w:t>
      </w:r>
      <w:r>
        <w:rPr>
          <w:spacing w:val="-48"/>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w w:val="100"/>
        </w:rPr>
        <w:t> </w:t>
      </w:r>
      <w:r>
        <w:rPr>
          <w:spacing w:val="-2"/>
          <w:w w:val="100"/>
        </w:rPr>
        <w:t>日，募集资金专户运作正常，募集资金已经使用完毕，与《公司债</w:t>
      </w:r>
      <w:r>
        <w:rPr>
          <w:w w:val="100"/>
        </w:rPr>
        <w:t> </w:t>
      </w:r>
      <w:r>
        <w:rPr/>
        <w:t>券募集说明书》中募集资金运用计划一致。</w:t>
      </w:r>
    </w:p>
    <w:p>
      <w:pPr>
        <w:spacing w:line="240" w:lineRule="auto" w:before="2"/>
        <w:rPr>
          <w:rFonts w:ascii="宋体" w:hAnsi="宋体" w:cs="宋体" w:eastAsia="宋体" w:hint="default"/>
          <w:sz w:val="21"/>
          <w:szCs w:val="21"/>
        </w:rPr>
      </w:pPr>
    </w:p>
    <w:p>
      <w:pPr>
        <w:pStyle w:val="Heading2"/>
        <w:spacing w:line="240" w:lineRule="auto" w:before="0"/>
        <w:ind w:left="218" w:right="0"/>
        <w:jc w:val="left"/>
        <w:rPr>
          <w:b w:val="0"/>
          <w:bCs w:val="0"/>
        </w:rPr>
      </w:pPr>
      <w:r>
        <w:rPr/>
        <w:t>四、公司债券评级情况</w:t>
      </w:r>
      <w:r>
        <w:rPr>
          <w:b w:val="0"/>
          <w:bCs w:val="0"/>
        </w:rPr>
      </w:r>
    </w:p>
    <w:p>
      <w:pPr>
        <w:pStyle w:val="BodyText"/>
        <w:tabs>
          <w:tab w:pos="964" w:val="left" w:leader="none"/>
        </w:tabs>
        <w:spacing w:line="281" w:lineRule="exact" w:before="56"/>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3" w:lineRule="exact"/>
        <w:ind w:left="638" w:right="0"/>
        <w:jc w:val="left"/>
      </w:pPr>
      <w:r>
        <w:rPr/>
        <w:t>公司聘请中诚信证券评估有限公司对</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泰豪</w:t>
      </w:r>
      <w:r>
        <w:rPr>
          <w:spacing w:val="-53"/>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和</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泰豪</w:t>
      </w:r>
      <w:r>
        <w:rPr>
          <w:spacing w:val="-54"/>
        </w:rPr>
        <w:t> </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进行评级了跟踪评级，根据中</w:t>
      </w:r>
    </w:p>
    <w:p>
      <w:pPr>
        <w:pStyle w:val="BodyText"/>
        <w:spacing w:line="225" w:lineRule="auto" w:before="6"/>
        <w:ind w:left="218" w:right="208"/>
        <w:jc w:val="both"/>
      </w:pPr>
      <w:r>
        <w:rPr/>
        <w:t>诚信证券评估有限公司出具的评级报告，公司的主体信用评级为 </w:t>
      </w:r>
      <w:r>
        <w:rPr>
          <w:rFonts w:ascii="Times New Roman" w:hAnsi="Times New Roman" w:cs="Times New Roman" w:eastAsia="Times New Roman" w:hint="default"/>
        </w:rPr>
        <w:t>AA</w:t>
      </w:r>
      <w:r>
        <w:rPr/>
        <w:t>，</w:t>
      </w:r>
      <w:r>
        <w:rPr>
          <w:rFonts w:ascii="Times New Roman" w:hAnsi="Times New Roman" w:cs="Times New Roman" w:eastAsia="Times New Roman" w:hint="default"/>
        </w:rPr>
        <w:t>16 </w:t>
      </w:r>
      <w:r>
        <w:rPr/>
        <w:t>泰豪 </w:t>
      </w:r>
      <w:r>
        <w:rPr>
          <w:rFonts w:ascii="Times New Roman" w:hAnsi="Times New Roman" w:cs="Times New Roman" w:eastAsia="Times New Roman" w:hint="default"/>
        </w:rPr>
        <w:t>01 </w:t>
      </w:r>
      <w:r>
        <w:rPr/>
        <w:t>和 </w:t>
      </w:r>
      <w:r>
        <w:rPr>
          <w:rFonts w:ascii="Times New Roman" w:hAnsi="Times New Roman" w:cs="Times New Roman" w:eastAsia="Times New Roman" w:hint="default"/>
        </w:rPr>
        <w:t>16 </w:t>
      </w:r>
      <w:r>
        <w:rPr/>
        <w:t>泰豪</w:t>
      </w:r>
      <w:r>
        <w:rPr>
          <w:spacing w:val="-38"/>
        </w:rPr>
        <w:t> </w:t>
      </w:r>
      <w:r>
        <w:rPr>
          <w:rFonts w:ascii="Times New Roman" w:hAnsi="Times New Roman" w:cs="Times New Roman" w:eastAsia="Times New Roman" w:hint="default"/>
        </w:rPr>
        <w:t>02</w:t>
      </w:r>
      <w:r>
        <w:rPr>
          <w:rFonts w:ascii="Times New Roman" w:hAnsi="Times New Roman" w:cs="Times New Roman" w:eastAsia="Times New Roman" w:hint="default"/>
          <w:w w:val="100"/>
        </w:rPr>
        <w:t> </w:t>
      </w:r>
      <w:r>
        <w:rPr/>
        <w:t>公司债的初始信用评级均为</w:t>
      </w:r>
      <w:r>
        <w:rPr>
          <w:spacing w:val="16"/>
        </w:rPr>
        <w:t> </w:t>
      </w:r>
      <w:r>
        <w:rPr>
          <w:rFonts w:ascii="Times New Roman" w:hAnsi="Times New Roman" w:cs="Times New Roman" w:eastAsia="Times New Roman" w:hint="default"/>
        </w:rPr>
        <w:t>AA</w:t>
      </w:r>
      <w:r>
        <w:rPr/>
        <w:t>，中诚信证券评估有限公司将在公司债券存续期内，每年公司发</w:t>
      </w:r>
      <w:r>
        <w:rPr>
          <w:spacing w:val="-103"/>
        </w:rPr>
        <w:t> </w:t>
      </w:r>
      <w:r>
        <w:rPr>
          <w:spacing w:val="-103"/>
        </w:rPr>
      </w:r>
      <w:r>
        <w:rPr>
          <w:spacing w:val="-1"/>
          <w:w w:val="100"/>
        </w:rPr>
        <w:t>布年度报告后</w:t>
      </w:r>
      <w:r>
        <w:rPr>
          <w:spacing w:val="-51"/>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 </w:t>
      </w:r>
      <w:r>
        <w:rPr>
          <w:spacing w:val="-2"/>
          <w:w w:val="100"/>
        </w:rPr>
        <w:t>个月内对</w:t>
      </w:r>
      <w:r>
        <w:rPr>
          <w:spacing w:val="-53"/>
          <w:w w:val="100"/>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1"/>
          <w:w w:val="100"/>
        </w:rPr>
        <w:t> </w:t>
      </w:r>
      <w:r>
        <w:rPr>
          <w:spacing w:val="-5"/>
          <w:w w:val="100"/>
        </w:rPr>
        <w:t>年公司债券进行一次定期跟踪评级，并在公司债券存续期内根据有</w:t>
      </w:r>
    </w:p>
    <w:p>
      <w:pPr>
        <w:pStyle w:val="BodyText"/>
        <w:spacing w:line="265" w:lineRule="exact"/>
        <w:ind w:left="218" w:right="0"/>
        <w:jc w:val="left"/>
        <w:rPr>
          <w:rFonts w:ascii="Times New Roman" w:hAnsi="Times New Roman" w:cs="Times New Roman" w:eastAsia="Times New Roman" w:hint="default"/>
        </w:rPr>
      </w:pPr>
      <w:r>
        <w:rPr/>
        <w:t>关可能导致信用等级变化的情况进行不定期跟踪评级。根据中诚信证券评估有限公司 </w:t>
      </w:r>
      <w:r>
        <w:rPr>
          <w:rFonts w:ascii="Times New Roman" w:hAnsi="Times New Roman" w:cs="Times New Roman" w:eastAsia="Times New Roman" w:hint="default"/>
        </w:rPr>
        <w:t>2017  </w:t>
      </w:r>
      <w:r>
        <w:rPr/>
        <w:t>年</w:t>
      </w:r>
      <w:r>
        <w:rPr>
          <w:spacing w:val="3"/>
        </w:rPr>
        <w:t> </w:t>
      </w:r>
      <w:r>
        <w:rPr>
          <w:rFonts w:ascii="Times New Roman" w:hAnsi="Times New Roman" w:cs="Times New Roman" w:eastAsia="Times New Roman" w:hint="default"/>
        </w:rPr>
        <w:t>5</w:t>
      </w:r>
    </w:p>
    <w:p>
      <w:pPr>
        <w:pStyle w:val="BodyText"/>
        <w:spacing w:line="272" w:lineRule="exact" w:before="19"/>
        <w:ind w:left="218" w:right="0"/>
        <w:jc w:val="left"/>
      </w:pPr>
      <w:r>
        <w:rPr>
          <w:w w:val="100"/>
        </w:rPr>
        <w:t>月</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日</w:t>
      </w:r>
      <w:r>
        <w:rPr>
          <w:spacing w:val="-3"/>
          <w:w w:val="100"/>
        </w:rPr>
        <w:t>出</w:t>
      </w:r>
      <w:r>
        <w:rPr>
          <w:w w:val="100"/>
        </w:rPr>
        <w:t>具</w:t>
      </w:r>
      <w:r>
        <w:rPr>
          <w:spacing w:val="-3"/>
          <w:w w:val="100"/>
        </w:rPr>
        <w:t>的</w:t>
      </w:r>
      <w:r>
        <w:rPr>
          <w:w w:val="100"/>
        </w:rPr>
        <w:t>评</w:t>
      </w:r>
      <w:r>
        <w:rPr>
          <w:spacing w:val="-3"/>
          <w:w w:val="100"/>
        </w:rPr>
        <w:t>级</w:t>
      </w:r>
      <w:r>
        <w:rPr>
          <w:w w:val="100"/>
        </w:rPr>
        <w:t>报</w:t>
      </w:r>
      <w:r>
        <w:rPr>
          <w:spacing w:val="-3"/>
          <w:w w:val="100"/>
        </w:rPr>
        <w:t>告</w:t>
      </w:r>
      <w:r>
        <w:rPr>
          <w:spacing w:val="-29"/>
          <w:w w:val="100"/>
        </w:rPr>
        <w:t>，</w:t>
      </w:r>
      <w:r>
        <w:rPr>
          <w:w w:val="100"/>
        </w:rPr>
        <w:t>公司</w:t>
      </w:r>
      <w:r>
        <w:rPr>
          <w:spacing w:val="-3"/>
          <w:w w:val="100"/>
        </w:rPr>
        <w:t>最</w:t>
      </w:r>
      <w:r>
        <w:rPr>
          <w:w w:val="100"/>
        </w:rPr>
        <w:t>新</w:t>
      </w:r>
      <w:r>
        <w:rPr>
          <w:spacing w:val="-3"/>
          <w:w w:val="100"/>
        </w:rPr>
        <w:t>主</w:t>
      </w:r>
      <w:r>
        <w:rPr>
          <w:w w:val="100"/>
        </w:rPr>
        <w:t>体</w:t>
      </w:r>
      <w:r>
        <w:rPr>
          <w:spacing w:val="-3"/>
          <w:w w:val="100"/>
        </w:rPr>
        <w:t>信</w:t>
      </w:r>
      <w:r>
        <w:rPr>
          <w:w w:val="100"/>
        </w:rPr>
        <w:t>用</w:t>
      </w:r>
      <w:r>
        <w:rPr>
          <w:spacing w:val="-3"/>
          <w:w w:val="100"/>
        </w:rPr>
        <w:t>评级</w:t>
      </w:r>
      <w:r>
        <w:rPr>
          <w:w w:val="100"/>
        </w:rPr>
        <w:t>为</w:t>
      </w:r>
      <w:r>
        <w:rPr>
          <w:spacing w:val="-55"/>
        </w:rPr>
        <w:t> </w:t>
      </w:r>
      <w:r>
        <w:rPr>
          <w:rFonts w:ascii="Times New Roman" w:hAnsi="Times New Roman" w:cs="Times New Roman" w:eastAsia="Times New Roman" w:hint="default"/>
          <w:spacing w:val="-2"/>
          <w:w w:val="100"/>
        </w:rPr>
        <w:t>A</w:t>
      </w:r>
      <w:r>
        <w:rPr>
          <w:rFonts w:ascii="Times New Roman" w:hAnsi="Times New Roman" w:cs="Times New Roman" w:eastAsia="Times New Roman" w:hint="default"/>
          <w:spacing w:val="-26"/>
          <w:w w:val="100"/>
        </w:rPr>
        <w:t>A</w:t>
      </w:r>
      <w:r>
        <w:rPr>
          <w:spacing w:val="-3"/>
          <w:w w:val="100"/>
        </w:rPr>
        <w:t>（</w:t>
      </w:r>
      <w:r>
        <w:rPr>
          <w:w w:val="100"/>
        </w:rPr>
        <w:t>稳定</w:t>
      </w:r>
      <w:r>
        <w:rPr>
          <w:spacing w:val="-108"/>
          <w:w w:val="100"/>
        </w:rPr>
        <w:t>）</w:t>
      </w:r>
      <w:r>
        <w:rPr>
          <w:spacing w:val="-27"/>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泰</w:t>
      </w:r>
      <w:r>
        <w:rPr>
          <w:w w:val="100"/>
        </w:rPr>
        <w:t>豪</w:t>
      </w:r>
      <w:r>
        <w:rPr>
          <w:spacing w:val="-53"/>
        </w:rPr>
        <w:t> </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rPr>
        <w:t> </w:t>
      </w:r>
      <w:r>
        <w:rPr>
          <w:w w:val="100"/>
        </w:rPr>
        <w:t>和</w:t>
      </w:r>
      <w:r>
        <w:rPr>
          <w:spacing w:val="-54"/>
        </w:rPr>
        <w:t> </w:t>
      </w:r>
      <w:r>
        <w:rPr>
          <w:rFonts w:ascii="Times New Roman" w:hAnsi="Times New Roman" w:cs="Times New Roman" w:eastAsia="Times New Roman" w:hint="default"/>
          <w:w w:val="100"/>
        </w:rPr>
        <w:t>16</w:t>
      </w:r>
      <w:r>
        <w:rPr>
          <w:rFonts w:ascii="Times New Roman" w:hAnsi="Times New Roman" w:cs="Times New Roman" w:eastAsia="Times New Roman" w:hint="default"/>
        </w:rPr>
        <w:t> </w:t>
      </w:r>
      <w:r>
        <w:rPr>
          <w:spacing w:val="-3"/>
          <w:w w:val="100"/>
        </w:rPr>
        <w:t>泰</w:t>
      </w:r>
      <w:r>
        <w:rPr>
          <w:w w:val="100"/>
        </w:rPr>
        <w:t>豪</w:t>
      </w:r>
      <w:r>
        <w:rPr>
          <w:spacing w:val="-53"/>
        </w:rPr>
        <w:t> </w:t>
      </w:r>
      <w:r>
        <w:rPr>
          <w:rFonts w:ascii="Times New Roman" w:hAnsi="Times New Roman" w:cs="Times New Roman" w:eastAsia="Times New Roman" w:hint="default"/>
          <w:w w:val="100"/>
        </w:rPr>
        <w:t>02</w:t>
      </w:r>
      <w:r>
        <w:rPr>
          <w:rFonts w:ascii="Times New Roman" w:hAnsi="Times New Roman" w:cs="Times New Roman" w:eastAsia="Times New Roman" w:hint="default"/>
          <w:spacing w:val="-3"/>
        </w:rPr>
        <w:t> </w:t>
      </w:r>
      <w:r>
        <w:rPr>
          <w:w w:val="100"/>
        </w:rPr>
        <w:t>最</w:t>
      </w:r>
      <w:r>
        <w:rPr>
          <w:spacing w:val="-3"/>
          <w:w w:val="100"/>
        </w:rPr>
        <w:t>新</w:t>
      </w:r>
      <w:r>
        <w:rPr>
          <w:w w:val="100"/>
        </w:rPr>
        <w:t>评</w:t>
      </w:r>
      <w:r>
        <w:rPr>
          <w:w w:val="100"/>
        </w:rPr>
        <w:t> 级</w:t>
      </w:r>
      <w:r>
        <w:rPr>
          <w:spacing w:val="-3"/>
          <w:w w:val="100"/>
        </w:rPr>
        <w:t>均</w:t>
      </w:r>
      <w:r>
        <w:rPr>
          <w:w w:val="100"/>
        </w:rPr>
        <w:t>为</w:t>
      </w:r>
      <w:r>
        <w:rPr>
          <w:spacing w:val="-53"/>
        </w:rPr>
        <w:t> </w:t>
      </w:r>
      <w:r>
        <w:rPr>
          <w:rFonts w:ascii="Times New Roman" w:hAnsi="Times New Roman" w:cs="Times New Roman" w:eastAsia="Times New Roman" w:hint="default"/>
          <w:spacing w:val="-2"/>
          <w:w w:val="100"/>
        </w:rPr>
        <w:t>AA</w:t>
      </w:r>
      <w:r>
        <w:rPr>
          <w:w w:val="100"/>
        </w:rPr>
        <w:t>（</w:t>
      </w:r>
      <w:r>
        <w:rPr>
          <w:spacing w:val="-3"/>
          <w:w w:val="100"/>
        </w:rPr>
        <w:t>稳</w:t>
      </w:r>
      <w:r>
        <w:rPr>
          <w:w w:val="100"/>
        </w:rPr>
        <w:t>定</w:t>
      </w:r>
      <w:r>
        <w:rPr>
          <w:spacing w:val="-106"/>
          <w:w w:val="100"/>
        </w:rPr>
        <w:t>）</w:t>
      </w:r>
      <w:r>
        <w:rPr>
          <w:w w:val="100"/>
        </w:rPr>
        <w:t>。</w:t>
      </w:r>
    </w:p>
    <w:p>
      <w:pPr>
        <w:spacing w:line="240" w:lineRule="auto" w:before="4"/>
        <w:rPr>
          <w:rFonts w:ascii="宋体" w:hAnsi="宋体" w:cs="宋体" w:eastAsia="宋体" w:hint="default"/>
          <w:sz w:val="30"/>
          <w:szCs w:val="30"/>
        </w:rPr>
      </w:pPr>
    </w:p>
    <w:p>
      <w:pPr>
        <w:pStyle w:val="Heading2"/>
        <w:spacing w:line="240" w:lineRule="auto" w:before="0"/>
        <w:ind w:left="218" w:right="0"/>
        <w:jc w:val="left"/>
        <w:rPr>
          <w:b w:val="0"/>
          <w:bCs w:val="0"/>
        </w:rPr>
      </w:pPr>
      <w:r>
        <w:rPr/>
        <w:t>五、报告期内公司债券增信机制、偿债计划及其他相关情况</w:t>
      </w:r>
      <w:r>
        <w:rPr>
          <w:b w:val="0"/>
          <w:bCs w:val="0"/>
        </w:rPr>
      </w:r>
    </w:p>
    <w:p>
      <w:pPr>
        <w:pStyle w:val="BodyText"/>
        <w:tabs>
          <w:tab w:pos="964" w:val="left" w:leader="none"/>
        </w:tabs>
        <w:spacing w:line="230" w:lineRule="auto" w:before="66"/>
        <w:ind w:left="638" w:right="4841"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报告期内公司债券无增信机制。</w:t>
      </w:r>
      <w:r>
        <w:rPr>
          <w:w w:val="100"/>
        </w:rPr>
        <w:t> </w:t>
      </w:r>
      <w:r>
        <w:rPr>
          <w:spacing w:val="-2"/>
        </w:rPr>
        <w:t>报告期内公司债券尚未还本，按期付息。</w:t>
      </w:r>
    </w:p>
    <w:p>
      <w:pPr>
        <w:pStyle w:val="BodyText"/>
        <w:spacing w:line="237" w:lineRule="auto" w:before="3"/>
        <w:ind w:left="218" w:right="208" w:firstLine="419"/>
        <w:jc w:val="both"/>
      </w:pPr>
      <w:r>
        <w:rPr>
          <w:spacing w:val="-7"/>
          <w:w w:val="100"/>
        </w:rPr>
        <w:t>根据募集说明书的约定，公司偿债保障措施包括了制定《债券持有人会议规则》、聘请债券受</w:t>
      </w:r>
      <w:r>
        <w:rPr>
          <w:w w:val="100"/>
        </w:rPr>
        <w:t> </w:t>
      </w:r>
      <w:r>
        <w:rPr>
          <w:spacing w:val="-1"/>
        </w:rPr>
        <w:t>托管理人、严格的信息披露等内容，报告期内公司债券的偿债保障措施的执行情况与募集说明书</w:t>
      </w:r>
      <w:r>
        <w:rPr>
          <w:spacing w:val="-55"/>
        </w:rPr>
        <w:t> </w:t>
      </w:r>
      <w:r>
        <w:rPr>
          <w:spacing w:val="-55"/>
        </w:rPr>
      </w:r>
      <w:r>
        <w:rPr/>
        <w:t>的相关承诺一致，未发生变更。</w:t>
      </w:r>
    </w:p>
    <w:p>
      <w:pPr>
        <w:spacing w:line="240" w:lineRule="auto" w:before="11"/>
        <w:rPr>
          <w:rFonts w:ascii="宋体" w:hAnsi="宋体" w:cs="宋体" w:eastAsia="宋体" w:hint="default"/>
          <w:sz w:val="22"/>
          <w:szCs w:val="22"/>
        </w:rPr>
      </w:pPr>
    </w:p>
    <w:p>
      <w:pPr>
        <w:pStyle w:val="Heading2"/>
        <w:spacing w:line="240" w:lineRule="auto" w:before="0"/>
        <w:ind w:left="218" w:right="0"/>
        <w:jc w:val="left"/>
        <w:rPr>
          <w:b w:val="0"/>
          <w:bCs w:val="0"/>
        </w:rPr>
      </w:pPr>
      <w:r>
        <w:rPr/>
        <w:t>六、公司债券持有人会议召开情况</w:t>
      </w:r>
      <w:r>
        <w:rPr>
          <w:b w:val="0"/>
          <w:bCs w:val="0"/>
        </w:rPr>
      </w:r>
    </w:p>
    <w:p>
      <w:pPr>
        <w:pStyle w:val="BodyText"/>
        <w:tabs>
          <w:tab w:pos="976" w:val="left" w:leader="none"/>
        </w:tabs>
        <w:spacing w:line="240" w:lineRule="auto" w:before="56"/>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2"/>
        <w:spacing w:line="240" w:lineRule="auto" w:before="0"/>
        <w:ind w:left="218" w:right="0"/>
        <w:jc w:val="left"/>
        <w:rPr>
          <w:b w:val="0"/>
          <w:bCs w:val="0"/>
        </w:rPr>
      </w:pPr>
      <w:r>
        <w:rPr/>
        <w:t>七、公司债券受托管理人履职情况</w:t>
      </w:r>
      <w:r>
        <w:rPr>
          <w:b w:val="0"/>
          <w:bCs w:val="0"/>
        </w:rPr>
      </w:r>
    </w:p>
    <w:p>
      <w:pPr>
        <w:pStyle w:val="BodyText"/>
        <w:tabs>
          <w:tab w:pos="964" w:val="left" w:leader="none"/>
        </w:tabs>
        <w:spacing w:line="281" w:lineRule="exact" w:before="58"/>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35" w:lineRule="auto"/>
        <w:ind w:left="218" w:right="208" w:firstLine="419"/>
        <w:jc w:val="both"/>
      </w:pPr>
      <w:r>
        <w:rPr>
          <w:w w:val="100"/>
        </w:rPr>
        <w:t>“</w:t>
      </w:r>
      <w:r>
        <w:rPr>
          <w:rFonts w:ascii="Times New Roman" w:hAnsi="Times New Roman" w:cs="Times New Roman" w:eastAsia="Times New Roman" w:hint="default"/>
          <w:w w:val="100"/>
        </w:rPr>
        <w:t>16 </w:t>
      </w:r>
      <w:r>
        <w:rPr>
          <w:spacing w:val="-2"/>
          <w:w w:val="100"/>
        </w:rPr>
        <w:t>泰豪</w:t>
      </w:r>
      <w:r>
        <w:rPr>
          <w:w w:val="100"/>
        </w:rPr>
        <w:t> </w:t>
      </w:r>
      <w:r>
        <w:rPr>
          <w:rFonts w:ascii="Times New Roman" w:hAnsi="Times New Roman" w:cs="Times New Roman" w:eastAsia="Times New Roman" w:hint="default"/>
          <w:spacing w:val="-31"/>
          <w:w w:val="100"/>
        </w:rPr>
        <w:t>01</w:t>
      </w:r>
      <w:r>
        <w:rPr>
          <w:spacing w:val="-31"/>
          <w:w w:val="100"/>
        </w:rPr>
        <w:t>”、“</w:t>
      </w:r>
      <w:r>
        <w:rPr>
          <w:rFonts w:ascii="Times New Roman" w:hAnsi="Times New Roman" w:cs="Times New Roman" w:eastAsia="Times New Roman" w:hint="default"/>
          <w:spacing w:val="-31"/>
          <w:w w:val="100"/>
        </w:rPr>
        <w:t>16</w:t>
      </w:r>
      <w:r>
        <w:rPr>
          <w:rFonts w:ascii="Times New Roman" w:hAnsi="Times New Roman" w:cs="Times New Roman" w:eastAsia="Times New Roman" w:hint="default"/>
          <w:w w:val="100"/>
        </w:rPr>
        <w:t> </w:t>
      </w:r>
      <w:r>
        <w:rPr>
          <w:w w:val="100"/>
        </w:rPr>
        <w:t>泰豪</w:t>
      </w:r>
      <w:r>
        <w:rPr>
          <w:spacing w:val="-83"/>
          <w:w w:val="100"/>
        </w:rPr>
        <w:t> </w:t>
      </w:r>
      <w:r>
        <w:rPr>
          <w:rFonts w:ascii="Times New Roman" w:hAnsi="Times New Roman" w:cs="Times New Roman" w:eastAsia="Times New Roman" w:hint="default"/>
          <w:spacing w:val="-2"/>
          <w:w w:val="100"/>
        </w:rPr>
        <w:t>02</w:t>
      </w:r>
      <w:r>
        <w:rPr>
          <w:spacing w:val="-2"/>
          <w:w w:val="100"/>
        </w:rPr>
        <w:t>”公司债受托管理人为西部证券股份有限公司（以下简称“西部</w:t>
      </w:r>
      <w:r>
        <w:rPr>
          <w:spacing w:val="-3"/>
          <w:w w:val="100"/>
        </w:rPr>
        <w:t> </w:t>
      </w:r>
      <w:r>
        <w:rPr>
          <w:spacing w:val="-6"/>
          <w:w w:val="100"/>
        </w:rPr>
        <w:t>证券”），报告期内，西部证券严格按照《公司债券发行与交易管理办法》及《公司债券受托管理</w:t>
      </w:r>
      <w:r>
        <w:rPr>
          <w:spacing w:val="-103"/>
          <w:w w:val="100"/>
        </w:rPr>
        <w:t> </w:t>
      </w:r>
      <w:r>
        <w:rPr>
          <w:spacing w:val="-103"/>
          <w:w w:val="100"/>
        </w:rPr>
      </w:r>
      <w:r>
        <w:rPr>
          <w:spacing w:val="-1"/>
        </w:rPr>
        <w:t>人执业行为准则》等法律法规的要求以及《债券受托管理协议》约定履行债券受托管理人职责。</w:t>
      </w:r>
      <w:r>
        <w:rPr>
          <w:spacing w:val="-55"/>
        </w:rPr>
        <w:t> </w:t>
      </w:r>
      <w:r>
        <w:rPr>
          <w:spacing w:val="-55"/>
        </w:rPr>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日，西部证券出具了《西部证券股份有限公司关于泰豪科技股份有限公司公开发</w:t>
      </w:r>
    </w:p>
    <w:p>
      <w:pPr>
        <w:pStyle w:val="BodyText"/>
        <w:spacing w:line="272" w:lineRule="exact"/>
        <w:ind w:left="218" w:right="0"/>
        <w:jc w:val="left"/>
      </w:pPr>
      <w:r>
        <w:rPr>
          <w:w w:val="100"/>
        </w:rPr>
        <w:t>行</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年</w:t>
      </w:r>
      <w:r>
        <w:rPr>
          <w:w w:val="100"/>
        </w:rPr>
        <w:t>公</w:t>
      </w:r>
      <w:r>
        <w:rPr>
          <w:spacing w:val="-3"/>
          <w:w w:val="100"/>
        </w:rPr>
        <w:t>司</w:t>
      </w:r>
      <w:r>
        <w:rPr>
          <w:w w:val="100"/>
        </w:rPr>
        <w:t>债券</w:t>
      </w:r>
      <w:r>
        <w:rPr>
          <w:spacing w:val="-55"/>
        </w:rPr>
        <w:t>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2"/>
        </w:rPr>
        <w:t> </w:t>
      </w:r>
      <w:r>
        <w:rPr>
          <w:w w:val="100"/>
        </w:rPr>
        <w:t>年临</w:t>
      </w:r>
      <w:r>
        <w:rPr>
          <w:spacing w:val="-3"/>
          <w:w w:val="100"/>
        </w:rPr>
        <w:t>时</w:t>
      </w:r>
      <w:r>
        <w:rPr>
          <w:w w:val="100"/>
        </w:rPr>
        <w:t>受</w:t>
      </w:r>
      <w:r>
        <w:rPr>
          <w:spacing w:val="-3"/>
          <w:w w:val="100"/>
        </w:rPr>
        <w:t>托</w:t>
      </w:r>
      <w:r>
        <w:rPr>
          <w:w w:val="100"/>
        </w:rPr>
        <w:t>管</w:t>
      </w:r>
      <w:r>
        <w:rPr>
          <w:spacing w:val="-3"/>
          <w:w w:val="100"/>
        </w:rPr>
        <w:t>理</w:t>
      </w:r>
      <w:r>
        <w:rPr>
          <w:w w:val="100"/>
        </w:rPr>
        <w:t>事</w:t>
      </w:r>
      <w:r>
        <w:rPr>
          <w:spacing w:val="-3"/>
          <w:w w:val="100"/>
        </w:rPr>
        <w:t>务</w:t>
      </w:r>
      <w:r>
        <w:rPr>
          <w:w w:val="100"/>
        </w:rPr>
        <w:t>报</w:t>
      </w:r>
      <w:r>
        <w:rPr>
          <w:spacing w:val="-3"/>
          <w:w w:val="100"/>
        </w:rPr>
        <w:t>告</w:t>
      </w:r>
      <w:r>
        <w:rPr>
          <w:spacing w:val="-108"/>
          <w:w w:val="100"/>
        </w:rPr>
        <w:t>》</w:t>
      </w:r>
      <w:r>
        <w:rPr>
          <w:w w:val="100"/>
        </w:rPr>
        <w:t>。</w:t>
      </w:r>
    </w:p>
    <w:p>
      <w:pPr>
        <w:spacing w:after="0" w:line="272" w:lineRule="exact"/>
        <w:jc w:val="left"/>
        <w:sectPr>
          <w:pgSz w:w="11910" w:h="16840"/>
          <w:pgMar w:header="877" w:footer="1195" w:top="110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640" w:right="940"/>
        </w:sectPr>
      </w:pPr>
    </w:p>
    <w:p>
      <w:pPr>
        <w:pStyle w:val="Heading2"/>
        <w:spacing w:line="240" w:lineRule="auto"/>
        <w:ind w:left="158"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4"/>
        <w:ind w:left="158"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058" w:val="left" w:leader="none"/>
        </w:tabs>
        <w:spacing w:line="240" w:lineRule="auto"/>
        <w:ind w:left="15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40" w:right="940"/>
          <w:cols w:num="2" w:equalWidth="0">
            <w:col w:w="5022" w:space="1805"/>
            <w:col w:w="2503"/>
          </w:cols>
        </w:sectPr>
      </w:pPr>
    </w:p>
    <w:tbl>
      <w:tblPr>
        <w:tblW w:w="0" w:type="auto"/>
        <w:jc w:val="left"/>
        <w:tblInd w:w="124" w:type="dxa"/>
        <w:tblLayout w:type="fixed"/>
        <w:tblCellMar>
          <w:top w:w="0" w:type="dxa"/>
          <w:left w:w="0" w:type="dxa"/>
          <w:bottom w:w="0" w:type="dxa"/>
          <w:right w:w="0" w:type="dxa"/>
        </w:tblCellMar>
        <w:tblLook w:val="01E0"/>
      </w:tblPr>
      <w:tblGrid>
        <w:gridCol w:w="1946"/>
        <w:gridCol w:w="1371"/>
        <w:gridCol w:w="1368"/>
        <w:gridCol w:w="2114"/>
        <w:gridCol w:w="2269"/>
      </w:tblGrid>
      <w:tr>
        <w:trPr>
          <w:trHeight w:val="55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9"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0"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513,033,939.39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336,746,197.84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52.35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公司业务规模扩大</w:t>
            </w:r>
          </w:p>
        </w:tc>
      </w:tr>
      <w:tr>
        <w:trPr>
          <w:trHeight w:val="28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1.65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-17.58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资产流动性减弱</w:t>
            </w:r>
          </w:p>
        </w:tc>
      </w:tr>
      <w:tr>
        <w:trPr>
          <w:trHeight w:val="28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1.39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-15.83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资产流动性减弱</w:t>
            </w:r>
          </w:p>
        </w:tc>
      </w:tr>
      <w:tr>
        <w:trPr>
          <w:trHeight w:val="28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63.09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54.24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36"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8.85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银行贷款增加</w:t>
            </w:r>
          </w:p>
        </w:tc>
      </w:tr>
      <w:tr>
        <w:trPr>
          <w:trHeight w:val="28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0.07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84.91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公司业务规模扩大</w:t>
            </w:r>
          </w:p>
        </w:tc>
      </w:tr>
      <w:tr>
        <w:trPr>
          <w:trHeight w:val="284"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z w:val="21"/>
              </w:rPr>
              <w:t>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z w:val="21"/>
              </w:rPr>
              <w:t>3.23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z w:val="21"/>
              </w:rPr>
              <w:t>17.65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公司短期偿债能力增加</w:t>
            </w:r>
          </w:p>
        </w:tc>
      </w:tr>
      <w:tr>
        <w:trPr>
          <w:trHeight w:val="28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4.95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-137.78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经营现金净流入减少</w:t>
            </w:r>
          </w:p>
        </w:tc>
      </w:tr>
      <w:tr>
        <w:trPr>
          <w:trHeight w:val="557"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利息保障倍</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4.49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5.12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公司短期偿债能力增加</w:t>
            </w:r>
          </w:p>
        </w:tc>
      </w:tr>
      <w:tr>
        <w:trPr>
          <w:trHeight w:val="281"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28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无变化</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spacing w:line="240" w:lineRule="auto"/>
        <w:ind w:left="158" w:right="0"/>
        <w:jc w:val="left"/>
        <w:rPr>
          <w:b w:val="0"/>
          <w:bCs w:val="0"/>
        </w:rPr>
      </w:pPr>
      <w:r>
        <w:rPr/>
        <w:t>九、公司其他债券和债务融资工具的付息兑付情况</w:t>
      </w:r>
      <w:r>
        <w:rPr>
          <w:b w:val="0"/>
          <w:bCs w:val="0"/>
        </w:rPr>
      </w:r>
    </w:p>
    <w:p>
      <w:pPr>
        <w:pStyle w:val="BodyText"/>
        <w:tabs>
          <w:tab w:pos="904" w:val="left" w:leader="none"/>
        </w:tabs>
        <w:spacing w:line="281" w:lineRule="exact" w:before="58"/>
        <w:ind w:left="15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before="18"/>
        <w:ind w:left="158" w:right="0" w:firstLine="419"/>
        <w:jc w:val="left"/>
      </w:pPr>
      <w:r>
        <w:rPr>
          <w:w w:val="100"/>
        </w:rPr>
        <w:t>具体</w:t>
      </w:r>
      <w:r>
        <w:rPr>
          <w:spacing w:val="-3"/>
          <w:w w:val="100"/>
        </w:rPr>
        <w:t>情</w:t>
      </w:r>
      <w:r>
        <w:rPr>
          <w:w w:val="100"/>
        </w:rPr>
        <w:t>况</w:t>
      </w:r>
      <w:r>
        <w:rPr>
          <w:spacing w:val="-3"/>
          <w:w w:val="100"/>
        </w:rPr>
        <w:t>详</w:t>
      </w:r>
      <w:r>
        <w:rPr>
          <w:w w:val="100"/>
        </w:rPr>
        <w:t>见</w:t>
      </w:r>
      <w:r>
        <w:rPr>
          <w:spacing w:val="-3"/>
          <w:w w:val="100"/>
        </w:rPr>
        <w:t>公司</w:t>
      </w:r>
      <w:r>
        <w:rPr>
          <w:w w:val="100"/>
        </w:rPr>
        <w:t>于</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14</w:t>
      </w:r>
      <w:r>
        <w:rPr>
          <w:rFonts w:ascii="Times New Roman" w:hAnsi="Times New Roman" w:cs="Times New Roman" w:eastAsia="Times New Roman" w:hint="default"/>
          <w:spacing w:val="-3"/>
        </w:rPr>
        <w:t> </w:t>
      </w:r>
      <w:r>
        <w:rPr>
          <w:w w:val="100"/>
        </w:rPr>
        <w:t>日</w:t>
      </w:r>
      <w:r>
        <w:rPr>
          <w:spacing w:val="-3"/>
          <w:w w:val="100"/>
        </w:rPr>
        <w:t>发</w:t>
      </w:r>
      <w:r>
        <w:rPr>
          <w:w w:val="100"/>
        </w:rPr>
        <w:t>布</w:t>
      </w:r>
      <w:r>
        <w:rPr>
          <w:spacing w:val="-94"/>
          <w:w w:val="100"/>
        </w:rPr>
        <w:t>的</w:t>
      </w:r>
      <w:r>
        <w:rPr>
          <w:spacing w:val="-3"/>
          <w:w w:val="100"/>
        </w:rPr>
        <w:t>《公</w:t>
      </w: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年</w:t>
      </w:r>
      <w:r>
        <w:rPr>
          <w:w w:val="100"/>
        </w:rPr>
        <w:t>度</w:t>
      </w:r>
      <w:r>
        <w:rPr>
          <w:spacing w:val="-3"/>
          <w:w w:val="100"/>
        </w:rPr>
        <w:t>第</w:t>
      </w:r>
      <w:r>
        <w:rPr>
          <w:w w:val="100"/>
        </w:rPr>
        <w:t>一</w:t>
      </w:r>
      <w:r>
        <w:rPr>
          <w:spacing w:val="-3"/>
          <w:w w:val="100"/>
        </w:rPr>
        <w:t>期</w:t>
      </w:r>
      <w:r>
        <w:rPr>
          <w:w w:val="100"/>
        </w:rPr>
        <w:t>中</w:t>
      </w:r>
      <w:r>
        <w:rPr>
          <w:spacing w:val="-3"/>
          <w:w w:val="100"/>
        </w:rPr>
        <w:t>期票</w:t>
      </w:r>
      <w:r>
        <w:rPr>
          <w:w w:val="100"/>
        </w:rPr>
        <w:t>据</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年</w:t>
      </w:r>
      <w:r>
        <w:rPr>
          <w:w w:val="100"/>
        </w:rPr>
        <w:t>付息</w:t>
      </w:r>
      <w:r>
        <w:rPr>
          <w:w w:val="100"/>
        </w:rPr>
        <w:t> 公</w:t>
      </w:r>
      <w:r>
        <w:rPr>
          <w:spacing w:val="-1"/>
          <w:w w:val="100"/>
        </w:rPr>
        <w:t>告</w:t>
      </w:r>
      <w:r>
        <w:rPr>
          <w:spacing w:val="-108"/>
          <w:w w:val="100"/>
        </w:rPr>
        <w:t>》</w:t>
      </w:r>
      <w:r>
        <w:rPr>
          <w:w w:val="100"/>
        </w:rPr>
        <w:t>（</w:t>
      </w:r>
      <w:r>
        <w:rPr>
          <w:spacing w:val="-3"/>
          <w:w w:val="100"/>
        </w:rPr>
        <w:t>公</w:t>
      </w:r>
      <w:r>
        <w:rPr>
          <w:w w:val="100"/>
        </w:rPr>
        <w:t>告</w:t>
      </w:r>
      <w:r>
        <w:rPr>
          <w:spacing w:val="-3"/>
          <w:w w:val="100"/>
        </w:rPr>
        <w:t>编</w:t>
      </w:r>
      <w:r>
        <w:rPr>
          <w:w w:val="100"/>
        </w:rPr>
        <w:t>号</w:t>
      </w:r>
      <w:r>
        <w:rPr>
          <w:spacing w:val="-3"/>
          <w:w w:val="100"/>
        </w:rPr>
        <w:t>：</w:t>
      </w:r>
      <w:r>
        <w:rPr>
          <w:w w:val="100"/>
        </w:rPr>
        <w:t>临</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01</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093</w:t>
      </w:r>
      <w:r>
        <w:rPr>
          <w:spacing w:val="-106"/>
          <w:w w:val="100"/>
        </w:rPr>
        <w:t>）。</w:t>
      </w:r>
      <w:r>
        <w:rPr>
          <w:w w:val="100"/>
        </w:rPr>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640" w:right="940"/>
        </w:sectPr>
      </w:pPr>
    </w:p>
    <w:p>
      <w:pPr>
        <w:pStyle w:val="Heading2"/>
        <w:spacing w:line="240" w:lineRule="auto"/>
        <w:ind w:left="158" w:right="-4"/>
        <w:jc w:val="left"/>
        <w:rPr>
          <w:b w:val="0"/>
          <w:bCs w:val="0"/>
        </w:rPr>
      </w:pPr>
      <w:r>
        <w:rPr>
          <w:spacing w:val="-1"/>
        </w:rPr>
        <w:t>十、公司报告期内的银行授信情况</w:t>
      </w:r>
      <w:r>
        <w:rPr>
          <w:b w:val="0"/>
          <w:bCs w:val="0"/>
          <w:spacing w:val="-1"/>
        </w:rPr>
      </w:r>
    </w:p>
    <w:p>
      <w:pPr>
        <w:pStyle w:val="BodyText"/>
        <w:tabs>
          <w:tab w:pos="904" w:val="left" w:leader="none"/>
        </w:tabs>
        <w:spacing w:line="240" w:lineRule="auto" w:before="56"/>
        <w:ind w:left="158" w:right="-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21" w:val="left" w:leader="none"/>
        </w:tabs>
        <w:spacing w:line="240" w:lineRule="auto"/>
        <w:ind w:left="15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640" w:right="940"/>
          <w:cols w:num="2" w:equalWidth="0">
            <w:col w:w="3322" w:space="2945"/>
            <w:col w:w="3063"/>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627"/>
        <w:gridCol w:w="2996"/>
        <w:gridCol w:w="901"/>
        <w:gridCol w:w="1322"/>
      </w:tblGrid>
      <w:tr>
        <w:trPr>
          <w:trHeight w:val="384"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b/>
                <w:bCs/>
                <w:sz w:val="21"/>
                <w:szCs w:val="21"/>
              </w:rPr>
              <w:t>授信主体</w:t>
            </w:r>
            <w:r>
              <w:rPr>
                <w:rFonts w:ascii="宋体" w:hAnsi="宋体" w:cs="宋体" w:eastAsia="宋体" w:hint="default"/>
                <w:sz w:val="21"/>
                <w:szCs w:val="21"/>
              </w:rPr>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b/>
                <w:bCs/>
                <w:sz w:val="21"/>
                <w:szCs w:val="21"/>
              </w:rPr>
              <w:t>授信银行</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b/>
                <w:bCs/>
                <w:sz w:val="21"/>
                <w:szCs w:val="21"/>
              </w:rPr>
              <w:t>授信总额</w:t>
            </w:r>
            <w:r>
              <w:rPr>
                <w:rFonts w:ascii="宋体" w:hAnsi="宋体" w:cs="宋体" w:eastAsia="宋体" w:hint="default"/>
                <w:sz w:val="21"/>
                <w:szCs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b/>
                <w:bCs/>
                <w:sz w:val="21"/>
                <w:szCs w:val="21"/>
              </w:rPr>
              <w:t>已使用授信额</w:t>
            </w:r>
            <w:r>
              <w:rPr>
                <w:rFonts w:ascii="宋体" w:hAnsi="宋体" w:cs="宋体" w:eastAsia="宋体" w:hint="default"/>
                <w:sz w:val="21"/>
                <w:szCs w:val="21"/>
              </w:rPr>
            </w:r>
          </w:p>
        </w:tc>
      </w:tr>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中国银行南昌南湖支行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3"/>
              <w:jc w:val="center"/>
              <w:rPr>
                <w:rFonts w:ascii="Times New Roman" w:hAnsi="Times New Roman" w:cs="Times New Roman" w:eastAsia="Times New Roman" w:hint="default"/>
                <w:sz w:val="21"/>
                <w:szCs w:val="21"/>
              </w:rPr>
            </w:pPr>
            <w:r>
              <w:rPr>
                <w:rFonts w:ascii="Times New Roman"/>
                <w:sz w:val="21"/>
              </w:rPr>
              <w:t>29,401</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中国工商银行南昌北京西路支行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1"/>
                <w:szCs w:val="21"/>
              </w:rPr>
            </w:pPr>
            <w:r>
              <w:rPr>
                <w:rFonts w:ascii="Times New Roman"/>
                <w:sz w:val="21"/>
              </w:rPr>
              <w:t>50,000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Times New Roman" w:hAnsi="Times New Roman" w:cs="Times New Roman" w:eastAsia="Times New Roman" w:hint="default"/>
                <w:sz w:val="21"/>
                <w:szCs w:val="21"/>
              </w:rPr>
            </w:pPr>
            <w:r>
              <w:rPr>
                <w:rFonts w:ascii="Times New Roman"/>
                <w:sz w:val="21"/>
              </w:rPr>
              <w:t>24,358</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招商银行南昌福州路支行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9,000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中信银行南昌分行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15,800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 w:right="0"/>
              <w:jc w:val="left"/>
              <w:rPr>
                <w:rFonts w:ascii="宋体" w:hAnsi="宋体" w:cs="宋体" w:eastAsia="宋体" w:hint="default"/>
                <w:sz w:val="21"/>
                <w:szCs w:val="21"/>
              </w:rPr>
            </w:pPr>
            <w:r>
              <w:rPr>
                <w:rFonts w:ascii="宋体" w:hAnsi="宋体" w:cs="宋体" w:eastAsia="宋体" w:hint="default"/>
                <w:sz w:val="21"/>
                <w:szCs w:val="21"/>
              </w:rPr>
              <w:t>兴业银行南昌经开区支行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21"/>
                <w:szCs w:val="21"/>
              </w:rPr>
            </w:pPr>
            <w:r>
              <w:rPr>
                <w:rFonts w:ascii="Times New Roman"/>
                <w:sz w:val="21"/>
              </w:rPr>
              <w:t>15,000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Times New Roman" w:hAnsi="Times New Roman" w:cs="Times New Roman" w:eastAsia="Times New Roman" w:hint="default"/>
                <w:sz w:val="21"/>
                <w:szCs w:val="21"/>
              </w:rPr>
            </w:pPr>
            <w:r>
              <w:rPr>
                <w:rFonts w:ascii="Times New Roman"/>
                <w:sz w:val="21"/>
              </w:rPr>
              <w:t>8,781</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中国建设银行南昌铁路支行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1,423</w:t>
            </w:r>
          </w:p>
        </w:tc>
      </w:tr>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上海浦发银行南昌长天支行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30,000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24,381</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上海农村商业银行张江科技支行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1"/>
                <w:szCs w:val="21"/>
              </w:rPr>
            </w:pPr>
            <w:r>
              <w:rPr>
                <w:rFonts w:ascii="Times New Roman"/>
                <w:sz w:val="21"/>
              </w:rPr>
              <w:t>30,000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24,752</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中国进出口银行江西分行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10,000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民生银行北京东路支行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5,000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南洋商业银行（中国）有限公司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5,000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广发银行上海长宁支行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5,000</w:t>
            </w:r>
          </w:p>
        </w:tc>
      </w:tr>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九江银行南昌分行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20,000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16,542</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东亚银行南昌分行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4,726</w:t>
            </w:r>
          </w:p>
        </w:tc>
      </w:tr>
      <w:tr>
        <w:trPr>
          <w:trHeight w:val="370" w:hRule="exact"/>
        </w:trPr>
        <w:tc>
          <w:tcPr>
            <w:tcW w:w="36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宁波银行上海分行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5,000</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20" w:bottom="1380" w:left="164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3627"/>
        <w:gridCol w:w="2996"/>
        <w:gridCol w:w="901"/>
        <w:gridCol w:w="1322"/>
      </w:tblGrid>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1" w:right="0"/>
              <w:jc w:val="left"/>
              <w:rPr>
                <w:rFonts w:ascii="宋体" w:hAnsi="宋体" w:cs="宋体" w:eastAsia="宋体" w:hint="default"/>
                <w:sz w:val="21"/>
                <w:szCs w:val="21"/>
              </w:rPr>
            </w:pPr>
            <w:r>
              <w:rPr>
                <w:rFonts w:ascii="宋体" w:hAnsi="宋体" w:cs="宋体" w:eastAsia="宋体" w:hint="default"/>
                <w:sz w:val="21"/>
                <w:szCs w:val="21"/>
              </w:rPr>
              <w:t>中国光大银行南昌分行</w:t>
            </w:r>
          </w:p>
        </w:tc>
        <w:tc>
          <w:tcPr>
            <w:tcW w:w="9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52"/>
              <w:jc w:val="right"/>
              <w:rPr>
                <w:rFonts w:ascii="Times New Roman" w:hAnsi="Times New Roman" w:cs="Times New Roman" w:eastAsia="Times New Roman" w:hint="default"/>
                <w:sz w:val="21"/>
                <w:szCs w:val="21"/>
              </w:rPr>
            </w:pPr>
            <w:r>
              <w:rPr>
                <w:rFonts w:ascii="Times New Roman"/>
                <w:sz w:val="21"/>
              </w:rPr>
              <w:t>10,000</w:t>
            </w:r>
          </w:p>
        </w:tc>
        <w:tc>
          <w:tcPr>
            <w:tcW w:w="1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21"/>
                <w:szCs w:val="21"/>
              </w:rPr>
            </w:pPr>
            <w:r>
              <w:rPr>
                <w:rFonts w:ascii="Times New Roman"/>
                <w:sz w:val="21"/>
              </w:rPr>
              <w:t>4,000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浙商银行上海分行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5,000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中国工商银行南昌北京西路支行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3,825</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中国银行南昌南湖支行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7,000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16</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中信银行南昌分行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2,000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1,803</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中国银行南昌南湖支行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4,243</w:t>
            </w:r>
          </w:p>
        </w:tc>
      </w:tr>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中国工商银行南昌北京西路支行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2"/>
              <w:jc w:val="right"/>
              <w:rPr>
                <w:rFonts w:ascii="Times New Roman" w:hAnsi="Times New Roman" w:cs="Times New Roman" w:eastAsia="Times New Roman" w:hint="default"/>
                <w:sz w:val="21"/>
                <w:szCs w:val="21"/>
              </w:rPr>
            </w:pPr>
            <w:r>
              <w:rPr>
                <w:rFonts w:ascii="Times New Roman"/>
                <w:sz w:val="21"/>
              </w:rPr>
              <w:t>20,000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9,472</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招商银行南昌福州路支行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中信银行南昌分行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2,213</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兴业银行南昌经开区支行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8" w:right="0"/>
              <w:jc w:val="left"/>
              <w:rPr>
                <w:rFonts w:ascii="Times New Roman" w:hAnsi="Times New Roman" w:cs="Times New Roman" w:eastAsia="Times New Roman" w:hint="default"/>
                <w:sz w:val="21"/>
                <w:szCs w:val="21"/>
              </w:rPr>
            </w:pPr>
            <w:r>
              <w:rPr>
                <w:rFonts w:ascii="Times New Roman"/>
                <w:sz w:val="21"/>
              </w:rPr>
              <w:t>8,000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Times New Roman" w:hAnsi="Times New Roman" w:cs="Times New Roman" w:eastAsia="Times New Roman" w:hint="default"/>
                <w:sz w:val="21"/>
                <w:szCs w:val="21"/>
              </w:rPr>
            </w:pPr>
            <w:r>
              <w:rPr>
                <w:rFonts w:ascii="Times New Roman"/>
                <w:sz w:val="21"/>
              </w:rPr>
              <w:t>1,800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中国建设银行南昌铁路支行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4,000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153</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上海浦发银行南昌长天支行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2"/>
              <w:jc w:val="right"/>
              <w:rPr>
                <w:rFonts w:ascii="Times New Roman" w:hAnsi="Times New Roman" w:cs="Times New Roman" w:eastAsia="Times New Roman" w:hint="default"/>
                <w:sz w:val="21"/>
                <w:szCs w:val="21"/>
              </w:rPr>
            </w:pPr>
            <w:r>
              <w:rPr>
                <w:rFonts w:ascii="Times New Roman"/>
                <w:sz w:val="21"/>
              </w:rPr>
              <w:t>15,000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14,366</w:t>
            </w:r>
          </w:p>
        </w:tc>
      </w:tr>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浦发银行深圳福永支行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1,395</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中国银行深圳坂田支行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21"/>
                <w:szCs w:val="21"/>
              </w:rPr>
            </w:pPr>
            <w:r>
              <w:rPr>
                <w:rFonts w:ascii="Times New Roman"/>
                <w:sz w:val="21"/>
              </w:rPr>
              <w:t>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3,986</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平安银行深圳鹭湖支行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2,102</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莱福士电力电子设备（深圳）有限公司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浦发银行深圳福永支行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1,000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583</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莱福士电力电子设备（深圳）有限公司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中国银行深圳坂田支行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2,000</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贵州泰豪电力科技有限公司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建设银行贵阳花溪支行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1,000</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中国银行龙岩分行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4,593</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海峡银行龙岩新罗支行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4,994</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民生银行龙岩分行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2,000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2,000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兴业银行龙岩分行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6,000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杭州银行上海分行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6,000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浦发银行临空支行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8,000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5,000</w:t>
            </w:r>
          </w:p>
        </w:tc>
      </w:tr>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上海农村商业银行张江科技支行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3,000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3,000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中信银行南昌分行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21"/>
                <w:szCs w:val="21"/>
              </w:rPr>
            </w:pPr>
            <w:r>
              <w:rPr>
                <w:rFonts w:ascii="Times New Roman"/>
                <w:sz w:val="21"/>
              </w:rPr>
              <w:t>8,000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153</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中国工商银行南昌北京西路支行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8" w:right="0"/>
              <w:jc w:val="left"/>
              <w:rPr>
                <w:rFonts w:ascii="Times New Roman" w:hAnsi="Times New Roman" w:cs="Times New Roman" w:eastAsia="Times New Roman" w:hint="default"/>
                <w:sz w:val="21"/>
                <w:szCs w:val="21"/>
              </w:rPr>
            </w:pPr>
            <w:r>
              <w:rPr>
                <w:rFonts w:ascii="Times New Roman"/>
                <w:sz w:val="21"/>
              </w:rPr>
              <w:t>8,000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Times New Roman" w:hAnsi="Times New Roman" w:cs="Times New Roman" w:eastAsia="Times New Roman" w:hint="default"/>
                <w:sz w:val="21"/>
                <w:szCs w:val="21"/>
              </w:rPr>
            </w:pPr>
            <w:r>
              <w:rPr>
                <w:rFonts w:ascii="Times New Roman"/>
                <w:sz w:val="21"/>
              </w:rPr>
              <w:t>4,000</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中信银行南昌分行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6,000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4,548</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上海浦发银行南昌长天支行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1,573</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兴业银行南昌经开区支行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3,000</w:t>
            </w:r>
          </w:p>
        </w:tc>
      </w:tr>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中国建设银行南昌铁路支行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4,000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3,925</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光大银行衡阳分行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21"/>
                <w:szCs w:val="21"/>
              </w:rPr>
            </w:pPr>
            <w:r>
              <w:rPr>
                <w:rFonts w:ascii="Times New Roman"/>
                <w:sz w:val="21"/>
              </w:rPr>
              <w:t>3,000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474</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工商银行衡阳城中支行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21"/>
                <w:szCs w:val="21"/>
              </w:rPr>
            </w:pPr>
            <w:r>
              <w:rPr>
                <w:rFonts w:ascii="宋体" w:hAnsi="宋体" w:cs="宋体" w:eastAsia="宋体" w:hint="default"/>
                <w:sz w:val="21"/>
                <w:szCs w:val="21"/>
              </w:rPr>
              <w:t>中国银行解西支行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909</w:t>
            </w: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21"/>
                <w:szCs w:val="21"/>
              </w:rPr>
            </w:pPr>
            <w:r>
              <w:rPr>
                <w:rFonts w:ascii="宋体" w:hAnsi="宋体" w:cs="宋体" w:eastAsia="宋体" w:hint="default"/>
                <w:sz w:val="21"/>
                <w:szCs w:val="21"/>
              </w:rPr>
              <w:t>招商银行衡阳支行</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8" w:right="0"/>
              <w:jc w:val="left"/>
              <w:rPr>
                <w:rFonts w:ascii="Times New Roman" w:hAnsi="Times New Roman" w:cs="Times New Roman" w:eastAsia="Times New Roman" w:hint="default"/>
                <w:sz w:val="21"/>
                <w:szCs w:val="21"/>
              </w:rPr>
            </w:pPr>
            <w:r>
              <w:rPr>
                <w:rFonts w:ascii="Times New Roman"/>
                <w:sz w:val="21"/>
              </w:rPr>
              <w:t>6,000</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21"/>
                <w:szCs w:val="21"/>
              </w:rPr>
            </w:pPr>
            <w:r>
              <w:rPr>
                <w:rFonts w:ascii="宋体" w:hAnsi="宋体" w:cs="宋体" w:eastAsia="宋体" w:hint="default"/>
                <w:sz w:val="21"/>
                <w:szCs w:val="21"/>
              </w:rPr>
              <w:t>泰豪科技（亚洲）有限公司</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 w:right="0"/>
              <w:jc w:val="left"/>
              <w:rPr>
                <w:rFonts w:ascii="宋体" w:hAnsi="宋体" w:cs="宋体" w:eastAsia="宋体" w:hint="default"/>
                <w:sz w:val="21"/>
                <w:szCs w:val="21"/>
              </w:rPr>
            </w:pPr>
            <w:r>
              <w:rPr>
                <w:rFonts w:ascii="宋体" w:hAnsi="宋体" w:cs="宋体" w:eastAsia="宋体" w:hint="default"/>
                <w:sz w:val="21"/>
                <w:szCs w:val="21"/>
              </w:rPr>
              <w:t>南洋商业银行（中国）有限公司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8" w:right="0"/>
              <w:jc w:val="left"/>
              <w:rPr>
                <w:rFonts w:ascii="Times New Roman" w:hAnsi="Times New Roman" w:cs="Times New Roman" w:eastAsia="Times New Roman" w:hint="default"/>
                <w:sz w:val="21"/>
                <w:szCs w:val="21"/>
              </w:rPr>
            </w:pPr>
            <w:r>
              <w:rPr>
                <w:rFonts w:ascii="Times New Roman"/>
                <w:sz w:val="21"/>
              </w:rPr>
              <w:t>5,000</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627" w:type="dxa"/>
            <w:tcBorders>
              <w:top w:val="single" w:sz="4" w:space="0" w:color="000000"/>
              <w:left w:val="single" w:sz="4" w:space="0" w:color="000000"/>
              <w:bottom w:val="single" w:sz="4" w:space="0" w:color="000000"/>
              <w:right w:val="single" w:sz="4" w:space="0" w:color="000000"/>
            </w:tcBorders>
          </w:tcPr>
          <w:p>
            <w:pP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504,000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294,290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195" w:top="1100" w:bottom="1380" w:left="164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Heading2"/>
        <w:spacing w:line="240" w:lineRule="auto"/>
        <w:ind w:right="0"/>
        <w:jc w:val="both"/>
        <w:rPr>
          <w:b w:val="0"/>
          <w:bCs w:val="0"/>
        </w:rPr>
      </w:pPr>
      <w:r>
        <w:rPr/>
        <w:t>十一、公司报告期内执行公司债券募集说明书相关约定或承诺的情况</w:t>
      </w:r>
      <w:r>
        <w:rPr>
          <w:b w:val="0"/>
          <w:bCs w:val="0"/>
        </w:rPr>
      </w:r>
    </w:p>
    <w:p>
      <w:pPr>
        <w:pStyle w:val="BodyText"/>
        <w:tabs>
          <w:tab w:pos="884" w:val="left" w:leader="none"/>
        </w:tabs>
        <w:spacing w:line="274" w:lineRule="exact" w:before="82"/>
        <w:ind w:left="558" w:right="137"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报告期内，公司均严格履行公司债券募集说明书相关内容，合规使用募集资金，按时足额付</w:t>
      </w:r>
    </w:p>
    <w:p>
      <w:pPr>
        <w:pStyle w:val="BodyText"/>
        <w:spacing w:line="246" w:lineRule="exact"/>
        <w:ind w:right="0"/>
        <w:jc w:val="both"/>
      </w:pPr>
      <w:r>
        <w:rPr/>
        <w:t>息，未有损害债券投资者利益的情况发生。</w:t>
      </w:r>
    </w:p>
    <w:p>
      <w:pPr>
        <w:spacing w:line="240" w:lineRule="auto" w:before="11"/>
        <w:rPr>
          <w:rFonts w:ascii="宋体" w:hAnsi="宋体" w:cs="宋体" w:eastAsia="宋体" w:hint="default"/>
          <w:sz w:val="22"/>
          <w:szCs w:val="22"/>
        </w:rPr>
      </w:pPr>
    </w:p>
    <w:p>
      <w:pPr>
        <w:pStyle w:val="Heading2"/>
        <w:spacing w:line="240" w:lineRule="auto" w:before="0"/>
        <w:ind w:right="0"/>
        <w:jc w:val="both"/>
        <w:rPr>
          <w:b w:val="0"/>
          <w:bCs w:val="0"/>
        </w:rPr>
      </w:pPr>
      <w:r>
        <w:rPr/>
        <w:t>十二、公司发生的重大事项及对公司经营情况和偿债能力的影响</w:t>
      </w:r>
      <w:r>
        <w:rPr>
          <w:b w:val="0"/>
          <w:bCs w:val="0"/>
        </w:rPr>
      </w:r>
    </w:p>
    <w:p>
      <w:pPr>
        <w:pStyle w:val="BodyText"/>
        <w:spacing w:line="281" w:lineRule="exact" w:before="58"/>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ind w:left="558"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3"/>
        </w:rPr>
        <w:t>月，西部证券披露了《西部证券股份有限公司关于泰豪科技股份有限公司公开发行</w:t>
      </w:r>
    </w:p>
    <w:p>
      <w:pPr>
        <w:pStyle w:val="BodyText"/>
        <w:spacing w:line="228" w:lineRule="auto" w:before="3"/>
        <w:ind w:right="128"/>
        <w:jc w:val="both"/>
      </w:pPr>
      <w:r>
        <w:rPr>
          <w:rFonts w:ascii="Times New Roman" w:hAnsi="Times New Roman" w:cs="Times New Roman" w:eastAsia="Times New Roman" w:hint="default"/>
          <w:w w:val="100"/>
        </w:rPr>
        <w:t>2016</w:t>
      </w:r>
      <w:r>
        <w:rPr>
          <w:rFonts w:ascii="Times New Roman" w:hAnsi="Times New Roman" w:cs="Times New Roman" w:eastAsia="Times New Roman" w:hint="default"/>
          <w:spacing w:val="1"/>
          <w:w w:val="100"/>
        </w:rPr>
        <w:t> </w:t>
      </w:r>
      <w:r>
        <w:rPr>
          <w:spacing w:val="-2"/>
          <w:w w:val="100"/>
        </w:rPr>
        <w:t>年公司债券</w:t>
      </w:r>
      <w:r>
        <w:rPr>
          <w:spacing w:val="-49"/>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
          <w:w w:val="100"/>
        </w:rPr>
        <w:t> </w:t>
      </w:r>
      <w:r>
        <w:rPr>
          <w:spacing w:val="-8"/>
          <w:w w:val="100"/>
        </w:rPr>
        <w:t>年临时受托管理事务报告》，就公司以</w:t>
      </w:r>
      <w:r>
        <w:rPr>
          <w:spacing w:val="-52"/>
          <w:w w:val="100"/>
        </w:rPr>
        <w:t> </w:t>
      </w:r>
      <w:r>
        <w:rPr>
          <w:rFonts w:ascii="Times New Roman" w:hAnsi="Times New Roman" w:cs="Times New Roman" w:eastAsia="Times New Roman" w:hint="default"/>
          <w:w w:val="100"/>
        </w:rPr>
        <w:t>4.9</w:t>
      </w:r>
      <w:r>
        <w:rPr>
          <w:rFonts w:ascii="Times New Roman" w:hAnsi="Times New Roman" w:cs="Times New Roman" w:eastAsia="Times New Roman" w:hint="default"/>
          <w:spacing w:val="1"/>
          <w:w w:val="100"/>
        </w:rPr>
        <w:t> </w:t>
      </w:r>
      <w:r>
        <w:rPr>
          <w:spacing w:val="-2"/>
          <w:w w:val="100"/>
        </w:rPr>
        <w:t>亿元现金购买潘红生等</w:t>
      </w:r>
      <w:r>
        <w:rPr>
          <w:spacing w:val="-4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spacing w:val="-1"/>
          <w:w w:val="100"/>
        </w:rPr>
        <w:t>位股东</w:t>
      </w:r>
      <w:r>
        <w:rPr>
          <w:w w:val="100"/>
        </w:rPr>
        <w:t> </w:t>
      </w:r>
      <w:r>
        <w:rPr/>
        <w:t>合计持有的上海红生系统工程有限公司</w:t>
      </w:r>
      <w:r>
        <w:rPr>
          <w:spacing w:val="46"/>
        </w:rPr>
        <w:t> </w:t>
      </w:r>
      <w:r>
        <w:rPr>
          <w:rFonts w:ascii="Times New Roman" w:hAnsi="Times New Roman" w:cs="Times New Roman" w:eastAsia="Times New Roman" w:hint="default"/>
        </w:rPr>
        <w:t>100%</w:t>
      </w:r>
      <w:r>
        <w:rPr/>
        <w:t>股权事项对公司债券的影响出具了临时受托管理事</w:t>
      </w:r>
      <w:r>
        <w:rPr>
          <w:spacing w:val="-102"/>
        </w:rPr>
        <w:t> </w:t>
      </w:r>
      <w:r>
        <w:rPr>
          <w:spacing w:val="-102"/>
        </w:rPr>
      </w:r>
      <w:r>
        <w:rPr>
          <w:spacing w:val="-1"/>
        </w:rPr>
        <w:t>务报告，认为本次收购不会对发行人的经营、财务和未来发展产生重大影响，不会影响发行人管</w:t>
      </w:r>
      <w:r>
        <w:rPr>
          <w:spacing w:val="-55"/>
        </w:rPr>
        <w:t> </w:t>
      </w:r>
      <w:r>
        <w:rPr>
          <w:spacing w:val="-55"/>
        </w:rPr>
      </w:r>
      <w:r>
        <w:rPr>
          <w:spacing w:val="-2"/>
          <w:w w:val="100"/>
        </w:rPr>
        <w:t>理团队的勤勉尽职，不会对“</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w w:val="100"/>
        </w:rPr>
        <w:t> </w:t>
      </w:r>
      <w:r>
        <w:rPr>
          <w:spacing w:val="-2"/>
          <w:w w:val="100"/>
        </w:rPr>
        <w:t>泰豪</w:t>
      </w:r>
      <w:r>
        <w:rPr>
          <w:w w:val="100"/>
        </w:rPr>
        <w:t> </w:t>
      </w:r>
      <w:r>
        <w:rPr>
          <w:rFonts w:ascii="Times New Roman" w:hAnsi="Times New Roman" w:cs="Times New Roman" w:eastAsia="Times New Roman" w:hint="default"/>
          <w:spacing w:val="-31"/>
          <w:w w:val="100"/>
        </w:rPr>
        <w:t>01</w:t>
      </w:r>
      <w:r>
        <w:rPr>
          <w:spacing w:val="-31"/>
          <w:w w:val="100"/>
        </w:rPr>
        <w:t>”、“</w:t>
      </w:r>
      <w:r>
        <w:rPr>
          <w:rFonts w:ascii="Times New Roman" w:hAnsi="Times New Roman" w:cs="Times New Roman" w:eastAsia="Times New Roman" w:hint="default"/>
          <w:spacing w:val="-31"/>
          <w:w w:val="100"/>
        </w:rPr>
        <w:t>16</w:t>
      </w:r>
      <w:r>
        <w:rPr>
          <w:rFonts w:ascii="Times New Roman" w:hAnsi="Times New Roman" w:cs="Times New Roman" w:eastAsia="Times New Roman" w:hint="default"/>
          <w:w w:val="100"/>
        </w:rPr>
        <w:t> </w:t>
      </w:r>
      <w:r>
        <w:rPr>
          <w:spacing w:val="-2"/>
          <w:w w:val="100"/>
        </w:rPr>
        <w:t>泰豪</w:t>
      </w:r>
      <w:r>
        <w:rPr>
          <w:spacing w:val="-83"/>
          <w:w w:val="100"/>
        </w:rPr>
        <w:t> </w:t>
      </w:r>
      <w:r>
        <w:rPr>
          <w:rFonts w:ascii="Times New Roman" w:hAnsi="Times New Roman" w:cs="Times New Roman" w:eastAsia="Times New Roman" w:hint="default"/>
          <w:spacing w:val="-2"/>
          <w:w w:val="100"/>
        </w:rPr>
        <w:t>02</w:t>
      </w:r>
      <w:r>
        <w:rPr>
          <w:spacing w:val="-2"/>
          <w:w w:val="100"/>
        </w:rPr>
        <w:t>”债券的还本付息产生重大不利影响。</w:t>
      </w:r>
    </w:p>
    <w:p>
      <w:pPr>
        <w:pStyle w:val="BodyText"/>
        <w:spacing w:line="266" w:lineRule="exact"/>
        <w:ind w:left="558"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3"/>
        </w:rPr>
        <w:t>月，西部证券披露了《西部证券股份有限公司关于泰豪科技股份有限公司公开发行</w:t>
      </w:r>
    </w:p>
    <w:p>
      <w:pPr>
        <w:pStyle w:val="BodyText"/>
        <w:spacing w:line="230" w:lineRule="auto"/>
        <w:ind w:right="128"/>
        <w:jc w:val="both"/>
      </w:pPr>
      <w:r>
        <w:rPr>
          <w:rFonts w:ascii="Times New Roman" w:hAnsi="Times New Roman" w:cs="Times New Roman" w:eastAsia="Times New Roman" w:hint="default"/>
          <w:w w:val="100"/>
        </w:rPr>
        <w:t>2016</w:t>
      </w:r>
      <w:r>
        <w:rPr>
          <w:rFonts w:ascii="Times New Roman" w:hAnsi="Times New Roman" w:cs="Times New Roman" w:eastAsia="Times New Roman" w:hint="default"/>
          <w:spacing w:val="-1"/>
          <w:w w:val="100"/>
        </w:rPr>
        <w:t> </w:t>
      </w:r>
      <w:r>
        <w:rPr>
          <w:spacing w:val="-2"/>
          <w:w w:val="100"/>
        </w:rPr>
        <w:t>年公司债券</w:t>
      </w:r>
      <w:r>
        <w:rPr>
          <w:spacing w:val="-51"/>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3"/>
          <w:w w:val="100"/>
        </w:rPr>
        <w:t> </w:t>
      </w:r>
      <w:r>
        <w:rPr>
          <w:spacing w:val="-6"/>
          <w:w w:val="100"/>
        </w:rPr>
        <w:t>年临时受托管理事务报告》，就当年累计新增借款超过上年末净资产的百分</w:t>
      </w:r>
      <w:r>
        <w:rPr>
          <w:w w:val="100"/>
        </w:rPr>
        <w:t> </w:t>
      </w:r>
      <w:r>
        <w:rPr>
          <w:spacing w:val="-1"/>
        </w:rPr>
        <w:t>之二十之事项出具了临时受托管理事务报告，认为发行人公司各项业务经营情况正常，上述新增</w:t>
      </w:r>
      <w:r>
        <w:rPr>
          <w:spacing w:val="-55"/>
        </w:rPr>
        <w:t> </w:t>
      </w:r>
      <w:r>
        <w:rPr>
          <w:spacing w:val="-55"/>
        </w:rPr>
      </w:r>
      <w:r>
        <w:rPr/>
        <w:t>借款情况对发行人偿债能力无重大影响。</w:t>
      </w:r>
    </w:p>
    <w:p>
      <w:pPr>
        <w:spacing w:after="0" w:line="230" w:lineRule="auto"/>
        <w:jc w:val="both"/>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ind w:right="-18"/>
        <w:jc w:val="left"/>
        <w:rPr>
          <w:b w:val="0"/>
          <w:bCs w:val="0"/>
        </w:rPr>
      </w:pPr>
      <w:r>
        <w:rPr/>
        <w:t>一、审计报告</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Heading2"/>
        <w:tabs>
          <w:tab w:pos="560" w:val="left" w:leader="none"/>
          <w:tab w:pos="980" w:val="left" w:leader="none"/>
          <w:tab w:pos="1403" w:val="left" w:leader="none"/>
        </w:tabs>
        <w:spacing w:line="240" w:lineRule="auto" w:before="0"/>
        <w:ind w:right="0"/>
        <w:jc w:val="left"/>
        <w:rPr>
          <w:b w:val="0"/>
          <w:bCs w:val="0"/>
        </w:rPr>
      </w:pPr>
      <w:r>
        <w:rPr/>
        <w:t>审</w:t>
        <w:tab/>
        <w:t>计</w:t>
        <w:tab/>
        <w:t>报</w:t>
        <w:tab/>
        <w:t>告</w:t>
      </w:r>
      <w:r>
        <w:rPr>
          <w:b w:val="0"/>
          <w:bCs w:val="0"/>
        </w:rPr>
      </w:r>
    </w:p>
    <w:p>
      <w:pPr>
        <w:spacing w:after="0" w:line="240" w:lineRule="auto"/>
        <w:jc w:val="left"/>
        <w:sectPr>
          <w:type w:val="continuous"/>
          <w:pgSz w:w="11910" w:h="16840"/>
          <w:pgMar w:top="1120" w:bottom="1380" w:left="1660" w:right="1060"/>
          <w:cols w:num="2" w:equalWidth="0">
            <w:col w:w="1538" w:space="2140"/>
            <w:col w:w="5512"/>
          </w:cols>
        </w:sectPr>
      </w:pPr>
    </w:p>
    <w:p>
      <w:pPr>
        <w:spacing w:line="240" w:lineRule="auto" w:before="7"/>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120" w:bottom="1380" w:left="1660" w:right="1060"/>
        </w:sectPr>
      </w:pPr>
    </w:p>
    <w:p>
      <w:pPr>
        <w:spacing w:line="240" w:lineRule="auto" w:before="8"/>
        <w:rPr>
          <w:rFonts w:ascii="宋体" w:hAnsi="宋体" w:cs="宋体" w:eastAsia="宋体" w:hint="default"/>
          <w:b/>
          <w:bCs/>
          <w:sz w:val="26"/>
          <w:szCs w:val="26"/>
        </w:rPr>
      </w:pPr>
    </w:p>
    <w:p>
      <w:pPr>
        <w:spacing w:line="273" w:lineRule="auto" w:before="0"/>
        <w:ind w:left="138" w:right="-4" w:firstLine="0"/>
        <w:jc w:val="left"/>
        <w:rPr>
          <w:rFonts w:ascii="宋体" w:hAnsi="宋体" w:cs="宋体" w:eastAsia="宋体" w:hint="default"/>
          <w:sz w:val="21"/>
          <w:szCs w:val="21"/>
        </w:rPr>
      </w:pPr>
      <w:r>
        <w:rPr>
          <w:rFonts w:ascii="宋体" w:hAnsi="宋体" w:cs="宋体" w:eastAsia="宋体" w:hint="default"/>
          <w:b/>
          <w:bCs/>
          <w:spacing w:val="-1"/>
          <w:sz w:val="21"/>
          <w:szCs w:val="21"/>
        </w:rPr>
        <w:t>泰豪科技股份有限公司全体股东：</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一、审计意见</w:t>
      </w:r>
    </w:p>
    <w:p>
      <w:pPr>
        <w:pStyle w:val="BodyText"/>
        <w:spacing w:line="240" w:lineRule="auto" w:before="36"/>
        <w:ind w:right="0"/>
        <w:jc w:val="left"/>
      </w:pPr>
      <w:r>
        <w:rPr/>
        <w:br w:type="column"/>
      </w:r>
      <w:r>
        <w:rPr/>
        <w:t>大信审字</w:t>
      </w:r>
      <w:r>
        <w:rPr>
          <w:rFonts w:ascii="Times New Roman" w:hAnsi="Times New Roman" w:cs="Times New Roman" w:eastAsia="Times New Roman" w:hint="default"/>
        </w:rPr>
        <w:t>[2018]</w:t>
      </w:r>
      <w:r>
        <w:rPr/>
        <w:t>第</w:t>
      </w:r>
      <w:r>
        <w:rPr>
          <w:spacing w:val="-55"/>
        </w:rPr>
        <w:t> </w:t>
      </w:r>
      <w:r>
        <w:rPr>
          <w:rFonts w:ascii="Times New Roman" w:hAnsi="Times New Roman" w:cs="Times New Roman" w:eastAsia="Times New Roman" w:hint="default"/>
        </w:rPr>
        <w:t>6-00014</w:t>
      </w:r>
      <w:r>
        <w:rPr>
          <w:rFonts w:ascii="Times New Roman" w:hAnsi="Times New Roman" w:cs="Times New Roman" w:eastAsia="Times New Roman" w:hint="default"/>
          <w:spacing w:val="-3"/>
        </w:rPr>
        <w:t> </w:t>
      </w:r>
      <w:r>
        <w:rPr/>
        <w:t>号</w:t>
      </w:r>
    </w:p>
    <w:p>
      <w:pPr>
        <w:spacing w:after="0" w:line="240" w:lineRule="auto"/>
        <w:jc w:val="left"/>
        <w:sectPr>
          <w:type w:val="continuous"/>
          <w:pgSz w:w="11910" w:h="16840"/>
          <w:pgMar w:top="1120" w:bottom="1380" w:left="1660" w:right="1060"/>
          <w:cols w:num="2" w:equalWidth="0">
            <w:col w:w="3302" w:space="2905"/>
            <w:col w:w="2983"/>
          </w:cols>
        </w:sectPr>
      </w:pPr>
    </w:p>
    <w:p>
      <w:pPr>
        <w:pStyle w:val="BodyText"/>
        <w:spacing w:line="248" w:lineRule="exact"/>
        <w:ind w:right="100"/>
        <w:jc w:val="left"/>
      </w:pPr>
      <w:r>
        <w:rPr>
          <w:w w:val="100"/>
        </w:rPr>
        <w:t>我们</w:t>
      </w:r>
      <w:r>
        <w:rPr>
          <w:spacing w:val="-3"/>
          <w:w w:val="100"/>
        </w:rPr>
        <w:t>审</w:t>
      </w:r>
      <w:r>
        <w:rPr>
          <w:w w:val="100"/>
        </w:rPr>
        <w:t>计</w:t>
      </w:r>
      <w:r>
        <w:rPr>
          <w:spacing w:val="-3"/>
          <w:w w:val="100"/>
        </w:rPr>
        <w:t>了</w:t>
      </w:r>
      <w:r>
        <w:rPr>
          <w:w w:val="100"/>
        </w:rPr>
        <w:t>泰</w:t>
      </w:r>
      <w:r>
        <w:rPr>
          <w:spacing w:val="-3"/>
          <w:w w:val="100"/>
        </w:rPr>
        <w:t>豪</w:t>
      </w:r>
      <w:r>
        <w:rPr>
          <w:w w:val="100"/>
        </w:rPr>
        <w:t>科</w:t>
      </w:r>
      <w:r>
        <w:rPr>
          <w:spacing w:val="-3"/>
          <w:w w:val="100"/>
        </w:rPr>
        <w:t>技</w:t>
      </w:r>
      <w:r>
        <w:rPr>
          <w:w w:val="100"/>
        </w:rPr>
        <w:t>股</w:t>
      </w:r>
      <w:r>
        <w:rPr>
          <w:spacing w:val="-3"/>
          <w:w w:val="100"/>
        </w:rPr>
        <w:t>份</w:t>
      </w:r>
      <w:r>
        <w:rPr>
          <w:w w:val="100"/>
        </w:rPr>
        <w:t>有限</w:t>
      </w:r>
      <w:r>
        <w:rPr>
          <w:spacing w:val="-3"/>
          <w:w w:val="100"/>
        </w:rPr>
        <w:t>公</w:t>
      </w:r>
      <w:r>
        <w:rPr>
          <w:w w:val="100"/>
        </w:rPr>
        <w:t>司</w:t>
      </w:r>
      <w:r>
        <w:rPr>
          <w:spacing w:val="-3"/>
          <w:w w:val="100"/>
        </w:rPr>
        <w:t>（</w:t>
      </w:r>
      <w:r>
        <w:rPr>
          <w:w w:val="100"/>
        </w:rPr>
        <w:t>以</w:t>
      </w:r>
      <w:r>
        <w:rPr>
          <w:spacing w:val="-3"/>
          <w:w w:val="100"/>
        </w:rPr>
        <w:t>下</w:t>
      </w:r>
      <w:r>
        <w:rPr>
          <w:w w:val="100"/>
        </w:rPr>
        <w:t>简</w:t>
      </w:r>
      <w:r>
        <w:rPr>
          <w:spacing w:val="-3"/>
          <w:w w:val="100"/>
        </w:rPr>
        <w:t>称</w:t>
      </w:r>
      <w:r>
        <w:rPr>
          <w:w w:val="100"/>
        </w:rPr>
        <w:t>“</w:t>
      </w:r>
      <w:r>
        <w:rPr>
          <w:spacing w:val="-3"/>
          <w:w w:val="100"/>
        </w:rPr>
        <w:t>贵</w:t>
      </w:r>
      <w:r>
        <w:rPr>
          <w:w w:val="100"/>
        </w:rPr>
        <w:t>公司</w:t>
      </w:r>
      <w:r>
        <w:rPr>
          <w:spacing w:val="-108"/>
          <w:w w:val="100"/>
        </w:rPr>
        <w:t>”</w:t>
      </w:r>
      <w:r>
        <w:rPr>
          <w:w w:val="100"/>
        </w:rPr>
        <w:t>）</w:t>
      </w:r>
      <w:r>
        <w:rPr>
          <w:spacing w:val="-3"/>
          <w:w w:val="100"/>
        </w:rPr>
        <w:t>的</w:t>
      </w:r>
      <w:r>
        <w:rPr>
          <w:w w:val="100"/>
        </w:rPr>
        <w:t>财</w:t>
      </w:r>
      <w:r>
        <w:rPr>
          <w:spacing w:val="-3"/>
          <w:w w:val="100"/>
        </w:rPr>
        <w:t>务</w:t>
      </w:r>
      <w:r>
        <w:rPr>
          <w:w w:val="100"/>
        </w:rPr>
        <w:t>报</w:t>
      </w:r>
      <w:r>
        <w:rPr>
          <w:spacing w:val="-3"/>
          <w:w w:val="100"/>
        </w:rPr>
        <w:t>表</w:t>
      </w:r>
      <w:r>
        <w:rPr>
          <w:w w:val="100"/>
        </w:rPr>
        <w:t>，</w:t>
      </w:r>
      <w:r>
        <w:rPr>
          <w:spacing w:val="-3"/>
          <w:w w:val="100"/>
        </w:rPr>
        <w:t>包</w:t>
      </w:r>
      <w:r>
        <w:rPr>
          <w:w w:val="100"/>
        </w:rPr>
        <w:t>括</w:t>
      </w:r>
      <w:r>
        <w:rPr>
          <w:spacing w:val="-5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0"/>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w w:val="100"/>
        </w:rPr>
        <w:t>月</w:t>
      </w:r>
      <w:r>
        <w:rPr>
          <w:spacing w:val="-50"/>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p>
    <w:p>
      <w:pPr>
        <w:pStyle w:val="BodyText"/>
        <w:spacing w:line="274" w:lineRule="exact" w:before="16"/>
        <w:ind w:right="100"/>
        <w:jc w:val="left"/>
      </w:pPr>
      <w:r>
        <w:rPr/>
        <w:t>的合并及母公司资产负债表，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spacing w:val="-3"/>
        </w:rPr>
        <w:t>年度的合并及母公司利润表、合并及母公司现金流量表、合并</w:t>
      </w:r>
      <w:r>
        <w:rPr>
          <w:spacing w:val="-96"/>
        </w:rPr>
        <w:t> </w:t>
      </w:r>
      <w:r>
        <w:rPr>
          <w:spacing w:val="-96"/>
        </w:rPr>
      </w:r>
      <w:r>
        <w:rPr/>
        <w:t>及母公司股东权益变动表，以及财务报表附注。</w:t>
      </w:r>
    </w:p>
    <w:p>
      <w:pPr>
        <w:pStyle w:val="BodyText"/>
        <w:spacing w:line="245" w:lineRule="exact"/>
        <w:ind w:right="100"/>
        <w:jc w:val="left"/>
      </w:pPr>
      <w:r>
        <w:rPr>
          <w:spacing w:val="2"/>
        </w:rPr>
        <w:t>我们认为，后附的财务报表在所有重大方面按照企业会计准则的规定编制，公允反映了贵公司</w:t>
      </w:r>
    </w:p>
    <w:p>
      <w:pPr>
        <w:pStyle w:val="BodyText"/>
        <w:spacing w:line="290" w:lineRule="exact"/>
        <w:ind w:right="10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r>
        <w:rPr>
          <w:spacing w:val="-78"/>
        </w:rPr>
        <w:t>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日的合并及母公司财务状况以及</w:t>
      </w:r>
      <w:r>
        <w:rPr>
          <w:spacing w:val="-7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年度的合并及母公司经营成果和现金流量。</w:t>
      </w:r>
    </w:p>
    <w:p>
      <w:pPr>
        <w:spacing w:line="240" w:lineRule="auto" w:before="3"/>
        <w:rPr>
          <w:rFonts w:ascii="宋体" w:hAnsi="宋体" w:cs="宋体" w:eastAsia="宋体" w:hint="default"/>
          <w:sz w:val="17"/>
          <w:szCs w:val="17"/>
        </w:rPr>
      </w:pPr>
    </w:p>
    <w:p>
      <w:pPr>
        <w:pStyle w:val="BodyText"/>
        <w:spacing w:line="237" w:lineRule="auto"/>
        <w:ind w:right="100"/>
        <w:jc w:val="left"/>
      </w:pPr>
      <w:r>
        <w:rPr/>
        <w:t>二、形成审计意见的基础</w:t>
      </w:r>
      <w:r>
        <w:rPr>
          <w:w w:val="100"/>
        </w:rPr>
        <w:t> </w:t>
      </w:r>
      <w:r>
        <w:rPr>
          <w:spacing w:val="-1"/>
        </w:rPr>
        <w:t>我们按照中国注册会计师审计准则的规定执行了审计工作。审计报告的“注册会计师对财务报表</w:t>
      </w:r>
      <w:r>
        <w:rPr>
          <w:spacing w:val="-55"/>
        </w:rPr>
        <w:t> </w:t>
      </w:r>
      <w:r>
        <w:rPr>
          <w:spacing w:val="-55"/>
        </w:rPr>
      </w:r>
      <w:r>
        <w:rPr>
          <w:spacing w:val="-1"/>
        </w:rPr>
        <w:t>审计的责任”部分进一步阐述了我们在这些准则下的责任。按照中国注册会计师职业道德守则，</w:t>
      </w:r>
      <w:r>
        <w:rPr>
          <w:spacing w:val="-55"/>
        </w:rPr>
        <w:t> </w:t>
      </w:r>
      <w:r>
        <w:rPr>
          <w:spacing w:val="-55"/>
        </w:rPr>
      </w:r>
      <w:r>
        <w:rPr/>
        <w:t>我们独立于贵公司，并履行了职业道德方面的其他责任。</w:t>
      </w:r>
      <w:r>
        <w:rPr>
          <w:w w:val="100"/>
        </w:rPr>
        <w:t> </w:t>
      </w:r>
      <w:r>
        <w:rPr/>
        <w:t>我们相信，我们获取的审计证据是充分、适当的，为发表审计意见提供了基础。</w:t>
      </w:r>
    </w:p>
    <w:p>
      <w:pPr>
        <w:spacing w:line="240" w:lineRule="auto" w:before="6"/>
        <w:rPr>
          <w:rFonts w:ascii="宋体" w:hAnsi="宋体" w:cs="宋体" w:eastAsia="宋体" w:hint="default"/>
          <w:sz w:val="18"/>
          <w:szCs w:val="18"/>
        </w:rPr>
      </w:pPr>
    </w:p>
    <w:p>
      <w:pPr>
        <w:pStyle w:val="BodyText"/>
        <w:spacing w:line="237" w:lineRule="auto"/>
        <w:ind w:right="100"/>
        <w:jc w:val="left"/>
      </w:pPr>
      <w:r>
        <w:rPr/>
        <w:t>三、关键审计事项</w:t>
      </w:r>
      <w:r>
        <w:rPr>
          <w:w w:val="100"/>
        </w:rPr>
        <w:t> </w:t>
      </w:r>
      <w:r>
        <w:rPr>
          <w:spacing w:val="-1"/>
        </w:rPr>
        <w:t>关键审计事项是我们根据职业判断，认为对本期财务报表审计最为重要的事项。这些事项的应对</w:t>
      </w:r>
      <w:r>
        <w:rPr>
          <w:spacing w:val="-55"/>
        </w:rPr>
        <w:t> </w:t>
      </w:r>
      <w:r>
        <w:rPr>
          <w:spacing w:val="-55"/>
        </w:rPr>
      </w:r>
      <w:r>
        <w:rPr/>
        <w:t>以对财务报表整体进行审计并形成审计意见为背景，我们不对这些事项单独发表意见。</w:t>
      </w:r>
    </w:p>
    <w:p>
      <w:pPr>
        <w:pStyle w:val="BodyText"/>
        <w:spacing w:line="271" w:lineRule="exact"/>
        <w:ind w:right="100"/>
        <w:jc w:val="left"/>
      </w:pPr>
      <w:r>
        <w:rPr/>
        <w:t>（一）商誉形成及减值测试</w:t>
      </w:r>
    </w:p>
    <w:p>
      <w:pPr>
        <w:pStyle w:val="BodyText"/>
        <w:spacing w:line="280" w:lineRule="exact"/>
        <w:ind w:right="100"/>
        <w:jc w:val="left"/>
      </w:pPr>
      <w:r>
        <w:rPr>
          <w:rFonts w:ascii="Times New Roman" w:hAnsi="Times New Roman" w:cs="Times New Roman" w:eastAsia="Times New Roman" w:hint="default"/>
        </w:rPr>
        <w:t>1</w:t>
      </w:r>
      <w:r>
        <w:rPr/>
        <w:t>、事项描述</w:t>
      </w:r>
    </w:p>
    <w:p>
      <w:pPr>
        <w:pStyle w:val="BodyText"/>
        <w:spacing w:line="235" w:lineRule="auto"/>
        <w:ind w:right="207"/>
        <w:jc w:val="both"/>
      </w:pPr>
      <w:r>
        <w:rPr/>
        <w:t>贵公司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日合并报表商誉账面价值</w:t>
      </w:r>
      <w:r>
        <w:rPr>
          <w:spacing w:val="-48"/>
        </w:rPr>
        <w:t> </w:t>
      </w:r>
      <w:r>
        <w:rPr>
          <w:rFonts w:ascii="Times New Roman" w:hAnsi="Times New Roman" w:cs="Times New Roman" w:eastAsia="Times New Roman" w:hint="default"/>
        </w:rPr>
        <w:t>12.29</w:t>
      </w:r>
      <w:r>
        <w:rPr>
          <w:rFonts w:ascii="Times New Roman" w:hAnsi="Times New Roman" w:cs="Times New Roman" w:eastAsia="Times New Roman" w:hint="default"/>
          <w:spacing w:val="5"/>
        </w:rPr>
        <w:t> </w:t>
      </w:r>
      <w:r>
        <w:rPr/>
        <w:t>亿，商誉减值准备</w:t>
      </w:r>
      <w:r>
        <w:rPr>
          <w:spacing w:val="-48"/>
        </w:rPr>
        <w:t> </w:t>
      </w:r>
      <w:r>
        <w:rPr>
          <w:rFonts w:ascii="Times New Roman" w:hAnsi="Times New Roman" w:cs="Times New Roman" w:eastAsia="Times New Roman" w:hint="default"/>
          <w:spacing w:val="-3"/>
        </w:rPr>
        <w:t>1100</w:t>
      </w:r>
      <w:r>
        <w:rPr>
          <w:rFonts w:ascii="Times New Roman" w:hAnsi="Times New Roman" w:cs="Times New Roman" w:eastAsia="Times New Roman" w:hint="default"/>
          <w:spacing w:val="9"/>
        </w:rPr>
        <w:t> </w:t>
      </w:r>
      <w:r>
        <w:rPr/>
        <w:t>万。公司需在每</w:t>
      </w:r>
      <w:r>
        <w:rPr>
          <w:w w:val="100"/>
        </w:rPr>
        <w:t> </w:t>
      </w:r>
      <w:r>
        <w:rPr>
          <w:spacing w:val="-1"/>
        </w:rPr>
        <w:t>年末对商誉进行减值测试。减值测试要求估计包含商誉的相关资产组的可收回金额，即相关资产</w:t>
      </w:r>
      <w:r>
        <w:rPr>
          <w:spacing w:val="-55"/>
        </w:rPr>
        <w:t> </w:t>
      </w:r>
      <w:r>
        <w:rPr>
          <w:spacing w:val="-55"/>
        </w:rPr>
      </w:r>
      <w:r>
        <w:rPr>
          <w:spacing w:val="-1"/>
        </w:rPr>
        <w:t>组的公允价值减去处置费用后的净额与相关资产组预计未来现金流量的现值两者之中的较高者。</w:t>
      </w:r>
      <w:r>
        <w:rPr>
          <w:spacing w:val="-55"/>
        </w:rPr>
        <w:t> </w:t>
      </w:r>
      <w:r>
        <w:rPr>
          <w:spacing w:val="-55"/>
        </w:rPr>
      </w:r>
      <w:r>
        <w:rPr>
          <w:spacing w:val="-1"/>
        </w:rPr>
        <w:t>在确定相关资产组预计未来现金流量的现值时，贵公司需要恰当的预测相关资产组未来收入增长</w:t>
      </w:r>
      <w:r>
        <w:rPr>
          <w:spacing w:val="-55"/>
        </w:rPr>
        <w:t> </w:t>
      </w:r>
      <w:r>
        <w:rPr>
          <w:spacing w:val="-55"/>
        </w:rPr>
      </w:r>
      <w:r>
        <w:rPr>
          <w:spacing w:val="-1"/>
        </w:rPr>
        <w:t>率及后续预期收入增长率、毛利率和折现率，这涉及管理层运用重大的会计估计和判断。对期末</w:t>
      </w:r>
      <w:r>
        <w:rPr>
          <w:spacing w:val="-55"/>
        </w:rPr>
        <w:t> </w:t>
      </w:r>
      <w:r>
        <w:rPr>
          <w:spacing w:val="-55"/>
        </w:rPr>
      </w:r>
      <w:r>
        <w:rPr>
          <w:spacing w:val="-1"/>
        </w:rPr>
        <w:t>重大的商誉，贵公司管理层聘请外部估值专家基于管理层编制的现金流量预测采用预计未来现金</w:t>
      </w:r>
      <w:r>
        <w:rPr>
          <w:spacing w:val="-55"/>
        </w:rPr>
        <w:t> </w:t>
      </w:r>
      <w:r>
        <w:rPr>
          <w:spacing w:val="-55"/>
        </w:rPr>
      </w:r>
      <w:r>
        <w:rPr>
          <w:spacing w:val="-1"/>
        </w:rPr>
        <w:t>流量折现模型来计算各相关资产组的预计未来现金流量现值。由于商誉金额较大且涉及运用重大</w:t>
      </w:r>
      <w:r>
        <w:rPr>
          <w:spacing w:val="-56"/>
        </w:rPr>
        <w:t> </w:t>
      </w:r>
      <w:r>
        <w:rPr>
          <w:spacing w:val="-56"/>
        </w:rPr>
      </w:r>
      <w:r>
        <w:rPr/>
        <w:t>的管理层判断和估计，因此我们将商誉减值测试识别为关键审计事项。</w:t>
      </w:r>
    </w:p>
    <w:p>
      <w:pPr>
        <w:pStyle w:val="BodyText"/>
        <w:spacing w:line="274" w:lineRule="exact" w:before="23"/>
        <w:ind w:right="3749"/>
        <w:jc w:val="left"/>
      </w:pPr>
      <w:r>
        <w:rPr>
          <w:rFonts w:ascii="Times New Roman" w:hAnsi="Times New Roman" w:cs="Times New Roman" w:eastAsia="Times New Roman" w:hint="default"/>
        </w:rPr>
        <w:t>2</w:t>
      </w:r>
      <w:r>
        <w:rPr/>
        <w:t>、审计应对</w:t>
      </w:r>
      <w:r>
        <w:rPr>
          <w:w w:val="100"/>
        </w:rPr>
        <w:t> </w:t>
      </w:r>
      <w:r>
        <w:rPr>
          <w:spacing w:val="-2"/>
        </w:rPr>
        <w:t>针对商誉减值测试，我们实施的主要审计程序包括：</w:t>
      </w:r>
    </w:p>
    <w:p>
      <w:pPr>
        <w:pStyle w:val="BodyText"/>
        <w:spacing w:line="253" w:lineRule="exact"/>
        <w:ind w:right="100"/>
        <w:jc w:val="left"/>
      </w:pPr>
      <w:r>
        <w:rPr>
          <w:rFonts w:ascii="Times New Roman" w:hAnsi="Times New Roman" w:cs="Times New Roman" w:eastAsia="Times New Roman" w:hint="default"/>
        </w:rPr>
        <w:t>1</w:t>
      </w:r>
      <w:r>
        <w:rPr/>
        <w:t>）我们了解和评价管理层对各资产组的识别以及商誉如何分配至各资产组；</w:t>
      </w:r>
    </w:p>
    <w:p>
      <w:pPr>
        <w:pStyle w:val="BodyText"/>
        <w:spacing w:line="272" w:lineRule="exact"/>
        <w:ind w:right="100"/>
        <w:jc w:val="left"/>
      </w:pPr>
      <w:r>
        <w:rPr>
          <w:rFonts w:ascii="Times New Roman" w:hAnsi="Times New Roman" w:cs="Times New Roman" w:eastAsia="Times New Roman" w:hint="default"/>
        </w:rPr>
        <w:t>2</w:t>
      </w:r>
      <w:r>
        <w:rPr/>
        <w:t>）我们了解和评价管理层聘请外部估值专家的专业胜任能力和独立性；</w:t>
      </w:r>
    </w:p>
    <w:p>
      <w:pPr>
        <w:pStyle w:val="BodyText"/>
        <w:spacing w:line="274" w:lineRule="exact" w:before="16"/>
        <w:ind w:right="100"/>
        <w:jc w:val="left"/>
      </w:pPr>
      <w:r>
        <w:rPr>
          <w:rFonts w:ascii="Times New Roman" w:hAnsi="Times New Roman" w:cs="Times New Roman" w:eastAsia="Times New Roman" w:hint="default"/>
          <w:spacing w:val="-5"/>
        </w:rPr>
        <w:t>3</w:t>
      </w:r>
      <w:r>
        <w:rPr>
          <w:spacing w:val="-5"/>
        </w:rPr>
        <w:t>）我们获取经批准的</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spacing w:val="-4"/>
        </w:rPr>
        <w:t>年度财务预算，与管理层预测的</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spacing w:val="-4"/>
        </w:rPr>
        <w:t>年数据进行比较，评价其预测的</w:t>
      </w:r>
      <w:r>
        <w:rPr>
          <w:spacing w:val="-100"/>
        </w:rPr>
        <w:t> </w:t>
      </w:r>
      <w:r>
        <w:rPr>
          <w:spacing w:val="-100"/>
        </w:rPr>
      </w:r>
      <w:r>
        <w:rPr/>
        <w:t>合理性；</w:t>
      </w:r>
    </w:p>
    <w:p>
      <w:pPr>
        <w:pStyle w:val="BodyText"/>
        <w:spacing w:line="253" w:lineRule="exact"/>
        <w:ind w:right="100"/>
        <w:jc w:val="left"/>
      </w:pPr>
      <w:r>
        <w:rPr>
          <w:rFonts w:ascii="Times New Roman" w:hAnsi="Times New Roman" w:cs="Times New Roman" w:eastAsia="Times New Roman" w:hint="default"/>
        </w:rPr>
        <w:t>4</w:t>
      </w:r>
      <w:r>
        <w:rPr/>
        <w:t>）我们比较相关资产组</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年度审计结果与以前年度的预测数，评价管理层预测的可靠性；</w:t>
      </w:r>
    </w:p>
    <w:p>
      <w:pPr>
        <w:pStyle w:val="BodyText"/>
        <w:spacing w:line="272" w:lineRule="exact" w:before="19"/>
        <w:ind w:right="100"/>
        <w:jc w:val="left"/>
      </w:pPr>
      <w:r>
        <w:rPr>
          <w:rFonts w:ascii="Times New Roman" w:hAnsi="Times New Roman" w:cs="Times New Roman" w:eastAsia="Times New Roman" w:hint="default"/>
          <w:spacing w:val="-4"/>
        </w:rPr>
        <w:t>5</w:t>
      </w:r>
      <w:r>
        <w:rPr>
          <w:spacing w:val="-4"/>
        </w:rPr>
        <w:t>）我们将管理层做出的关键假设如收入的预测增长率、预测毛利率与历史数据进行比较，评价其</w:t>
      </w:r>
      <w:r>
        <w:rPr>
          <w:spacing w:val="-35"/>
        </w:rPr>
        <w:t> </w:t>
      </w:r>
      <w:r>
        <w:rPr>
          <w:spacing w:val="-35"/>
        </w:rPr>
      </w:r>
      <w:r>
        <w:rPr/>
        <w:t>假设的合理性；</w:t>
      </w:r>
    </w:p>
    <w:p>
      <w:pPr>
        <w:pStyle w:val="BodyText"/>
        <w:spacing w:line="254" w:lineRule="exact"/>
        <w:ind w:right="100"/>
        <w:jc w:val="left"/>
      </w:pPr>
      <w:r>
        <w:rPr>
          <w:rFonts w:ascii="Times New Roman" w:hAnsi="Times New Roman" w:cs="Times New Roman" w:eastAsia="Times New Roman" w:hint="default"/>
        </w:rPr>
        <w:t>6</w:t>
      </w:r>
      <w:r>
        <w:rPr/>
        <w:t>）我们基于可比上市公司数据计算折现率，与管理层采用的折现率比较。</w:t>
      </w:r>
    </w:p>
    <w:p>
      <w:pPr>
        <w:pStyle w:val="BodyText"/>
        <w:spacing w:line="272" w:lineRule="exact"/>
        <w:ind w:right="0"/>
        <w:jc w:val="left"/>
      </w:pPr>
      <w:r>
        <w:rPr>
          <w:rFonts w:ascii="Times New Roman" w:hAnsi="Times New Roman" w:cs="Times New Roman" w:eastAsia="Times New Roman" w:hint="default"/>
        </w:rPr>
        <w:t>7</w:t>
      </w:r>
      <w:r>
        <w:rPr/>
        <w:t>）我们将业绩承诺公司已实现业绩与承诺业绩比较，判断其完成情况，评估商誉减值测试结果。</w:t>
      </w:r>
    </w:p>
    <w:p>
      <w:pPr>
        <w:pStyle w:val="BodyText"/>
        <w:spacing w:line="264" w:lineRule="exact"/>
        <w:ind w:right="100"/>
        <w:jc w:val="left"/>
      </w:pPr>
      <w:r>
        <w:rPr/>
        <w:t>（二）收入确认</w:t>
      </w:r>
    </w:p>
    <w:p>
      <w:pPr>
        <w:pStyle w:val="BodyText"/>
        <w:spacing w:line="281" w:lineRule="exact"/>
        <w:ind w:right="100"/>
        <w:jc w:val="left"/>
      </w:pPr>
      <w:r>
        <w:rPr>
          <w:rFonts w:ascii="Times New Roman" w:hAnsi="Times New Roman" w:cs="Times New Roman" w:eastAsia="Times New Roman" w:hint="default"/>
        </w:rPr>
        <w:t>1</w:t>
      </w:r>
      <w:r>
        <w:rPr/>
        <w:t>、事项描述</w:t>
      </w:r>
    </w:p>
    <w:p>
      <w:pPr>
        <w:pStyle w:val="BodyText"/>
        <w:spacing w:line="230" w:lineRule="auto"/>
        <w:ind w:right="208"/>
        <w:jc w:val="both"/>
      </w:pPr>
      <w:r>
        <w:rPr>
          <w:rFonts w:ascii="Times New Roman" w:hAnsi="Times New Roman" w:cs="Times New Roman" w:eastAsia="Times New Roman" w:hint="default"/>
        </w:rPr>
        <w:t>2017 </w:t>
      </w:r>
      <w:r>
        <w:rPr>
          <w:spacing w:val="-3"/>
        </w:rPr>
        <w:t>年度与贵公司存在业绩承诺的子公司有上海红生系统工程有限公司、上海博辕信息技术服务</w:t>
      </w:r>
      <w:r>
        <w:rPr>
          <w:spacing w:val="-85"/>
        </w:rPr>
        <w:t> </w:t>
      </w:r>
      <w:r>
        <w:rPr>
          <w:spacing w:val="-85"/>
        </w:rPr>
      </w:r>
      <w:r>
        <w:rPr>
          <w:spacing w:val="-1"/>
        </w:rPr>
        <w:t>有限公司、龙岩市海德馨汽车有限公司、莱福士电力电子设备（深圳）有限公司。其中前三家公</w:t>
      </w:r>
      <w:r>
        <w:rPr>
          <w:spacing w:val="-54"/>
        </w:rPr>
        <w:t> </w:t>
      </w:r>
      <w:r>
        <w:rPr>
          <w:spacing w:val="-54"/>
        </w:rPr>
      </w:r>
      <w:r>
        <w:rPr>
          <w:spacing w:val="-1"/>
        </w:rPr>
        <w:t>司业绩承诺较高，合并商誉亦较大。业绩承诺的完成情况对上述公司的利润补偿以及商誉减值影</w:t>
      </w:r>
    </w:p>
    <w:p>
      <w:pPr>
        <w:spacing w:after="0" w:line="230" w:lineRule="auto"/>
        <w:jc w:val="both"/>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237" w:lineRule="auto" w:before="38"/>
        <w:ind w:right="208"/>
        <w:jc w:val="both"/>
      </w:pPr>
      <w:r>
        <w:rPr>
          <w:spacing w:val="-1"/>
        </w:rPr>
        <w:t>响较大，从而对贵公司合并报表产生较大影响。而收入确认是业绩承诺完成的核心指标，从而存</w:t>
      </w:r>
      <w:r>
        <w:rPr>
          <w:spacing w:val="-55"/>
        </w:rPr>
        <w:t> </w:t>
      </w:r>
      <w:r>
        <w:rPr>
          <w:spacing w:val="-55"/>
        </w:rPr>
      </w:r>
      <w:r>
        <w:rPr>
          <w:spacing w:val="-1"/>
        </w:rPr>
        <w:t>在管理层为了达到特定目标或期望而操纵收入确认的固有风险，我们将上海红生系统工程有限公</w:t>
      </w:r>
      <w:r>
        <w:rPr>
          <w:spacing w:val="-55"/>
        </w:rPr>
        <w:t> </w:t>
      </w:r>
      <w:r>
        <w:rPr>
          <w:spacing w:val="-55"/>
        </w:rPr>
      </w:r>
      <w:r>
        <w:rPr>
          <w:spacing w:val="-1"/>
        </w:rPr>
        <w:t>司、上海博辕信息技术服务有限公司、龙岩市海德馨汽车有限公司收入确认的真实性识别为关键</w:t>
      </w:r>
      <w:r>
        <w:rPr>
          <w:spacing w:val="-55"/>
        </w:rPr>
        <w:t> </w:t>
      </w:r>
      <w:r>
        <w:rPr>
          <w:spacing w:val="-55"/>
        </w:rPr>
      </w:r>
      <w:r>
        <w:rPr/>
        <w:t>审计事项。</w:t>
      </w:r>
    </w:p>
    <w:p>
      <w:pPr>
        <w:pStyle w:val="BodyText"/>
        <w:spacing w:line="274" w:lineRule="exact" w:before="22"/>
        <w:ind w:right="3749"/>
        <w:jc w:val="left"/>
      </w:pPr>
      <w:r>
        <w:rPr>
          <w:rFonts w:ascii="Times New Roman" w:hAnsi="Times New Roman" w:cs="Times New Roman" w:eastAsia="Times New Roman" w:hint="default"/>
        </w:rPr>
        <w:t>2</w:t>
      </w:r>
      <w:r>
        <w:rPr/>
        <w:t>、审计应对</w:t>
      </w:r>
      <w:r>
        <w:rPr>
          <w:w w:val="100"/>
        </w:rPr>
        <w:t> </w:t>
      </w:r>
      <w:r>
        <w:rPr>
          <w:spacing w:val="-2"/>
        </w:rPr>
        <w:t>针对收入确认的真实性，我们设计并实施如下审计程序：</w:t>
      </w:r>
    </w:p>
    <w:p>
      <w:pPr>
        <w:pStyle w:val="BodyText"/>
        <w:spacing w:line="253" w:lineRule="exact"/>
        <w:ind w:right="100"/>
        <w:jc w:val="left"/>
      </w:pPr>
      <w:r>
        <w:rPr>
          <w:rFonts w:ascii="Times New Roman" w:hAnsi="Times New Roman" w:cs="Times New Roman" w:eastAsia="Times New Roman" w:hint="default"/>
          <w:w w:val="100"/>
        </w:rPr>
        <w:t>1</w:t>
      </w:r>
      <w:r>
        <w:rPr>
          <w:spacing w:val="-101"/>
          <w:w w:val="100"/>
        </w:rPr>
        <w:t>）</w:t>
      </w:r>
      <w:r>
        <w:rPr>
          <w:spacing w:val="-3"/>
          <w:w w:val="100"/>
        </w:rPr>
        <w:t>我</w:t>
      </w:r>
      <w:r>
        <w:rPr>
          <w:w w:val="100"/>
        </w:rPr>
        <w:t>们</w:t>
      </w:r>
      <w:r>
        <w:rPr>
          <w:spacing w:val="-3"/>
          <w:w w:val="100"/>
        </w:rPr>
        <w:t>了</w:t>
      </w:r>
      <w:r>
        <w:rPr>
          <w:w w:val="100"/>
        </w:rPr>
        <w:t>解</w:t>
      </w:r>
      <w:r>
        <w:rPr>
          <w:spacing w:val="-104"/>
          <w:w w:val="100"/>
        </w:rPr>
        <w:t>、</w:t>
      </w:r>
      <w:r>
        <w:rPr>
          <w:w w:val="100"/>
        </w:rPr>
        <w:t>评</w:t>
      </w:r>
      <w:r>
        <w:rPr>
          <w:spacing w:val="-3"/>
          <w:w w:val="100"/>
        </w:rPr>
        <w:t>估</w:t>
      </w:r>
      <w:r>
        <w:rPr>
          <w:w w:val="100"/>
        </w:rPr>
        <w:t>并</w:t>
      </w:r>
      <w:r>
        <w:rPr>
          <w:spacing w:val="-3"/>
          <w:w w:val="100"/>
        </w:rPr>
        <w:t>测</w:t>
      </w:r>
      <w:r>
        <w:rPr>
          <w:w w:val="100"/>
        </w:rPr>
        <w:t>试</w:t>
      </w:r>
      <w:r>
        <w:rPr>
          <w:spacing w:val="-3"/>
          <w:w w:val="100"/>
        </w:rPr>
        <w:t>了</w:t>
      </w:r>
      <w:r>
        <w:rPr>
          <w:w w:val="100"/>
        </w:rPr>
        <w:t>有关</w:t>
      </w:r>
      <w:r>
        <w:rPr>
          <w:spacing w:val="-3"/>
          <w:w w:val="100"/>
        </w:rPr>
        <w:t>收</w:t>
      </w:r>
      <w:r>
        <w:rPr>
          <w:w w:val="100"/>
        </w:rPr>
        <w:t>入</w:t>
      </w:r>
      <w:r>
        <w:rPr>
          <w:spacing w:val="-3"/>
          <w:w w:val="100"/>
        </w:rPr>
        <w:t>循</w:t>
      </w:r>
      <w:r>
        <w:rPr>
          <w:w w:val="100"/>
        </w:rPr>
        <w:t>环</w:t>
      </w:r>
      <w:r>
        <w:rPr>
          <w:spacing w:val="-3"/>
          <w:w w:val="100"/>
        </w:rPr>
        <w:t>的</w:t>
      </w:r>
      <w:r>
        <w:rPr>
          <w:w w:val="100"/>
        </w:rPr>
        <w:t>关</w:t>
      </w:r>
      <w:r>
        <w:rPr>
          <w:spacing w:val="-3"/>
          <w:w w:val="100"/>
        </w:rPr>
        <w:t>键</w:t>
      </w:r>
      <w:r>
        <w:rPr>
          <w:w w:val="100"/>
        </w:rPr>
        <w:t>内</w:t>
      </w:r>
      <w:r>
        <w:rPr>
          <w:spacing w:val="-3"/>
          <w:w w:val="100"/>
        </w:rPr>
        <w:t>部</w:t>
      </w:r>
      <w:r>
        <w:rPr>
          <w:w w:val="100"/>
        </w:rPr>
        <w:t>控制</w:t>
      </w:r>
      <w:r>
        <w:rPr>
          <w:spacing w:val="-3"/>
          <w:w w:val="100"/>
        </w:rPr>
        <w:t>的</w:t>
      </w:r>
      <w:r>
        <w:rPr>
          <w:w w:val="100"/>
        </w:rPr>
        <w:t>设</w:t>
      </w:r>
      <w:r>
        <w:rPr>
          <w:spacing w:val="-3"/>
          <w:w w:val="100"/>
        </w:rPr>
        <w:t>计</w:t>
      </w:r>
      <w:r>
        <w:rPr>
          <w:w w:val="100"/>
        </w:rPr>
        <w:t>和</w:t>
      </w:r>
      <w:r>
        <w:rPr>
          <w:spacing w:val="-3"/>
          <w:w w:val="100"/>
        </w:rPr>
        <w:t>执</w:t>
      </w:r>
      <w:r>
        <w:rPr>
          <w:w w:val="100"/>
        </w:rPr>
        <w:t>行</w:t>
      </w:r>
      <w:r>
        <w:rPr>
          <w:spacing w:val="-104"/>
          <w:w w:val="100"/>
        </w:rPr>
        <w:t>，</w:t>
      </w:r>
      <w:r>
        <w:rPr>
          <w:w w:val="100"/>
        </w:rPr>
        <w:t>并</w:t>
      </w:r>
      <w:r>
        <w:rPr>
          <w:spacing w:val="-3"/>
          <w:w w:val="100"/>
        </w:rPr>
        <w:t>测试</w:t>
      </w:r>
      <w:r>
        <w:rPr>
          <w:w w:val="100"/>
        </w:rPr>
        <w:t>内部</w:t>
      </w:r>
      <w:r>
        <w:rPr>
          <w:spacing w:val="-3"/>
          <w:w w:val="100"/>
        </w:rPr>
        <w:t>控</w:t>
      </w:r>
      <w:r>
        <w:rPr>
          <w:w w:val="100"/>
        </w:rPr>
        <w:t>制</w:t>
      </w:r>
      <w:r>
        <w:rPr>
          <w:spacing w:val="-3"/>
          <w:w w:val="100"/>
        </w:rPr>
        <w:t>有效性</w:t>
      </w:r>
      <w:r>
        <w:rPr>
          <w:w w:val="100"/>
        </w:rPr>
        <w:t>；</w:t>
      </w:r>
    </w:p>
    <w:p>
      <w:pPr>
        <w:pStyle w:val="BodyText"/>
        <w:spacing w:line="272" w:lineRule="exact"/>
        <w:ind w:right="100"/>
        <w:jc w:val="left"/>
      </w:pPr>
      <w:r>
        <w:rPr>
          <w:rFonts w:ascii="Times New Roman" w:hAnsi="Times New Roman" w:cs="Times New Roman" w:eastAsia="Times New Roman" w:hint="default"/>
        </w:rPr>
        <w:t>2</w:t>
      </w:r>
      <w:r>
        <w:rPr/>
        <w:t>）我们通过审阅销售合同和管理层访谈，了解和评估收入确认政策；</w:t>
      </w:r>
    </w:p>
    <w:p>
      <w:pPr>
        <w:pStyle w:val="BodyText"/>
        <w:spacing w:line="230" w:lineRule="auto"/>
        <w:ind w:right="100"/>
        <w:jc w:val="left"/>
      </w:pPr>
      <w:r>
        <w:rPr>
          <w:rFonts w:ascii="Times New Roman" w:hAnsi="Times New Roman" w:cs="Times New Roman" w:eastAsia="Times New Roman" w:hint="default"/>
          <w:spacing w:val="-4"/>
        </w:rPr>
        <w:t>3</w:t>
      </w:r>
      <w:r>
        <w:rPr>
          <w:spacing w:val="-4"/>
        </w:rPr>
        <w:t>）我们审阅与客户签订的经销协议，核对合同关键条款；查询主要客户工商信息资料，识别是否</w:t>
      </w:r>
      <w:r>
        <w:rPr>
          <w:spacing w:val="-33"/>
        </w:rPr>
        <w:t> </w:t>
      </w:r>
      <w:r>
        <w:rPr>
          <w:spacing w:val="-33"/>
        </w:rPr>
      </w:r>
      <w:r>
        <w:rPr/>
        <w:t>存在关联关系；</w:t>
      </w:r>
      <w:r>
        <w:rPr>
          <w:spacing w:val="-103"/>
        </w:rPr>
        <w:t> </w:t>
      </w:r>
      <w:r>
        <w:rPr>
          <w:spacing w:val="-103"/>
        </w:rPr>
      </w:r>
      <w:r>
        <w:rPr>
          <w:rFonts w:ascii="Times New Roman" w:hAnsi="Times New Roman" w:cs="Times New Roman" w:eastAsia="Times New Roman" w:hint="default"/>
          <w:spacing w:val="-1"/>
        </w:rPr>
        <w:t>4</w:t>
      </w:r>
      <w:r>
        <w:rPr>
          <w:spacing w:val="-1"/>
        </w:rPr>
        <w:t>）我们对销售收入进行了抽样测试，核对相关合同中风险和报酬条款的约定和公司领用、发货、</w:t>
      </w:r>
      <w:r>
        <w:rPr>
          <w:spacing w:val="-53"/>
        </w:rPr>
        <w:t> </w:t>
      </w:r>
      <w:r>
        <w:rPr>
          <w:spacing w:val="-53"/>
        </w:rPr>
      </w:r>
      <w:r>
        <w:rPr/>
        <w:t>验收等支持性文件；</w:t>
      </w:r>
      <w:r>
        <w:rPr>
          <w:w w:val="100"/>
        </w:rPr>
        <w:t> </w:t>
      </w:r>
      <w:r>
        <w:rPr>
          <w:rFonts w:ascii="Times New Roman" w:hAnsi="Times New Roman" w:cs="Times New Roman" w:eastAsia="Times New Roman" w:hint="default"/>
          <w:spacing w:val="-4"/>
        </w:rPr>
        <w:t>5</w:t>
      </w:r>
      <w:r>
        <w:rPr>
          <w:spacing w:val="-4"/>
        </w:rPr>
        <w:t>）我们根据客户交易的特点和性质，挑选大额的收入样本向客户发函确认当期销售收入金额和应</w:t>
      </w:r>
      <w:r>
        <w:rPr>
          <w:spacing w:val="-34"/>
        </w:rPr>
        <w:t> </w:t>
      </w:r>
      <w:r>
        <w:rPr>
          <w:spacing w:val="-34"/>
        </w:rPr>
      </w:r>
      <w:r>
        <w:rPr/>
        <w:t>收账款余额，并在发函过程中保持对函证的控制。</w:t>
      </w:r>
    </w:p>
    <w:p>
      <w:pPr>
        <w:pStyle w:val="BodyText"/>
        <w:spacing w:line="272" w:lineRule="exact"/>
        <w:ind w:right="100"/>
        <w:jc w:val="left"/>
      </w:pPr>
      <w:r>
        <w:rPr/>
        <w:t>（三）应收账款坏账准备</w:t>
      </w:r>
    </w:p>
    <w:p>
      <w:pPr>
        <w:pStyle w:val="BodyText"/>
        <w:spacing w:line="280" w:lineRule="exact"/>
        <w:ind w:right="100"/>
        <w:jc w:val="left"/>
      </w:pPr>
      <w:r>
        <w:rPr>
          <w:rFonts w:ascii="Times New Roman" w:hAnsi="Times New Roman" w:cs="Times New Roman" w:eastAsia="Times New Roman" w:hint="default"/>
        </w:rPr>
        <w:t>1</w:t>
      </w:r>
      <w:r>
        <w:rPr/>
        <w:t>、事项描述</w:t>
      </w:r>
    </w:p>
    <w:p>
      <w:pPr>
        <w:pStyle w:val="BodyText"/>
        <w:spacing w:line="272" w:lineRule="exact"/>
        <w:ind w:right="100"/>
        <w:jc w:val="left"/>
      </w:pPr>
      <w:r>
        <w:rPr>
          <w:w w:val="100"/>
        </w:rPr>
        <w:t>截至</w:t>
      </w:r>
      <w:r>
        <w:rPr>
          <w:spacing w:val="-3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7"/>
        </w:rPr>
        <w:t> </w:t>
      </w:r>
      <w:r>
        <w:rPr>
          <w:spacing w:val="-3"/>
          <w:w w:val="100"/>
        </w:rPr>
        <w:t>年</w:t>
      </w:r>
      <w:r>
        <w:rPr>
          <w:w w:val="100"/>
        </w:rPr>
        <w:t>末</w:t>
      </w:r>
      <w:r>
        <w:rPr>
          <w:spacing w:val="-3"/>
          <w:w w:val="100"/>
        </w:rPr>
        <w:t>，</w:t>
      </w:r>
      <w:r>
        <w:rPr>
          <w:w w:val="100"/>
        </w:rPr>
        <w:t>如</w:t>
      </w:r>
      <w:r>
        <w:rPr>
          <w:spacing w:val="-3"/>
          <w:w w:val="100"/>
        </w:rPr>
        <w:t>贵</w:t>
      </w:r>
      <w:r>
        <w:rPr>
          <w:w w:val="100"/>
        </w:rPr>
        <w:t>公</w:t>
      </w:r>
      <w:r>
        <w:rPr>
          <w:spacing w:val="-3"/>
          <w:w w:val="100"/>
        </w:rPr>
        <w:t>司</w:t>
      </w:r>
      <w:r>
        <w:rPr>
          <w:w w:val="100"/>
        </w:rPr>
        <w:t>财务</w:t>
      </w:r>
      <w:r>
        <w:rPr>
          <w:spacing w:val="-3"/>
          <w:w w:val="100"/>
        </w:rPr>
        <w:t>报</w:t>
      </w:r>
      <w:r>
        <w:rPr>
          <w:w w:val="100"/>
        </w:rPr>
        <w:t>表</w:t>
      </w:r>
      <w:r>
        <w:rPr>
          <w:spacing w:val="-3"/>
          <w:w w:val="100"/>
        </w:rPr>
        <w:t>附</w:t>
      </w:r>
      <w:r>
        <w:rPr>
          <w:w w:val="100"/>
        </w:rPr>
        <w:t>注</w:t>
      </w:r>
      <w:r>
        <w:rPr>
          <w:spacing w:val="-3"/>
          <w:w w:val="100"/>
        </w:rPr>
        <w:t>五</w:t>
      </w:r>
      <w:r>
        <w:rPr>
          <w:spacing w:val="-106"/>
          <w:w w:val="100"/>
        </w:rPr>
        <w:t>、</w:t>
      </w:r>
      <w:r>
        <w:rPr>
          <w:spacing w:val="-3"/>
          <w:w w:val="100"/>
        </w:rPr>
        <w:t>（</w:t>
      </w:r>
      <w:r>
        <w:rPr>
          <w:w w:val="100"/>
        </w:rPr>
        <w:t>三</w:t>
      </w:r>
      <w:r>
        <w:rPr>
          <w:spacing w:val="-3"/>
          <w:w w:val="100"/>
        </w:rPr>
        <w:t>）所</w:t>
      </w:r>
      <w:r>
        <w:rPr>
          <w:w w:val="100"/>
        </w:rPr>
        <w:t>述，</w:t>
      </w:r>
      <w:r>
        <w:rPr>
          <w:spacing w:val="-3"/>
          <w:w w:val="100"/>
        </w:rPr>
        <w:t>应</w:t>
      </w:r>
      <w:r>
        <w:rPr>
          <w:w w:val="100"/>
        </w:rPr>
        <w:t>收</w:t>
      </w:r>
      <w:r>
        <w:rPr>
          <w:spacing w:val="-3"/>
          <w:w w:val="100"/>
        </w:rPr>
        <w:t>账</w:t>
      </w:r>
      <w:r>
        <w:rPr>
          <w:w w:val="100"/>
        </w:rPr>
        <w:t>款</w:t>
      </w:r>
      <w:r>
        <w:rPr>
          <w:spacing w:val="-3"/>
          <w:w w:val="100"/>
        </w:rPr>
        <w:t>余</w:t>
      </w:r>
      <w:r>
        <w:rPr>
          <w:w w:val="100"/>
        </w:rPr>
        <w:t>额</w:t>
      </w:r>
      <w:r>
        <w:rPr>
          <w:spacing w:val="-36"/>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w:t>
      </w:r>
      <w:r>
        <w:rPr>
          <w:rFonts w:ascii="Times New Roman" w:hAnsi="Times New Roman" w:cs="Times New Roman" w:eastAsia="Times New Roman" w:hint="default"/>
          <w:spacing w:val="15"/>
        </w:rPr>
        <w:t> </w:t>
      </w:r>
      <w:r>
        <w:rPr>
          <w:w w:val="100"/>
        </w:rPr>
        <w:t>亿，</w:t>
      </w:r>
      <w:r>
        <w:rPr>
          <w:spacing w:val="-3"/>
          <w:w w:val="100"/>
        </w:rPr>
        <w:t>坏</w:t>
      </w:r>
      <w:r>
        <w:rPr>
          <w:w w:val="100"/>
        </w:rPr>
        <w:t>账</w:t>
      </w:r>
      <w:r>
        <w:rPr>
          <w:spacing w:val="-3"/>
          <w:w w:val="100"/>
        </w:rPr>
        <w:t>准</w:t>
      </w:r>
      <w:r>
        <w:rPr>
          <w:w w:val="100"/>
        </w:rPr>
        <w:t>备</w:t>
      </w:r>
      <w:r>
        <w:rPr>
          <w:spacing w:val="-3"/>
          <w:w w:val="100"/>
        </w:rPr>
        <w:t>金</w:t>
      </w:r>
      <w:r>
        <w:rPr>
          <w:w w:val="100"/>
        </w:rPr>
        <w:t>额</w:t>
      </w:r>
    </w:p>
    <w:p>
      <w:pPr>
        <w:pStyle w:val="BodyText"/>
        <w:spacing w:line="272" w:lineRule="exact" w:before="19"/>
        <w:ind w:right="100"/>
        <w:jc w:val="left"/>
      </w:pPr>
      <w:r>
        <w:rPr>
          <w:rFonts w:ascii="Times New Roman" w:hAnsi="Times New Roman" w:cs="Times New Roman" w:eastAsia="Times New Roman" w:hint="default"/>
        </w:rPr>
        <w:t>2.47 </w:t>
      </w:r>
      <w:r>
        <w:rPr>
          <w:spacing w:val="-2"/>
        </w:rPr>
        <w:t>亿，账面价值较高。若应收账款不能按期收回或无法收回而发生坏账对财务报表影响较为重</w:t>
      </w:r>
      <w:r>
        <w:rPr>
          <w:spacing w:val="-73"/>
        </w:rPr>
        <w:t> </w:t>
      </w:r>
      <w:r>
        <w:rPr>
          <w:spacing w:val="-73"/>
        </w:rPr>
      </w:r>
      <w:r>
        <w:rPr/>
        <w:t>大，为此我们识别应收账款的坏账准备为关键审计事项。</w:t>
      </w:r>
    </w:p>
    <w:p>
      <w:pPr>
        <w:pStyle w:val="BodyText"/>
        <w:spacing w:line="254" w:lineRule="exact"/>
        <w:ind w:right="100"/>
        <w:jc w:val="left"/>
      </w:pPr>
      <w:r>
        <w:rPr>
          <w:rFonts w:ascii="Times New Roman" w:hAnsi="Times New Roman" w:cs="Times New Roman" w:eastAsia="Times New Roman" w:hint="default"/>
        </w:rPr>
        <w:t>2</w:t>
      </w:r>
      <w:r>
        <w:rPr/>
        <w:t>、审计应对</w:t>
      </w:r>
    </w:p>
    <w:p>
      <w:pPr>
        <w:pStyle w:val="BodyText"/>
        <w:spacing w:line="264" w:lineRule="exact"/>
        <w:ind w:right="100"/>
        <w:jc w:val="left"/>
      </w:pPr>
      <w:r>
        <w:rPr/>
        <w:t>针对应收账款的坏账准备，我们设计并实施如下审计程序：</w:t>
      </w:r>
    </w:p>
    <w:p>
      <w:pPr>
        <w:pStyle w:val="BodyText"/>
        <w:spacing w:line="280" w:lineRule="exact"/>
        <w:ind w:right="100"/>
        <w:jc w:val="left"/>
      </w:pPr>
      <w:r>
        <w:rPr>
          <w:rFonts w:ascii="Times New Roman" w:hAnsi="Times New Roman" w:cs="Times New Roman" w:eastAsia="Times New Roman" w:hint="default"/>
        </w:rPr>
        <w:t>1</w:t>
      </w:r>
      <w:r>
        <w:rPr/>
        <w:t>）对贵公司信用政策及应收账款管理相关内部控制的设计和运行有效性进行了评估和测试；</w:t>
      </w:r>
    </w:p>
    <w:p>
      <w:pPr>
        <w:pStyle w:val="BodyText"/>
        <w:spacing w:line="230" w:lineRule="auto" w:before="1"/>
        <w:ind w:right="100"/>
        <w:jc w:val="left"/>
      </w:pPr>
      <w:r>
        <w:rPr>
          <w:rFonts w:ascii="Times New Roman" w:hAnsi="Times New Roman" w:cs="Times New Roman" w:eastAsia="Times New Roman" w:hint="default"/>
          <w:spacing w:val="-9"/>
          <w:w w:val="100"/>
        </w:rPr>
        <w:t>2</w:t>
      </w:r>
      <w:r>
        <w:rPr>
          <w:spacing w:val="-9"/>
          <w:w w:val="100"/>
        </w:rPr>
        <w:t>）分析贵公司应收账款坏账准备会计估计的合理性，包括应收账款组合的依据、金额重大的判断、</w:t>
      </w:r>
      <w:r>
        <w:rPr>
          <w:spacing w:val="-76"/>
          <w:w w:val="100"/>
        </w:rPr>
        <w:t> </w:t>
      </w:r>
      <w:r>
        <w:rPr>
          <w:spacing w:val="-76"/>
          <w:w w:val="100"/>
        </w:rPr>
      </w:r>
      <w:r>
        <w:rPr/>
        <w:t>单独计提坏账准备的判断等；</w:t>
      </w:r>
      <w:r>
        <w:rPr>
          <w:w w:val="100"/>
        </w:rPr>
        <w:t> </w:t>
      </w:r>
      <w:r>
        <w:rPr>
          <w:rFonts w:ascii="Times New Roman" w:hAnsi="Times New Roman" w:cs="Times New Roman" w:eastAsia="Times New Roman" w:hint="default"/>
          <w:spacing w:val="-4"/>
        </w:rPr>
        <w:t>3</w:t>
      </w:r>
      <w:r>
        <w:rPr>
          <w:spacing w:val="-4"/>
        </w:rPr>
        <w:t>）分析计算贵公司资产负债表日坏账准备金额与应收账款余额之间的比率，比较前期坏账准备计</w:t>
      </w:r>
      <w:r>
        <w:rPr>
          <w:spacing w:val="-33"/>
        </w:rPr>
        <w:t> </w:t>
      </w:r>
      <w:r>
        <w:rPr>
          <w:spacing w:val="-33"/>
        </w:rPr>
      </w:r>
      <w:r>
        <w:rPr/>
        <w:t>提数和实际发生数，分析应收账款坏账准备计提的充分性；</w:t>
      </w:r>
      <w:r>
        <w:rPr>
          <w:w w:val="100"/>
        </w:rPr>
        <w:t> </w:t>
      </w:r>
      <w:r>
        <w:rPr>
          <w:rFonts w:ascii="Times New Roman" w:hAnsi="Times New Roman" w:cs="Times New Roman" w:eastAsia="Times New Roman" w:hint="default"/>
          <w:spacing w:val="-4"/>
        </w:rPr>
        <w:t>4</w:t>
      </w:r>
      <w:r>
        <w:rPr>
          <w:spacing w:val="-4"/>
        </w:rPr>
        <w:t>）分析应收账款的账龄和客户信誉情况，并执行应收账款函证程序及检查期后回款情况，评价坏</w:t>
      </w:r>
      <w:r>
        <w:rPr>
          <w:spacing w:val="-34"/>
        </w:rPr>
        <w:t> </w:t>
      </w:r>
      <w:r>
        <w:rPr>
          <w:spacing w:val="-34"/>
        </w:rPr>
      </w:r>
      <w:r>
        <w:rPr/>
        <w:t>账准备计提的合理性；</w:t>
      </w:r>
      <w:r>
        <w:rPr>
          <w:w w:val="100"/>
        </w:rPr>
        <w:t> </w:t>
      </w:r>
      <w:r>
        <w:rPr>
          <w:rFonts w:ascii="Times New Roman" w:hAnsi="Times New Roman" w:cs="Times New Roman" w:eastAsia="Times New Roman" w:hint="default"/>
          <w:spacing w:val="-4"/>
        </w:rPr>
        <w:t>5</w:t>
      </w:r>
      <w:r>
        <w:rPr>
          <w:spacing w:val="-4"/>
        </w:rPr>
        <w:t>）获取坏账准备计提表，检查计提方法是否按照坏账政策执行；重新计算坏账准备计提金额的准</w:t>
      </w:r>
      <w:r>
        <w:rPr>
          <w:spacing w:val="-34"/>
        </w:rPr>
        <w:t> </w:t>
      </w:r>
      <w:r>
        <w:rPr>
          <w:spacing w:val="-34"/>
        </w:rPr>
      </w:r>
      <w:r>
        <w:rPr/>
        <w:t>确性；</w:t>
      </w:r>
      <w:r>
        <w:rPr>
          <w:spacing w:val="-102"/>
        </w:rPr>
        <w:t> </w:t>
      </w:r>
      <w:r>
        <w:rPr>
          <w:rFonts w:ascii="Times New Roman" w:hAnsi="Times New Roman" w:cs="Times New Roman" w:eastAsia="Times New Roman" w:hint="default"/>
          <w:spacing w:val="-4"/>
        </w:rPr>
        <w:t>6</w:t>
      </w:r>
      <w:r>
        <w:rPr>
          <w:spacing w:val="-4"/>
        </w:rPr>
        <w:t>）检查主要客户与采购供应商的公开信息，识别是否存在关联关系；将客户与供应商信息进行比</w:t>
      </w:r>
      <w:r>
        <w:rPr>
          <w:spacing w:val="-35"/>
        </w:rPr>
        <w:t> </w:t>
      </w:r>
      <w:r>
        <w:rPr>
          <w:spacing w:val="-35"/>
        </w:rPr>
      </w:r>
      <w:r>
        <w:rPr/>
        <w:t>较，确定是否存在同一公司既为客户又为供应商的情况。</w:t>
      </w:r>
    </w:p>
    <w:p>
      <w:pPr>
        <w:pStyle w:val="BodyText"/>
        <w:spacing w:line="273" w:lineRule="exact"/>
        <w:ind w:right="100"/>
        <w:jc w:val="left"/>
      </w:pPr>
      <w:r>
        <w:rPr/>
        <w:t>四、其他信息</w:t>
      </w:r>
    </w:p>
    <w:p>
      <w:pPr>
        <w:pStyle w:val="BodyText"/>
        <w:spacing w:line="235" w:lineRule="auto" w:before="3"/>
        <w:ind w:right="100"/>
        <w:jc w:val="left"/>
      </w:pPr>
      <w:r>
        <w:rPr>
          <w:spacing w:val="-5"/>
        </w:rPr>
        <w:t>贵公司管理层（以下简称管理层）对其他信息负责。其他信息包括贵公司 </w:t>
      </w:r>
      <w:r>
        <w:rPr>
          <w:rFonts w:ascii="Times New Roman" w:hAnsi="Times New Roman" w:cs="Times New Roman" w:eastAsia="Times New Roman" w:hint="default"/>
        </w:rPr>
        <w:t>2017 </w:t>
      </w:r>
      <w:r>
        <w:rPr/>
        <w:t>年年度报告中涵盖</w:t>
      </w:r>
      <w:r>
        <w:rPr>
          <w:spacing w:val="-96"/>
        </w:rPr>
        <w:t> </w:t>
      </w:r>
      <w:r>
        <w:rPr>
          <w:spacing w:val="-96"/>
        </w:rPr>
      </w:r>
      <w:r>
        <w:rPr/>
        <w:t>的信息，但不包括财务报表和我们的审计报告。</w:t>
      </w:r>
      <w:r>
        <w:rPr>
          <w:w w:val="100"/>
        </w:rPr>
        <w:t> </w:t>
      </w:r>
      <w:r>
        <w:rPr>
          <w:spacing w:val="-1"/>
        </w:rPr>
        <w:t>我们对财务报表发表的审计意见并不涵盖其他信息，我们也不对其他信息发表任何形式的鉴证结</w:t>
      </w:r>
      <w:r>
        <w:rPr>
          <w:spacing w:val="-55"/>
        </w:rPr>
        <w:t> </w:t>
      </w:r>
      <w:r>
        <w:rPr>
          <w:spacing w:val="-55"/>
        </w:rPr>
      </w:r>
      <w:r>
        <w:rPr/>
        <w:t>论。</w:t>
      </w:r>
      <w:r>
        <w:rPr>
          <w:spacing w:val="-103"/>
        </w:rPr>
        <w:t> </w:t>
      </w:r>
      <w:r>
        <w:rPr>
          <w:spacing w:val="-1"/>
        </w:rPr>
        <w:t>结合我们对财务报表的审计，我们的责任是阅读其他信息，在此过程中，考虑其他信息是否与财</w:t>
      </w:r>
      <w:r>
        <w:rPr>
          <w:spacing w:val="-55"/>
        </w:rPr>
        <w:t> </w:t>
      </w:r>
      <w:r>
        <w:rPr>
          <w:spacing w:val="-55"/>
        </w:rPr>
      </w:r>
      <w:r>
        <w:rPr/>
        <w:t>务报表或我们在审计过程中了解到的情况存在重大不一致或者似乎存在重大错报。</w:t>
      </w:r>
      <w:r>
        <w:rPr>
          <w:w w:val="100"/>
        </w:rPr>
        <w:t> </w:t>
      </w:r>
      <w:r>
        <w:rPr>
          <w:spacing w:val="-6"/>
        </w:rPr>
        <w:t>基于我们已执行的工作，如果我们确定其他信息存在重大错报，我们应当报告该事实。在这方面，</w:t>
      </w:r>
      <w:r>
        <w:rPr>
          <w:spacing w:val="-54"/>
        </w:rPr>
        <w:t> </w:t>
      </w:r>
      <w:r>
        <w:rPr>
          <w:spacing w:val="-54"/>
        </w:rPr>
      </w:r>
      <w:r>
        <w:rPr/>
        <w:t>我们无任何事项需要报告。</w:t>
      </w:r>
    </w:p>
    <w:p>
      <w:pPr>
        <w:spacing w:line="240" w:lineRule="auto" w:before="9"/>
        <w:rPr>
          <w:rFonts w:ascii="宋体" w:hAnsi="宋体" w:cs="宋体" w:eastAsia="宋体" w:hint="default"/>
          <w:sz w:val="18"/>
          <w:szCs w:val="18"/>
        </w:rPr>
      </w:pPr>
    </w:p>
    <w:p>
      <w:pPr>
        <w:pStyle w:val="BodyText"/>
        <w:spacing w:line="237" w:lineRule="auto"/>
        <w:ind w:right="100"/>
        <w:jc w:val="left"/>
      </w:pPr>
      <w:r>
        <w:rPr/>
        <w:t>五、管理层和治理层对财务报表的责任</w:t>
      </w:r>
      <w:r>
        <w:rPr>
          <w:w w:val="100"/>
        </w:rPr>
        <w:t> </w:t>
      </w:r>
      <w:r>
        <w:rPr>
          <w:spacing w:val="-1"/>
        </w:rPr>
        <w:t>管理层负责按照企业会计准则的规定编制财务报表，使其实现公允反映，并设计、执行和维护必</w:t>
      </w:r>
      <w:r>
        <w:rPr>
          <w:spacing w:val="-55"/>
        </w:rPr>
        <w:t> </w:t>
      </w:r>
      <w:r>
        <w:rPr>
          <w:spacing w:val="-55"/>
        </w:rPr>
      </w:r>
      <w:r>
        <w:rPr/>
        <w:t>要的内部控制，以使财务报表不存在由于舞弊或错误导致的重大错报。</w:t>
      </w:r>
      <w:r>
        <w:rPr>
          <w:w w:val="100"/>
        </w:rPr>
        <w:t> </w:t>
      </w:r>
      <w:r>
        <w:rPr>
          <w:spacing w:val="-1"/>
        </w:rPr>
        <w:t>在编制财务报表时，管理层负责评估贵公司的持续经营能力，披露与持续经营相关的事项（如适</w:t>
      </w:r>
      <w:r>
        <w:rPr>
          <w:spacing w:val="-55"/>
        </w:rPr>
        <w:t> </w:t>
      </w:r>
      <w:r>
        <w:rPr>
          <w:spacing w:val="-55"/>
        </w:rPr>
      </w:r>
      <w:r>
        <w:rPr>
          <w:spacing w:val="-4"/>
          <w:w w:val="100"/>
        </w:rPr>
        <w:t>用），并运用持续经营假设，除非管理层计划清算贵公司、终止运营或别无其他现实的选择。</w:t>
      </w:r>
      <w:r>
        <w:rPr>
          <w:spacing w:val="-102"/>
          <w:w w:val="100"/>
        </w:rPr>
        <w:t> </w:t>
      </w:r>
      <w:r>
        <w:rPr>
          <w:spacing w:val="-102"/>
          <w:w w:val="100"/>
        </w:rPr>
      </w:r>
      <w:r>
        <w:rPr/>
        <w:t>治理层负责监督贵公司的财务报告过程。</w:t>
      </w:r>
    </w:p>
    <w:p>
      <w:pPr>
        <w:spacing w:line="240" w:lineRule="auto" w:before="4"/>
        <w:rPr>
          <w:rFonts w:ascii="宋体" w:hAnsi="宋体" w:cs="宋体" w:eastAsia="宋体" w:hint="default"/>
          <w:sz w:val="18"/>
          <w:szCs w:val="18"/>
        </w:rPr>
      </w:pPr>
    </w:p>
    <w:p>
      <w:pPr>
        <w:pStyle w:val="BodyText"/>
        <w:spacing w:line="240" w:lineRule="auto"/>
        <w:ind w:right="100"/>
        <w:jc w:val="left"/>
      </w:pPr>
      <w:r>
        <w:rPr/>
        <w:t>六、注册会计师对财务报表审计的责任</w:t>
      </w:r>
      <w:r>
        <w:rPr>
          <w:w w:val="100"/>
        </w:rPr>
        <w:t> </w:t>
      </w:r>
      <w:r>
        <w:rPr>
          <w:spacing w:val="-1"/>
        </w:rPr>
        <w:t>我们的目标是对财务报表整体是否不存在由于舞弊或错误导致的重大错报获取合理保证，并出具</w:t>
      </w:r>
    </w:p>
    <w:p>
      <w:pPr>
        <w:spacing w:after="0" w:line="240" w:lineRule="auto"/>
        <w:jc w:val="left"/>
        <w:sectPr>
          <w:footerReference w:type="default" r:id="rId38"/>
          <w:pgSz w:w="11910" w:h="16840"/>
          <w:pgMar w:footer="1195" w:header="877" w:top="1100" w:bottom="1380" w:left="1660" w:right="1060"/>
        </w:sectPr>
      </w:pPr>
    </w:p>
    <w:p>
      <w:pPr>
        <w:spacing w:line="240" w:lineRule="auto" w:before="9"/>
        <w:rPr>
          <w:rFonts w:ascii="宋体" w:hAnsi="宋体" w:cs="宋体" w:eastAsia="宋体" w:hint="default"/>
          <w:sz w:val="25"/>
          <w:szCs w:val="25"/>
        </w:rPr>
      </w:pPr>
    </w:p>
    <w:p>
      <w:pPr>
        <w:pStyle w:val="BodyText"/>
        <w:spacing w:line="237" w:lineRule="auto" w:before="38"/>
        <w:ind w:right="0"/>
        <w:jc w:val="left"/>
      </w:pPr>
      <w:r>
        <w:rPr>
          <w:spacing w:val="-1"/>
        </w:rPr>
        <w:t>包含审计意见的审计报告。合理保证是高水平的保证，但并不能保证按照审计准则执行的审计在</w:t>
      </w:r>
      <w:r>
        <w:rPr>
          <w:spacing w:val="-55"/>
        </w:rPr>
        <w:t> </w:t>
      </w:r>
      <w:r>
        <w:rPr>
          <w:spacing w:val="-55"/>
        </w:rPr>
      </w:r>
      <w:r>
        <w:rPr>
          <w:spacing w:val="-1"/>
        </w:rPr>
        <w:t>某一重大错报存在时总能发现。错报可能由于舞弊或错误导致，如果合理预期错报单独或汇总起</w:t>
      </w:r>
      <w:r>
        <w:rPr>
          <w:spacing w:val="-55"/>
        </w:rPr>
        <w:t> </w:t>
      </w:r>
      <w:r>
        <w:rPr>
          <w:spacing w:val="-55"/>
        </w:rPr>
      </w:r>
      <w:r>
        <w:rPr/>
        <w:t>来可能影响财务报表使用者依据财务报表作出的经济决策，则通常认为错报是重大的。</w:t>
      </w:r>
      <w:r>
        <w:rPr>
          <w:w w:val="100"/>
        </w:rPr>
        <w:t> </w:t>
      </w:r>
      <w:r>
        <w:rPr>
          <w:spacing w:val="-1"/>
        </w:rPr>
        <w:t>在按照审计准则执行审计工作的过程中，我们运用职业判断，并保持职业怀疑。同时，我们也执</w:t>
      </w:r>
      <w:r>
        <w:rPr>
          <w:spacing w:val="-55"/>
        </w:rPr>
        <w:t> </w:t>
      </w:r>
      <w:r>
        <w:rPr>
          <w:spacing w:val="-55"/>
        </w:rPr>
      </w:r>
      <w:r>
        <w:rPr/>
        <w:t>行以下工作：</w:t>
      </w:r>
    </w:p>
    <w:p>
      <w:pPr>
        <w:pStyle w:val="BodyText"/>
        <w:spacing w:line="237" w:lineRule="auto" w:before="1"/>
        <w:ind w:right="128"/>
        <w:jc w:val="both"/>
      </w:pPr>
      <w:r>
        <w:rPr>
          <w:spacing w:val="-1"/>
        </w:rPr>
        <w:t>（一）识别和评估由于舞弊或错误导致的财务报表重大错报风险，设计和实施审计程序以应对这</w:t>
      </w:r>
      <w:r>
        <w:rPr>
          <w:spacing w:val="-55"/>
        </w:rPr>
        <w:t> </w:t>
      </w:r>
      <w:r>
        <w:rPr>
          <w:spacing w:val="-55"/>
        </w:rPr>
      </w:r>
      <w:r>
        <w:rPr>
          <w:spacing w:val="-1"/>
        </w:rPr>
        <w:t>些风险，并获取充分、适当的审计证据，作为发表审计意见的基础。由于舞弊可能涉及串通、伪</w:t>
      </w:r>
      <w:r>
        <w:rPr>
          <w:spacing w:val="-55"/>
        </w:rPr>
        <w:t> </w:t>
      </w:r>
      <w:r>
        <w:rPr>
          <w:spacing w:val="-55"/>
        </w:rPr>
      </w:r>
      <w:r>
        <w:rPr>
          <w:spacing w:val="-1"/>
        </w:rPr>
        <w:t>造、故意遗漏、虚假陈述或凌驾于内部控制之上，未能发现由于舞弊导致的重大错报的风险高于</w:t>
      </w:r>
      <w:r>
        <w:rPr>
          <w:spacing w:val="-55"/>
        </w:rPr>
        <w:t> </w:t>
      </w:r>
      <w:r>
        <w:rPr>
          <w:spacing w:val="-55"/>
        </w:rPr>
      </w:r>
      <w:r>
        <w:rPr/>
        <w:t>未能发现由于错误导致的重大错报的风险。</w:t>
      </w:r>
    </w:p>
    <w:p>
      <w:pPr>
        <w:pStyle w:val="BodyText"/>
        <w:spacing w:line="272" w:lineRule="exact"/>
        <w:ind w:right="0"/>
        <w:jc w:val="left"/>
      </w:pPr>
      <w:r>
        <w:rPr/>
        <w:t>（二）了解与审计相关的内部控制，以设计恰当的审计程序。</w:t>
      </w:r>
    </w:p>
    <w:p>
      <w:pPr>
        <w:pStyle w:val="BodyText"/>
        <w:spacing w:line="272" w:lineRule="exact"/>
        <w:ind w:right="0"/>
        <w:jc w:val="left"/>
      </w:pPr>
      <w:r>
        <w:rPr/>
        <w:t>（三）评价管理层选用会计政策的恰当性和作出会计估计及相关披露的合理性。</w:t>
      </w:r>
    </w:p>
    <w:p>
      <w:pPr>
        <w:pStyle w:val="BodyText"/>
        <w:spacing w:line="237" w:lineRule="auto" w:before="2"/>
        <w:ind w:right="128"/>
        <w:jc w:val="both"/>
      </w:pPr>
      <w:r>
        <w:rPr>
          <w:spacing w:val="-1"/>
        </w:rPr>
        <w:t>（四）对管理层使用持续经营假设的恰当性得出结论。同时，根据获取的审计证据，就可能导致</w:t>
      </w:r>
      <w:r>
        <w:rPr>
          <w:spacing w:val="-55"/>
        </w:rPr>
        <w:t> </w:t>
      </w:r>
      <w:r>
        <w:rPr>
          <w:spacing w:val="-55"/>
        </w:rPr>
      </w:r>
      <w:r>
        <w:rPr>
          <w:spacing w:val="-1"/>
        </w:rPr>
        <w:t>对贵公司持续经营能力产生重大疑虑的事项或情况是否存在重大不确定性得出结论。如果我们得</w:t>
      </w:r>
      <w:r>
        <w:rPr>
          <w:spacing w:val="-55"/>
        </w:rPr>
        <w:t> </w:t>
      </w:r>
      <w:r>
        <w:rPr>
          <w:spacing w:val="-55"/>
        </w:rPr>
      </w:r>
      <w:r>
        <w:rPr>
          <w:spacing w:val="-1"/>
        </w:rPr>
        <w:t>出结论认为存在重大不确定性，审计准则要求我们在审计报告中提请报表使用者注意财务报表中</w:t>
      </w:r>
      <w:r>
        <w:rPr>
          <w:spacing w:val="-55"/>
        </w:rPr>
        <w:t> </w:t>
      </w:r>
      <w:r>
        <w:rPr>
          <w:spacing w:val="-55"/>
        </w:rPr>
      </w:r>
      <w:r>
        <w:rPr>
          <w:spacing w:val="-1"/>
        </w:rPr>
        <w:t>的相关披露；如果披露不充分，我们应当发表非无保留意见。我们的结论基于截至审计报告日可</w:t>
      </w:r>
      <w:r>
        <w:rPr>
          <w:spacing w:val="-55"/>
        </w:rPr>
        <w:t> </w:t>
      </w:r>
      <w:r>
        <w:rPr>
          <w:spacing w:val="-55"/>
        </w:rPr>
      </w:r>
      <w:r>
        <w:rPr/>
        <w:t>获得的信息。然而，未来的事项或情况可能导致贵公司不能持续经营。</w:t>
      </w:r>
    </w:p>
    <w:p>
      <w:pPr>
        <w:pStyle w:val="BodyText"/>
        <w:spacing w:line="274" w:lineRule="exact" w:before="22"/>
        <w:ind w:right="124"/>
        <w:jc w:val="left"/>
      </w:pPr>
      <w:r>
        <w:rPr>
          <w:spacing w:val="-6"/>
          <w:w w:val="100"/>
        </w:rPr>
        <w:t>（五）评价财务报表的总体列报、结构和内容（包括披露），并评价财务报表是否公允反映相关交</w:t>
      </w:r>
      <w:r>
        <w:rPr>
          <w:w w:val="100"/>
        </w:rPr>
        <w:t> </w:t>
      </w:r>
      <w:r>
        <w:rPr/>
        <w:t>易和事项。</w:t>
      </w:r>
    </w:p>
    <w:p>
      <w:pPr>
        <w:pStyle w:val="BodyText"/>
        <w:spacing w:line="244" w:lineRule="exact"/>
        <w:ind w:right="0"/>
        <w:jc w:val="left"/>
      </w:pPr>
      <w:r>
        <w:rPr/>
        <w:t>（六）就贵公司中实体或业务活动的财务信息获取充分、恰当的审计证据，以对财务报表发表审</w:t>
      </w:r>
    </w:p>
    <w:p>
      <w:pPr>
        <w:pStyle w:val="BodyText"/>
        <w:spacing w:line="237" w:lineRule="auto"/>
        <w:ind w:right="0"/>
        <w:jc w:val="left"/>
      </w:pPr>
      <w:r>
        <w:rPr/>
        <w:t>计意见。我们负责指导、监督和执行集团审计，并对审计意见承担全部责任。</w:t>
      </w:r>
      <w:r>
        <w:rPr>
          <w:w w:val="100"/>
        </w:rPr>
        <w:t> </w:t>
      </w:r>
      <w:r>
        <w:rPr>
          <w:spacing w:val="-1"/>
        </w:rPr>
        <w:t>我们与治理层就计划的审计范围、时间安排和重大审计发现等事项进行沟通，包括沟通我们在审</w:t>
      </w:r>
      <w:r>
        <w:rPr>
          <w:spacing w:val="-55"/>
        </w:rPr>
        <w:t> </w:t>
      </w:r>
      <w:r>
        <w:rPr>
          <w:spacing w:val="-55"/>
        </w:rPr>
      </w:r>
      <w:r>
        <w:rPr/>
        <w:t>计中识别出的值得关注的内部控制缺陷。</w:t>
      </w:r>
      <w:r>
        <w:rPr>
          <w:w w:val="100"/>
        </w:rPr>
        <w:t> </w:t>
      </w:r>
      <w:r>
        <w:rPr>
          <w:spacing w:val="-1"/>
        </w:rPr>
        <w:t>我们还就遵守与独立性相关的职业道德要求向治理层提供声明，并与治理层沟通可能被合理认为</w:t>
      </w:r>
      <w:r>
        <w:rPr>
          <w:spacing w:val="-55"/>
        </w:rPr>
        <w:t> </w:t>
      </w:r>
      <w:r>
        <w:rPr>
          <w:spacing w:val="-55"/>
        </w:rPr>
      </w:r>
      <w:r>
        <w:rPr>
          <w:spacing w:val="-5"/>
          <w:w w:val="100"/>
        </w:rPr>
        <w:t>影响我们独立性的所有关系和其他事项，以及相关的防范措施（如适用）。</w:t>
      </w:r>
      <w:r>
        <w:rPr>
          <w:spacing w:val="-89"/>
          <w:w w:val="100"/>
        </w:rPr>
        <w:t> </w:t>
      </w:r>
      <w:r>
        <w:rPr>
          <w:spacing w:val="-89"/>
          <w:w w:val="100"/>
        </w:rPr>
      </w:r>
      <w:r>
        <w:rPr>
          <w:spacing w:val="-1"/>
        </w:rPr>
        <w:t>从与治理层沟通过的事项中，我们确定哪些事项对本期财务报表审计最为重要，因而构成关键审</w:t>
      </w:r>
      <w:r>
        <w:rPr>
          <w:spacing w:val="-55"/>
        </w:rPr>
        <w:t> </w:t>
      </w:r>
      <w:r>
        <w:rPr>
          <w:spacing w:val="-55"/>
        </w:rPr>
      </w:r>
      <w:r>
        <w:rPr>
          <w:spacing w:val="-1"/>
        </w:rPr>
        <w:t>计事项。我们在审计报告中描述这些事项，除非法律法规禁止公开披露这些事项，或在极少数情</w:t>
      </w:r>
      <w:r>
        <w:rPr>
          <w:spacing w:val="-55"/>
        </w:rPr>
        <w:t> </w:t>
      </w:r>
      <w:r>
        <w:rPr>
          <w:spacing w:val="-55"/>
        </w:rPr>
      </w:r>
      <w:r>
        <w:rPr>
          <w:spacing w:val="-1"/>
        </w:rPr>
        <w:t>形下，如果合理预期在审计报告中沟通某事项造成的负面后果超过在公众利益方面产生的益处，</w:t>
      </w:r>
      <w:r>
        <w:rPr>
          <w:spacing w:val="-55"/>
        </w:rPr>
        <w:t> </w:t>
      </w:r>
      <w:r>
        <w:rPr>
          <w:spacing w:val="-55"/>
        </w:rPr>
      </w:r>
      <w:r>
        <w:rPr/>
        <w:t>我们确定不应在审计报告中沟通该事项。</w:t>
      </w:r>
    </w:p>
    <w:p>
      <w:pPr>
        <w:spacing w:line="240" w:lineRule="auto" w:before="0"/>
        <w:rPr>
          <w:rFonts w:ascii="宋体" w:hAnsi="宋体" w:cs="宋体" w:eastAsia="宋体" w:hint="default"/>
          <w:sz w:val="21"/>
          <w:szCs w:val="21"/>
        </w:rPr>
      </w:pPr>
    </w:p>
    <w:p>
      <w:pPr>
        <w:pStyle w:val="BodyText"/>
        <w:tabs>
          <w:tab w:pos="5601" w:val="left" w:leader="none"/>
        </w:tabs>
        <w:spacing w:line="240" w:lineRule="auto"/>
        <w:ind w:right="0"/>
        <w:jc w:val="left"/>
      </w:pPr>
      <w:r>
        <w:rPr>
          <w:spacing w:val="-2"/>
        </w:rPr>
        <w:t>大信会计师事务所（特殊普通合伙）</w:t>
        <w:tab/>
        <w:t>中国注册会计师：</w:t>
      </w:r>
    </w:p>
    <w:p>
      <w:pPr>
        <w:pStyle w:val="BodyText"/>
        <w:spacing w:line="240" w:lineRule="auto" w:before="39"/>
        <w:ind w:left="5704" w:right="0"/>
        <w:jc w:val="left"/>
      </w:pPr>
      <w:r>
        <w:rPr/>
        <w:t>（项目合伙人）</w:t>
      </w:r>
    </w:p>
    <w:p>
      <w:pPr>
        <w:spacing w:line="240" w:lineRule="auto" w:before="2"/>
        <w:rPr>
          <w:rFonts w:ascii="宋体" w:hAnsi="宋体" w:cs="宋体" w:eastAsia="宋体" w:hint="default"/>
          <w:sz w:val="24"/>
          <w:szCs w:val="24"/>
        </w:rPr>
      </w:pPr>
    </w:p>
    <w:p>
      <w:pPr>
        <w:pStyle w:val="BodyText"/>
        <w:tabs>
          <w:tab w:pos="874" w:val="left" w:leader="none"/>
          <w:tab w:pos="1294" w:val="left" w:leader="none"/>
          <w:tab w:pos="5598" w:val="left" w:leader="none"/>
        </w:tabs>
        <w:spacing w:line="240" w:lineRule="auto"/>
        <w:ind w:right="0"/>
        <w:jc w:val="left"/>
      </w:pPr>
      <w:r>
        <w:rPr/>
        <w:t>中</w:t>
      </w:r>
      <w:r>
        <w:rPr>
          <w:spacing w:val="2"/>
        </w:rPr>
        <w:t> </w:t>
      </w:r>
      <w:r>
        <w:rPr/>
        <w:t>国</w:t>
        <w:tab/>
        <w:t>·</w:t>
        <w:tab/>
        <w:t>北 京</w:t>
        <w:tab/>
        <w:t>中国注册会计师：</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0" w:right="130"/>
        <w:jc w:val="right"/>
      </w:pPr>
      <w:r>
        <w:rPr>
          <w:spacing w:val="-2"/>
        </w:rPr>
        <w:t>二○一八年三月十八日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39"/>
          <w:pgSz w:w="11910" w:h="16840"/>
          <w:pgMar w:footer="1195" w:header="877" w:top="1100" w:bottom="1380" w:left="1660" w:right="1140"/>
          <w:pgNumType w:start="71"/>
        </w:sectPr>
      </w:pPr>
    </w:p>
    <w:p>
      <w:pPr>
        <w:pStyle w:val="Heading2"/>
        <w:spacing w:line="240" w:lineRule="auto"/>
        <w:ind w:right="-14"/>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right="-1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泰豪科技股份有限公司</w:t>
      </w:r>
    </w:p>
    <w:p>
      <w:pPr>
        <w:spacing w:line="240" w:lineRule="auto" w:before="1"/>
        <w:rPr>
          <w:rFonts w:ascii="宋体" w:hAnsi="宋体" w:cs="宋体" w:eastAsia="宋体" w:hint="default"/>
          <w:sz w:val="28"/>
          <w:szCs w:val="28"/>
        </w:rPr>
      </w:pPr>
      <w:r>
        <w:rPr/>
        <w:br w:type="column"/>
      </w:r>
      <w:r>
        <w:rPr>
          <w:rFonts w:ascii="宋体"/>
          <w:sz w:val="28"/>
        </w:rPr>
      </w:r>
    </w:p>
    <w:p>
      <w:pPr>
        <w:pStyle w:val="Heading2"/>
        <w:spacing w:line="274" w:lineRule="exact" w:before="0"/>
        <w:ind w:left="135" w:right="0"/>
        <w:jc w:val="center"/>
        <w:rPr>
          <w:b w:val="0"/>
          <w:bCs w:val="0"/>
        </w:rPr>
      </w:pPr>
      <w:r>
        <w:rPr/>
        <w:t>合并资产负债表</w:t>
      </w:r>
      <w:r>
        <w:rPr>
          <w:b w:val="0"/>
          <w:bCs w:val="0"/>
        </w:rPr>
      </w:r>
    </w:p>
    <w:p>
      <w:pPr>
        <w:pStyle w:val="BodyText"/>
        <w:spacing w:line="290" w:lineRule="exact"/>
        <w:ind w:right="0"/>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40"/>
          <w:cols w:num="3" w:equalWidth="0">
            <w:col w:w="3244" w:space="306"/>
            <w:col w:w="1874" w:space="1402"/>
            <w:col w:w="2284"/>
          </w:cols>
        </w:sectPr>
      </w:pPr>
    </w:p>
    <w:tbl>
      <w:tblPr>
        <w:tblW w:w="0" w:type="auto"/>
        <w:jc w:val="left"/>
        <w:tblInd w:w="282" w:type="dxa"/>
        <w:tblLayout w:type="fixed"/>
        <w:tblCellMar>
          <w:top w:w="0" w:type="dxa"/>
          <w:left w:w="0" w:type="dxa"/>
          <w:bottom w:w="0" w:type="dxa"/>
          <w:right w:w="0" w:type="dxa"/>
        </w:tblCellMar>
        <w:tblLook w:val="01E0"/>
      </w:tblPr>
      <w:tblGrid>
        <w:gridCol w:w="4897"/>
        <w:gridCol w:w="478"/>
        <w:gridCol w:w="1633"/>
        <w:gridCol w:w="1526"/>
      </w:tblGrid>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3637"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1,139,922,982.80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1,399,785,135.41</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282" w:type="dxa"/>
        <w:tblLayout w:type="fixed"/>
        <w:tblCellMar>
          <w:top w:w="0" w:type="dxa"/>
          <w:left w:w="0" w:type="dxa"/>
          <w:bottom w:w="0" w:type="dxa"/>
          <w:right w:w="0" w:type="dxa"/>
        </w:tblCellMar>
        <w:tblLook w:val="01E0"/>
      </w:tblPr>
      <w:tblGrid>
        <w:gridCol w:w="4897"/>
        <w:gridCol w:w="478"/>
        <w:gridCol w:w="1633"/>
        <w:gridCol w:w="1526"/>
      </w:tblGrid>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122,037,890.84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83,044,926.00</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3,681,828,422.10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2,409,710,286.50</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319,700,666.20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226,348,555.71</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424,717,086.61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324,363,783.90</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1"/>
                <w:sz w:val="21"/>
              </w:rPr>
              <w:t>930,246,593.52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1"/>
                <w:sz w:val="21"/>
              </w:rPr>
              <w:t>859,581,995.01</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48,908,573.24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65,812,268.36</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18,317,054.15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66,931,381.83</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6,685,679,269.46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5,435,578,332.72</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3637"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703,343,362.81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436,360,333.08</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260,362,844.96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219,570,199.20</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289,216,397.21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277,686,549.77</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75,971,625.23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80,503,878.53</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611,792,607.81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724,599,346.45</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2"/>
                <w:sz w:val="21"/>
              </w:rPr>
              <w:t>44,116,394.13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36,098,603.08</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302,814,286.31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316,996,244.42</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100,711,820.55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79,552,178.21</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1,229,216,836.64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787,049,402.71</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15,356,459.14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5,959,378.87</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25,372,342.89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17,753,832.01</w:t>
            </w:r>
          </w:p>
        </w:tc>
      </w:tr>
      <w:tr>
        <w:trPr>
          <w:trHeight w:val="289"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170,000,000.00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170,000,000.00</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3,828,274,977.68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3,152,129,946.33</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10,513,954,247.14</w:t>
            </w:r>
            <w:r>
              <w:rPr>
                <w:rFonts w:ascii="Times New Roman"/>
                <w:sz w:val="21"/>
              </w:rPr>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8,587,708,279.05</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363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1,184,622,138.00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484,000,000.00</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1,038,932,537.22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893,233,768.18</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1,906,855,248.91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1,367,570,725.04</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242,872,988.38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209,750,277.41</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282" w:type="dxa"/>
        <w:tblLayout w:type="fixed"/>
        <w:tblCellMar>
          <w:top w:w="0" w:type="dxa"/>
          <w:left w:w="0" w:type="dxa"/>
          <w:bottom w:w="0" w:type="dxa"/>
          <w:right w:w="0" w:type="dxa"/>
        </w:tblCellMar>
        <w:tblLook w:val="01E0"/>
      </w:tblPr>
      <w:tblGrid>
        <w:gridCol w:w="4897"/>
        <w:gridCol w:w="478"/>
        <w:gridCol w:w="1633"/>
        <w:gridCol w:w="1526"/>
      </w:tblGrid>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9,148,388.15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10,496,301.87</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179,775,374.37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122,657,705.90</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29,678,947.16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28,045,688.67</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253,425,104.79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145,891,814.42</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1"/>
                <w:sz w:val="21"/>
              </w:rPr>
              <w:t>61,190,000.00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1"/>
                <w:sz w:val="21"/>
              </w:rPr>
              <w:t>27,190,000.00</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4,906,500,726.98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3,288,836,281.49</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401,019,089.00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48,356,362.00</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1,277,812,724.15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1,274,555,591.96</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41,037,040.31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39,125,708.87</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6,762,857.28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7,462,062.23</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1,726,631,710.74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1,369,499,725.06</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6,633,132,437.72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4,658,336,006.55</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3637"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666,960,584.00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666,960,584.00</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2,487,862,032.25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2,470,730,106.20</w:t>
            </w:r>
          </w:p>
        </w:tc>
      </w:tr>
      <w:tr>
        <w:trPr>
          <w:trHeight w:val="289"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268,960,699.04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2,240,000.00</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93,199.50</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2"/>
                <w:sz w:val="21"/>
              </w:rPr>
              <w:t>97,970,211.84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91,930,251.69</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746,450,757.63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580,591,243.23</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3,730,376,086.18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3,807,972,185.12</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150,445,723.24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121,400,087.38</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3,880,821,809.42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3,929,372,272.50</w:t>
            </w:r>
          </w:p>
        </w:tc>
      </w:tr>
      <w:tr>
        <w:trPr>
          <w:trHeight w:val="288" w:hRule="exact"/>
        </w:trPr>
        <w:tc>
          <w:tcPr>
            <w:tcW w:w="4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10,513,954,247.14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8,587,708,279.05</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6"/>
        <w:ind w:right="0"/>
        <w:jc w:val="left"/>
      </w:pPr>
      <w:r>
        <w:rPr/>
        <w:t>法定代表人：杨剑 主管会计工作负责人：朱宇华</w:t>
      </w:r>
      <w:r>
        <w:rPr>
          <w:spacing w:val="-9"/>
        </w:rPr>
        <w:t> </w:t>
      </w:r>
      <w:r>
        <w:rPr/>
        <w:t>会计机构负责人：熊美福</w:t>
      </w:r>
    </w:p>
    <w:p>
      <w:pPr>
        <w:spacing w:after="0" w:line="240"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660" w:right="11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right="0"/>
        <w:jc w:val="left"/>
      </w:pPr>
      <w:r>
        <w:rPr>
          <w:spacing w:val="-2"/>
        </w:rPr>
        <w:t>编制单位</w:t>
      </w:r>
      <w:r>
        <w:rPr>
          <w:rFonts w:ascii="Times New Roman" w:hAnsi="Times New Roman" w:cs="Times New Roman" w:eastAsia="Times New Roman" w:hint="default"/>
          <w:spacing w:val="-2"/>
        </w:rPr>
        <w:t>:</w:t>
      </w:r>
      <w:r>
        <w:rPr>
          <w:spacing w:val="-2"/>
        </w:rPr>
        <w:t>泰豪科技股份有限公司</w:t>
      </w:r>
    </w:p>
    <w:p>
      <w:pPr>
        <w:pStyle w:val="Heading2"/>
        <w:spacing w:line="274" w:lineRule="exact"/>
        <w:ind w:left="159" w:right="-16"/>
        <w:jc w:val="left"/>
        <w:rPr>
          <w:b w:val="0"/>
          <w:bCs w:val="0"/>
        </w:rPr>
      </w:pPr>
      <w:r>
        <w:rPr>
          <w:b w:val="0"/>
          <w:bCs w:val="0"/>
        </w:rPr>
        <w:br w:type="column"/>
      </w:r>
      <w:r>
        <w:rPr/>
        <w:t>母公司资产负债表</w:t>
      </w:r>
      <w:r>
        <w:rPr>
          <w:b w:val="0"/>
          <w:bCs w:val="0"/>
        </w:rPr>
      </w:r>
    </w:p>
    <w:p>
      <w:pPr>
        <w:pStyle w:val="BodyText"/>
        <w:spacing w:line="290" w:lineRule="exact"/>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40"/>
          <w:cols w:num="3" w:equalWidth="0">
            <w:col w:w="3141" w:space="409"/>
            <w:col w:w="1874" w:space="1402"/>
            <w:col w:w="2284"/>
          </w:cols>
        </w:sectPr>
      </w:pPr>
    </w:p>
    <w:tbl>
      <w:tblPr>
        <w:tblW w:w="0" w:type="auto"/>
        <w:jc w:val="left"/>
        <w:tblInd w:w="274" w:type="dxa"/>
        <w:tblLayout w:type="fixed"/>
        <w:tblCellMar>
          <w:top w:w="0" w:type="dxa"/>
          <w:left w:w="0" w:type="dxa"/>
          <w:bottom w:w="0" w:type="dxa"/>
          <w:right w:w="0" w:type="dxa"/>
        </w:tblCellMar>
        <w:tblLook w:val="01E0"/>
      </w:tblPr>
      <w:tblGrid>
        <w:gridCol w:w="5017"/>
        <w:gridCol w:w="478"/>
        <w:gridCol w:w="1527"/>
        <w:gridCol w:w="1526"/>
      </w:tblGrid>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3531"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763,607,597.96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957,958,634.29</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49,122,176.70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19,657,800.87</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1,175,531,537.81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945,703,259.14</w:t>
            </w:r>
          </w:p>
        </w:tc>
      </w:tr>
      <w:tr>
        <w:trPr>
          <w:trHeight w:val="289"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256,157,549.52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294,077,008.85</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40,000,000.00</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1,108,336,684.62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931,082,887.91</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305,807,266.56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210,486,662.10</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52,350,000.00</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48,908,573.24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65,812,268.36</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748,589.13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50,731,188.19</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3,748,219,975.54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3,527,859,709.71</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3531"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532,000,000.00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206,000,000.00</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209,062,844.96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219,570,199.20</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2,842,534,377.67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2,375,957,843.15</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7,246,492.09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7,822,124.29</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248,412,335.30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235,677,021.05</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20,931,804.83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17,065,848.56</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73,395,451.41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65,826,695.27</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6,443,147.37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2"/>
                <w:sz w:val="21"/>
              </w:rPr>
              <w:t>11,523,665.16</w:t>
            </w:r>
          </w:p>
        </w:tc>
      </w:tr>
      <w:tr>
        <w:trPr>
          <w:trHeight w:val="289"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2"/>
                <w:sz w:val="21"/>
              </w:rPr>
              <w:t>110,276.09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1,149,197.13</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170,000,000.00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170,000,000.00</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2"/>
                <w:sz w:val="21"/>
              </w:rPr>
              <w:t>4,110,136,729.72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3,310,592,593.81</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7,858,356,705.26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6,838,452,303.52</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3531"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735,520,000.00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200,000,000.00</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559,614,263.19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490,418,587.90</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712,168,012.74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728,543,981.07</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212,999,928.36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104,930,143.43</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785,415.64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777,659.16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274" w:type="dxa"/>
        <w:tblLayout w:type="fixed"/>
        <w:tblCellMar>
          <w:top w:w="0" w:type="dxa"/>
          <w:left w:w="0" w:type="dxa"/>
          <w:bottom w:w="0" w:type="dxa"/>
          <w:right w:w="0" w:type="dxa"/>
        </w:tblCellMar>
        <w:tblLook w:val="01E0"/>
      </w:tblPr>
      <w:tblGrid>
        <w:gridCol w:w="5017"/>
        <w:gridCol w:w="478"/>
        <w:gridCol w:w="1527"/>
        <w:gridCol w:w="1526"/>
      </w:tblGrid>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5"/>
              <w:jc w:val="right"/>
              <w:rPr>
                <w:rFonts w:ascii="Times New Roman" w:hAnsi="Times New Roman" w:cs="Times New Roman" w:eastAsia="Times New Roman" w:hint="default"/>
                <w:sz w:val="21"/>
                <w:szCs w:val="21"/>
              </w:rPr>
            </w:pPr>
            <w:r>
              <w:rPr>
                <w:rFonts w:ascii="Times New Roman"/>
                <w:spacing w:val="-1"/>
                <w:sz w:val="21"/>
              </w:rPr>
              <w:t>38,972,790.70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1"/>
                <w:sz w:val="21"/>
              </w:rPr>
              <w:t>47,580,762.13</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29,390,552.38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27,748,355.34</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550,698,077.46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332,320,978.55</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61,190,000.00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27,190,000.00</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2,901,339,040.47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1,959,510,467.58</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3531"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401,019,089.00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48,356,362.00</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1,277,812,724.15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1,274,555,591.96</w:t>
            </w:r>
          </w:p>
        </w:tc>
      </w:tr>
      <w:tr>
        <w:trPr>
          <w:trHeight w:val="289"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13,133,332.71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15,095,332.83</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1,691,965,145.86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1,338,007,286.79</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4,593,304,186.33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3,297,517,754.37</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3531"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666,960,584.00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666,960,584.00</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2,487,763,015.14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2,477,288,677.77</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268,960,699.04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2,240,000.00</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2"/>
                <w:sz w:val="21"/>
              </w:rPr>
              <w:t>97,970,211.84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91,930,251.69</w:t>
            </w:r>
          </w:p>
        </w:tc>
      </w:tr>
      <w:tr>
        <w:trPr>
          <w:trHeight w:val="286"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281,319,406.99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306,995,035.69</w:t>
            </w:r>
          </w:p>
        </w:tc>
      </w:tr>
      <w:tr>
        <w:trPr>
          <w:trHeight w:val="288"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3,265,052,518.93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3,540,934,549.15</w:t>
            </w:r>
          </w:p>
        </w:tc>
      </w:tr>
      <w:tr>
        <w:trPr>
          <w:trHeight w:val="289" w:hRule="exact"/>
        </w:trPr>
        <w:tc>
          <w:tcPr>
            <w:tcW w:w="5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5"/>
              <w:jc w:val="right"/>
              <w:rPr>
                <w:rFonts w:ascii="Times New Roman" w:hAnsi="Times New Roman" w:cs="Times New Roman" w:eastAsia="Times New Roman" w:hint="default"/>
                <w:sz w:val="21"/>
                <w:szCs w:val="21"/>
              </w:rPr>
            </w:pPr>
            <w:r>
              <w:rPr>
                <w:rFonts w:ascii="Times New Roman"/>
                <w:spacing w:val="-1"/>
                <w:sz w:val="21"/>
              </w:rPr>
              <w:t>7,858,356,705.26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6,838,452,303.52</w:t>
            </w:r>
          </w:p>
        </w:tc>
      </w:tr>
    </w:tbl>
    <w:p>
      <w:pPr>
        <w:spacing w:line="240" w:lineRule="auto" w:before="7"/>
        <w:rPr>
          <w:rFonts w:ascii="宋体" w:hAnsi="宋体" w:cs="宋体" w:eastAsia="宋体" w:hint="default"/>
          <w:sz w:val="15"/>
          <w:szCs w:val="15"/>
        </w:rPr>
      </w:pPr>
    </w:p>
    <w:p>
      <w:pPr>
        <w:pStyle w:val="BodyText"/>
        <w:spacing w:line="240" w:lineRule="auto" w:before="36"/>
        <w:ind w:right="0"/>
        <w:jc w:val="left"/>
      </w:pPr>
      <w:r>
        <w:rPr/>
        <w:t>法定代表人：杨剑 主管会计工作负责人：朱宇华</w:t>
      </w:r>
      <w:r>
        <w:rPr>
          <w:spacing w:val="-9"/>
        </w:rPr>
        <w:t> </w:t>
      </w:r>
      <w:r>
        <w:rPr/>
        <w:t>会计机构负责人：熊美福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5" w:top="1100" w:bottom="1380" w:left="1660" w:right="1120"/>
        </w:sectPr>
      </w:pPr>
    </w:p>
    <w:p>
      <w:pPr>
        <w:pStyle w:val="Heading2"/>
        <w:spacing w:line="274" w:lineRule="exact"/>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5319" w:space="40"/>
            <w:col w:w="3771"/>
          </w:cols>
        </w:sectPr>
      </w:pPr>
    </w:p>
    <w:tbl>
      <w:tblPr>
        <w:tblW w:w="0" w:type="auto"/>
        <w:jc w:val="left"/>
        <w:tblInd w:w="102" w:type="dxa"/>
        <w:tblLayout w:type="fixed"/>
        <w:tblCellMar>
          <w:top w:w="0" w:type="dxa"/>
          <w:left w:w="0" w:type="dxa"/>
          <w:bottom w:w="0" w:type="dxa"/>
          <w:right w:w="0" w:type="dxa"/>
        </w:tblCellMar>
        <w:tblLook w:val="01E0"/>
      </w:tblPr>
      <w:tblGrid>
        <w:gridCol w:w="5413"/>
        <w:gridCol w:w="425"/>
        <w:gridCol w:w="1527"/>
        <w:gridCol w:w="1526"/>
      </w:tblGrid>
      <w:tr>
        <w:trPr>
          <w:trHeight w:val="559"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w w:val="100"/>
                <w:sz w:val="21"/>
                <w:szCs w:val="21"/>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5,100,618,164.65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3,901,935,660.39</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5,100,618,164.65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3,901,935,660.39</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5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5413"/>
        <w:gridCol w:w="425"/>
        <w:gridCol w:w="1527"/>
        <w:gridCol w:w="1526"/>
      </w:tblGrid>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5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4,945,629,342.30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3,799,164,699.98</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4,249,334,312.89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3,221,342,827.18</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31,055,789.25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19,995,308.30</w:t>
            </w:r>
          </w:p>
        </w:tc>
      </w:tr>
      <w:tr>
        <w:trPr>
          <w:trHeight w:val="289"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5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5"/>
              <w:jc w:val="right"/>
              <w:rPr>
                <w:rFonts w:ascii="Times New Roman" w:hAnsi="Times New Roman" w:cs="Times New Roman" w:eastAsia="Times New Roman" w:hint="default"/>
                <w:sz w:val="21"/>
                <w:szCs w:val="21"/>
              </w:rPr>
            </w:pPr>
            <w:r>
              <w:rPr>
                <w:rFonts w:ascii="Times New Roman"/>
                <w:spacing w:val="-1"/>
                <w:sz w:val="21"/>
              </w:rPr>
              <w:t>177,005,089.98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
              <w:jc w:val="right"/>
              <w:rPr>
                <w:rFonts w:ascii="Times New Roman" w:hAnsi="Times New Roman" w:cs="Times New Roman" w:eastAsia="Times New Roman" w:hint="default"/>
                <w:sz w:val="21"/>
                <w:szCs w:val="21"/>
              </w:rPr>
            </w:pPr>
            <w:r>
              <w:rPr>
                <w:rFonts w:ascii="Times New Roman"/>
                <w:spacing w:val="-1"/>
                <w:sz w:val="21"/>
              </w:rPr>
              <w:t>154,335,278.86</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296,751,000.12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272,283,874.22</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2"/>
                <w:sz w:val="21"/>
              </w:rPr>
              <w:t>111,099,161.36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69,523,822.56</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80,383,988.70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61,683,588.86</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128,975,309.63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72,679,673.89</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24,051,207.53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2"/>
                <w:sz w:val="21"/>
              </w:rPr>
              <w:t>17,388,915.11</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2"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2"/>
                <w:sz w:val="21"/>
              </w:rPr>
              <w:t>2,119,508.27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-14,534,465.79</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19,859,602.77</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305,943,243.02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160,916,168.51</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6,019,430.10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30,685,386.60</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2"/>
                <w:sz w:val="21"/>
              </w:rPr>
              <w:t>8,111,570.51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25,275,390.51</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303,851,102.61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166,326,164.60</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44,525,780.24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28,967,603.89</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259,325,322.37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137,358,560.71</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按经营持续性分类</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201,708,613.59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124,678,054.40</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57,616,708.78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12,680,506.31</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按所有权归属分类</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少数股东损益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7,390,577.74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13,529,331.41</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归属于母公司股东的净利润</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251,934,744.63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123,829,229.30</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93,199.50</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5"/>
              <w:jc w:val="right"/>
              <w:rPr>
                <w:rFonts w:ascii="Times New Roman" w:hAnsi="Times New Roman" w:cs="Times New Roman" w:eastAsia="Times New Roman" w:hint="default"/>
                <w:sz w:val="21"/>
                <w:szCs w:val="21"/>
              </w:rPr>
            </w:pPr>
            <w:r>
              <w:rPr>
                <w:rFonts w:ascii="Times New Roman"/>
                <w:spacing w:val="-1"/>
                <w:sz w:val="21"/>
              </w:rPr>
              <w:t>93,199.50</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重新计量设定受益计划净负债或净资产的变动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65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权益法下在被投资单位不能重分类进损益的其他</w:t>
            </w:r>
          </w:p>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综合收益中享有的份额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93,199.50</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65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权益法下在被投资单位以后将重分类进损益的其</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他综合收益中享有的份额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持有至到期投资重分类为可供出售金融资产损益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93,199.50</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5413"/>
        <w:gridCol w:w="425"/>
        <w:gridCol w:w="1527"/>
        <w:gridCol w:w="1526"/>
      </w:tblGrid>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5"/>
              <w:jc w:val="right"/>
              <w:rPr>
                <w:rFonts w:ascii="Times New Roman" w:hAnsi="Times New Roman" w:cs="Times New Roman" w:eastAsia="Times New Roman" w:hint="default"/>
                <w:sz w:val="21"/>
                <w:szCs w:val="21"/>
              </w:rPr>
            </w:pPr>
            <w:r>
              <w:rPr>
                <w:rFonts w:ascii="Times New Roman"/>
                <w:spacing w:val="-1"/>
                <w:sz w:val="21"/>
              </w:rPr>
              <w:t>259,418,521.87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
              <w:jc w:val="right"/>
              <w:rPr>
                <w:rFonts w:ascii="Times New Roman" w:hAnsi="Times New Roman" w:cs="Times New Roman" w:eastAsia="Times New Roman" w:hint="default"/>
                <w:sz w:val="21"/>
                <w:szCs w:val="21"/>
              </w:rPr>
            </w:pPr>
            <w:r>
              <w:rPr>
                <w:rFonts w:ascii="Times New Roman"/>
                <w:spacing w:val="-1"/>
                <w:sz w:val="21"/>
              </w:rPr>
              <w:t>137,358,560.71</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252,027,944.13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123,829,229.30</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7,390,577.74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13,529,331.41</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z w:val="21"/>
              </w:rPr>
              <w:t>0.38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z w:val="21"/>
              </w:rPr>
              <w:t>0.19</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3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0.38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0.19</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0"/>
        <w:jc w:val="left"/>
      </w:pPr>
      <w:r>
        <w:rPr/>
        <w:t>定代表人：杨剑 主管会计工作负责人：朱宇华</w:t>
      </w:r>
      <w:r>
        <w:rPr>
          <w:spacing w:val="-7"/>
        </w:rPr>
        <w:t> </w:t>
      </w:r>
      <w:r>
        <w:rPr/>
        <w:t>会计机构负责人：熊美福</w:t>
      </w:r>
    </w:p>
    <w:p>
      <w:pPr>
        <w:spacing w:line="240" w:lineRule="auto" w:before="0"/>
        <w:rPr>
          <w:rFonts w:ascii="宋体" w:hAnsi="宋体" w:cs="宋体" w:eastAsia="宋体" w:hint="default"/>
          <w:sz w:val="19"/>
          <w:szCs w:val="19"/>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144.65pt;height:.6pt;mso-position-horizontal-relative:char;mso-position-vertical-relative:line" coordorigin="0,0" coordsize="2893,12">
            <v:group style="position:absolute;left:6;top:6;width:2881;height:2" coordorigin="6,6" coordsize="2881,2">
              <v:shape style="position:absolute;left:6;top:6;width:2881;height:2" coordorigin="6,6" coordsize="2881,0" path="m6,6l2886,6e" filled="false" stroked="true" strokeweight=".600010pt" strokecolor="#008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1195" w:top="1100" w:bottom="1380" w:left="166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1195" w:top="1100" w:bottom="1380" w:left="1660" w:right="1120"/>
        </w:sectPr>
      </w:pPr>
    </w:p>
    <w:p>
      <w:pPr>
        <w:pStyle w:val="Heading2"/>
        <w:spacing w:line="274" w:lineRule="exact"/>
        <w:ind w:left="0" w:right="129"/>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5319" w:space="40"/>
            <w:col w:w="3771"/>
          </w:cols>
        </w:sectPr>
      </w:pPr>
    </w:p>
    <w:tbl>
      <w:tblPr>
        <w:tblW w:w="0" w:type="auto"/>
        <w:jc w:val="left"/>
        <w:tblInd w:w="102" w:type="dxa"/>
        <w:tblLayout w:type="fixed"/>
        <w:tblCellMar>
          <w:top w:w="0" w:type="dxa"/>
          <w:left w:w="0" w:type="dxa"/>
          <w:bottom w:w="0" w:type="dxa"/>
          <w:right w:w="0" w:type="dxa"/>
        </w:tblCellMar>
        <w:tblLook w:val="01E0"/>
      </w:tblPr>
      <w:tblGrid>
        <w:gridCol w:w="5413"/>
        <w:gridCol w:w="425"/>
        <w:gridCol w:w="1527"/>
        <w:gridCol w:w="1526"/>
      </w:tblGrid>
      <w:tr>
        <w:trPr>
          <w:trHeight w:val="562"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w w:val="100"/>
                <w:sz w:val="21"/>
                <w:szCs w:val="21"/>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1,628,716,624.87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1,479,353,841.43</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1,463,210,777.31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1,378,757,336.26</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9,189,627.89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6,912,141.93</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40,919,479.05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37,174,142.01</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78,683,470.03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67,481,716.19</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79,081,148.90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41,058,617.12</w:t>
            </w:r>
          </w:p>
        </w:tc>
      </w:tr>
      <w:tr>
        <w:trPr>
          <w:trHeight w:val="289"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5"/>
              <w:jc w:val="right"/>
              <w:rPr>
                <w:rFonts w:ascii="Times New Roman" w:hAnsi="Times New Roman" w:cs="Times New Roman" w:eastAsia="Times New Roman" w:hint="default"/>
                <w:sz w:val="21"/>
                <w:szCs w:val="21"/>
              </w:rPr>
            </w:pPr>
            <w:r>
              <w:rPr>
                <w:rFonts w:ascii="Times New Roman"/>
                <w:spacing w:val="-1"/>
                <w:sz w:val="21"/>
              </w:rPr>
              <w:t>19,734,750.90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4"/>
              <w:jc w:val="right"/>
              <w:rPr>
                <w:rFonts w:ascii="Times New Roman" w:hAnsi="Times New Roman" w:cs="Times New Roman" w:eastAsia="Times New Roman" w:hint="default"/>
                <w:sz w:val="21"/>
                <w:szCs w:val="21"/>
              </w:rPr>
            </w:pPr>
            <w:r>
              <w:rPr>
                <w:rFonts w:ascii="Times New Roman"/>
                <w:spacing w:val="-1"/>
                <w:sz w:val="21"/>
              </w:rPr>
              <w:t>28,760,332.88</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119,990,607.00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88,369,140.41</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20,447,143.08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17,468,335.15</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2,537,468.34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-4,445,051.51</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2,857,256.46</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63,282,702.59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3,133,643.94</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1,741,873.61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6,987,633.74</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4,624,974.67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163,166.41</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60,399,601.53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2"/>
                <w:sz w:val="21"/>
              </w:rPr>
              <w:t>9,958,111.27</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280,714.18</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60,399,601.53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9,677,397.09</w:t>
            </w:r>
          </w:p>
        </w:tc>
      </w:tr>
      <w:tr>
        <w:trPr>
          <w:trHeight w:val="497"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60,399,601.53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9,677,397.09</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46"/>
              <w:jc w:val="right"/>
              <w:rPr>
                <w:rFonts w:ascii="宋体" w:hAnsi="宋体" w:cs="宋体" w:eastAsia="宋体" w:hint="default"/>
                <w:sz w:val="21"/>
                <w:szCs w:val="21"/>
              </w:rPr>
            </w:pPr>
            <w:r>
              <w:rPr>
                <w:rFonts w:ascii="宋体" w:hAnsi="宋体" w:cs="宋体" w:eastAsia="宋体" w:hint="default"/>
                <w:spacing w:val="-2"/>
                <w:sz w:val="21"/>
                <w:szCs w:val="21"/>
              </w:rPr>
              <w:t>（二）终止经营净利润（净亏损以“－”号填列）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重新计量设定受益计划净负债或净资产的变动</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权益法下在被投资单位不能重分类进损益的其他综合</w:t>
            </w:r>
          </w:p>
          <w:p>
            <w:pPr>
              <w:pStyle w:val="TableParagraph"/>
              <w:spacing w:line="266" w:lineRule="exact"/>
              <w:ind w:left="-36" w:right="0"/>
              <w:jc w:val="left"/>
              <w:rPr>
                <w:rFonts w:ascii="宋体" w:hAnsi="宋体" w:cs="宋体" w:eastAsia="宋体" w:hint="default"/>
                <w:sz w:val="21"/>
                <w:szCs w:val="21"/>
              </w:rPr>
            </w:pPr>
            <w:r>
              <w:rPr>
                <w:rFonts w:ascii="宋体" w:hAnsi="宋体" w:cs="宋体" w:eastAsia="宋体" w:hint="default"/>
                <w:sz w:val="21"/>
                <w:szCs w:val="21"/>
              </w:rPr>
              <w:t>收益中享有的份额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权益法下在被投资单位以后将重分类进损益的其他</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综合收益中享有的份额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382"/>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持有至到期投资重分类为可供出售金融资产损益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60,399,601.53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9,677,397.09</w:t>
            </w:r>
          </w:p>
        </w:tc>
      </w:tr>
      <w:tr>
        <w:trPr>
          <w:trHeight w:val="286"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z w:val="21"/>
              </w:rPr>
              <w:t>0.09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z w:val="21"/>
              </w:rPr>
              <w:t>0.01</w:t>
            </w:r>
          </w:p>
        </w:tc>
      </w:tr>
      <w:tr>
        <w:trPr>
          <w:trHeight w:val="288" w:hRule="exact"/>
        </w:trPr>
        <w:tc>
          <w:tcPr>
            <w:tcW w:w="541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425"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z w:val="21"/>
              </w:rPr>
              <w:t>0.09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z w:val="21"/>
              </w:rPr>
              <w:t>0.01</w:t>
            </w:r>
          </w:p>
        </w:tc>
      </w:tr>
    </w:tbl>
    <w:p>
      <w:pPr>
        <w:spacing w:line="240" w:lineRule="auto" w:before="9"/>
        <w:rPr>
          <w:rFonts w:ascii="宋体" w:hAnsi="宋体" w:cs="宋体" w:eastAsia="宋体" w:hint="default"/>
          <w:sz w:val="16"/>
          <w:szCs w:val="16"/>
        </w:rPr>
      </w:pPr>
    </w:p>
    <w:p>
      <w:pPr>
        <w:pStyle w:val="BodyText"/>
        <w:spacing w:line="240" w:lineRule="auto" w:before="36"/>
        <w:ind w:right="0"/>
        <w:jc w:val="left"/>
      </w:pPr>
      <w:r>
        <w:rPr/>
        <w:t>法定代表人：杨剑 主管会计工作负责人：朱宇华</w:t>
      </w:r>
      <w:r>
        <w:rPr>
          <w:spacing w:val="-9"/>
        </w:rPr>
        <w:t> </w:t>
      </w:r>
      <w:r>
        <w:rPr/>
        <w:t>会计机构负责人：熊美福</w:t>
      </w:r>
    </w:p>
    <w:p>
      <w:pPr>
        <w:spacing w:after="0" w:line="240" w:lineRule="auto"/>
        <w:jc w:val="left"/>
        <w:sectPr>
          <w:type w:val="continuous"/>
          <w:pgSz w:w="11910" w:h="16840"/>
          <w:pgMar w:top="1120" w:bottom="1380" w:left="1660" w:right="112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660" w:right="1120"/>
        </w:sectPr>
      </w:pPr>
    </w:p>
    <w:p>
      <w:pPr>
        <w:pStyle w:val="Heading2"/>
        <w:spacing w:line="274" w:lineRule="exact"/>
        <w:ind w:left="0" w:right="22"/>
        <w:jc w:val="right"/>
        <w:rPr>
          <w:b w:val="0"/>
          <w:bCs w:val="0"/>
        </w:rPr>
      </w:pPr>
      <w:r>
        <w:rPr/>
        <w:t>合并现金流量表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5319" w:space="40"/>
            <w:col w:w="377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382"/>
        <w:gridCol w:w="456"/>
        <w:gridCol w:w="1527"/>
        <w:gridCol w:w="1526"/>
      </w:tblGrid>
      <w:tr>
        <w:trPr>
          <w:trHeight w:val="559"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w w:val="100"/>
                <w:sz w:val="21"/>
                <w:szCs w:val="21"/>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4,791,024,644.11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4,247,958,101.68</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20,584,826.23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15,465,620.40</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80,454,840.95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35,401,304.57</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2"/>
                <w:sz w:val="21"/>
              </w:rPr>
              <w:t>4,892,064,311.29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4,298,825,026.65</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4,434,529,049.29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2"/>
                <w:sz w:val="21"/>
              </w:rPr>
              <w:t>3,273,058,115.67</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275,168,543.09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324,728,477.83</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164,460,989.51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169,563,885.14</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381,477,183.69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283,430,958.15</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5,255,635,765.58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4,050,781,436.79</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-363,571,454.29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248,043,589.86</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232,210,520.27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52,551,836.92</w:t>
            </w:r>
          </w:p>
        </w:tc>
      </w:tr>
      <w:tr>
        <w:trPr>
          <w:trHeight w:val="289"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5"/>
              <w:jc w:val="right"/>
              <w:rPr>
                <w:rFonts w:ascii="Times New Roman" w:hAnsi="Times New Roman" w:cs="Times New Roman" w:eastAsia="Times New Roman" w:hint="default"/>
                <w:sz w:val="21"/>
                <w:szCs w:val="21"/>
              </w:rPr>
            </w:pPr>
            <w:r>
              <w:rPr>
                <w:rFonts w:ascii="Times New Roman"/>
                <w:spacing w:val="-1"/>
                <w:sz w:val="21"/>
              </w:rPr>
              <w:t>28,528,970.70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4"/>
              <w:jc w:val="right"/>
              <w:rPr>
                <w:rFonts w:ascii="Times New Roman" w:hAnsi="Times New Roman" w:cs="Times New Roman" w:eastAsia="Times New Roman" w:hint="default"/>
                <w:sz w:val="21"/>
                <w:szCs w:val="21"/>
              </w:rPr>
            </w:pPr>
            <w:r>
              <w:rPr>
                <w:rFonts w:ascii="Times New Roman"/>
                <w:spacing w:val="-2"/>
                <w:sz w:val="21"/>
              </w:rPr>
              <w:t>6,423,383.11</w:t>
            </w:r>
          </w:p>
        </w:tc>
      </w:tr>
      <w:tr>
        <w:trPr>
          <w:trHeight w:val="559"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3,624,056.66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588,994.00</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89,632,018.96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66,915,705.85</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10,000,000.00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363,995,566.59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256,479,919.88</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142,935,136.39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112,341,632.82</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350,500,000.00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356,580,796.00</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487,963,749.43</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61,300,000.00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113,000,000.00</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1,042,698,885.82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581,922,428.82</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-678,703,319.23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-325,442,508.94</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5382"/>
        <w:gridCol w:w="456"/>
        <w:gridCol w:w="1527"/>
        <w:gridCol w:w="1526"/>
      </w:tblGrid>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5"/>
              <w:jc w:val="right"/>
              <w:rPr>
                <w:rFonts w:ascii="Times New Roman" w:hAnsi="Times New Roman" w:cs="Times New Roman" w:eastAsia="Times New Roman" w:hint="default"/>
                <w:sz w:val="21"/>
                <w:szCs w:val="21"/>
              </w:rPr>
            </w:pPr>
            <w:r>
              <w:rPr>
                <w:rFonts w:ascii="Times New Roman"/>
                <w:spacing w:val="-1"/>
                <w:sz w:val="21"/>
              </w:rPr>
              <w:t>28,289,890.00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
              <w:jc w:val="right"/>
              <w:rPr>
                <w:rFonts w:ascii="Times New Roman" w:hAnsi="Times New Roman" w:cs="Times New Roman" w:eastAsia="Times New Roman" w:hint="default"/>
                <w:sz w:val="21"/>
                <w:szCs w:val="21"/>
              </w:rPr>
            </w:pPr>
            <w:r>
              <w:rPr>
                <w:rFonts w:ascii="Times New Roman"/>
                <w:spacing w:val="-1"/>
                <w:sz w:val="21"/>
              </w:rPr>
              <w:t>7,894,840.00</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8"/>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28,289,890.00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7,894,840.00</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1,681,622,138.00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497,500,000.00</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1,274,695,000.00</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119,000,000.00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46,078,366.01</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1,828,912,028.00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1,826,168,206.01</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594,337,273.00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1,194,487,273.00</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174,915,016.53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153,980,636.97</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8"/>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29,400,000.00</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295,697,512.13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13,980,086.43</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1,064,949,801.66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1,362,447,996.40</w:t>
            </w:r>
          </w:p>
        </w:tc>
      </w:tr>
      <w:tr>
        <w:trPr>
          <w:trHeight w:val="289"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5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5"/>
              <w:jc w:val="right"/>
              <w:rPr>
                <w:rFonts w:ascii="Times New Roman" w:hAnsi="Times New Roman" w:cs="Times New Roman" w:eastAsia="Times New Roman" w:hint="default"/>
                <w:sz w:val="21"/>
                <w:szCs w:val="21"/>
              </w:rPr>
            </w:pPr>
            <w:r>
              <w:rPr>
                <w:rFonts w:ascii="Times New Roman"/>
                <w:spacing w:val="-1"/>
                <w:sz w:val="21"/>
              </w:rPr>
              <w:t>763,962,226.34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
              <w:jc w:val="right"/>
              <w:rPr>
                <w:rFonts w:ascii="Times New Roman" w:hAnsi="Times New Roman" w:cs="Times New Roman" w:eastAsia="Times New Roman" w:hint="default"/>
                <w:sz w:val="21"/>
                <w:szCs w:val="21"/>
              </w:rPr>
            </w:pPr>
            <w:r>
              <w:rPr>
                <w:rFonts w:ascii="Times New Roman"/>
                <w:spacing w:val="-1"/>
                <w:sz w:val="21"/>
              </w:rPr>
              <w:t>463,720,209.61</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-6,220,321.37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-2,563,178.25</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-284,532,868.55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383,758,112.28</w:t>
            </w:r>
          </w:p>
        </w:tc>
      </w:tr>
      <w:tr>
        <w:trPr>
          <w:trHeight w:val="286"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1,317,613,612.66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933,855,500.38</w:t>
            </w:r>
          </w:p>
        </w:tc>
      </w:tr>
      <w:tr>
        <w:trPr>
          <w:trHeight w:val="288" w:hRule="exact"/>
        </w:trPr>
        <w:tc>
          <w:tcPr>
            <w:tcW w:w="53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45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1,033,080,744.11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1,317,613,612.66</w:t>
            </w:r>
          </w:p>
        </w:tc>
      </w:tr>
    </w:tbl>
    <w:p>
      <w:pPr>
        <w:spacing w:line="240" w:lineRule="auto" w:before="7"/>
        <w:rPr>
          <w:rFonts w:ascii="宋体" w:hAnsi="宋体" w:cs="宋体" w:eastAsia="宋体" w:hint="default"/>
          <w:sz w:val="15"/>
          <w:szCs w:val="15"/>
        </w:rPr>
      </w:pPr>
    </w:p>
    <w:p>
      <w:pPr>
        <w:pStyle w:val="BodyText"/>
        <w:spacing w:line="240" w:lineRule="auto" w:before="36"/>
        <w:ind w:right="0"/>
        <w:jc w:val="left"/>
      </w:pPr>
      <w:r>
        <w:rPr/>
        <w:t>法定代表人：杨剑 主管会计工作负责人：朱宇华</w:t>
      </w:r>
      <w:r>
        <w:rPr>
          <w:spacing w:val="-9"/>
        </w:rPr>
        <w:t> </w:t>
      </w:r>
      <w:r>
        <w:rPr/>
        <w:t>会计机构负责人：熊美福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40"/>
          <w:pgSz w:w="11910" w:h="16840"/>
          <w:pgMar w:footer="1195" w:header="877" w:top="1100" w:bottom="1380" w:left="1660" w:right="1120"/>
        </w:sectPr>
      </w:pPr>
    </w:p>
    <w:p>
      <w:pPr>
        <w:pStyle w:val="Heading2"/>
        <w:spacing w:line="274" w:lineRule="exact"/>
        <w:ind w:left="0" w:right="0"/>
        <w:jc w:val="right"/>
        <w:rPr>
          <w:b w:val="0"/>
          <w:bCs w:val="0"/>
        </w:rPr>
      </w:pPr>
      <w:r>
        <w:rPr/>
        <w:t>母公司现金流量表</w:t>
      </w:r>
      <w:r>
        <w:rPr>
          <w:b w:val="0"/>
          <w:bCs w:val="0"/>
        </w:rPr>
      </w:r>
    </w:p>
    <w:p>
      <w:pPr>
        <w:pStyle w:val="BodyText"/>
        <w:spacing w:line="290" w:lineRule="exact"/>
        <w:ind w:left="0" w:right="79"/>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5400" w:space="40"/>
            <w:col w:w="3690"/>
          </w:cols>
        </w:sectPr>
      </w:pPr>
    </w:p>
    <w:tbl>
      <w:tblPr>
        <w:tblW w:w="0" w:type="auto"/>
        <w:jc w:val="left"/>
        <w:tblInd w:w="102" w:type="dxa"/>
        <w:tblLayout w:type="fixed"/>
        <w:tblCellMar>
          <w:top w:w="0" w:type="dxa"/>
          <w:left w:w="0" w:type="dxa"/>
          <w:bottom w:w="0" w:type="dxa"/>
          <w:right w:w="0" w:type="dxa"/>
        </w:tblCellMar>
        <w:tblLook w:val="01E0"/>
      </w:tblPr>
      <w:tblGrid>
        <w:gridCol w:w="5307"/>
        <w:gridCol w:w="478"/>
        <w:gridCol w:w="1527"/>
        <w:gridCol w:w="1526"/>
      </w:tblGrid>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2"/>
                <w:sz w:val="21"/>
              </w:rPr>
              <w:t>2,113,657,917.39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1,544,591,885.99</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2"/>
                <w:sz w:val="21"/>
              </w:rPr>
              <w:t>11,218,862.67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4,740,146.68</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142,992,695.27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194,130,194.72</w:t>
            </w: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2,267,869,475.33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1,743,462,227.39</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2,035,984,494.72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1,437,077,281.94</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28,339,586.63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33,092,706.24</w:t>
            </w: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42,714,428.69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35,187,608.68</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273,002,244.66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211,535,565.99</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2,380,040,754.70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1,716,893,162.85</w:t>
            </w:r>
          </w:p>
        </w:tc>
      </w:tr>
      <w:tr>
        <w:trPr>
          <w:trHeight w:val="289"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-112,171,279.37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26,569,064.54</w:t>
            </w: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264,693,550.00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49,954,000.00</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28,528,970.70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23,856,576.00</w:t>
            </w:r>
          </w:p>
        </w:tc>
      </w:tr>
      <w:tr>
        <w:trPr>
          <w:trHeight w:val="559"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处置固定资产、无形资产和其他长期资产收回的现金净</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3,202,499.86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550,254.00</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2"/>
                <w:sz w:val="21"/>
              </w:rPr>
              <w:t>46,458,411.34</w:t>
            </w: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296,425,020.56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250,819,241.34</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33,590,724.71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25,812,226.59</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958,606,402.35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447,580,810.00</w:t>
            </w: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
              <w:jc w:val="right"/>
              <w:rPr>
                <w:rFonts w:ascii="Times New Roman" w:hAnsi="Times New Roman" w:cs="Times New Roman" w:eastAsia="Times New Roman" w:hint="default"/>
                <w:sz w:val="21"/>
                <w:szCs w:val="21"/>
              </w:rPr>
            </w:pPr>
            <w:r>
              <w:rPr>
                <w:rFonts w:ascii="Times New Roman"/>
                <w:spacing w:val="-1"/>
                <w:sz w:val="21"/>
              </w:rPr>
              <w:t>113,000,000.00</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992,197,127.06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586,393,036.59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5307"/>
        <w:gridCol w:w="478"/>
        <w:gridCol w:w="1527"/>
        <w:gridCol w:w="1526"/>
      </w:tblGrid>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5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5"/>
              <w:jc w:val="right"/>
              <w:rPr>
                <w:rFonts w:ascii="Times New Roman" w:hAnsi="Times New Roman" w:cs="Times New Roman" w:eastAsia="Times New Roman" w:hint="default"/>
                <w:sz w:val="21"/>
                <w:szCs w:val="21"/>
              </w:rPr>
            </w:pPr>
            <w:r>
              <w:rPr>
                <w:rFonts w:ascii="Times New Roman"/>
                <w:spacing w:val="-1"/>
                <w:sz w:val="21"/>
              </w:rPr>
              <w:t>-695,772,106.50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
              <w:jc w:val="right"/>
              <w:rPr>
                <w:rFonts w:ascii="Times New Roman" w:hAnsi="Times New Roman" w:cs="Times New Roman" w:eastAsia="Times New Roman" w:hint="default"/>
                <w:sz w:val="21"/>
                <w:szCs w:val="21"/>
              </w:rPr>
            </w:pPr>
            <w:r>
              <w:rPr>
                <w:rFonts w:ascii="Times New Roman"/>
                <w:spacing w:val="-1"/>
                <w:sz w:val="21"/>
              </w:rPr>
              <w:t>-335,573,795.25</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1,199,520,000.00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200,000,000.00</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1,274,695,000.00</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119,000,000.00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53,638,731.51</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1,318,520,000.00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1,528,333,731.51</w:t>
            </w: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277,337,273.00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732,337,273.00</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2"/>
                <w:sz w:val="21"/>
              </w:rPr>
              <w:t>159,111,197.02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104,674,993.61</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268,970,699.04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13,980,086.43</w:t>
            </w: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705,419,169.06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850,992,353.04</w:t>
            </w:r>
          </w:p>
        </w:tc>
      </w:tr>
      <w:tr>
        <w:trPr>
          <w:trHeight w:val="289"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5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5"/>
              <w:jc w:val="right"/>
              <w:rPr>
                <w:rFonts w:ascii="Times New Roman" w:hAnsi="Times New Roman" w:cs="Times New Roman" w:eastAsia="Times New Roman" w:hint="default"/>
                <w:sz w:val="21"/>
                <w:szCs w:val="21"/>
              </w:rPr>
            </w:pPr>
            <w:r>
              <w:rPr>
                <w:rFonts w:ascii="Times New Roman"/>
                <w:spacing w:val="-1"/>
                <w:sz w:val="21"/>
              </w:rPr>
              <w:t>613,100,830.94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
              <w:jc w:val="right"/>
              <w:rPr>
                <w:rFonts w:ascii="Times New Roman" w:hAnsi="Times New Roman" w:cs="Times New Roman" w:eastAsia="Times New Roman" w:hint="default"/>
                <w:sz w:val="21"/>
                <w:szCs w:val="21"/>
              </w:rPr>
            </w:pPr>
            <w:r>
              <w:rPr>
                <w:rFonts w:ascii="Times New Roman"/>
                <w:spacing w:val="-1"/>
                <w:sz w:val="21"/>
              </w:rPr>
              <w:t>677,341,378.47</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491,518.60</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-520,998.16</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-194,351,036.33</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367,815,649.60</w:t>
            </w:r>
          </w:p>
        </w:tc>
      </w:tr>
      <w:tr>
        <w:trPr>
          <w:trHeight w:val="286"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right"/>
              <w:rPr>
                <w:rFonts w:ascii="Times New Roman" w:hAnsi="Times New Roman" w:cs="Times New Roman" w:eastAsia="Times New Roman" w:hint="default"/>
                <w:sz w:val="21"/>
                <w:szCs w:val="21"/>
              </w:rPr>
            </w:pPr>
            <w:r>
              <w:rPr>
                <w:rFonts w:ascii="Times New Roman"/>
                <w:spacing w:val="-1"/>
                <w:sz w:val="21"/>
              </w:rPr>
              <w:t>957,958,634.28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590,142,984.69</w:t>
            </w:r>
          </w:p>
        </w:tc>
      </w:tr>
      <w:tr>
        <w:trPr>
          <w:trHeight w:val="288" w:hRule="exact"/>
        </w:trPr>
        <w:tc>
          <w:tcPr>
            <w:tcW w:w="53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47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
              <w:jc w:val="right"/>
              <w:rPr>
                <w:rFonts w:ascii="Times New Roman" w:hAnsi="Times New Roman" w:cs="Times New Roman" w:eastAsia="Times New Roman" w:hint="default"/>
                <w:sz w:val="21"/>
                <w:szCs w:val="21"/>
              </w:rPr>
            </w:pPr>
            <w:r>
              <w:rPr>
                <w:rFonts w:ascii="Times New Roman"/>
                <w:spacing w:val="-1"/>
                <w:sz w:val="21"/>
              </w:rPr>
              <w:t>763,607,597.95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957,958,634.29</w:t>
            </w:r>
          </w:p>
        </w:tc>
      </w:tr>
    </w:tbl>
    <w:p>
      <w:pPr>
        <w:spacing w:line="240" w:lineRule="auto" w:before="7"/>
        <w:rPr>
          <w:rFonts w:ascii="宋体" w:hAnsi="宋体" w:cs="宋体" w:eastAsia="宋体" w:hint="default"/>
          <w:sz w:val="15"/>
          <w:szCs w:val="15"/>
        </w:rPr>
      </w:pPr>
    </w:p>
    <w:p>
      <w:pPr>
        <w:pStyle w:val="BodyText"/>
        <w:spacing w:line="240" w:lineRule="auto" w:before="36"/>
        <w:ind w:right="0"/>
        <w:jc w:val="left"/>
      </w:pPr>
      <w:r>
        <w:rPr/>
        <w:t>法定代表人：杨剑 主管会计工作负责人：朱宇华</w:t>
      </w:r>
      <w:r>
        <w:rPr>
          <w:spacing w:val="-9"/>
        </w:rPr>
        <w:t> </w:t>
      </w:r>
      <w:r>
        <w:rPr/>
        <w:t>会计机构负责人：熊美福</w:t>
      </w:r>
    </w:p>
    <w:p>
      <w:pPr>
        <w:spacing w:after="0" w:line="240" w:lineRule="auto"/>
        <w:jc w:val="left"/>
        <w:sectPr>
          <w:footerReference w:type="default" r:id="rId41"/>
          <w:pgSz w:w="11910" w:h="16840"/>
          <w:pgMar w:footer="1195" w:header="877"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42"/>
          <w:footerReference w:type="default" r:id="rId43"/>
          <w:pgSz w:w="16840" w:h="11910" w:orient="landscape"/>
          <w:pgMar w:header="882" w:footer="1195" w:top="1120" w:bottom="1380" w:left="1300" w:right="1380"/>
          <w:pgNumType w:start="82"/>
        </w:sectPr>
      </w:pPr>
    </w:p>
    <w:p>
      <w:pPr>
        <w:pStyle w:val="Heading2"/>
        <w:spacing w:line="274" w:lineRule="exact"/>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300" w:right="1380"/>
          <w:cols w:num="2" w:equalWidth="0">
            <w:col w:w="8122" w:space="40"/>
            <w:col w:w="5998"/>
          </w:cols>
        </w:sectPr>
      </w:pPr>
    </w:p>
    <w:tbl>
      <w:tblPr>
        <w:tblW w:w="0" w:type="auto"/>
        <w:jc w:val="left"/>
        <w:tblInd w:w="125" w:type="dxa"/>
        <w:tblLayout w:type="fixed"/>
        <w:tblCellMar>
          <w:top w:w="0" w:type="dxa"/>
          <w:left w:w="0" w:type="dxa"/>
          <w:bottom w:w="0" w:type="dxa"/>
          <w:right w:w="0" w:type="dxa"/>
        </w:tblCellMar>
        <w:tblLook w:val="01E0"/>
      </w:tblPr>
      <w:tblGrid>
        <w:gridCol w:w="2139"/>
        <w:gridCol w:w="1181"/>
        <w:gridCol w:w="418"/>
        <w:gridCol w:w="420"/>
        <w:gridCol w:w="326"/>
        <w:gridCol w:w="1318"/>
        <w:gridCol w:w="1181"/>
        <w:gridCol w:w="958"/>
        <w:gridCol w:w="511"/>
        <w:gridCol w:w="1090"/>
        <w:gridCol w:w="694"/>
        <w:gridCol w:w="1181"/>
        <w:gridCol w:w="1181"/>
        <w:gridCol w:w="1316"/>
      </w:tblGrid>
      <w:tr>
        <w:trPr>
          <w:trHeight w:val="250" w:hRule="exact"/>
        </w:trPr>
        <w:tc>
          <w:tcPr>
            <w:tcW w:w="21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7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139" w:type="dxa"/>
            <w:vMerge/>
            <w:tcBorders>
              <w:left w:val="single" w:sz="4" w:space="0" w:color="000000"/>
              <w:right w:val="single" w:sz="4" w:space="0" w:color="000000"/>
            </w:tcBorders>
          </w:tcPr>
          <w:p>
            <w:pPr/>
          </w:p>
        </w:tc>
        <w:tc>
          <w:tcPr>
            <w:tcW w:w="927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3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63" w:hRule="exact"/>
        </w:trPr>
        <w:tc>
          <w:tcPr>
            <w:tcW w:w="2139" w:type="dxa"/>
            <w:vMerge/>
            <w:tcBorders>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1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58" w:type="dxa"/>
            <w:vMerge w:val="restart"/>
            <w:tcBorders>
              <w:top w:val="single" w:sz="4" w:space="0" w:color="000000"/>
              <w:left w:val="single" w:sz="4" w:space="0" w:color="000000"/>
              <w:right w:val="single" w:sz="4" w:space="0" w:color="000000"/>
            </w:tcBorders>
          </w:tcPr>
          <w:p>
            <w:pPr>
              <w:pStyle w:val="TableParagraph"/>
              <w:spacing w:line="244" w:lineRule="auto" w:before="160"/>
              <w:ind w:left="381" w:right="24"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11" w:type="dxa"/>
            <w:vMerge w:val="restart"/>
            <w:tcBorders>
              <w:top w:val="single" w:sz="4" w:space="0" w:color="000000"/>
              <w:left w:val="single" w:sz="4" w:space="0" w:color="000000"/>
              <w:right w:val="single" w:sz="4" w:space="0" w:color="000000"/>
            </w:tcBorders>
          </w:tcPr>
          <w:p>
            <w:pPr>
              <w:pStyle w:val="TableParagraph"/>
              <w:spacing w:line="244" w:lineRule="auto" w:before="160"/>
              <w:ind w:left="69" w:right="7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94" w:type="dxa"/>
            <w:vMerge w:val="restart"/>
            <w:tcBorders>
              <w:top w:val="single" w:sz="4" w:space="0" w:color="000000"/>
              <w:left w:val="single" w:sz="4" w:space="0" w:color="000000"/>
              <w:right w:val="single" w:sz="4" w:space="0" w:color="000000"/>
            </w:tcBorders>
          </w:tcPr>
          <w:p>
            <w:pPr>
              <w:pStyle w:val="TableParagraph"/>
              <w:spacing w:line="244" w:lineRule="auto" w:before="160"/>
              <w:ind w:left="71" w:right="7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tcPr>
          <w:p>
            <w:pPr/>
          </w:p>
        </w:tc>
        <w:tc>
          <w:tcPr>
            <w:tcW w:w="1316" w:type="dxa"/>
            <w:vMerge/>
            <w:tcBorders>
              <w:left w:val="single" w:sz="4" w:space="0" w:color="000000"/>
              <w:right w:val="single" w:sz="4" w:space="0" w:color="000000"/>
            </w:tcBorders>
          </w:tcPr>
          <w:p>
            <w:pPr/>
          </w:p>
        </w:tc>
      </w:tr>
      <w:tr>
        <w:trPr>
          <w:trHeight w:val="490" w:hRule="exact"/>
        </w:trPr>
        <w:tc>
          <w:tcPr>
            <w:tcW w:w="2139"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2" w:right="0" w:hanging="92"/>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4"/>
              <w:ind w:left="1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15" w:right="0" w:hanging="92"/>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4"/>
              <w:ind w:left="115" w:right="0"/>
              <w:jc w:val="left"/>
              <w:rPr>
                <w:rFonts w:ascii="宋体" w:hAnsi="宋体" w:cs="宋体" w:eastAsia="宋体" w:hint="default"/>
                <w:sz w:val="18"/>
                <w:szCs w:val="18"/>
              </w:rPr>
            </w:pPr>
            <w:r>
              <w:rPr>
                <w:rFonts w:ascii="宋体" w:hAnsi="宋体" w:cs="宋体" w:eastAsia="宋体" w:hint="default"/>
                <w:sz w:val="18"/>
                <w:szCs w:val="18"/>
              </w:rPr>
              <w:t>债</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69"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4"/>
              <w:ind w:left="69"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18"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511"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666,960,584.00</w:t>
            </w: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2,470,730,106.20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2,240,000.00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91,930,251.69</w:t>
            </w: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580,591,243.23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121,400,087.38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3,929,372,272.50</w:t>
            </w: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8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666,960,584.00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2,470,730,106.20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2,240,000.00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91,930,251.69</w:t>
            </w: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580,591,243.23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121,400,087.38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3,929,372,272.50</w:t>
            </w:r>
          </w:p>
        </w:tc>
      </w:tr>
      <w:tr>
        <w:trPr>
          <w:trHeight w:val="476"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17,131,926.05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266,720,699.04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93,199.50</w:t>
            </w: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6" w:right="0"/>
              <w:jc w:val="center"/>
              <w:rPr>
                <w:rFonts w:ascii="Times New Roman" w:hAnsi="Times New Roman" w:cs="Times New Roman" w:eastAsia="Times New Roman" w:hint="default"/>
                <w:sz w:val="18"/>
                <w:szCs w:val="18"/>
              </w:rPr>
            </w:pPr>
            <w:r>
              <w:rPr>
                <w:rFonts w:ascii="Times New Roman"/>
                <w:sz w:val="18"/>
              </w:rPr>
              <w:t>6,039,960.15</w:t>
            </w: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165,859,514.40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29,045,635.86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2" w:right="0"/>
              <w:jc w:val="center"/>
              <w:rPr>
                <w:rFonts w:ascii="Times New Roman" w:hAnsi="Times New Roman" w:cs="Times New Roman" w:eastAsia="Times New Roman" w:hint="default"/>
                <w:sz w:val="18"/>
                <w:szCs w:val="18"/>
              </w:rPr>
            </w:pPr>
            <w:r>
              <w:rPr>
                <w:rFonts w:ascii="Times New Roman"/>
                <w:sz w:val="18"/>
              </w:rPr>
              <w:t>-48,550,463.08</w:t>
            </w: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93,199.50</w:t>
            </w: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251,934,744.63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7,390,577.74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center"/>
              <w:rPr>
                <w:rFonts w:ascii="Times New Roman" w:hAnsi="Times New Roman" w:cs="Times New Roman" w:eastAsia="Times New Roman" w:hint="default"/>
                <w:sz w:val="18"/>
                <w:szCs w:val="18"/>
              </w:rPr>
            </w:pPr>
            <w:r>
              <w:rPr>
                <w:rFonts w:ascii="Times New Roman"/>
                <w:sz w:val="18"/>
              </w:rPr>
              <w:t>259,418,521.87</w:t>
            </w:r>
          </w:p>
        </w:tc>
      </w:tr>
      <w:tr>
        <w:trPr>
          <w:trHeight w:val="478"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所有者投入和减少资</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10,458,008.49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266,720,699.04</w:t>
            </w: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27,569,364.73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1" w:right="0"/>
              <w:jc w:val="center"/>
              <w:rPr>
                <w:rFonts w:ascii="Times New Roman" w:hAnsi="Times New Roman" w:cs="Times New Roman" w:eastAsia="Times New Roman" w:hint="default"/>
                <w:sz w:val="18"/>
                <w:szCs w:val="18"/>
              </w:rPr>
            </w:pPr>
            <w:r>
              <w:rPr>
                <w:rFonts w:ascii="Times New Roman"/>
                <w:sz w:val="18"/>
              </w:rPr>
              <w:t>-228,693,325.82</w:t>
            </w: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396,226.42</w:t>
            </w: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27,437,500.00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2" w:right="0"/>
              <w:jc w:val="center"/>
              <w:rPr>
                <w:rFonts w:ascii="Times New Roman" w:hAnsi="Times New Roman" w:cs="Times New Roman" w:eastAsia="Times New Roman" w:hint="default"/>
                <w:sz w:val="18"/>
                <w:szCs w:val="18"/>
              </w:rPr>
            </w:pPr>
            <w:r>
              <w:rPr>
                <w:rFonts w:ascii="Times New Roman"/>
                <w:sz w:val="18"/>
              </w:rPr>
              <w:t>27,833,726.42</w:t>
            </w:r>
          </w:p>
        </w:tc>
      </w:tr>
      <w:tr>
        <w:trPr>
          <w:trHeight w:val="478"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10,061,782.07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266,720,699.04</w:t>
            </w: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131,864.73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 w:right="0"/>
              <w:jc w:val="center"/>
              <w:rPr>
                <w:rFonts w:ascii="Times New Roman" w:hAnsi="Times New Roman" w:cs="Times New Roman" w:eastAsia="Times New Roman" w:hint="default"/>
                <w:sz w:val="18"/>
                <w:szCs w:val="18"/>
              </w:rPr>
            </w:pPr>
            <w:r>
              <w:rPr>
                <w:rFonts w:ascii="Times New Roman"/>
                <w:sz w:val="18"/>
              </w:rPr>
              <w:t>-256,527,052.24</w:t>
            </w: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6" w:right="0"/>
              <w:jc w:val="center"/>
              <w:rPr>
                <w:rFonts w:ascii="Times New Roman" w:hAnsi="Times New Roman" w:cs="Times New Roman" w:eastAsia="Times New Roman" w:hint="default"/>
                <w:sz w:val="18"/>
                <w:szCs w:val="18"/>
              </w:rPr>
            </w:pPr>
            <w:r>
              <w:rPr>
                <w:rFonts w:ascii="Times New Roman"/>
                <w:sz w:val="18"/>
              </w:rPr>
              <w:t>6,039,960.15</w:t>
            </w: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-86,075,230.23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2" w:right="0"/>
              <w:jc w:val="center"/>
              <w:rPr>
                <w:rFonts w:ascii="Times New Roman" w:hAnsi="Times New Roman" w:cs="Times New Roman" w:eastAsia="Times New Roman" w:hint="default"/>
                <w:sz w:val="18"/>
                <w:szCs w:val="18"/>
              </w:rPr>
            </w:pPr>
            <w:r>
              <w:rPr>
                <w:rFonts w:ascii="Times New Roman"/>
                <w:sz w:val="18"/>
              </w:rPr>
              <w:t>-80,035,270.08</w:t>
            </w: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6" w:right="0"/>
              <w:jc w:val="center"/>
              <w:rPr>
                <w:rFonts w:ascii="Times New Roman" w:hAnsi="Times New Roman" w:cs="Times New Roman" w:eastAsia="Times New Roman" w:hint="default"/>
                <w:sz w:val="18"/>
                <w:szCs w:val="18"/>
              </w:rPr>
            </w:pPr>
            <w:r>
              <w:rPr>
                <w:rFonts w:ascii="Times New Roman"/>
                <w:sz w:val="18"/>
              </w:rPr>
              <w:t>6,039,960.15</w:t>
            </w: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-6,039,960.15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-80,035,270.08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2" w:right="0"/>
              <w:jc w:val="center"/>
              <w:rPr>
                <w:rFonts w:ascii="Times New Roman" w:hAnsi="Times New Roman" w:cs="Times New Roman" w:eastAsia="Times New Roman" w:hint="default"/>
                <w:sz w:val="18"/>
                <w:szCs w:val="18"/>
              </w:rPr>
            </w:pPr>
            <w:r>
              <w:rPr>
                <w:rFonts w:ascii="Times New Roman"/>
                <w:sz w:val="18"/>
              </w:rPr>
              <w:t>-80,035,270.08</w:t>
            </w: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0"/>
                <w:sz w:val="18"/>
                <w:szCs w:val="18"/>
              </w:rPr>
              <w:t>）</w:t>
            </w:r>
            <w:r>
              <w:rPr>
                <w:rFonts w:ascii="宋体" w:hAnsi="宋体" w:cs="宋体" w:eastAsia="宋体" w:hint="default"/>
                <w:sz w:val="18"/>
                <w:szCs w:val="18"/>
              </w:rPr>
              <w:t>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205" w:type="dxa"/>
        <w:tblLayout w:type="fixed"/>
        <w:tblCellMar>
          <w:top w:w="0" w:type="dxa"/>
          <w:left w:w="0" w:type="dxa"/>
          <w:bottom w:w="0" w:type="dxa"/>
          <w:right w:w="0" w:type="dxa"/>
        </w:tblCellMar>
        <w:tblLook w:val="01E0"/>
      </w:tblPr>
      <w:tblGrid>
        <w:gridCol w:w="2139"/>
        <w:gridCol w:w="1181"/>
        <w:gridCol w:w="418"/>
        <w:gridCol w:w="420"/>
        <w:gridCol w:w="326"/>
        <w:gridCol w:w="1318"/>
        <w:gridCol w:w="1181"/>
        <w:gridCol w:w="958"/>
        <w:gridCol w:w="511"/>
        <w:gridCol w:w="1090"/>
        <w:gridCol w:w="694"/>
        <w:gridCol w:w="1181"/>
        <w:gridCol w:w="1181"/>
        <w:gridCol w:w="1316"/>
      </w:tblGrid>
      <w:tr>
        <w:trPr>
          <w:trHeight w:val="47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6,673,917.56</w:t>
            </w:r>
          </w:p>
        </w:tc>
        <w:tc>
          <w:tcPr>
            <w:tcW w:w="11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-5,914,306.61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759,610.95</w:t>
            </w:r>
          </w:p>
        </w:tc>
      </w:tr>
      <w:tr>
        <w:trPr>
          <w:trHeight w:val="24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666,960,584.00</w:t>
            </w:r>
          </w:p>
        </w:tc>
        <w:tc>
          <w:tcPr>
            <w:tcW w:w="41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2,487,862,032.25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268,960,699.04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03" w:right="0"/>
              <w:jc w:val="left"/>
              <w:rPr>
                <w:rFonts w:ascii="Times New Roman" w:hAnsi="Times New Roman" w:cs="Times New Roman" w:eastAsia="Times New Roman" w:hint="default"/>
                <w:sz w:val="18"/>
                <w:szCs w:val="18"/>
              </w:rPr>
            </w:pPr>
            <w:r>
              <w:rPr>
                <w:rFonts w:ascii="Times New Roman"/>
                <w:sz w:val="18"/>
              </w:rPr>
              <w:t>93,199.50</w:t>
            </w:r>
          </w:p>
        </w:tc>
        <w:tc>
          <w:tcPr>
            <w:tcW w:w="51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97,970,211.84</w:t>
            </w:r>
          </w:p>
        </w:tc>
        <w:tc>
          <w:tcPr>
            <w:tcW w:w="69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746,450,757.63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150,445,723.24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3,880,821,809.42</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372"/>
        <w:gridCol w:w="1181"/>
        <w:gridCol w:w="446"/>
        <w:gridCol w:w="446"/>
        <w:gridCol w:w="341"/>
        <w:gridCol w:w="1315"/>
        <w:gridCol w:w="1061"/>
        <w:gridCol w:w="761"/>
        <w:gridCol w:w="552"/>
        <w:gridCol w:w="1092"/>
        <w:gridCol w:w="761"/>
        <w:gridCol w:w="1181"/>
        <w:gridCol w:w="1181"/>
        <w:gridCol w:w="1316"/>
      </w:tblGrid>
      <w:tr>
        <w:trPr>
          <w:trHeight w:val="252"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3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372" w:type="dxa"/>
            <w:vMerge/>
            <w:tcBorders>
              <w:left w:val="single" w:sz="4" w:space="0" w:color="000000"/>
              <w:right w:val="single" w:sz="4" w:space="0" w:color="000000"/>
            </w:tcBorders>
          </w:tcPr>
          <w:p>
            <w:pPr/>
          </w:p>
        </w:tc>
        <w:tc>
          <w:tcPr>
            <w:tcW w:w="91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2372" w:type="dxa"/>
            <w:vMerge/>
            <w:tcBorders>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4" w:lineRule="auto"/>
              <w:ind w:left="105" w:right="10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4" w:lineRule="auto"/>
              <w:ind w:left="91" w:right="8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4" w:lineRule="auto"/>
              <w:ind w:left="103" w:right="10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tcPr>
          <w:p>
            <w:pPr/>
          </w:p>
        </w:tc>
        <w:tc>
          <w:tcPr>
            <w:tcW w:w="1316" w:type="dxa"/>
            <w:vMerge/>
            <w:tcBorders>
              <w:left w:val="single" w:sz="4" w:space="0" w:color="000000"/>
              <w:right w:val="single" w:sz="4" w:space="0" w:color="000000"/>
            </w:tcBorders>
          </w:tcPr>
          <w:p>
            <w:pPr/>
          </w:p>
        </w:tc>
      </w:tr>
      <w:tr>
        <w:trPr>
          <w:trHeight w:val="476" w:hRule="exact"/>
        </w:trPr>
        <w:tc>
          <w:tcPr>
            <w:tcW w:w="2372"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hanging="92"/>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hanging="92"/>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债</w:t>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74"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1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552"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619,245,072.00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1,886,639,957.74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jc w:val="center"/>
              <w:rPr>
                <w:rFonts w:ascii="Times New Roman" w:hAnsi="Times New Roman" w:cs="Times New Roman" w:eastAsia="Times New Roman" w:hint="default"/>
                <w:sz w:val="18"/>
                <w:szCs w:val="18"/>
              </w:rPr>
            </w:pPr>
            <w:r>
              <w:rPr>
                <w:rFonts w:ascii="Times New Roman"/>
                <w:sz w:val="18"/>
              </w:rPr>
              <w:t>3,920,000.00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91,661,235.18</w:t>
            </w: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510,387,877.16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131,678,480.20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3,235,692,622.28</w:t>
            </w: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619,245,072.00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1,886,639,957.74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2" w:right="0"/>
              <w:jc w:val="center"/>
              <w:rPr>
                <w:rFonts w:ascii="Times New Roman" w:hAnsi="Times New Roman" w:cs="Times New Roman" w:eastAsia="Times New Roman" w:hint="default"/>
                <w:sz w:val="18"/>
                <w:szCs w:val="18"/>
              </w:rPr>
            </w:pPr>
            <w:r>
              <w:rPr>
                <w:rFonts w:ascii="Times New Roman"/>
                <w:sz w:val="18"/>
              </w:rPr>
              <w:t>3,920,000.00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91,661,235.18</w:t>
            </w: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510,387,877.16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131,678,480.20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3,235,692,622.28</w:t>
            </w:r>
          </w:p>
        </w:tc>
      </w:tr>
      <w:tr>
        <w:trPr>
          <w:trHeight w:val="47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47,715,512.00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584,090,148.46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-1,680,000.00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269,016.51</w:t>
            </w: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70,203,366.07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-10,278,392.82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693,679,650.22</w:t>
            </w: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123,829,229.30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13,529,331.41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137,358,560.71</w:t>
            </w: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
              <w:jc w:val="right"/>
              <w:rPr>
                <w:rFonts w:ascii="Times New Roman" w:hAnsi="Times New Roman" w:cs="Times New Roman" w:eastAsia="Times New Roman" w:hint="default"/>
                <w:sz w:val="18"/>
                <w:szCs w:val="18"/>
              </w:rPr>
            </w:pPr>
            <w:r>
              <w:rPr>
                <w:rFonts w:ascii="Times New Roman"/>
                <w:spacing w:val="-1"/>
                <w:sz w:val="18"/>
              </w:rPr>
              <w:t>47,715,512.00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pacing w:val="-1"/>
                <w:sz w:val="18"/>
              </w:rPr>
              <w:t>584,090,148.46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Times New Roman" w:hAnsi="Times New Roman" w:cs="Times New Roman" w:eastAsia="Times New Roman" w:hint="default"/>
                <w:sz w:val="18"/>
                <w:szCs w:val="18"/>
              </w:rPr>
            </w:pPr>
            <w:r>
              <w:rPr>
                <w:rFonts w:ascii="Times New Roman"/>
                <w:sz w:val="18"/>
              </w:rPr>
              <w:t>-1,680,000.00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Times New Roman" w:hAnsi="Times New Roman" w:cs="Times New Roman" w:eastAsia="Times New Roman" w:hint="default"/>
                <w:sz w:val="18"/>
                <w:szCs w:val="18"/>
              </w:rPr>
            </w:pPr>
            <w:r>
              <w:rPr>
                <w:rFonts w:ascii="Times New Roman"/>
                <w:spacing w:val="-1"/>
                <w:sz w:val="18"/>
              </w:rPr>
              <w:t>7,492,000.00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640,977,660.46</w:t>
            </w: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47,715,512.00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576,637,148.46</w:t>
            </w: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7,492,000.00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631,844,660.46</w:t>
            </w:r>
          </w:p>
        </w:tc>
      </w:tr>
      <w:tr>
        <w:trPr>
          <w:trHeight w:val="47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．其他权益工具持有者投入</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．股份支付计入所有者权益</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7,453,000.00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Times New Roman" w:hAnsi="Times New Roman" w:cs="Times New Roman" w:eastAsia="Times New Roman" w:hint="default"/>
                <w:sz w:val="18"/>
                <w:szCs w:val="18"/>
              </w:rPr>
            </w:pPr>
            <w:r>
              <w:rPr>
                <w:rFonts w:ascii="Times New Roman"/>
                <w:sz w:val="18"/>
              </w:rPr>
              <w:t>-1,680,000.00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9,133,000.00</w:t>
            </w:r>
          </w:p>
        </w:tc>
      </w:tr>
    </w:tbl>
    <w:p>
      <w:pPr>
        <w:spacing w:after="0" w:line="205" w:lineRule="exact"/>
        <w:jc w:val="right"/>
        <w:rPr>
          <w:rFonts w:ascii="Times New Roman" w:hAnsi="Times New Roman" w:cs="Times New Roman" w:eastAsia="Times New Roman" w:hint="default"/>
          <w:sz w:val="18"/>
          <w:szCs w:val="18"/>
        </w:rPr>
        <w:sectPr>
          <w:pgSz w:w="16840" w:h="11910" w:orient="landscape"/>
          <w:pgMar w:header="882" w:footer="1195" w:top="1120" w:bottom="1380" w:left="122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72" w:type="dxa"/>
        <w:tblLayout w:type="fixed"/>
        <w:tblCellMar>
          <w:top w:w="0" w:type="dxa"/>
          <w:left w:w="0" w:type="dxa"/>
          <w:bottom w:w="0" w:type="dxa"/>
          <w:right w:w="0" w:type="dxa"/>
        </w:tblCellMar>
        <w:tblLook w:val="01E0"/>
      </w:tblPr>
      <w:tblGrid>
        <w:gridCol w:w="2372"/>
        <w:gridCol w:w="1181"/>
        <w:gridCol w:w="446"/>
        <w:gridCol w:w="446"/>
        <w:gridCol w:w="341"/>
        <w:gridCol w:w="1315"/>
        <w:gridCol w:w="1061"/>
        <w:gridCol w:w="761"/>
        <w:gridCol w:w="552"/>
        <w:gridCol w:w="1092"/>
        <w:gridCol w:w="761"/>
        <w:gridCol w:w="1181"/>
        <w:gridCol w:w="1181"/>
        <w:gridCol w:w="1316"/>
      </w:tblGrid>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269,016.51</w:t>
            </w: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-53,625,863.23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8" w:right="0"/>
              <w:jc w:val="center"/>
              <w:rPr>
                <w:rFonts w:ascii="Times New Roman" w:hAnsi="Times New Roman" w:cs="Times New Roman" w:eastAsia="Times New Roman" w:hint="default"/>
                <w:sz w:val="18"/>
                <w:szCs w:val="18"/>
              </w:rPr>
            </w:pPr>
            <w:r>
              <w:rPr>
                <w:rFonts w:ascii="Times New Roman"/>
                <w:sz w:val="18"/>
              </w:rPr>
              <w:t>-29,400,000.00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-82,756,846.72</w:t>
            </w: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269,016.51</w:t>
            </w: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-269,016.51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．对所有者（或股东）的分</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-53,356,846.72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8" w:right="0"/>
              <w:jc w:val="center"/>
              <w:rPr>
                <w:rFonts w:ascii="Times New Roman" w:hAnsi="Times New Roman" w:cs="Times New Roman" w:eastAsia="Times New Roman" w:hint="default"/>
                <w:sz w:val="18"/>
                <w:szCs w:val="18"/>
              </w:rPr>
            </w:pPr>
            <w:r>
              <w:rPr>
                <w:rFonts w:ascii="Times New Roman"/>
                <w:sz w:val="18"/>
              </w:rPr>
              <w:t>-29,400,000.00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-82,756,846.72</w:t>
            </w: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．资本公积转增资本（或股</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．盈余公积转增资本（或股</w:t>
            </w:r>
          </w:p>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7" w:right="0"/>
              <w:jc w:val="center"/>
              <w:rPr>
                <w:rFonts w:ascii="Times New Roman" w:hAnsi="Times New Roman" w:cs="Times New Roman" w:eastAsia="Times New Roman" w:hint="default"/>
                <w:sz w:val="18"/>
                <w:szCs w:val="18"/>
              </w:rPr>
            </w:pPr>
            <w:r>
              <w:rPr>
                <w:rFonts w:ascii="Times New Roman"/>
                <w:sz w:val="18"/>
              </w:rPr>
              <w:t>-1,899,724.23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-1,899,724.23</w:t>
            </w:r>
          </w:p>
        </w:tc>
      </w:tr>
      <w:tr>
        <w:trPr>
          <w:trHeight w:val="24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666,960,584.00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2,470,730,106.20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3" w:right="0"/>
              <w:jc w:val="left"/>
              <w:rPr>
                <w:rFonts w:ascii="Times New Roman" w:hAnsi="Times New Roman" w:cs="Times New Roman" w:eastAsia="Times New Roman" w:hint="default"/>
                <w:sz w:val="18"/>
                <w:szCs w:val="18"/>
              </w:rPr>
            </w:pPr>
            <w:r>
              <w:rPr>
                <w:rFonts w:ascii="Times New Roman"/>
                <w:sz w:val="18"/>
              </w:rPr>
              <w:t>2,240,000.00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91,930,251.69</w:t>
            </w:r>
          </w:p>
        </w:tc>
        <w:tc>
          <w:tcPr>
            <w:tcW w:w="7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580,591,243.23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121,400,087.38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3,929,372,272.50</w:t>
            </w:r>
          </w:p>
        </w:tc>
      </w:tr>
    </w:tbl>
    <w:p>
      <w:pPr>
        <w:pStyle w:val="BodyText"/>
        <w:spacing w:line="241" w:lineRule="exact"/>
        <w:ind w:left="280" w:right="0"/>
        <w:jc w:val="left"/>
      </w:pPr>
      <w:r>
        <w:rPr/>
        <w:t>法定代表人：杨剑 主管会计工作负责人：朱宇华</w:t>
      </w:r>
      <w:r>
        <w:rPr>
          <w:spacing w:val="-9"/>
        </w:rPr>
        <w:t> </w:t>
      </w:r>
      <w:r>
        <w:rPr/>
        <w:t>会计机构负责人：熊美福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82" w:footer="1195" w:top="1120" w:bottom="1380" w:left="1160" w:right="1300"/>
        </w:sectPr>
      </w:pPr>
    </w:p>
    <w:p>
      <w:pPr>
        <w:pStyle w:val="Heading2"/>
        <w:spacing w:line="273" w:lineRule="exact"/>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160" w:right="1300"/>
          <w:cols w:num="2" w:equalWidth="0">
            <w:col w:w="8367" w:space="40"/>
            <w:col w:w="5973"/>
          </w:cols>
        </w:sectPr>
      </w:pPr>
    </w:p>
    <w:tbl>
      <w:tblPr>
        <w:tblW w:w="0" w:type="auto"/>
        <w:jc w:val="left"/>
        <w:tblInd w:w="100" w:type="dxa"/>
        <w:tblLayout w:type="fixed"/>
        <w:tblCellMar>
          <w:top w:w="0" w:type="dxa"/>
          <w:left w:w="0" w:type="dxa"/>
          <w:bottom w:w="0" w:type="dxa"/>
          <w:right w:w="0" w:type="dxa"/>
        </w:tblCellMar>
        <w:tblLook w:val="01E0"/>
      </w:tblPr>
      <w:tblGrid>
        <w:gridCol w:w="2559"/>
        <w:gridCol w:w="1342"/>
        <w:gridCol w:w="610"/>
        <w:gridCol w:w="610"/>
        <w:gridCol w:w="504"/>
        <w:gridCol w:w="1476"/>
        <w:gridCol w:w="1342"/>
        <w:gridCol w:w="929"/>
        <w:gridCol w:w="715"/>
        <w:gridCol w:w="1253"/>
        <w:gridCol w:w="1339"/>
        <w:gridCol w:w="1476"/>
      </w:tblGrid>
      <w:tr>
        <w:trPr>
          <w:trHeight w:val="250" w:hRule="exact"/>
        </w:trPr>
        <w:tc>
          <w:tcPr>
            <w:tcW w:w="2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96"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559" w:type="dxa"/>
            <w:vMerge/>
            <w:tcBorders>
              <w:left w:val="single" w:sz="6" w:space="0" w:color="000000"/>
              <w:right w:val="single" w:sz="6" w:space="0" w:color="000000"/>
            </w:tcBorders>
          </w:tcPr>
          <w:p>
            <w:pPr/>
          </w:p>
        </w:tc>
        <w:tc>
          <w:tcPr>
            <w:tcW w:w="1342" w:type="dxa"/>
            <w:vMerge w:val="restart"/>
            <w:tcBorders>
              <w:top w:val="single" w:sz="6" w:space="0" w:color="000000"/>
              <w:left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72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4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29" w:type="dxa"/>
            <w:vMerge w:val="restart"/>
            <w:tcBorders>
              <w:top w:val="single" w:sz="6" w:space="0" w:color="000000"/>
              <w:left w:val="single" w:sz="6" w:space="0" w:color="000000"/>
              <w:right w:val="single" w:sz="6" w:space="0" w:color="000000"/>
            </w:tcBorders>
          </w:tcPr>
          <w:p>
            <w:pPr>
              <w:pStyle w:val="TableParagraph"/>
              <w:spacing w:line="232" w:lineRule="exact" w:before="160"/>
              <w:ind w:left="187" w:right="18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15" w:type="dxa"/>
            <w:vMerge w:val="restart"/>
            <w:tcBorders>
              <w:top w:val="single" w:sz="6" w:space="0" w:color="000000"/>
              <w:left w:val="single" w:sz="6" w:space="0" w:color="000000"/>
              <w:right w:val="single" w:sz="6" w:space="0" w:color="000000"/>
            </w:tcBorders>
          </w:tcPr>
          <w:p>
            <w:pPr>
              <w:pStyle w:val="TableParagraph"/>
              <w:spacing w:line="232" w:lineRule="exact" w:before="160"/>
              <w:ind w:left="170" w:right="16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53"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3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2559" w:type="dxa"/>
            <w:vMerge/>
            <w:tcBorders>
              <w:left w:val="single" w:sz="6" w:space="0" w:color="000000"/>
              <w:bottom w:val="single" w:sz="6" w:space="0" w:color="000000"/>
              <w:right w:val="single" w:sz="6" w:space="0" w:color="000000"/>
            </w:tcBorders>
          </w:tcPr>
          <w:p>
            <w:pPr/>
          </w:p>
        </w:tc>
        <w:tc>
          <w:tcPr>
            <w:tcW w:w="1342" w:type="dxa"/>
            <w:vMerge/>
            <w:tcBorders>
              <w:left w:val="single" w:sz="6" w:space="0" w:color="000000"/>
              <w:bottom w:val="single" w:sz="6" w:space="0" w:color="000000"/>
              <w:right w:val="single" w:sz="4" w:space="0" w:color="000000"/>
            </w:tcBorders>
          </w:tcPr>
          <w:p>
            <w:pPr/>
          </w:p>
        </w:tc>
        <w:tc>
          <w:tcPr>
            <w:tcW w:w="610"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208" w:right="11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10"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1"/>
              <w:ind w:left="208" w:right="119"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04"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
              <w:ind w:left="155" w:right="155"/>
              <w:jc w:val="left"/>
              <w:rPr>
                <w:rFonts w:ascii="宋体" w:hAnsi="宋体" w:cs="宋体" w:eastAsia="宋体" w:hint="default"/>
                <w:sz w:val="18"/>
                <w:szCs w:val="18"/>
              </w:rPr>
            </w:pPr>
            <w:r>
              <w:rPr>
                <w:rFonts w:ascii="宋体" w:hAnsi="宋体" w:cs="宋体" w:eastAsia="宋体" w:hint="default"/>
                <w:sz w:val="18"/>
                <w:szCs w:val="18"/>
              </w:rPr>
              <w:t>其 他</w:t>
            </w:r>
          </w:p>
        </w:tc>
        <w:tc>
          <w:tcPr>
            <w:tcW w:w="1476" w:type="dxa"/>
            <w:vMerge/>
            <w:tcBorders>
              <w:left w:val="single" w:sz="6" w:space="0" w:color="000000"/>
              <w:bottom w:val="single" w:sz="6" w:space="0" w:color="000000"/>
              <w:right w:val="single" w:sz="6" w:space="0" w:color="000000"/>
            </w:tcBorders>
          </w:tcPr>
          <w:p>
            <w:pPr/>
          </w:p>
        </w:tc>
        <w:tc>
          <w:tcPr>
            <w:tcW w:w="1342" w:type="dxa"/>
            <w:vMerge/>
            <w:tcBorders>
              <w:left w:val="single" w:sz="6" w:space="0" w:color="000000"/>
              <w:bottom w:val="single" w:sz="6" w:space="0" w:color="000000"/>
              <w:right w:val="single" w:sz="6" w:space="0" w:color="000000"/>
            </w:tcBorders>
          </w:tcPr>
          <w:p>
            <w:pPr/>
          </w:p>
        </w:tc>
        <w:tc>
          <w:tcPr>
            <w:tcW w:w="929" w:type="dxa"/>
            <w:vMerge/>
            <w:tcBorders>
              <w:left w:val="single" w:sz="6" w:space="0" w:color="000000"/>
              <w:bottom w:val="single" w:sz="6" w:space="0" w:color="000000"/>
              <w:right w:val="single" w:sz="6" w:space="0" w:color="000000"/>
            </w:tcBorders>
          </w:tcPr>
          <w:p>
            <w:pPr/>
          </w:p>
        </w:tc>
        <w:tc>
          <w:tcPr>
            <w:tcW w:w="715" w:type="dxa"/>
            <w:vMerge/>
            <w:tcBorders>
              <w:left w:val="single" w:sz="6" w:space="0" w:color="000000"/>
              <w:bottom w:val="single" w:sz="6" w:space="0" w:color="000000"/>
              <w:right w:val="single" w:sz="6" w:space="0" w:color="000000"/>
            </w:tcBorders>
          </w:tcPr>
          <w:p>
            <w:pPr/>
          </w:p>
        </w:tc>
        <w:tc>
          <w:tcPr>
            <w:tcW w:w="1253" w:type="dxa"/>
            <w:vMerge/>
            <w:tcBorders>
              <w:left w:val="single" w:sz="6" w:space="0" w:color="000000"/>
              <w:bottom w:val="single" w:sz="6" w:space="0" w:color="000000"/>
              <w:right w:val="single" w:sz="6" w:space="0" w:color="000000"/>
            </w:tcBorders>
          </w:tcPr>
          <w:p>
            <w:pPr/>
          </w:p>
        </w:tc>
        <w:tc>
          <w:tcPr>
            <w:tcW w:w="1339"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666,960,584.00</w:t>
            </w: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2,477,288,677.77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2,240,000.00</w:t>
            </w: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91,930,251.69</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 w:right="0"/>
              <w:jc w:val="center"/>
              <w:rPr>
                <w:rFonts w:ascii="Times New Roman" w:hAnsi="Times New Roman" w:cs="Times New Roman" w:eastAsia="Times New Roman" w:hint="default"/>
                <w:sz w:val="18"/>
                <w:szCs w:val="18"/>
              </w:rPr>
            </w:pPr>
            <w:r>
              <w:rPr>
                <w:rFonts w:ascii="Times New Roman"/>
                <w:sz w:val="18"/>
              </w:rPr>
              <w:t>306,995,035.69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3,540,934,549.15</w:t>
            </w: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666,960,584.00</w:t>
            </w: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2,477,288,677.77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2,240,000.00</w:t>
            </w: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91,930,251.69</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306,995,035.69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3,540,934,549.15</w:t>
            </w: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三、本期增减变动金额（减少</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10,474,337.37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266,720,699.04</w:t>
            </w: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6,039,960.15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3" w:right="0"/>
              <w:jc w:val="center"/>
              <w:rPr>
                <w:rFonts w:ascii="Times New Roman" w:hAnsi="Times New Roman" w:cs="Times New Roman" w:eastAsia="Times New Roman" w:hint="default"/>
                <w:sz w:val="18"/>
                <w:szCs w:val="18"/>
              </w:rPr>
            </w:pPr>
            <w:r>
              <w:rPr>
                <w:rFonts w:ascii="Times New Roman"/>
                <w:sz w:val="18"/>
              </w:rPr>
              <w:t>-25,675,628.70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73" w:right="0"/>
              <w:jc w:val="center"/>
              <w:rPr>
                <w:rFonts w:ascii="Times New Roman" w:hAnsi="Times New Roman" w:cs="Times New Roman" w:eastAsia="Times New Roman" w:hint="default"/>
                <w:sz w:val="18"/>
                <w:szCs w:val="18"/>
              </w:rPr>
            </w:pPr>
            <w:r>
              <w:rPr>
                <w:rFonts w:ascii="Times New Roman"/>
                <w:sz w:val="18"/>
              </w:rPr>
              <w:t>-275,882,030.22</w:t>
            </w:r>
          </w:p>
        </w:tc>
      </w:tr>
    </w:tbl>
    <w:p>
      <w:pPr>
        <w:spacing w:after="0" w:line="202" w:lineRule="exact"/>
        <w:jc w:val="center"/>
        <w:rPr>
          <w:rFonts w:ascii="Times New Roman" w:hAnsi="Times New Roman" w:cs="Times New Roman" w:eastAsia="Times New Roman" w:hint="default"/>
          <w:sz w:val="18"/>
          <w:szCs w:val="18"/>
        </w:rPr>
        <w:sectPr>
          <w:type w:val="continuous"/>
          <w:pgSz w:w="16840" w:h="11910" w:orient="landscape"/>
          <w:pgMar w:top="1120" w:bottom="1380" w:left="11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559"/>
        <w:gridCol w:w="1342"/>
        <w:gridCol w:w="610"/>
        <w:gridCol w:w="610"/>
        <w:gridCol w:w="504"/>
        <w:gridCol w:w="1476"/>
        <w:gridCol w:w="1342"/>
        <w:gridCol w:w="929"/>
        <w:gridCol w:w="715"/>
        <w:gridCol w:w="1253"/>
        <w:gridCol w:w="1339"/>
        <w:gridCol w:w="1476"/>
      </w:tblGrid>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4" w:right="0"/>
              <w:jc w:val="center"/>
              <w:rPr>
                <w:rFonts w:ascii="Times New Roman" w:hAnsi="Times New Roman" w:cs="Times New Roman" w:eastAsia="Times New Roman" w:hint="default"/>
                <w:sz w:val="18"/>
                <w:szCs w:val="18"/>
              </w:rPr>
            </w:pPr>
            <w:r>
              <w:rPr>
                <w:rFonts w:ascii="Times New Roman"/>
                <w:sz w:val="18"/>
              </w:rPr>
              <w:t>60,399,601.53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60,399,601.53</w:t>
            </w: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9,714,726.42</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266,720,699.04</w:t>
            </w: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-257,005,972.62</w:t>
            </w: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396,226.42</w:t>
            </w: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396,226.42</w:t>
            </w:r>
          </w:p>
        </w:tc>
      </w:tr>
      <w:tr>
        <w:trPr>
          <w:trHeight w:val="482"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其他权益工具持有者投入资</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9"/>
                <w:sz w:val="18"/>
                <w:szCs w:val="18"/>
              </w:rPr>
              <w:t>．</w:t>
            </w:r>
            <w:r>
              <w:rPr>
                <w:rFonts w:ascii="宋体" w:hAnsi="宋体" w:cs="宋体" w:eastAsia="宋体" w:hint="default"/>
                <w:sz w:val="18"/>
                <w:szCs w:val="18"/>
              </w:rPr>
              <w:t>股份支付计入所有者权益的</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9,318,500.00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266,720,699.04</w:t>
            </w: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-257,402,199.04</w:t>
            </w: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6,039,960.15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3" w:right="0"/>
              <w:jc w:val="center"/>
              <w:rPr>
                <w:rFonts w:ascii="Times New Roman" w:hAnsi="Times New Roman" w:cs="Times New Roman" w:eastAsia="Times New Roman" w:hint="default"/>
                <w:sz w:val="18"/>
                <w:szCs w:val="18"/>
              </w:rPr>
            </w:pPr>
            <w:r>
              <w:rPr>
                <w:rFonts w:ascii="Times New Roman"/>
                <w:sz w:val="18"/>
              </w:rPr>
              <w:t>-86,075,230.23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-80,035,270.08</w:t>
            </w: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6,039,960.15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2" w:right="0"/>
              <w:jc w:val="center"/>
              <w:rPr>
                <w:rFonts w:ascii="Times New Roman" w:hAnsi="Times New Roman" w:cs="Times New Roman" w:eastAsia="Times New Roman" w:hint="default"/>
                <w:sz w:val="18"/>
                <w:szCs w:val="18"/>
              </w:rPr>
            </w:pPr>
            <w:r>
              <w:rPr>
                <w:rFonts w:ascii="Times New Roman"/>
                <w:sz w:val="18"/>
              </w:rPr>
              <w:t>-6,039,960.15</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．对所有者（或股东）的分配</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33" w:right="0"/>
              <w:jc w:val="center"/>
              <w:rPr>
                <w:rFonts w:ascii="Times New Roman" w:hAnsi="Times New Roman" w:cs="Times New Roman" w:eastAsia="Times New Roman" w:hint="default"/>
                <w:sz w:val="18"/>
                <w:szCs w:val="18"/>
              </w:rPr>
            </w:pPr>
            <w:r>
              <w:rPr>
                <w:rFonts w:ascii="Times New Roman"/>
                <w:sz w:val="18"/>
              </w:rPr>
              <w:t>-80,035,270.08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-80,035,270.08</w:t>
            </w: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资本公积转增资</w:t>
            </w:r>
            <w:r>
              <w:rPr>
                <w:rFonts w:ascii="宋体" w:hAnsi="宋体" w:cs="宋体" w:eastAsia="宋体" w:hint="default"/>
                <w:spacing w:val="-89"/>
                <w:sz w:val="18"/>
                <w:szCs w:val="18"/>
              </w:rPr>
              <w:t>本</w:t>
            </w:r>
            <w:r>
              <w:rPr>
                <w:rFonts w:ascii="宋体" w:hAnsi="宋体" w:cs="宋体" w:eastAsia="宋体" w:hint="default"/>
                <w:sz w:val="18"/>
                <w:szCs w:val="18"/>
              </w:rPr>
              <w:t>（或股本）</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盈余公积转增资</w:t>
            </w:r>
            <w:r>
              <w:rPr>
                <w:rFonts w:ascii="宋体" w:hAnsi="宋体" w:cs="宋体" w:eastAsia="宋体" w:hint="default"/>
                <w:spacing w:val="-89"/>
                <w:sz w:val="18"/>
                <w:szCs w:val="18"/>
              </w:rPr>
              <w:t>本</w:t>
            </w:r>
            <w:r>
              <w:rPr>
                <w:rFonts w:ascii="宋体" w:hAnsi="宋体" w:cs="宋体" w:eastAsia="宋体" w:hint="default"/>
                <w:sz w:val="18"/>
                <w:szCs w:val="18"/>
              </w:rPr>
              <w:t>（或股本）</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2" w:type="dxa"/>
            <w:tcBorders>
              <w:top w:val="single" w:sz="6" w:space="0" w:color="000000"/>
              <w:left w:val="single" w:sz="6"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759,610.95</w:t>
            </w:r>
          </w:p>
        </w:tc>
        <w:tc>
          <w:tcPr>
            <w:tcW w:w="13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33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759,610.95</w:t>
            </w:r>
          </w:p>
        </w:tc>
      </w:tr>
      <w:tr>
        <w:trPr>
          <w:trHeight w:val="247" w:hRule="exact"/>
        </w:trPr>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666,960,584.00</w:t>
            </w:r>
          </w:p>
        </w:tc>
        <w:tc>
          <w:tcPr>
            <w:tcW w:w="610" w:type="dxa"/>
            <w:tcBorders>
              <w:top w:val="single" w:sz="6" w:space="0" w:color="000000"/>
              <w:left w:val="single" w:sz="4" w:space="0" w:color="000000"/>
              <w:bottom w:val="single" w:sz="6" w:space="0" w:color="000000"/>
              <w:right w:val="single" w:sz="4" w:space="0" w:color="000000"/>
            </w:tcBorders>
          </w:tcPr>
          <w:p>
            <w:pPr/>
          </w:p>
        </w:tc>
        <w:tc>
          <w:tcPr>
            <w:tcW w:w="610" w:type="dxa"/>
            <w:tcBorders>
              <w:top w:val="single" w:sz="6" w:space="0" w:color="000000"/>
              <w:left w:val="single" w:sz="4" w:space="0" w:color="000000"/>
              <w:bottom w:val="single" w:sz="6" w:space="0" w:color="000000"/>
              <w:right w:val="single" w:sz="4" w:space="0" w:color="000000"/>
            </w:tcBorders>
          </w:tcPr>
          <w:p>
            <w:pPr/>
          </w:p>
        </w:tc>
        <w:tc>
          <w:tcPr>
            <w:tcW w:w="504" w:type="dxa"/>
            <w:tcBorders>
              <w:top w:val="single" w:sz="6" w:space="0" w:color="000000"/>
              <w:left w:val="single" w:sz="4"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2,487,763,015.14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268,960,699.04</w:t>
            </w:r>
          </w:p>
        </w:tc>
        <w:tc>
          <w:tcPr>
            <w:tcW w:w="929" w:type="dxa"/>
            <w:tcBorders>
              <w:top w:val="single" w:sz="6" w:space="0" w:color="000000"/>
              <w:left w:val="single" w:sz="6" w:space="0" w:color="000000"/>
              <w:bottom w:val="single" w:sz="6" w:space="0" w:color="000000"/>
              <w:right w:val="single" w:sz="6" w:space="0" w:color="000000"/>
            </w:tcBorders>
          </w:tcPr>
          <w:p>
            <w:pPr/>
          </w:p>
        </w:tc>
        <w:tc>
          <w:tcPr>
            <w:tcW w:w="715"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97,970,211.84</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281,319,406.99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3,265,052,518.93</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236" w:type="dxa"/>
        <w:tblLayout w:type="fixed"/>
        <w:tblCellMar>
          <w:top w:w="0" w:type="dxa"/>
          <w:left w:w="0" w:type="dxa"/>
          <w:bottom w:w="0" w:type="dxa"/>
          <w:right w:w="0" w:type="dxa"/>
        </w:tblCellMar>
        <w:tblLook w:val="01E0"/>
      </w:tblPr>
      <w:tblGrid>
        <w:gridCol w:w="3430"/>
        <w:gridCol w:w="1181"/>
        <w:gridCol w:w="571"/>
        <w:gridCol w:w="574"/>
        <w:gridCol w:w="403"/>
        <w:gridCol w:w="1316"/>
        <w:gridCol w:w="1061"/>
        <w:gridCol w:w="1075"/>
        <w:gridCol w:w="740"/>
        <w:gridCol w:w="1092"/>
        <w:gridCol w:w="1181"/>
        <w:gridCol w:w="1316"/>
      </w:tblGrid>
      <w:tr>
        <w:trPr>
          <w:trHeight w:val="250" w:hRule="exact"/>
        </w:trPr>
        <w:tc>
          <w:tcPr>
            <w:tcW w:w="34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50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3430" w:type="dxa"/>
            <w:vMerge/>
            <w:tcBorders>
              <w:left w:val="single" w:sz="6" w:space="0" w:color="000000"/>
              <w:right w:val="single" w:sz="6" w:space="0" w:color="000000"/>
            </w:tcBorders>
          </w:tcPr>
          <w:p>
            <w:pPr/>
          </w:p>
        </w:tc>
        <w:tc>
          <w:tcPr>
            <w:tcW w:w="1181" w:type="dxa"/>
            <w:vMerge w:val="restart"/>
            <w:tcBorders>
              <w:top w:val="single" w:sz="6" w:space="0" w:color="000000"/>
              <w:left w:val="single" w:sz="6"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股本</w:t>
            </w:r>
          </w:p>
        </w:tc>
        <w:tc>
          <w:tcPr>
            <w:tcW w:w="154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5" w:type="dxa"/>
            <w:vMerge w:val="restart"/>
            <w:tcBorders>
              <w:top w:val="single" w:sz="6" w:space="0" w:color="000000"/>
              <w:left w:val="single" w:sz="6" w:space="0" w:color="000000"/>
              <w:right w:val="single" w:sz="6" w:space="0" w:color="000000"/>
            </w:tcBorders>
          </w:tcPr>
          <w:p>
            <w:pPr>
              <w:pStyle w:val="TableParagraph"/>
              <w:spacing w:line="232" w:lineRule="exact" w:before="160"/>
              <w:ind w:left="441" w:right="7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40" w:type="dxa"/>
            <w:vMerge w:val="restart"/>
            <w:tcBorders>
              <w:top w:val="single" w:sz="6" w:space="0" w:color="000000"/>
              <w:left w:val="single" w:sz="6" w:space="0" w:color="000000"/>
              <w:right w:val="single" w:sz="6" w:space="0" w:color="000000"/>
            </w:tcBorders>
          </w:tcPr>
          <w:p>
            <w:pPr>
              <w:pStyle w:val="TableParagraph"/>
              <w:spacing w:line="232" w:lineRule="exact" w:before="160"/>
              <w:ind w:left="273" w:right="8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3430" w:type="dxa"/>
            <w:vMerge/>
            <w:tcBorders>
              <w:left w:val="single" w:sz="6" w:space="0" w:color="000000"/>
              <w:bottom w:val="single" w:sz="6" w:space="0" w:color="000000"/>
              <w:right w:val="single" w:sz="6" w:space="0" w:color="000000"/>
            </w:tcBorders>
          </w:tcPr>
          <w:p>
            <w:pPr/>
          </w:p>
        </w:tc>
        <w:tc>
          <w:tcPr>
            <w:tcW w:w="1181" w:type="dxa"/>
            <w:vMerge/>
            <w:tcBorders>
              <w:left w:val="single" w:sz="6" w:space="0" w:color="000000"/>
              <w:bottom w:val="single" w:sz="6" w:space="0" w:color="000000"/>
              <w:right w:val="single" w:sz="4" w:space="0" w:color="000000"/>
            </w:tcBorders>
          </w:tcPr>
          <w:p>
            <w:pPr/>
          </w:p>
        </w:tc>
        <w:tc>
          <w:tcPr>
            <w:tcW w:w="571" w:type="dxa"/>
            <w:tcBorders>
              <w:top w:val="single" w:sz="4" w:space="0" w:color="000000"/>
              <w:left w:val="single" w:sz="4" w:space="0" w:color="000000"/>
              <w:bottom w:val="single" w:sz="6" w:space="0" w:color="000000"/>
              <w:right w:val="single" w:sz="4" w:space="0" w:color="000000"/>
            </w:tcBorders>
          </w:tcPr>
          <w:p>
            <w:pPr>
              <w:pStyle w:val="TableParagraph"/>
              <w:spacing w:line="234" w:lineRule="exact"/>
              <w:ind w:left="189" w:right="10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4" w:type="dxa"/>
            <w:tcBorders>
              <w:top w:val="single" w:sz="4" w:space="0" w:color="000000"/>
              <w:left w:val="single" w:sz="4" w:space="0" w:color="000000"/>
              <w:bottom w:val="single" w:sz="6" w:space="0" w:color="000000"/>
              <w:right w:val="single" w:sz="4" w:space="0" w:color="000000"/>
            </w:tcBorders>
          </w:tcPr>
          <w:p>
            <w:pPr>
              <w:pStyle w:val="TableParagraph"/>
              <w:spacing w:line="234" w:lineRule="exact"/>
              <w:ind w:left="192" w:right="101"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3" w:type="dxa"/>
            <w:tcBorders>
              <w:top w:val="single" w:sz="4" w:space="0" w:color="000000"/>
              <w:left w:val="single" w:sz="4" w:space="0" w:color="000000"/>
              <w:bottom w:val="single" w:sz="6" w:space="0" w:color="000000"/>
              <w:right w:val="single" w:sz="6" w:space="0" w:color="000000"/>
            </w:tcBorders>
          </w:tcPr>
          <w:p>
            <w:pPr>
              <w:pStyle w:val="TableParagraph"/>
              <w:spacing w:line="234" w:lineRule="exact"/>
              <w:ind w:left="105" w:right="103"/>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tcBorders>
              <w:left w:val="single" w:sz="6" w:space="0" w:color="000000"/>
              <w:bottom w:val="single" w:sz="6" w:space="0" w:color="000000"/>
              <w:right w:val="single" w:sz="6" w:space="0" w:color="000000"/>
            </w:tcBorders>
          </w:tcPr>
          <w:p>
            <w:pPr/>
          </w:p>
        </w:tc>
        <w:tc>
          <w:tcPr>
            <w:tcW w:w="1061" w:type="dxa"/>
            <w:vMerge/>
            <w:tcBorders>
              <w:left w:val="single" w:sz="6" w:space="0" w:color="000000"/>
              <w:bottom w:val="single" w:sz="6" w:space="0" w:color="000000"/>
              <w:right w:val="single" w:sz="6" w:space="0" w:color="000000"/>
            </w:tcBorders>
          </w:tcPr>
          <w:p>
            <w:pPr/>
          </w:p>
        </w:tc>
        <w:tc>
          <w:tcPr>
            <w:tcW w:w="1075" w:type="dxa"/>
            <w:vMerge/>
            <w:tcBorders>
              <w:left w:val="single" w:sz="6" w:space="0" w:color="000000"/>
              <w:bottom w:val="single" w:sz="6" w:space="0" w:color="000000"/>
              <w:right w:val="single" w:sz="6" w:space="0" w:color="000000"/>
            </w:tcBorders>
          </w:tcPr>
          <w:p>
            <w:pPr/>
          </w:p>
        </w:tc>
        <w:tc>
          <w:tcPr>
            <w:tcW w:w="740" w:type="dxa"/>
            <w:vMerge/>
            <w:tcBorders>
              <w:left w:val="single" w:sz="6" w:space="0" w:color="000000"/>
              <w:bottom w:val="single" w:sz="6" w:space="0" w:color="000000"/>
              <w:right w:val="single" w:sz="6" w:space="0" w:color="000000"/>
            </w:tcBorders>
          </w:tcPr>
          <w:p>
            <w:pPr/>
          </w:p>
        </w:tc>
        <w:tc>
          <w:tcPr>
            <w:tcW w:w="1092" w:type="dxa"/>
            <w:vMerge/>
            <w:tcBorders>
              <w:left w:val="single" w:sz="6" w:space="0" w:color="000000"/>
              <w:bottom w:val="single" w:sz="6" w:space="0" w:color="000000"/>
              <w:right w:val="single" w:sz="6" w:space="0" w:color="000000"/>
            </w:tcBorders>
          </w:tcPr>
          <w:p>
            <w:pPr/>
          </w:p>
        </w:tc>
        <w:tc>
          <w:tcPr>
            <w:tcW w:w="1181" w:type="dxa"/>
            <w:vMerge/>
            <w:tcBorders>
              <w:left w:val="single" w:sz="6" w:space="0" w:color="000000"/>
              <w:bottom w:val="single" w:sz="6" w:space="0" w:color="000000"/>
              <w:right w:val="single" w:sz="6" w:space="0" w:color="000000"/>
            </w:tcBorders>
          </w:tcPr>
          <w:p>
            <w:pPr/>
          </w:p>
        </w:tc>
        <w:tc>
          <w:tcPr>
            <w:tcW w:w="1316" w:type="dxa"/>
            <w:vMerge/>
            <w:tcBorders>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51"/>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619,245,072.00</w:t>
            </w:r>
          </w:p>
        </w:tc>
        <w:tc>
          <w:tcPr>
            <w:tcW w:w="57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4"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4" w:right="0"/>
              <w:jc w:val="center"/>
              <w:rPr>
                <w:rFonts w:ascii="Times New Roman" w:hAnsi="Times New Roman" w:cs="Times New Roman" w:eastAsia="Times New Roman" w:hint="default"/>
                <w:sz w:val="18"/>
                <w:szCs w:val="18"/>
              </w:rPr>
            </w:pPr>
            <w:r>
              <w:rPr>
                <w:rFonts w:ascii="Times New Roman"/>
                <w:sz w:val="18"/>
              </w:rPr>
              <w:t>1,893,544,758.20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spacing w:val="-1"/>
                <w:sz w:val="18"/>
              </w:rPr>
              <w:t>3,920,000.00</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Times New Roman" w:hAnsi="Times New Roman" w:cs="Times New Roman" w:eastAsia="Times New Roman" w:hint="default"/>
                <w:sz w:val="18"/>
                <w:szCs w:val="18"/>
              </w:rPr>
            </w:pPr>
            <w:r>
              <w:rPr>
                <w:rFonts w:ascii="Times New Roman"/>
                <w:sz w:val="18"/>
              </w:rPr>
              <w:t>91,661,235.18</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350,943,501.83</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Times New Roman" w:hAnsi="Times New Roman" w:cs="Times New Roman" w:eastAsia="Times New Roman" w:hint="default"/>
                <w:sz w:val="18"/>
                <w:szCs w:val="18"/>
              </w:rPr>
            </w:pPr>
            <w:r>
              <w:rPr>
                <w:rFonts w:ascii="Times New Roman"/>
                <w:sz w:val="18"/>
              </w:rPr>
              <w:t>2,951,474,567.21</w:t>
            </w: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5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4" w:space="0" w:color="000000"/>
            </w:tcBorders>
          </w:tcPr>
          <w:p>
            <w:pPr/>
          </w:p>
        </w:tc>
        <w:tc>
          <w:tcPr>
            <w:tcW w:w="1316" w:type="dxa"/>
            <w:tcBorders>
              <w:top w:val="single" w:sz="6" w:space="0" w:color="000000"/>
              <w:left w:val="single" w:sz="4"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5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4" w:space="0" w:color="000000"/>
            </w:tcBorders>
          </w:tcPr>
          <w:p>
            <w:pPr/>
          </w:p>
        </w:tc>
        <w:tc>
          <w:tcPr>
            <w:tcW w:w="1316" w:type="dxa"/>
            <w:tcBorders>
              <w:top w:val="single" w:sz="6" w:space="0" w:color="000000"/>
              <w:left w:val="single" w:sz="4"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4" w:space="0" w:color="000000"/>
            </w:tcBorders>
          </w:tcPr>
          <w:p>
            <w:pPr/>
          </w:p>
        </w:tc>
        <w:tc>
          <w:tcPr>
            <w:tcW w:w="1316" w:type="dxa"/>
            <w:tcBorders>
              <w:top w:val="single" w:sz="6" w:space="0" w:color="000000"/>
              <w:left w:val="single" w:sz="4"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51"/>
              <w:jc w:val="righ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619,245,072.00</w:t>
            </w:r>
          </w:p>
        </w:tc>
        <w:tc>
          <w:tcPr>
            <w:tcW w:w="57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4"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4" w:right="0"/>
              <w:jc w:val="center"/>
              <w:rPr>
                <w:rFonts w:ascii="Times New Roman" w:hAnsi="Times New Roman" w:cs="Times New Roman" w:eastAsia="Times New Roman" w:hint="default"/>
                <w:sz w:val="18"/>
                <w:szCs w:val="18"/>
              </w:rPr>
            </w:pPr>
            <w:r>
              <w:rPr>
                <w:rFonts w:ascii="Times New Roman"/>
                <w:sz w:val="18"/>
              </w:rPr>
              <w:t>1,893,544,758.20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spacing w:val="-1"/>
                <w:sz w:val="18"/>
              </w:rPr>
              <w:t>3,920,000.00</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Times New Roman" w:hAnsi="Times New Roman" w:cs="Times New Roman" w:eastAsia="Times New Roman" w:hint="default"/>
                <w:sz w:val="18"/>
                <w:szCs w:val="18"/>
              </w:rPr>
            </w:pPr>
            <w:r>
              <w:rPr>
                <w:rFonts w:ascii="Times New Roman"/>
                <w:sz w:val="18"/>
              </w:rPr>
              <w:t>91,661,235.18</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350,943,501.83</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Times New Roman" w:hAnsi="Times New Roman" w:cs="Times New Roman" w:eastAsia="Times New Roman" w:hint="default"/>
                <w:sz w:val="18"/>
                <w:szCs w:val="18"/>
              </w:rPr>
            </w:pPr>
            <w:r>
              <w:rPr>
                <w:rFonts w:ascii="Times New Roman"/>
                <w:sz w:val="18"/>
              </w:rPr>
              <w:t>2,951,474,567.21</w:t>
            </w:r>
          </w:p>
        </w:tc>
      </w:tr>
    </w:tbl>
    <w:p>
      <w:pPr>
        <w:spacing w:after="0" w:line="205" w:lineRule="exact"/>
        <w:jc w:val="center"/>
        <w:rPr>
          <w:rFonts w:ascii="Times New Roman" w:hAnsi="Times New Roman" w:cs="Times New Roman" w:eastAsia="Times New Roman" w:hint="default"/>
          <w:sz w:val="18"/>
          <w:szCs w:val="18"/>
        </w:rPr>
        <w:sectPr>
          <w:pgSz w:w="16840" w:h="11910" w:orient="landscape"/>
          <w:pgMar w:header="882" w:footer="1195" w:top="1120" w:bottom="1380" w:left="11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before="0"/>
        <w:ind w:left="3434" w:right="0" w:firstLine="0"/>
        <w:jc w:val="left"/>
        <w:rPr>
          <w:rFonts w:ascii="宋体" w:hAnsi="宋体" w:cs="宋体" w:eastAsia="宋体" w:hint="default"/>
          <w:sz w:val="18"/>
          <w:szCs w:val="18"/>
        </w:rPr>
      </w:pPr>
      <w:r>
        <w:rPr/>
        <w:pict>
          <v:shape style="position:absolute;margin-left:69.839996pt;margin-top:.791731pt;width:698.05pt;height:261.6500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30"/>
                    <w:gridCol w:w="89"/>
                    <w:gridCol w:w="1092"/>
                    <w:gridCol w:w="571"/>
                    <w:gridCol w:w="574"/>
                    <w:gridCol w:w="403"/>
                    <w:gridCol w:w="1316"/>
                    <w:gridCol w:w="1061"/>
                    <w:gridCol w:w="1075"/>
                    <w:gridCol w:w="740"/>
                    <w:gridCol w:w="1092"/>
                    <w:gridCol w:w="1181"/>
                    <w:gridCol w:w="1316"/>
                  </w:tblGrid>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1"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89" w:type="dxa"/>
                        <w:tcBorders>
                          <w:top w:val="single" w:sz="6" w:space="0" w:color="000000"/>
                          <w:left w:val="single" w:sz="6" w:space="0" w:color="000000"/>
                          <w:bottom w:val="single" w:sz="6" w:space="0" w:color="000000"/>
                          <w:right w:val="nil" w:sz="6" w:space="0" w:color="auto"/>
                        </w:tcBorders>
                      </w:tcPr>
                      <w:p>
                        <w:pPr/>
                      </w:p>
                    </w:tc>
                    <w:tc>
                      <w:tcPr>
                        <w:tcW w:w="1092" w:type="dxa"/>
                        <w:tcBorders>
                          <w:top w:val="single" w:sz="6" w:space="0" w:color="000000"/>
                          <w:left w:val="nil" w:sz="6" w:space="0" w:color="auto"/>
                          <w:bottom w:val="single" w:sz="6" w:space="0" w:color="000000"/>
                          <w:right w:val="single" w:sz="4" w:space="0" w:color="000000"/>
                        </w:tcBorders>
                      </w:tcPr>
                      <w:p>
                        <w:pPr>
                          <w:pStyle w:val="TableParagraph"/>
                          <w:spacing w:line="202" w:lineRule="exact"/>
                          <w:ind w:left="29" w:right="0"/>
                          <w:jc w:val="left"/>
                          <w:rPr>
                            <w:rFonts w:ascii="Times New Roman" w:hAnsi="Times New Roman" w:cs="Times New Roman" w:eastAsia="Times New Roman" w:hint="default"/>
                            <w:sz w:val="18"/>
                            <w:szCs w:val="18"/>
                          </w:rPr>
                        </w:pPr>
                        <w:r>
                          <w:rPr>
                            <w:rFonts w:ascii="Times New Roman"/>
                            <w:sz w:val="18"/>
                          </w:rPr>
                          <w:t>47,715,512.00</w:t>
                        </w:r>
                      </w:p>
                    </w:tc>
                    <w:tc>
                      <w:tcPr>
                        <w:tcW w:w="571"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4"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583,743,919.57</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-1,680,000.00</w:t>
                        </w: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269,016.51</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-43,948,466.14</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589,459,981.94</w:t>
                        </w: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9,677,397.09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9,677,397.09</w:t>
                        </w: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gridSpan w:val="2"/>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11" w:right="0"/>
                          <w:jc w:val="left"/>
                          <w:rPr>
                            <w:rFonts w:ascii="Times New Roman" w:hAnsi="Times New Roman" w:cs="Times New Roman" w:eastAsia="Times New Roman" w:hint="default"/>
                            <w:sz w:val="18"/>
                            <w:szCs w:val="18"/>
                          </w:rPr>
                        </w:pPr>
                        <w:r>
                          <w:rPr>
                            <w:rFonts w:ascii="Times New Roman"/>
                            <w:sz w:val="18"/>
                          </w:rPr>
                          <w:t>47,715,512.00</w:t>
                        </w:r>
                      </w:p>
                    </w:tc>
                    <w:tc>
                      <w:tcPr>
                        <w:tcW w:w="571"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4"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583,743,919.57</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-1,680,000.00</w:t>
                        </w: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633,139,431.57</w:t>
                        </w: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gridSpan w:val="2"/>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11" w:right="0"/>
                          <w:jc w:val="left"/>
                          <w:rPr>
                            <w:rFonts w:ascii="Times New Roman" w:hAnsi="Times New Roman" w:cs="Times New Roman" w:eastAsia="Times New Roman" w:hint="default"/>
                            <w:sz w:val="18"/>
                            <w:szCs w:val="18"/>
                          </w:rPr>
                        </w:pPr>
                        <w:r>
                          <w:rPr>
                            <w:rFonts w:ascii="Times New Roman"/>
                            <w:sz w:val="18"/>
                          </w:rPr>
                          <w:t>47,715,512.00</w:t>
                        </w: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7"/>
                          <w:jc w:val="right"/>
                          <w:rPr>
                            <w:rFonts w:ascii="Times New Roman" w:hAnsi="Times New Roman" w:cs="Times New Roman" w:eastAsia="Times New Roman" w:hint="default"/>
                            <w:sz w:val="18"/>
                            <w:szCs w:val="18"/>
                          </w:rPr>
                        </w:pPr>
                        <w:r>
                          <w:rPr>
                            <w:rFonts w:ascii="Times New Roman"/>
                            <w:spacing w:val="-1"/>
                            <w:sz w:val="18"/>
                          </w:rPr>
                          <w:t>576,290,919.57</w:t>
                        </w: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624,006,431.57</w:t>
                        </w: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7,453,000.00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-1,680,000.00</w:t>
                        </w: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9,133,000.00</w:t>
                        </w: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269,016.51</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-53,625,863.23</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-53,356,846.72</w:t>
                        </w:r>
                      </w:p>
                    </w:tc>
                  </w:tr>
                  <w:tr>
                    <w:trPr>
                      <w:trHeight w:val="24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pacing w:val="-1"/>
                            <w:sz w:val="18"/>
                          </w:rPr>
                          <w:t>269,016.51</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spacing w:val="-1"/>
                            <w:sz w:val="18"/>
                          </w:rPr>
                          <w:t>-269,016.51</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-53,356,846.72</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-53,356,846.72</w:t>
                        </w: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gridSpan w:val="2"/>
                        <w:tcBorders>
                          <w:top w:val="single" w:sz="6" w:space="0" w:color="000000"/>
                          <w:left w:val="single" w:sz="6" w:space="0" w:color="000000"/>
                          <w:bottom w:val="single" w:sz="6" w:space="0" w:color="000000"/>
                          <w:right w:val="single" w:sz="4" w:space="0" w:color="000000"/>
                        </w:tcBorders>
                      </w:tcPr>
                      <w:p>
                        <w:pPr/>
                      </w:p>
                    </w:tc>
                    <w:tc>
                      <w:tcPr>
                        <w:tcW w:w="571" w:type="dxa"/>
                        <w:tcBorders>
                          <w:top w:val="single" w:sz="6" w:space="0" w:color="000000"/>
                          <w:left w:val="single" w:sz="4" w:space="0" w:color="000000"/>
                          <w:bottom w:val="single" w:sz="6" w:space="0" w:color="000000"/>
                          <w:right w:val="single" w:sz="4" w:space="0" w:color="000000"/>
                        </w:tcBorders>
                      </w:tcPr>
                      <w:p>
                        <w:pPr/>
                      </w:p>
                    </w:tc>
                    <w:tc>
                      <w:tcPr>
                        <w:tcW w:w="574" w:type="dxa"/>
                        <w:tcBorders>
                          <w:top w:val="single" w:sz="6" w:space="0" w:color="000000"/>
                          <w:left w:val="single" w:sz="4" w:space="0" w:color="000000"/>
                          <w:bottom w:val="single" w:sz="6" w:space="0" w:color="000000"/>
                          <w:right w:val="single" w:sz="4" w:space="0" w:color="000000"/>
                        </w:tcBorders>
                      </w:tcPr>
                      <w:p>
                        <w:pPr/>
                      </w:p>
                    </w:tc>
                    <w:tc>
                      <w:tcPr>
                        <w:tcW w:w="403" w:type="dxa"/>
                        <w:tcBorders>
                          <w:top w:val="single" w:sz="6" w:space="0" w:color="000000"/>
                          <w:left w:val="single" w:sz="4"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gridSpan w:val="2"/>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9" w:right="0"/>
                          <w:jc w:val="left"/>
                          <w:rPr>
                            <w:rFonts w:ascii="Times New Roman" w:hAnsi="Times New Roman" w:cs="Times New Roman" w:eastAsia="Times New Roman" w:hint="default"/>
                            <w:sz w:val="18"/>
                            <w:szCs w:val="18"/>
                          </w:rPr>
                        </w:pPr>
                        <w:r>
                          <w:rPr>
                            <w:rFonts w:ascii="Times New Roman"/>
                            <w:sz w:val="18"/>
                          </w:rPr>
                          <w:t>666,960,584.00</w:t>
                        </w:r>
                      </w:p>
                    </w:tc>
                    <w:tc>
                      <w:tcPr>
                        <w:tcW w:w="571"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4" w:type="dxa"/>
                        <w:tcBorders>
                          <w:top w:val="single" w:sz="6" w:space="0" w:color="000000"/>
                          <w:left w:val="single" w:sz="4" w:space="0" w:color="000000"/>
                          <w:bottom w:val="single" w:sz="6"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03"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7"/>
                          <w:jc w:val="right"/>
                          <w:rPr>
                            <w:rFonts w:ascii="Times New Roman" w:hAnsi="Times New Roman" w:cs="Times New Roman" w:eastAsia="Times New Roman" w:hint="default"/>
                            <w:sz w:val="18"/>
                            <w:szCs w:val="18"/>
                          </w:rPr>
                        </w:pPr>
                        <w:r>
                          <w:rPr>
                            <w:rFonts w:ascii="Times New Roman"/>
                            <w:spacing w:val="-1"/>
                            <w:sz w:val="18"/>
                          </w:rPr>
                          <w:t>2,477,288,677.77</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62" w:right="0"/>
                          <w:jc w:val="center"/>
                          <w:rPr>
                            <w:rFonts w:ascii="Times New Roman" w:hAnsi="Times New Roman" w:cs="Times New Roman" w:eastAsia="Times New Roman" w:hint="default"/>
                            <w:sz w:val="18"/>
                            <w:szCs w:val="18"/>
                          </w:rPr>
                        </w:pPr>
                        <w:r>
                          <w:rPr>
                            <w:rFonts w:ascii="Times New Roman"/>
                            <w:sz w:val="18"/>
                          </w:rPr>
                          <w:t>2,240,000.00</w:t>
                        </w:r>
                      </w:p>
                    </w:tc>
                    <w:tc>
                      <w:tcPr>
                        <w:tcW w:w="1075" w:type="dxa"/>
                        <w:tcBorders>
                          <w:top w:val="single" w:sz="6" w:space="0" w:color="000000"/>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91,930,251.69</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306,995,035.69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3,540,934,549.15</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36"/>
        <w:ind w:left="160" w:right="0"/>
        <w:jc w:val="left"/>
      </w:pPr>
      <w:r>
        <w:rPr/>
        <w:t>法定代表人：杨剑 主管会计工作负责人：朱宇华</w:t>
      </w:r>
      <w:r>
        <w:rPr>
          <w:spacing w:val="-9"/>
        </w:rPr>
        <w:t> </w:t>
      </w:r>
      <w:r>
        <w:rPr/>
        <w:t>会计机构负责人：熊美福</w:t>
      </w:r>
    </w:p>
    <w:p>
      <w:pPr>
        <w:spacing w:after="0" w:line="240" w:lineRule="auto"/>
        <w:jc w:val="left"/>
        <w:sectPr>
          <w:pgSz w:w="16840" w:h="11910" w:orient="landscape"/>
          <w:pgMar w:header="882" w:footer="1195" w:top="1120" w:bottom="1380" w:left="1280" w:right="13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557" w:val="left" w:leader="none"/>
        </w:tabs>
        <w:spacing w:line="290" w:lineRule="auto"/>
        <w:ind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81" w:lineRule="exact" w:before="12"/>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left="558" w:right="100"/>
        <w:jc w:val="left"/>
      </w:pPr>
      <w:r>
        <w:rPr/>
        <w:t>（一）企业历史沿革、注册地、组织形式和总部地址</w:t>
      </w:r>
      <w:r>
        <w:rPr>
          <w:w w:val="100"/>
        </w:rPr>
        <w:t> </w:t>
      </w:r>
      <w:r>
        <w:rPr/>
        <w:t>泰豪科技股份有限公司（以下简称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）系经江西省股份制改革和股票发行联</w:t>
      </w:r>
    </w:p>
    <w:p>
      <w:pPr>
        <w:pStyle w:val="BodyText"/>
        <w:spacing w:line="253" w:lineRule="exact"/>
        <w:ind w:right="0"/>
        <w:jc w:val="both"/>
      </w:pPr>
      <w:r>
        <w:rPr>
          <w:spacing w:val="-2"/>
        </w:rPr>
        <w:t>审小组以赣股</w:t>
      </w:r>
      <w:r>
        <w:rPr>
          <w:rFonts w:ascii="Times New Roman" w:hAnsi="Times New Roman" w:cs="Times New Roman" w:eastAsia="Times New Roman" w:hint="default"/>
          <w:spacing w:val="-2"/>
        </w:rPr>
        <w:t>[1999]11</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spacing w:val="-2"/>
        </w:rPr>
        <w:t>号文批准，由同方股份有限公司、泰豪集团有限公司等六家企业发起设立</w:t>
      </w:r>
    </w:p>
    <w:p>
      <w:pPr>
        <w:pStyle w:val="BodyText"/>
        <w:spacing w:line="272" w:lineRule="exact"/>
        <w:ind w:right="0"/>
        <w:jc w:val="both"/>
      </w:pPr>
      <w:r>
        <w:rPr/>
        <w:t>的股份有限公司。公司股票于</w:t>
      </w:r>
      <w:r>
        <w:rPr>
          <w:spacing w:val="-53"/>
        </w:rPr>
        <w:t> </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日在上海证券交易所挂牌交易。</w:t>
      </w:r>
    </w:p>
    <w:p>
      <w:pPr>
        <w:pStyle w:val="BodyText"/>
        <w:spacing w:line="272" w:lineRule="exact"/>
        <w:ind w:left="558" w:right="10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[2009]670</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文件核准，公司以总</w:t>
      </w:r>
    </w:p>
    <w:p>
      <w:pPr>
        <w:pStyle w:val="BodyText"/>
        <w:spacing w:line="272" w:lineRule="exact"/>
        <w:ind w:right="0"/>
        <w:jc w:val="both"/>
      </w:pPr>
      <w:r>
        <w:rPr/>
        <w:t>股本</w:t>
      </w:r>
      <w:r>
        <w:rPr>
          <w:spacing w:val="-55"/>
        </w:rPr>
        <w:t> </w:t>
      </w:r>
      <w:r>
        <w:rPr>
          <w:rFonts w:ascii="Times New Roman" w:hAnsi="Times New Roman" w:cs="Times New Roman" w:eastAsia="Times New Roman" w:hint="default"/>
        </w:rPr>
        <w:t>294,495,615</w:t>
      </w:r>
      <w:r>
        <w:rPr>
          <w:rFonts w:ascii="Times New Roman" w:hAnsi="Times New Roman" w:cs="Times New Roman" w:eastAsia="Times New Roman" w:hint="default"/>
          <w:spacing w:val="-2"/>
        </w:rPr>
        <w:t> </w:t>
      </w:r>
      <w:r>
        <w:rPr/>
        <w:t>股为基数，按每</w:t>
      </w:r>
      <w:r>
        <w:rPr>
          <w:spacing w:val="-52"/>
        </w:rPr>
        <w:t> </w:t>
      </w:r>
      <w:r>
        <w:rPr>
          <w:rFonts w:ascii="Times New Roman" w:hAnsi="Times New Roman" w:cs="Times New Roman" w:eastAsia="Times New Roman" w:hint="default"/>
        </w:rPr>
        <w:t>10 </w:t>
      </w:r>
      <w:r>
        <w:rPr/>
        <w:t>股配</w:t>
      </w:r>
      <w:r>
        <w:rPr>
          <w:spacing w:val="-55"/>
        </w:rPr>
        <w:t> </w:t>
      </w:r>
      <w:r>
        <w:rPr>
          <w:rFonts w:ascii="Times New Roman" w:hAnsi="Times New Roman" w:cs="Times New Roman" w:eastAsia="Times New Roman" w:hint="default"/>
        </w:rPr>
        <w:t>3 </w:t>
      </w:r>
      <w:r>
        <w:rPr/>
        <w:t>股的比例向股东配售，共配股</w:t>
      </w:r>
      <w:r>
        <w:rPr>
          <w:spacing w:val="-52"/>
        </w:rPr>
        <w:t> </w:t>
      </w:r>
      <w:r>
        <w:rPr>
          <w:rFonts w:ascii="Times New Roman" w:hAnsi="Times New Roman" w:cs="Times New Roman" w:eastAsia="Times New Roman" w:hint="default"/>
        </w:rPr>
        <w:t>84,942,478</w:t>
      </w:r>
      <w:r>
        <w:rPr>
          <w:rFonts w:ascii="Times New Roman" w:hAnsi="Times New Roman" w:cs="Times New Roman" w:eastAsia="Times New Roman" w:hint="default"/>
          <w:spacing w:val="1"/>
        </w:rPr>
        <w:t> </w:t>
      </w:r>
      <w:r>
        <w:rPr/>
        <w:t>股，配股完</w:t>
      </w:r>
    </w:p>
    <w:p>
      <w:pPr>
        <w:pStyle w:val="BodyText"/>
        <w:spacing w:line="272" w:lineRule="exact"/>
        <w:ind w:right="0"/>
        <w:jc w:val="both"/>
      </w:pPr>
      <w:r>
        <w:rPr/>
        <w:t>成后公司注册资本变更为</w:t>
      </w:r>
      <w:r>
        <w:rPr>
          <w:spacing w:val="-54"/>
        </w:rPr>
        <w:t> </w:t>
      </w:r>
      <w:r>
        <w:rPr>
          <w:rFonts w:ascii="Times New Roman" w:hAnsi="Times New Roman" w:cs="Times New Roman" w:eastAsia="Times New Roman" w:hint="default"/>
        </w:rPr>
        <w:t>379,438,093.00</w:t>
      </w:r>
      <w:r>
        <w:rPr>
          <w:rFonts w:ascii="Times New Roman" w:hAnsi="Times New Roman" w:cs="Times New Roman" w:eastAsia="Times New Roman" w:hint="default"/>
          <w:spacing w:val="-2"/>
        </w:rPr>
        <w:t> </w:t>
      </w:r>
      <w:r>
        <w:rPr/>
        <w:t>元。</w:t>
      </w:r>
    </w:p>
    <w:p>
      <w:pPr>
        <w:pStyle w:val="BodyText"/>
        <w:spacing w:line="273" w:lineRule="exact"/>
        <w:ind w:left="558"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日，公司根据</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年度股东大会决议以资本公积转增股本</w:t>
      </w:r>
      <w:r>
        <w:rPr>
          <w:spacing w:val="-54"/>
        </w:rPr>
        <w:t> </w:t>
      </w:r>
      <w:r>
        <w:rPr>
          <w:rFonts w:ascii="Times New Roman" w:hAnsi="Times New Roman" w:cs="Times New Roman" w:eastAsia="Times New Roman" w:hint="default"/>
        </w:rPr>
        <w:t>75,887,619.00</w:t>
      </w:r>
      <w:r>
        <w:rPr>
          <w:rFonts w:ascii="Times New Roman" w:hAnsi="Times New Roman" w:cs="Times New Roman" w:eastAsia="Times New Roman" w:hint="default"/>
          <w:spacing w:val="1"/>
        </w:rPr>
        <w:t> </w:t>
      </w:r>
      <w:r>
        <w:rPr>
          <w:spacing w:val="-3"/>
        </w:rPr>
        <w:t>元，</w:t>
      </w:r>
      <w:r>
        <w:rPr/>
      </w:r>
    </w:p>
    <w:p>
      <w:pPr>
        <w:pStyle w:val="BodyText"/>
        <w:spacing w:line="273" w:lineRule="exact"/>
        <w:ind w:right="0"/>
        <w:jc w:val="both"/>
      </w:pPr>
      <w:r>
        <w:rPr/>
        <w:t>转增完成后注册资本变更为</w:t>
      </w:r>
      <w:r>
        <w:rPr>
          <w:spacing w:val="-53"/>
        </w:rPr>
        <w:t> </w:t>
      </w:r>
      <w:r>
        <w:rPr>
          <w:rFonts w:ascii="Times New Roman" w:hAnsi="Times New Roman" w:cs="Times New Roman" w:eastAsia="Times New Roman" w:hint="default"/>
        </w:rPr>
        <w:t>455,325,712.00</w:t>
      </w:r>
      <w:r>
        <w:rPr>
          <w:rFonts w:ascii="Times New Roman" w:hAnsi="Times New Roman" w:cs="Times New Roman" w:eastAsia="Times New Roman" w:hint="default"/>
          <w:spacing w:val="-1"/>
        </w:rPr>
        <w:t> </w:t>
      </w:r>
      <w:r>
        <w:rPr>
          <w:spacing w:val="-3"/>
        </w:rPr>
        <w:t>元。</w:t>
      </w:r>
      <w:r>
        <w:rPr/>
      </w:r>
    </w:p>
    <w:p>
      <w:pPr>
        <w:pStyle w:val="BodyText"/>
        <w:spacing w:line="272" w:lineRule="exact"/>
        <w:ind w:left="558" w:right="10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[2012]582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文件核准，公司分别</w:t>
      </w:r>
    </w:p>
    <w:p>
      <w:pPr>
        <w:pStyle w:val="BodyText"/>
        <w:spacing w:line="272" w:lineRule="exact"/>
        <w:ind w:right="0"/>
        <w:jc w:val="both"/>
      </w:pPr>
      <w:r>
        <w:rPr/>
        <w:t>向泰豪集团有限公司、江西赣能股份有限公司等七位股东定向增发</w:t>
      </w:r>
      <w:r>
        <w:rPr>
          <w:spacing w:val="-51"/>
        </w:rPr>
        <w:t> </w:t>
      </w:r>
      <w:r>
        <w:rPr>
          <w:rFonts w:ascii="Times New Roman" w:hAnsi="Times New Roman" w:cs="Times New Roman" w:eastAsia="Times New Roman" w:hint="default"/>
        </w:rPr>
        <w:t>45,000,000</w:t>
      </w:r>
      <w:r>
        <w:rPr>
          <w:rFonts w:ascii="Times New Roman" w:hAnsi="Times New Roman" w:cs="Times New Roman" w:eastAsia="Times New Roman" w:hint="default"/>
          <w:spacing w:val="2"/>
        </w:rPr>
        <w:t> </w:t>
      </w:r>
      <w:r>
        <w:rPr/>
        <w:t>股购买泰豪软件股</w:t>
      </w:r>
    </w:p>
    <w:p>
      <w:pPr>
        <w:pStyle w:val="BodyText"/>
        <w:spacing w:line="272" w:lineRule="exact"/>
        <w:ind w:right="0"/>
        <w:jc w:val="both"/>
      </w:pPr>
      <w:r>
        <w:rPr/>
        <w:t>份有限公司相关资产，本次增资后注册资本变更为</w:t>
      </w:r>
      <w:r>
        <w:rPr>
          <w:spacing w:val="-55"/>
        </w:rPr>
        <w:t> </w:t>
      </w:r>
      <w:r>
        <w:rPr>
          <w:rFonts w:ascii="Times New Roman" w:hAnsi="Times New Roman" w:cs="Times New Roman" w:eastAsia="Times New Roman" w:hint="default"/>
        </w:rPr>
        <w:t>500,325,712.00</w:t>
      </w:r>
      <w:r>
        <w:rPr>
          <w:rFonts w:ascii="Times New Roman" w:hAnsi="Times New Roman" w:cs="Times New Roman" w:eastAsia="Times New Roman" w:hint="default"/>
          <w:spacing w:val="-3"/>
        </w:rPr>
        <w:t> </w:t>
      </w:r>
      <w:r>
        <w:rPr/>
        <w:t>元。</w:t>
      </w:r>
    </w:p>
    <w:p>
      <w:pPr>
        <w:pStyle w:val="BodyText"/>
        <w:spacing w:line="272" w:lineRule="exact"/>
        <w:ind w:left="558" w:right="10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日，公司第五届董事会第二十一次会议审议通过《关于公司限制性股票激励</w:t>
      </w:r>
    </w:p>
    <w:p>
      <w:pPr>
        <w:pStyle w:val="BodyText"/>
        <w:spacing w:line="272" w:lineRule="exact"/>
        <w:ind w:right="0"/>
        <w:jc w:val="both"/>
      </w:pPr>
      <w:r>
        <w:rPr>
          <w:w w:val="100"/>
        </w:rPr>
        <w:t>计划</w:t>
      </w:r>
      <w:r>
        <w:rPr>
          <w:spacing w:val="-3"/>
          <w:w w:val="100"/>
        </w:rPr>
        <w:t>（</w:t>
      </w:r>
      <w:r>
        <w:rPr>
          <w:w w:val="100"/>
        </w:rPr>
        <w:t>草</w:t>
      </w:r>
      <w:r>
        <w:rPr>
          <w:spacing w:val="-3"/>
          <w:w w:val="100"/>
        </w:rPr>
        <w:t>案</w:t>
      </w:r>
      <w:r>
        <w:rPr>
          <w:w w:val="100"/>
        </w:rPr>
        <w:t>）</w:t>
      </w:r>
      <w:r>
        <w:rPr>
          <w:spacing w:val="-3"/>
          <w:w w:val="100"/>
        </w:rPr>
        <w:t>及</w:t>
      </w:r>
      <w:r>
        <w:rPr>
          <w:w w:val="100"/>
        </w:rPr>
        <w:t>其</w:t>
      </w:r>
      <w:r>
        <w:rPr>
          <w:spacing w:val="-3"/>
          <w:w w:val="100"/>
        </w:rPr>
        <w:t>摘</w:t>
      </w:r>
      <w:r>
        <w:rPr>
          <w:w w:val="100"/>
        </w:rPr>
        <w:t>要</w:t>
      </w:r>
      <w:r>
        <w:rPr>
          <w:spacing w:val="-3"/>
          <w:w w:val="100"/>
        </w:rPr>
        <w:t>的</w:t>
      </w:r>
      <w:r>
        <w:rPr>
          <w:w w:val="100"/>
        </w:rPr>
        <w:t>议案</w:t>
      </w:r>
      <w:r>
        <w:rPr>
          <w:spacing w:val="-108"/>
          <w:w w:val="100"/>
        </w:rPr>
        <w:t>》</w:t>
      </w:r>
      <w:r>
        <w:rPr>
          <w:w w:val="100"/>
        </w:rPr>
        <w:t>，</w:t>
      </w:r>
      <w:r>
        <w:rPr>
          <w:spacing w:val="-3"/>
          <w:w w:val="100"/>
        </w:rPr>
        <w:t>决</w:t>
      </w:r>
      <w:r>
        <w:rPr>
          <w:w w:val="100"/>
        </w:rPr>
        <w:t>定</w:t>
      </w:r>
      <w:r>
        <w:rPr>
          <w:spacing w:val="-3"/>
          <w:w w:val="100"/>
        </w:rPr>
        <w:t>以</w:t>
      </w:r>
      <w:r>
        <w:rPr>
          <w:w w:val="100"/>
        </w:rPr>
        <w:t>定</w:t>
      </w:r>
      <w:r>
        <w:rPr>
          <w:spacing w:val="-3"/>
          <w:w w:val="100"/>
        </w:rPr>
        <w:t>向</w:t>
      </w:r>
      <w:r>
        <w:rPr>
          <w:w w:val="100"/>
        </w:rPr>
        <w:t>发</w:t>
      </w:r>
      <w:r>
        <w:rPr>
          <w:spacing w:val="-3"/>
          <w:w w:val="100"/>
        </w:rPr>
        <w:t>行新</w:t>
      </w:r>
      <w:r>
        <w:rPr>
          <w:w w:val="100"/>
        </w:rPr>
        <w:t>股的</w:t>
      </w:r>
      <w:r>
        <w:rPr>
          <w:spacing w:val="-3"/>
          <w:w w:val="100"/>
        </w:rPr>
        <w:t>方</w:t>
      </w:r>
      <w:r>
        <w:rPr>
          <w:w w:val="100"/>
        </w:rPr>
        <w:t>式</w:t>
      </w:r>
      <w:r>
        <w:rPr>
          <w:spacing w:val="-3"/>
          <w:w w:val="100"/>
        </w:rPr>
        <w:t>，</w:t>
      </w:r>
      <w:r>
        <w:rPr>
          <w:w w:val="100"/>
        </w:rPr>
        <w:t>向</w:t>
      </w:r>
      <w:r>
        <w:rPr>
          <w:spacing w:val="-5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rPr>
        <w:t> </w:t>
      </w:r>
      <w:r>
        <w:rPr>
          <w:spacing w:val="-3"/>
          <w:w w:val="100"/>
        </w:rPr>
        <w:t>名</w:t>
      </w:r>
      <w:r>
        <w:rPr>
          <w:w w:val="100"/>
        </w:rPr>
        <w:t>激</w:t>
      </w:r>
      <w:r>
        <w:rPr>
          <w:spacing w:val="-3"/>
          <w:w w:val="100"/>
        </w:rPr>
        <w:t>励对</w:t>
      </w:r>
      <w:r>
        <w:rPr>
          <w:w w:val="100"/>
        </w:rPr>
        <w:t>象授予</w:t>
      </w:r>
      <w:r>
        <w:rPr>
          <w:spacing w:val="-50"/>
        </w:rPr>
        <w:t> </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
        </w:rPr>
        <w:t> </w:t>
      </w:r>
      <w:r>
        <w:rPr>
          <w:spacing w:val="-3"/>
          <w:w w:val="100"/>
        </w:rPr>
        <w:t>万</w:t>
      </w:r>
      <w:r>
        <w:rPr>
          <w:w w:val="100"/>
        </w:rPr>
        <w:t>股限</w:t>
      </w:r>
    </w:p>
    <w:p>
      <w:pPr>
        <w:pStyle w:val="BodyText"/>
        <w:spacing w:line="272" w:lineRule="exact"/>
        <w:ind w:right="0"/>
        <w:jc w:val="both"/>
      </w:pPr>
      <w:r>
        <w:rPr/>
        <w:t>制性股票，变更后公司股本为人民币</w:t>
      </w:r>
      <w:r>
        <w:rPr>
          <w:spacing w:val="-54"/>
        </w:rPr>
        <w:t> </w:t>
      </w:r>
      <w:r>
        <w:rPr>
          <w:rFonts w:ascii="Times New Roman" w:hAnsi="Times New Roman" w:cs="Times New Roman" w:eastAsia="Times New Roman" w:hint="default"/>
        </w:rPr>
        <w:t>506,325,712.00</w:t>
      </w:r>
      <w:r>
        <w:rPr>
          <w:rFonts w:ascii="Times New Roman" w:hAnsi="Times New Roman" w:cs="Times New Roman" w:eastAsia="Times New Roman" w:hint="default"/>
          <w:spacing w:val="-1"/>
        </w:rPr>
        <w:t> </w:t>
      </w:r>
      <w:r>
        <w:rPr/>
        <w:t>元。</w:t>
      </w:r>
    </w:p>
    <w:p>
      <w:pPr>
        <w:pStyle w:val="BodyText"/>
        <w:spacing w:line="272" w:lineRule="exact"/>
        <w:ind w:left="558" w:right="10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spacing w:val="-3"/>
        </w:rPr>
        <w:t>日，经中国证券监督管理委员会</w:t>
      </w:r>
      <w:r>
        <w:rPr>
          <w:rFonts w:ascii="Times New Roman" w:hAnsi="Times New Roman" w:cs="Times New Roman" w:eastAsia="Times New Roman" w:hint="default"/>
          <w:spacing w:val="-3"/>
        </w:rPr>
        <w:t>“</w:t>
      </w:r>
      <w:r>
        <w:rPr>
          <w:spacing w:val="-3"/>
        </w:rPr>
        <w:t>证监许可</w:t>
      </w:r>
      <w:r>
        <w:rPr>
          <w:rFonts w:ascii="Times New Roman" w:hAnsi="Times New Roman" w:cs="Times New Roman" w:eastAsia="Times New Roman" w:hint="default"/>
          <w:spacing w:val="-3"/>
        </w:rPr>
        <w:t>[2015]1233</w:t>
      </w:r>
      <w:r>
        <w:rPr>
          <w:rFonts w:ascii="Times New Roman" w:hAnsi="Times New Roman" w:cs="Times New Roman" w:eastAsia="Times New Roman" w:hint="default"/>
          <w:spacing w:val="7"/>
        </w:rPr>
        <w:t> </w:t>
      </w:r>
      <w:r>
        <w:rPr>
          <w:spacing w:val="-6"/>
        </w:rPr>
        <w:t>号</w:t>
      </w:r>
      <w:r>
        <w:rPr>
          <w:rFonts w:ascii="Times New Roman" w:hAnsi="Times New Roman" w:cs="Times New Roman" w:eastAsia="Times New Roman" w:hint="default"/>
          <w:spacing w:val="-6"/>
        </w:rPr>
        <w:t>”</w:t>
      </w:r>
      <w:r>
        <w:rPr>
          <w:spacing w:val="-6"/>
        </w:rPr>
        <w:t>文件核准，公司非公</w:t>
      </w:r>
    </w:p>
    <w:p>
      <w:pPr>
        <w:pStyle w:val="BodyText"/>
        <w:spacing w:line="272" w:lineRule="exact"/>
        <w:ind w:right="0"/>
        <w:jc w:val="both"/>
      </w:pPr>
      <w:r>
        <w:rPr/>
        <w:t>开发行股票</w:t>
      </w:r>
      <w:r>
        <w:rPr>
          <w:spacing w:val="-56"/>
        </w:rPr>
        <w:t> </w:t>
      </w:r>
      <w:r>
        <w:rPr>
          <w:rFonts w:ascii="Times New Roman" w:hAnsi="Times New Roman" w:cs="Times New Roman" w:eastAsia="Times New Roman" w:hint="default"/>
        </w:rPr>
        <w:t>113,319,360</w:t>
      </w:r>
      <w:r>
        <w:rPr>
          <w:rFonts w:ascii="Times New Roman" w:hAnsi="Times New Roman" w:cs="Times New Roman" w:eastAsia="Times New Roman" w:hint="default"/>
          <w:spacing w:val="-4"/>
        </w:rPr>
        <w:t> </w:t>
      </w:r>
      <w:r>
        <w:rPr/>
        <w:t>股，本次增资后注册资本变更为</w:t>
      </w:r>
      <w:r>
        <w:rPr>
          <w:spacing w:val="-56"/>
        </w:rPr>
        <w:t> </w:t>
      </w:r>
      <w:r>
        <w:rPr>
          <w:rFonts w:ascii="Times New Roman" w:hAnsi="Times New Roman" w:cs="Times New Roman" w:eastAsia="Times New Roman" w:hint="default"/>
        </w:rPr>
        <w:t>619,645,072.00</w:t>
      </w:r>
      <w:r>
        <w:rPr>
          <w:rFonts w:ascii="Times New Roman" w:hAnsi="Times New Roman" w:cs="Times New Roman" w:eastAsia="Times New Roman" w:hint="default"/>
          <w:spacing w:val="-5"/>
        </w:rPr>
        <w:t> </w:t>
      </w:r>
      <w:r>
        <w:rPr/>
        <w:t>元。</w:t>
      </w:r>
    </w:p>
    <w:p>
      <w:pPr>
        <w:pStyle w:val="BodyText"/>
        <w:spacing w:line="272" w:lineRule="exact"/>
        <w:ind w:left="558" w:right="10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日，公司第五届董事会第三十一次会议审议通过了《关于回购注销部分未解</w:t>
      </w:r>
    </w:p>
    <w:p>
      <w:pPr>
        <w:pStyle w:val="BodyText"/>
        <w:spacing w:line="273" w:lineRule="exact"/>
        <w:ind w:right="0"/>
        <w:jc w:val="both"/>
      </w:pPr>
      <w:r>
        <w:rPr>
          <w:w w:val="100"/>
        </w:rPr>
        <w:t>锁限</w:t>
      </w:r>
      <w:r>
        <w:rPr>
          <w:spacing w:val="-3"/>
          <w:w w:val="100"/>
        </w:rPr>
        <w:t>制</w:t>
      </w:r>
      <w:r>
        <w:rPr>
          <w:w w:val="100"/>
        </w:rPr>
        <w:t>性</w:t>
      </w:r>
      <w:r>
        <w:rPr>
          <w:spacing w:val="-3"/>
          <w:w w:val="100"/>
        </w:rPr>
        <w:t>股</w:t>
      </w:r>
      <w:r>
        <w:rPr>
          <w:w w:val="100"/>
        </w:rPr>
        <w:t>票</w:t>
      </w:r>
      <w:r>
        <w:rPr>
          <w:spacing w:val="-3"/>
          <w:w w:val="100"/>
        </w:rPr>
        <w:t>的</w:t>
      </w:r>
      <w:r>
        <w:rPr>
          <w:w w:val="100"/>
        </w:rPr>
        <w:t>议</w:t>
      </w:r>
      <w:r>
        <w:rPr>
          <w:spacing w:val="-3"/>
          <w:w w:val="100"/>
        </w:rPr>
        <w:t>案</w:t>
      </w:r>
      <w:r>
        <w:rPr>
          <w:spacing w:val="-106"/>
          <w:w w:val="100"/>
        </w:rPr>
        <w:t>》</w:t>
      </w:r>
      <w:r>
        <w:rPr>
          <w:spacing w:val="-3"/>
          <w:w w:val="100"/>
        </w:rPr>
        <w:t>，同</w:t>
      </w:r>
      <w:r>
        <w:rPr>
          <w:w w:val="100"/>
        </w:rPr>
        <w:t>意将</w:t>
      </w:r>
      <w:r>
        <w:rPr>
          <w:spacing w:val="-3"/>
          <w:w w:val="100"/>
        </w:rPr>
        <w:t>吴</w:t>
      </w:r>
      <w:r>
        <w:rPr>
          <w:w w:val="100"/>
        </w:rPr>
        <w:t>斌</w:t>
      </w:r>
      <w:r>
        <w:rPr>
          <w:spacing w:val="-3"/>
          <w:w w:val="100"/>
        </w:rPr>
        <w:t>先</w:t>
      </w:r>
      <w:r>
        <w:rPr>
          <w:w w:val="100"/>
        </w:rPr>
        <w:t>生</w:t>
      </w:r>
      <w:r>
        <w:rPr>
          <w:spacing w:val="-3"/>
          <w:w w:val="100"/>
        </w:rPr>
        <w:t>已</w:t>
      </w:r>
      <w:r>
        <w:rPr>
          <w:w w:val="100"/>
        </w:rPr>
        <w:t>获</w:t>
      </w:r>
      <w:r>
        <w:rPr>
          <w:spacing w:val="-3"/>
          <w:w w:val="100"/>
        </w:rPr>
        <w:t>授</w:t>
      </w:r>
      <w:r>
        <w:rPr>
          <w:w w:val="100"/>
        </w:rPr>
        <w:t>予</w:t>
      </w:r>
      <w:r>
        <w:rPr>
          <w:spacing w:val="-3"/>
          <w:w w:val="100"/>
        </w:rPr>
        <w:t>尚</w:t>
      </w:r>
      <w:r>
        <w:rPr>
          <w:w w:val="100"/>
        </w:rPr>
        <w:t>未解</w:t>
      </w:r>
      <w:r>
        <w:rPr>
          <w:spacing w:val="-3"/>
          <w:w w:val="100"/>
        </w:rPr>
        <w:t>锁</w:t>
      </w:r>
      <w:r>
        <w:rPr>
          <w:w w:val="100"/>
        </w:rPr>
        <w:t>的</w:t>
      </w:r>
      <w:r>
        <w:rPr>
          <w:spacing w:val="-3"/>
          <w:w w:val="100"/>
        </w:rPr>
        <w:t>共</w:t>
      </w:r>
      <w:r>
        <w:rPr>
          <w:w w:val="100"/>
        </w:rPr>
        <w:t>计</w:t>
      </w:r>
      <w:r>
        <w:rPr>
          <w:spacing w:val="-48"/>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5"/>
        </w:rPr>
        <w:t> </w:t>
      </w:r>
      <w:r>
        <w:rPr>
          <w:w w:val="100"/>
        </w:rPr>
        <w:t>万</w:t>
      </w:r>
      <w:r>
        <w:rPr>
          <w:spacing w:val="-3"/>
          <w:w w:val="100"/>
        </w:rPr>
        <w:t>股</w:t>
      </w:r>
      <w:r>
        <w:rPr>
          <w:w w:val="100"/>
        </w:rPr>
        <w:t>限</w:t>
      </w:r>
      <w:r>
        <w:rPr>
          <w:spacing w:val="-3"/>
          <w:w w:val="100"/>
        </w:rPr>
        <w:t>制</w:t>
      </w:r>
      <w:r>
        <w:rPr>
          <w:w w:val="100"/>
        </w:rPr>
        <w:t>性股</w:t>
      </w:r>
      <w:r>
        <w:rPr>
          <w:spacing w:val="-3"/>
          <w:w w:val="100"/>
        </w:rPr>
        <w:t>票</w:t>
      </w:r>
      <w:r>
        <w:rPr>
          <w:w w:val="100"/>
        </w:rPr>
        <w:t>由</w:t>
      </w:r>
      <w:r>
        <w:rPr>
          <w:spacing w:val="-3"/>
          <w:w w:val="100"/>
        </w:rPr>
        <w:t>公</w:t>
      </w:r>
      <w:r>
        <w:rPr>
          <w:w w:val="100"/>
        </w:rPr>
        <w:t>司</w:t>
      </w:r>
      <w:r>
        <w:rPr>
          <w:spacing w:val="-3"/>
          <w:w w:val="100"/>
        </w:rPr>
        <w:t>回</w:t>
      </w:r>
      <w:r>
        <w:rPr>
          <w:w w:val="100"/>
        </w:rPr>
        <w:t>购</w:t>
      </w:r>
    </w:p>
    <w:p>
      <w:pPr>
        <w:pStyle w:val="BodyText"/>
        <w:spacing w:line="273" w:lineRule="exact"/>
        <w:ind w:right="0"/>
        <w:jc w:val="both"/>
      </w:pPr>
      <w:r>
        <w:rPr/>
        <w:t>并注销。注销完成后，公司注册资本变更为</w:t>
      </w:r>
      <w:r>
        <w:rPr>
          <w:spacing w:val="-55"/>
        </w:rPr>
        <w:t> </w:t>
      </w:r>
      <w:r>
        <w:rPr>
          <w:rFonts w:ascii="Times New Roman" w:hAnsi="Times New Roman" w:cs="Times New Roman" w:eastAsia="Times New Roman" w:hint="default"/>
        </w:rPr>
        <w:t>619,245,072.00</w:t>
      </w:r>
      <w:r>
        <w:rPr>
          <w:rFonts w:ascii="Times New Roman" w:hAnsi="Times New Roman" w:cs="Times New Roman" w:eastAsia="Times New Roman" w:hint="default"/>
          <w:spacing w:val="-2"/>
        </w:rPr>
        <w:t> </w:t>
      </w:r>
      <w:r>
        <w:rPr>
          <w:spacing w:val="-3"/>
        </w:rPr>
        <w:t>元。</w:t>
      </w:r>
      <w:r>
        <w:rPr/>
      </w:r>
    </w:p>
    <w:p>
      <w:pPr>
        <w:pStyle w:val="BodyText"/>
        <w:spacing w:line="225" w:lineRule="auto" w:before="5"/>
        <w:ind w:right="209"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spacing w:val="-4"/>
        </w:rPr>
        <w:t>日，经中国证券监督管理委员会</w:t>
      </w:r>
      <w:r>
        <w:rPr>
          <w:rFonts w:ascii="Times New Roman" w:hAnsi="Times New Roman" w:cs="Times New Roman" w:eastAsia="Times New Roman" w:hint="default"/>
          <w:spacing w:val="-4"/>
        </w:rPr>
        <w:t>“</w:t>
      </w:r>
      <w:r>
        <w:rPr>
          <w:spacing w:val="-4"/>
        </w:rPr>
        <w:t>证监许可</w:t>
      </w:r>
      <w:r>
        <w:rPr>
          <w:rFonts w:ascii="Times New Roman" w:hAnsi="Times New Roman" w:cs="Times New Roman" w:eastAsia="Times New Roman" w:hint="default"/>
          <w:spacing w:val="-4"/>
        </w:rPr>
        <w:t>[2016]105</w:t>
      </w:r>
      <w:r>
        <w:rPr>
          <w:rFonts w:ascii="Times New Roman" w:hAnsi="Times New Roman" w:cs="Times New Roman" w:eastAsia="Times New Roman" w:hint="default"/>
          <w:spacing w:val="7"/>
        </w:rPr>
        <w:t> </w:t>
      </w:r>
      <w:r>
        <w:rPr>
          <w:spacing w:val="-6"/>
        </w:rPr>
        <w:t>号</w:t>
      </w:r>
      <w:r>
        <w:rPr>
          <w:rFonts w:ascii="Times New Roman" w:hAnsi="Times New Roman" w:cs="Times New Roman" w:eastAsia="Times New Roman" w:hint="default"/>
          <w:spacing w:val="-6"/>
        </w:rPr>
        <w:t>”</w:t>
      </w:r>
      <w:r>
        <w:rPr>
          <w:spacing w:val="-6"/>
        </w:rPr>
        <w:t>文件核准，公司通过</w:t>
      </w:r>
      <w:r>
        <w:rPr>
          <w:w w:val="100"/>
        </w:rPr>
        <w:t> </w:t>
      </w:r>
      <w:r>
        <w:rPr/>
        <w:t>发行股份购买上海博辕信息技术服务有限公司</w:t>
      </w:r>
      <w:r>
        <w:rPr>
          <w:spacing w:val="-45"/>
        </w:rPr>
        <w:t> </w:t>
      </w:r>
      <w:r>
        <w:rPr>
          <w:rFonts w:ascii="Times New Roman" w:hAnsi="Times New Roman" w:cs="Times New Roman" w:eastAsia="Times New Roman" w:hint="default"/>
          <w:spacing w:val="-4"/>
        </w:rPr>
        <w:t>95.22%</w:t>
      </w:r>
      <w:r>
        <w:rPr>
          <w:spacing w:val="-4"/>
        </w:rPr>
        <w:t>的股权，共发行股</w:t>
      </w:r>
      <w:r>
        <w:rPr>
          <w:spacing w:val="-45"/>
        </w:rPr>
        <w:t> </w:t>
      </w:r>
      <w:r>
        <w:rPr>
          <w:rFonts w:ascii="Times New Roman" w:hAnsi="Times New Roman" w:cs="Times New Roman" w:eastAsia="Times New Roman" w:hint="default"/>
        </w:rPr>
        <w:t>47,715,512</w:t>
      </w:r>
      <w:r>
        <w:rPr>
          <w:rFonts w:ascii="Times New Roman" w:hAnsi="Times New Roman" w:cs="Times New Roman" w:eastAsia="Times New Roman" w:hint="default"/>
          <w:spacing w:val="6"/>
        </w:rPr>
        <w:t> </w:t>
      </w:r>
      <w:r>
        <w:rPr>
          <w:spacing w:val="-6"/>
        </w:rPr>
        <w:t>股，本次增资</w:t>
      </w:r>
      <w:r>
        <w:rPr>
          <w:spacing w:val="-102"/>
        </w:rPr>
        <w:t> </w:t>
      </w:r>
      <w:r>
        <w:rPr>
          <w:spacing w:val="-102"/>
        </w:rPr>
      </w:r>
      <w:r>
        <w:rPr/>
        <w:t>后注册资本变更为</w:t>
      </w:r>
      <w:r>
        <w:rPr>
          <w:spacing w:val="-54"/>
        </w:rPr>
        <w:t> </w:t>
      </w:r>
      <w:r>
        <w:rPr>
          <w:rFonts w:ascii="Times New Roman" w:hAnsi="Times New Roman" w:cs="Times New Roman" w:eastAsia="Times New Roman" w:hint="default"/>
        </w:rPr>
        <w:t>666,960,584.00</w:t>
      </w:r>
      <w:r>
        <w:rPr>
          <w:rFonts w:ascii="Times New Roman" w:hAnsi="Times New Roman" w:cs="Times New Roman" w:eastAsia="Times New Roman" w:hint="default"/>
          <w:spacing w:val="-1"/>
        </w:rPr>
        <w:t> </w:t>
      </w:r>
      <w:r>
        <w:rPr>
          <w:spacing w:val="-3"/>
        </w:rPr>
        <w:t>元。</w:t>
      </w:r>
      <w:r>
        <w:rPr/>
      </w:r>
    </w:p>
    <w:p>
      <w:pPr>
        <w:pStyle w:val="BodyText"/>
        <w:spacing w:line="257" w:lineRule="exact"/>
        <w:ind w:right="100" w:firstLine="419"/>
        <w:jc w:val="left"/>
      </w:pPr>
      <w:r>
        <w:rPr/>
        <w:t>公司经营范围：电力信息及自动化产品、电子产品及通信设备、输变电配套设备、发电机及</w:t>
      </w:r>
    </w:p>
    <w:p>
      <w:pPr>
        <w:pStyle w:val="BodyText"/>
        <w:spacing w:line="235" w:lineRule="auto" w:before="4"/>
        <w:ind w:right="208"/>
        <w:jc w:val="both"/>
      </w:pPr>
      <w:r>
        <w:rPr>
          <w:spacing w:val="-6"/>
        </w:rPr>
        <w:t>发电机组、电动机及配套设备、环保及节能产品、高新技术产品的开发、生产、销售、维修服务；</w:t>
      </w:r>
      <w:r>
        <w:rPr>
          <w:spacing w:val="-49"/>
        </w:rPr>
        <w:t> </w:t>
      </w:r>
      <w:r>
        <w:rPr>
          <w:spacing w:val="-49"/>
        </w:rPr>
      </w:r>
      <w:r>
        <w:rPr>
          <w:spacing w:val="-6"/>
        </w:rPr>
        <w:t>高科技项目咨询及高新技术转让与服务；建筑智能化工程、网络信息系统工程、电气自动化工程、</w:t>
      </w:r>
      <w:r>
        <w:rPr>
          <w:spacing w:val="-54"/>
        </w:rPr>
        <w:t> </w:t>
      </w:r>
      <w:r>
        <w:rPr>
          <w:spacing w:val="-54"/>
        </w:rPr>
      </w:r>
      <w:r>
        <w:rPr>
          <w:spacing w:val="-1"/>
        </w:rPr>
        <w:t>中央空调工程、环保及节能工程的承接和综合技术服务；防盗报警、闭路电视监控工程的设计、</w:t>
      </w:r>
      <w:r>
        <w:rPr>
          <w:spacing w:val="-55"/>
        </w:rPr>
        <w:t> </w:t>
      </w:r>
      <w:r>
        <w:rPr>
          <w:spacing w:val="-55"/>
        </w:rPr>
      </w:r>
      <w:r>
        <w:rPr>
          <w:spacing w:val="-1"/>
        </w:rPr>
        <w:t>安装；输变配电等电力工程的设计、安装、调试及维修；计算机产品、空调产品、汽车（小轿车</w:t>
      </w:r>
      <w:r>
        <w:rPr>
          <w:spacing w:val="-55"/>
        </w:rPr>
        <w:t> </w:t>
      </w:r>
      <w:r>
        <w:rPr>
          <w:spacing w:val="-55"/>
        </w:rPr>
      </w:r>
      <w:r>
        <w:rPr>
          <w:spacing w:val="-1"/>
        </w:rPr>
        <w:t>除外）的销售，房屋及设备租赁；本企业自产产品及相关技术的出口业务（国家组织统一经营的</w:t>
      </w:r>
      <w:r>
        <w:rPr>
          <w:spacing w:val="-55"/>
        </w:rPr>
        <w:t> </w:t>
      </w:r>
      <w:r>
        <w:rPr>
          <w:spacing w:val="-55"/>
        </w:rPr>
      </w:r>
      <w:r>
        <w:rPr>
          <w:spacing w:val="-6"/>
          <w:w w:val="100"/>
        </w:rPr>
        <w:t>出口商品除外），本企业生产、科研所需的原辅材料、机械设备、仪器仪表、零配件及相关技术的</w:t>
      </w:r>
      <w:r>
        <w:rPr>
          <w:w w:val="100"/>
        </w:rPr>
        <w:t> </w:t>
      </w:r>
      <w:r>
        <w:rPr>
          <w:spacing w:val="-6"/>
          <w:w w:val="100"/>
        </w:rPr>
        <w:t>进口业务（国家实行核定公司经营的进口商品除外），本企业的进料加工和</w:t>
      </w:r>
      <w:r>
        <w:rPr>
          <w:rFonts w:ascii="Times New Roman" w:hAnsi="Times New Roman" w:cs="Times New Roman" w:eastAsia="Times New Roman" w:hint="default"/>
          <w:spacing w:val="-6"/>
          <w:w w:val="100"/>
        </w:rPr>
        <w:t>“</w:t>
      </w:r>
      <w:r>
        <w:rPr>
          <w:spacing w:val="-6"/>
          <w:w w:val="100"/>
        </w:rPr>
        <w:t>三来一补</w:t>
      </w:r>
      <w:r>
        <w:rPr>
          <w:rFonts w:ascii="Times New Roman" w:hAnsi="Times New Roman" w:cs="Times New Roman" w:eastAsia="Times New Roman" w:hint="default"/>
          <w:spacing w:val="-6"/>
          <w:w w:val="100"/>
        </w:rPr>
        <w:t>”</w:t>
      </w:r>
      <w:r>
        <w:rPr>
          <w:spacing w:val="-6"/>
          <w:w w:val="100"/>
        </w:rPr>
        <w:t>业务；承包</w:t>
      </w:r>
      <w:r>
        <w:rPr>
          <w:spacing w:val="-80"/>
          <w:w w:val="100"/>
        </w:rPr>
        <w:t> </w:t>
      </w:r>
      <w:r>
        <w:rPr>
          <w:spacing w:val="-80"/>
          <w:w w:val="100"/>
        </w:rPr>
      </w:r>
      <w:r>
        <w:rPr>
          <w:spacing w:val="-1"/>
        </w:rPr>
        <w:t>国际工程和境内国际招标工程业务，以及上述境外工程所需的设备、材料出口，和对外派遣实施</w:t>
      </w:r>
      <w:r>
        <w:rPr>
          <w:spacing w:val="-55"/>
        </w:rPr>
        <w:t> </w:t>
      </w:r>
      <w:r>
        <w:rPr>
          <w:spacing w:val="-55"/>
        </w:rPr>
      </w:r>
      <w:r>
        <w:rPr>
          <w:spacing w:val="-5"/>
          <w:w w:val="100"/>
        </w:rPr>
        <w:t>上述境外工程所需的劳务人员。（以上项目国家有专项许可的凭证经营）</w:t>
      </w:r>
    </w:p>
    <w:p>
      <w:pPr>
        <w:pStyle w:val="BodyText"/>
        <w:spacing w:line="274" w:lineRule="exact" w:before="23"/>
        <w:ind w:left="558" w:right="100"/>
        <w:jc w:val="left"/>
      </w:pPr>
      <w:r>
        <w:rPr>
          <w:spacing w:val="-2"/>
        </w:rPr>
        <w:t>公司法定住所</w:t>
      </w:r>
      <w:r>
        <w:rPr>
          <w:rFonts w:ascii="Times New Roman" w:hAnsi="Times New Roman" w:cs="Times New Roman" w:eastAsia="Times New Roman" w:hint="default"/>
          <w:spacing w:val="-2"/>
        </w:rPr>
        <w:t>/</w:t>
      </w:r>
      <w:r>
        <w:rPr>
          <w:spacing w:val="-2"/>
        </w:rPr>
        <w:t>总部地址：江西省南昌市南昌高新技术开发区清华泰豪大楼。</w:t>
      </w:r>
      <w:r>
        <w:rPr>
          <w:spacing w:val="-42"/>
        </w:rPr>
        <w:t> </w:t>
      </w:r>
      <w:r>
        <w:rPr>
          <w:spacing w:val="-42"/>
        </w:rPr>
      </w:r>
      <w:r>
        <w:rPr/>
        <w:t>公司法定代表人：杨剑。</w:t>
      </w:r>
    </w:p>
    <w:p>
      <w:pPr>
        <w:pStyle w:val="BodyText"/>
        <w:spacing w:line="245" w:lineRule="exact"/>
        <w:ind w:left="558" w:right="100"/>
        <w:jc w:val="left"/>
      </w:pPr>
      <w:r>
        <w:rPr/>
        <w:t>（二）企业的业务性质和主要经营活动。</w:t>
      </w:r>
    </w:p>
    <w:p>
      <w:pPr>
        <w:pStyle w:val="BodyText"/>
        <w:spacing w:line="237" w:lineRule="auto" w:before="2"/>
        <w:ind w:right="208" w:firstLine="419"/>
        <w:jc w:val="both"/>
      </w:pPr>
      <w:r>
        <w:rPr>
          <w:spacing w:val="-2"/>
        </w:rPr>
        <w:t>本公司属电气设备行业，主要从事军工装备、智慧能源业务。军工装备业务围绕车载通信指</w:t>
      </w:r>
      <w:r>
        <w:rPr>
          <w:w w:val="100"/>
        </w:rPr>
        <w:t> </w:t>
      </w:r>
      <w:r>
        <w:rPr>
          <w:spacing w:val="-1"/>
        </w:rPr>
        <w:t>挥系统、军用移动电站和雷达产品的研制与服务；智慧能源业务围绕电力运行软件、智能应急电</w:t>
      </w:r>
      <w:r>
        <w:rPr>
          <w:spacing w:val="-55"/>
        </w:rPr>
        <w:t> </w:t>
      </w:r>
      <w:r>
        <w:rPr>
          <w:spacing w:val="-55"/>
        </w:rPr>
      </w:r>
      <w:r>
        <w:rPr/>
        <w:t>源、智能配用电设备的产品研制与服务。</w:t>
      </w:r>
    </w:p>
    <w:p>
      <w:pPr>
        <w:pStyle w:val="BodyText"/>
        <w:spacing w:line="271" w:lineRule="exact"/>
        <w:ind w:left="558" w:right="100"/>
        <w:jc w:val="left"/>
      </w:pPr>
      <w:r>
        <w:rPr/>
        <w:t>（三）财务报告的批准报出。</w:t>
      </w:r>
    </w:p>
    <w:p>
      <w:pPr>
        <w:pStyle w:val="BodyText"/>
        <w:spacing w:line="290" w:lineRule="exact"/>
        <w:ind w:left="558" w:right="100"/>
        <w:jc w:val="left"/>
      </w:pPr>
      <w:r>
        <w:rPr/>
        <w:t>本财务报表于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日经公司第六届董事会第三十次会议批准报出。</w:t>
      </w:r>
    </w:p>
    <w:p>
      <w:pPr>
        <w:pStyle w:val="Heading2"/>
        <w:spacing w:line="240" w:lineRule="auto" w:before="40"/>
        <w:ind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spacing w:line="282" w:lineRule="exact"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right="0"/>
        <w:jc w:val="both"/>
      </w:pPr>
      <w:r>
        <w:rPr/>
        <w:t>本期纳入合并财务报表范围的主体共</w:t>
      </w:r>
      <w:r>
        <w:rPr>
          <w:spacing w:val="-54"/>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户，具体包括：</w:t>
      </w:r>
    </w:p>
    <w:tbl>
      <w:tblPr>
        <w:tblW w:w="0" w:type="auto"/>
        <w:jc w:val="left"/>
        <w:tblInd w:w="181" w:type="dxa"/>
        <w:tblLayout w:type="fixed"/>
        <w:tblCellMar>
          <w:top w:w="0" w:type="dxa"/>
          <w:left w:w="0" w:type="dxa"/>
          <w:bottom w:w="0" w:type="dxa"/>
          <w:right w:w="0" w:type="dxa"/>
        </w:tblCellMar>
        <w:tblLook w:val="01E0"/>
      </w:tblPr>
      <w:tblGrid>
        <w:gridCol w:w="3361"/>
        <w:gridCol w:w="1359"/>
        <w:gridCol w:w="838"/>
        <w:gridCol w:w="1568"/>
        <w:gridCol w:w="1608"/>
      </w:tblGrid>
      <w:tr>
        <w:trPr>
          <w:trHeight w:val="362" w:hRule="exact"/>
        </w:trPr>
        <w:tc>
          <w:tcPr>
            <w:tcW w:w="33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23"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32"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43"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bl>
    <w:p>
      <w:pPr>
        <w:spacing w:after="0" w:line="240" w:lineRule="auto"/>
        <w:jc w:val="left"/>
        <w:rPr>
          <w:rFonts w:ascii="宋体" w:hAnsi="宋体" w:cs="宋体" w:eastAsia="宋体" w:hint="default"/>
          <w:sz w:val="18"/>
          <w:szCs w:val="18"/>
        </w:rPr>
        <w:sectPr>
          <w:headerReference w:type="default" r:id="rId44"/>
          <w:footerReference w:type="default" r:id="rId45"/>
          <w:pgSz w:w="11910" w:h="16840"/>
          <w:pgMar w:header="882" w:footer="1195" w:top="1120" w:bottom="1380" w:left="1660" w:right="1060"/>
          <w:pgNumType w:start="87"/>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66" w:type="dxa"/>
        <w:tblLayout w:type="fixed"/>
        <w:tblCellMar>
          <w:top w:w="0" w:type="dxa"/>
          <w:left w:w="0" w:type="dxa"/>
          <w:bottom w:w="0" w:type="dxa"/>
          <w:right w:w="0" w:type="dxa"/>
        </w:tblCellMar>
        <w:tblLook w:val="01E0"/>
      </w:tblPr>
      <w:tblGrid>
        <w:gridCol w:w="3361"/>
        <w:gridCol w:w="1359"/>
        <w:gridCol w:w="838"/>
        <w:gridCol w:w="1568"/>
        <w:gridCol w:w="1608"/>
      </w:tblGrid>
      <w:tr>
        <w:trPr>
          <w:trHeight w:val="363" w:hRule="exact"/>
        </w:trPr>
        <w:tc>
          <w:tcPr>
            <w:tcW w:w="33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4"/>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Arial Narrow" w:hAnsi="Arial Narrow" w:cs="Arial Narrow" w:eastAsia="Arial Narrow" w:hint="default"/>
                <w:sz w:val="18"/>
                <w:szCs w:val="18"/>
              </w:rPr>
            </w:pPr>
            <w:r>
              <w:rPr>
                <w:rFonts w:ascii="Arial Narrow"/>
                <w:sz w:val="18"/>
              </w:rPr>
              <w:t>59</w:t>
            </w:r>
            <w:r>
              <w:rPr>
                <w:rFonts w:ascii="宋体"/>
                <w:sz w:val="18"/>
              </w:rPr>
              <w:t>.</w:t>
            </w:r>
            <w:r>
              <w:rPr>
                <w:rFonts w:ascii="Arial Narrow"/>
                <w:sz w:val="18"/>
              </w:rPr>
              <w:t>23%</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Arial Narrow" w:hAnsi="Arial Narrow" w:cs="Arial Narrow" w:eastAsia="Arial Narrow" w:hint="default"/>
                <w:sz w:val="18"/>
                <w:szCs w:val="18"/>
              </w:rPr>
            </w:pPr>
            <w:r>
              <w:rPr>
                <w:rFonts w:ascii="Arial Narrow"/>
                <w:sz w:val="18"/>
              </w:rPr>
              <w:t>59</w:t>
            </w:r>
            <w:r>
              <w:rPr>
                <w:rFonts w:ascii="宋体"/>
                <w:sz w:val="18"/>
              </w:rPr>
              <w:t>.</w:t>
            </w:r>
            <w:r>
              <w:rPr>
                <w:rFonts w:ascii="Arial Narrow"/>
                <w:sz w:val="18"/>
              </w:rPr>
              <w:t>23%</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上海红生系统工程有限公司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贵州泰豪宝碳智慧能源有限公司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70%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70%</w:t>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江西泰豪能源互联网有限公司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泰豪国际工程有限公司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60%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60%</w:t>
            </w:r>
          </w:p>
        </w:tc>
      </w:tr>
      <w:tr>
        <w:trPr>
          <w:trHeight w:val="351"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泰豪国际投资有限公司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上海泰豪智能节能技术有限公司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泰豪晟大创业投资有限公司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83.33%</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83.33%</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广东泰豪能源科技有限公司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上海泰豪迈能能源科技有限公司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泰豪福瑞斯动力设备有限公司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陕西泰豪沃达动力设备有限公司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65.95%</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65.95%</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广东泰豪三奥动力科技有限公司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1"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84.53%</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84.53%</w:t>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济南吉美乐电源技术有限公司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长春泰豪电子装备有限公司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嘉兴泰豪装备技术有限公司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90%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90%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北京泰豪电力技术有限公司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北京泰豪电力科技有限公司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杭州乾龙伟业电器成套有限公司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42.86%</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60%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黑龙江中能电力设计有限公司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60%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60%</w:t>
            </w:r>
          </w:p>
        </w:tc>
      </w:tr>
      <w:tr>
        <w:trPr>
          <w:trHeight w:val="351"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泰豪科技（亚洲）有限公司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莱福士电力电子设备（深圳）有限公司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上海博辕信息技术服务如皋有限公司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上海博辕信息技术服务海安有限公司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北京博辕捷迅科技发展有限公司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宁波博辕信息技术服务有限公司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深圳博辕钧融科技有限公司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苏州博辕恒瑞信息技术服务有限公司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上海致胜信息技术服务有限公司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51%</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51%</w:t>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Meinergy  </w:t>
            </w:r>
            <w:r>
              <w:rPr>
                <w:rFonts w:ascii="Times New Roman"/>
                <w:spacing w:val="33"/>
                <w:sz w:val="18"/>
              </w:rPr>
              <w:t> </w:t>
            </w:r>
            <w:r>
              <w:rPr>
                <w:rFonts w:ascii="Times New Roman"/>
                <w:sz w:val="18"/>
              </w:rPr>
              <w:t>GMBH</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6"/>
              <w:jc w:val="center"/>
              <w:rPr>
                <w:rFonts w:ascii="Arial Narrow" w:hAnsi="Arial Narrow" w:cs="Arial Narrow" w:eastAsia="Arial Narrow" w:hint="default"/>
                <w:sz w:val="18"/>
                <w:szCs w:val="18"/>
              </w:rPr>
            </w:pPr>
            <w:r>
              <w:rPr>
                <w:rFonts w:ascii="Arial Narrow"/>
                <w:sz w:val="18"/>
              </w:rPr>
              <w:t>100%</w:t>
            </w:r>
          </w:p>
        </w:tc>
      </w:tr>
      <w:tr>
        <w:trPr>
          <w:trHeight w:val="350"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Meinergy  </w:t>
            </w:r>
            <w:r>
              <w:rPr>
                <w:rFonts w:ascii="Times New Roman"/>
                <w:spacing w:val="39"/>
                <w:sz w:val="18"/>
              </w:rPr>
              <w:t> </w:t>
            </w:r>
            <w:r>
              <w:rPr>
                <w:rFonts w:ascii="Times New Roman"/>
                <w:sz w:val="18"/>
              </w:rPr>
              <w:t>Inc</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bl>
    <w:p>
      <w:pPr>
        <w:spacing w:after="0" w:line="240" w:lineRule="auto"/>
        <w:jc w:val="center"/>
        <w:rPr>
          <w:rFonts w:ascii="Arial Narrow" w:hAnsi="Arial Narrow" w:cs="Arial Narrow" w:eastAsia="Arial Narrow" w:hint="default"/>
          <w:sz w:val="18"/>
          <w:szCs w:val="18"/>
        </w:rPr>
        <w:sectPr>
          <w:pgSz w:w="11910" w:h="16840"/>
          <w:pgMar w:header="882"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66" w:type="dxa"/>
        <w:tblLayout w:type="fixed"/>
        <w:tblCellMar>
          <w:top w:w="0" w:type="dxa"/>
          <w:left w:w="0" w:type="dxa"/>
          <w:bottom w:w="0" w:type="dxa"/>
          <w:right w:w="0" w:type="dxa"/>
        </w:tblCellMar>
        <w:tblLook w:val="01E0"/>
      </w:tblPr>
      <w:tblGrid>
        <w:gridCol w:w="3361"/>
        <w:gridCol w:w="1359"/>
        <w:gridCol w:w="838"/>
        <w:gridCol w:w="1568"/>
        <w:gridCol w:w="1608"/>
      </w:tblGrid>
      <w:tr>
        <w:trPr>
          <w:trHeight w:val="363" w:hRule="exact"/>
        </w:trPr>
        <w:tc>
          <w:tcPr>
            <w:tcW w:w="33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6"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4"/>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48" w:hRule="exact"/>
        </w:trPr>
        <w:tc>
          <w:tcPr>
            <w:tcW w:w="3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中能华电（北京）电力技术研究院</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49%</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89%</w:t>
            </w:r>
          </w:p>
        </w:tc>
      </w:tr>
      <w:tr>
        <w:trPr>
          <w:trHeight w:val="362" w:hRule="exact"/>
        </w:trPr>
        <w:tc>
          <w:tcPr>
            <w:tcW w:w="336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贵州泰豪电力科技有限公司</w:t>
            </w:r>
          </w:p>
        </w:tc>
        <w:tc>
          <w:tcPr>
            <w:tcW w:w="1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z w:val="18"/>
                <w:szCs w:val="18"/>
              </w:rPr>
              <w:t>级</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100%</w:t>
            </w:r>
          </w:p>
        </w:tc>
        <w:tc>
          <w:tcPr>
            <w:tcW w:w="1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6"/>
              <w:jc w:val="center"/>
              <w:rPr>
                <w:rFonts w:ascii="Arial Narrow" w:hAnsi="Arial Narrow" w:cs="Arial Narrow" w:eastAsia="Arial Narrow" w:hint="default"/>
                <w:sz w:val="18"/>
                <w:szCs w:val="18"/>
              </w:rPr>
            </w:pPr>
            <w:r>
              <w:rPr>
                <w:rFonts w:ascii="Arial Narrow"/>
                <w:sz w:val="18"/>
              </w:rPr>
              <w:t>100%</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2"/>
        <w:tabs>
          <w:tab w:pos="562" w:val="left" w:leader="none"/>
        </w:tabs>
        <w:spacing w:line="290" w:lineRule="auto"/>
        <w:ind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30" w:lineRule="auto" w:before="24"/>
        <w:ind w:right="208"/>
        <w:jc w:val="both"/>
      </w:pPr>
      <w:r>
        <w:rPr>
          <w:spacing w:val="-1"/>
        </w:rPr>
        <w:t>本公司财务报表以持续经营为基础，根据实际发生的交易和事项，按照财政部颁布的《企业会计</w:t>
      </w:r>
      <w:r>
        <w:rPr>
          <w:spacing w:val="-55"/>
        </w:rPr>
        <w:t> </w:t>
      </w:r>
      <w:r>
        <w:rPr>
          <w:spacing w:val="-55"/>
        </w:rPr>
      </w:r>
      <w:r>
        <w:rPr>
          <w:spacing w:val="-8"/>
          <w:w w:val="100"/>
        </w:rPr>
        <w:t>准则</w:t>
      </w:r>
      <w:r>
        <w:rPr>
          <w:rFonts w:ascii="Times New Roman" w:hAnsi="Times New Roman" w:cs="Times New Roman" w:eastAsia="Times New Roman" w:hint="default"/>
          <w:spacing w:val="-8"/>
          <w:w w:val="100"/>
        </w:rPr>
        <w:t>-</w:t>
      </w:r>
      <w:r>
        <w:rPr>
          <w:spacing w:val="-8"/>
          <w:w w:val="100"/>
        </w:rPr>
        <w:t>基本准则》和具体会计准则等规定（以下合称“企业会计准则”），并基于以下所述重要会计</w:t>
      </w:r>
      <w:r>
        <w:rPr>
          <w:spacing w:val="-82"/>
          <w:w w:val="100"/>
        </w:rPr>
        <w:t> </w:t>
      </w:r>
      <w:r>
        <w:rPr>
          <w:spacing w:val="-82"/>
          <w:w w:val="100"/>
        </w:rPr>
      </w:r>
      <w:r>
        <w:rPr/>
        <w:t>政策、会计估计进行编制。</w:t>
      </w:r>
    </w:p>
    <w:p>
      <w:pPr>
        <w:spacing w:line="240" w:lineRule="auto" w:before="13"/>
        <w:rPr>
          <w:rFonts w:ascii="宋体" w:hAnsi="宋体" w:cs="宋体" w:eastAsia="宋体" w:hint="default"/>
          <w:sz w:val="22"/>
          <w:szCs w:val="22"/>
        </w:rPr>
      </w:pPr>
    </w:p>
    <w:p>
      <w:pPr>
        <w:pStyle w:val="Heading2"/>
        <w:spacing w:line="240" w:lineRule="auto" w:before="0"/>
        <w:ind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82" w:lineRule="exact"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right="0"/>
        <w:jc w:val="both"/>
      </w:pPr>
      <w:r>
        <w:rPr/>
        <w:t>公司自本报告期末至少</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个月内具备持续经营能力，无影响持续经营能力的重大事项。</w:t>
      </w:r>
    </w:p>
    <w:p>
      <w:pPr>
        <w:spacing w:line="240" w:lineRule="auto" w:before="8"/>
        <w:rPr>
          <w:rFonts w:ascii="宋体" w:hAnsi="宋体" w:cs="宋体" w:eastAsia="宋体" w:hint="default"/>
          <w:sz w:val="21"/>
          <w:szCs w:val="21"/>
        </w:rPr>
      </w:pPr>
    </w:p>
    <w:p>
      <w:pPr>
        <w:spacing w:line="290" w:lineRule="auto" w:before="0"/>
        <w:ind w:left="138" w:right="524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43" w:lineRule="exact"/>
        <w:ind w:right="0"/>
        <w:jc w:val="both"/>
      </w:pPr>
      <w:r>
        <w:rPr/>
        <w:t>□适用</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宋体" w:hAnsi="宋体" w:cs="宋体" w:eastAsia="宋体" w:hint="default"/>
        </w:rPr>
        <w:t>1. </w:t>
      </w:r>
      <w:r>
        <w:rPr>
          <w:rFonts w:ascii="宋体" w:hAnsi="宋体" w:cs="宋体" w:eastAsia="宋体" w:hint="default"/>
          <w:spacing w:val="1"/>
        </w:rPr>
        <w:t> </w:t>
      </w:r>
      <w:r>
        <w:rPr/>
        <w:t>遵循企业会计准则的声明</w:t>
      </w:r>
      <w:r>
        <w:rPr>
          <w:b w:val="0"/>
          <w:bCs w:val="0"/>
        </w:rPr>
      </w:r>
    </w:p>
    <w:p>
      <w:pPr>
        <w:pStyle w:val="BodyText"/>
        <w:spacing w:line="281" w:lineRule="exact" w:before="58"/>
        <w:ind w:right="0"/>
        <w:jc w:val="both"/>
      </w:pPr>
      <w:r>
        <w:rPr/>
        <w:t>本公司编制的财务报表符合《企业会计准则》的要求，真实、完整地反映了本公司</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 </w:t>
      </w:r>
      <w:r>
        <w:rPr/>
        <w:t>月</w:t>
      </w:r>
    </w:p>
    <w:p>
      <w:pPr>
        <w:pStyle w:val="BodyText"/>
        <w:spacing w:line="281" w:lineRule="exact"/>
        <w:ind w:right="0"/>
        <w:jc w:val="both"/>
      </w:pPr>
      <w:r>
        <w:rPr>
          <w:rFonts w:ascii="Times New Roman" w:hAnsi="Times New Roman" w:cs="Times New Roman" w:eastAsia="Times New Roman" w:hint="default"/>
        </w:rPr>
        <w:t>31 </w:t>
      </w:r>
      <w:r>
        <w:rPr/>
        <w:t>日的财务状况、</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年度的经营成果和现金流量等相关信息。</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8"/>
        <w:ind w:right="0"/>
        <w:jc w:val="both"/>
      </w:pPr>
      <w:r>
        <w:rPr/>
        <w:t>本公司会计年度为公历年度，即每年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4" w:lineRule="exact" w:before="56"/>
        <w:ind w:right="0"/>
        <w:jc w:val="both"/>
      </w:pPr>
      <w:r>
        <w:rPr/>
        <w:t>√适用□不适用</w:t>
      </w:r>
    </w:p>
    <w:p>
      <w:pPr>
        <w:pStyle w:val="BodyText"/>
        <w:spacing w:line="290" w:lineRule="exact"/>
        <w:ind w:right="0"/>
        <w:jc w:val="both"/>
      </w:pPr>
      <w:r>
        <w:rPr/>
        <w:t>本公司以一年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个月作为正常营业周期，并以营业周期作为资产和负债的流动性划分标准。</w:t>
      </w:r>
    </w:p>
    <w:p>
      <w:pPr>
        <w:spacing w:line="240" w:lineRule="auto" w:before="8"/>
        <w:rPr>
          <w:rFonts w:ascii="宋体" w:hAnsi="宋体" w:cs="宋体" w:eastAsia="宋体" w:hint="default"/>
          <w:sz w:val="21"/>
          <w:szCs w:val="21"/>
        </w:rPr>
      </w:pPr>
    </w:p>
    <w:p>
      <w:pPr>
        <w:tabs>
          <w:tab w:pos="562" w:val="left" w:leader="none"/>
        </w:tabs>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spacing w:line="240" w:lineRule="auto" w:before="7"/>
        <w:rPr>
          <w:rFonts w:ascii="宋体" w:hAnsi="宋体" w:cs="宋体" w:eastAsia="宋体" w:hint="default"/>
          <w:sz w:val="19"/>
          <w:szCs w:val="19"/>
        </w:rPr>
      </w:pPr>
    </w:p>
    <w:p>
      <w:pPr>
        <w:pStyle w:val="Heading2"/>
        <w:spacing w:line="240" w:lineRule="auto" w:before="0"/>
        <w:ind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2" w:lineRule="exact" w:before="86"/>
        <w:ind w:left="558" w:right="5249" w:hanging="420"/>
        <w:jc w:val="left"/>
      </w:pPr>
      <w:r>
        <w:rPr/>
        <w:t>√适用□不适用</w:t>
      </w:r>
      <w:r>
        <w:rPr>
          <w:spacing w:val="-103"/>
        </w:rPr>
        <w:t> </w:t>
      </w:r>
      <w:r>
        <w:rPr>
          <w:spacing w:val="-103"/>
        </w:rPr>
      </w:r>
      <w:r>
        <w:rPr>
          <w:rFonts w:ascii="宋体" w:hAnsi="宋体" w:cs="宋体" w:eastAsia="宋体" w:hint="default"/>
          <w:spacing w:val="-2"/>
        </w:rPr>
        <w:t>1</w:t>
      </w:r>
      <w:r>
        <w:rPr>
          <w:spacing w:val="-2"/>
        </w:rPr>
        <w:t>、同一控制下的企业合并</w:t>
      </w:r>
    </w:p>
    <w:p>
      <w:pPr>
        <w:pStyle w:val="BodyText"/>
        <w:spacing w:line="273" w:lineRule="auto" w:before="14"/>
        <w:ind w:right="208" w:firstLine="419"/>
        <w:jc w:val="both"/>
      </w:pPr>
      <w:r>
        <w:rPr>
          <w:spacing w:val="-2"/>
        </w:rPr>
        <w:t>同一控制下企业合并形成的长期股权投资合并方以支付现金、转让非现金资产或承担债务方</w:t>
      </w:r>
      <w:r>
        <w:rPr>
          <w:w w:val="100"/>
        </w:rPr>
        <w:t> </w:t>
      </w:r>
      <w:r>
        <w:rPr>
          <w:spacing w:val="-1"/>
        </w:rPr>
        <w:t>式作为合并对价的，本公司在合并日按照所取得的被合并方在最终控制方合并财务报表中的净资</w:t>
      </w:r>
      <w:r>
        <w:rPr>
          <w:spacing w:val="-55"/>
        </w:rPr>
        <w:t> </w:t>
      </w:r>
      <w:r>
        <w:rPr>
          <w:spacing w:val="-55"/>
        </w:rPr>
      </w:r>
      <w:r>
        <w:rPr>
          <w:spacing w:val="-1"/>
        </w:rPr>
        <w:t>产的账面价值的份额作为长期股权投资的初始投资成本。合并方以发行权益性工具作为合并对价</w:t>
      </w:r>
      <w:r>
        <w:rPr>
          <w:spacing w:val="-55"/>
        </w:rPr>
        <w:t> </w:t>
      </w:r>
      <w:r>
        <w:rPr>
          <w:spacing w:val="-55"/>
        </w:rPr>
      </w:r>
      <w:r>
        <w:rPr>
          <w:spacing w:val="-1"/>
        </w:rPr>
        <w:t>的，按发行股份的面值总额作为股本。长期股权投资的初始投资成本与合并对价账面价值（或发</w:t>
      </w:r>
      <w:r>
        <w:rPr>
          <w:spacing w:val="-55"/>
        </w:rPr>
        <w:t> </w:t>
      </w:r>
      <w:r>
        <w:rPr>
          <w:spacing w:val="-55"/>
        </w:rPr>
      </w:r>
      <w:r>
        <w:rPr/>
        <w:t>行股份面值总额）的差额，应当调整资本公积；资本公积不足冲减的，调整留存收益。</w:t>
      </w:r>
    </w:p>
    <w:p>
      <w:pPr>
        <w:pStyle w:val="BodyText"/>
        <w:spacing w:line="273" w:lineRule="auto" w:before="7"/>
        <w:ind w:left="558" w:right="100"/>
        <w:jc w:val="left"/>
      </w:pPr>
      <w:r>
        <w:rPr>
          <w:rFonts w:ascii="宋体" w:hAnsi="宋体" w:cs="宋体" w:eastAsia="宋体" w:hint="default"/>
        </w:rPr>
        <w:t>2</w:t>
      </w:r>
      <w:r>
        <w:rPr/>
        <w:t>、非同一控制下的企业合并</w:t>
      </w:r>
      <w:r>
        <w:rPr>
          <w:w w:val="100"/>
        </w:rPr>
        <w:t> </w:t>
      </w:r>
      <w:r>
        <w:rPr>
          <w:spacing w:val="-2"/>
        </w:rPr>
        <w:t>对于非同一控制下的企业合并，合并成本为购买方在购买日为取得对被购买方的控制权而付</w:t>
      </w:r>
    </w:p>
    <w:p>
      <w:pPr>
        <w:pStyle w:val="BodyText"/>
        <w:spacing w:line="242" w:lineRule="exact"/>
        <w:ind w:right="0"/>
        <w:jc w:val="both"/>
      </w:pPr>
      <w:r>
        <w:rPr/>
        <w:t>出的资产、发生或承担的负债以及发行的权益性证券的公允价值之和。非同一控制下企业合并中</w:t>
      </w:r>
    </w:p>
    <w:p>
      <w:pPr>
        <w:pStyle w:val="BodyText"/>
        <w:spacing w:line="272" w:lineRule="exact" w:before="27"/>
        <w:ind w:right="100"/>
        <w:jc w:val="left"/>
      </w:pPr>
      <w:r>
        <w:rPr/>
        <w:t>所取得的被购买方符合确认条件的可辨认资产、负债及或有负债，在购买日以公允价值计量。购</w:t>
      </w:r>
      <w:r>
        <w:rPr>
          <w:spacing w:val="-97"/>
        </w:rPr>
        <w:t> </w:t>
      </w:r>
      <w:r>
        <w:rPr>
          <w:spacing w:val="-97"/>
        </w:rPr>
      </w:r>
      <w:r>
        <w:rPr>
          <w:spacing w:val="-4"/>
          <w:w w:val="100"/>
        </w:rPr>
        <w:t>买方对合并成本大于合并中取得的被购买方可辨认净资产公允价值份额的差额，体现为商誉价值。</w:t>
      </w:r>
    </w:p>
    <w:p>
      <w:pPr>
        <w:spacing w:after="0" w:line="272"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100"/>
        <w:jc w:val="left"/>
      </w:pPr>
      <w:r>
        <w:rPr>
          <w:spacing w:val="-1"/>
        </w:rPr>
        <w:t>购买方对合并成本小于合并中取得的被购买方可辨认净资产公允价值份额的，经复核后合并成本</w:t>
      </w:r>
      <w:r>
        <w:rPr>
          <w:spacing w:val="-55"/>
        </w:rPr>
        <w:t> </w:t>
      </w:r>
      <w:r>
        <w:rPr>
          <w:spacing w:val="-55"/>
        </w:rPr>
      </w:r>
      <w:r>
        <w:rPr/>
        <w:t>仍小于合并中取得的被购买方可辨认净资产公允价值份额的差额，计入当期营业外收入。</w:t>
      </w:r>
    </w:p>
    <w:p>
      <w:pPr>
        <w:spacing w:line="240" w:lineRule="auto" w:before="11"/>
        <w:rPr>
          <w:rFonts w:ascii="宋体" w:hAnsi="宋体" w:cs="宋体" w:eastAsia="宋体" w:hint="default"/>
          <w:sz w:val="22"/>
          <w:szCs w:val="22"/>
        </w:rPr>
      </w:pPr>
    </w:p>
    <w:p>
      <w:pPr>
        <w:pStyle w:val="Heading2"/>
        <w:tabs>
          <w:tab w:pos="562" w:val="left" w:leader="none"/>
        </w:tabs>
        <w:spacing w:line="240" w:lineRule="auto" w:before="0"/>
        <w:ind w:right="10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74" w:lineRule="exact" w:before="56"/>
        <w:ind w:right="100"/>
        <w:jc w:val="left"/>
      </w:pPr>
      <w:r>
        <w:rPr/>
        <w:t>√适用□不适用</w:t>
      </w:r>
    </w:p>
    <w:p>
      <w:pPr>
        <w:pStyle w:val="BodyText"/>
        <w:spacing w:line="232" w:lineRule="auto" w:before="6"/>
        <w:ind w:right="100"/>
        <w:jc w:val="left"/>
      </w:pPr>
      <w:r>
        <w:rPr>
          <w:rFonts w:ascii="Times New Roman" w:hAnsi="Times New Roman" w:cs="Times New Roman" w:eastAsia="Times New Roman" w:hint="default"/>
        </w:rPr>
        <w:t>1</w:t>
      </w:r>
      <w:r>
        <w:rPr/>
        <w:t>、合并财务报表范围</w:t>
      </w:r>
      <w:r>
        <w:rPr>
          <w:w w:val="100"/>
        </w:rPr>
        <w:t> </w:t>
      </w:r>
      <w:r>
        <w:rPr>
          <w:spacing w:val="-1"/>
        </w:rPr>
        <w:t>本公司将全部子公司（包括本公司所控制的单独主体）纳入合并财务报表范围，包括被本公司控</w:t>
      </w:r>
      <w:r>
        <w:rPr>
          <w:spacing w:val="-55"/>
        </w:rPr>
        <w:t> </w:t>
      </w:r>
      <w:r>
        <w:rPr>
          <w:spacing w:val="-55"/>
        </w:rPr>
      </w:r>
      <w:r>
        <w:rPr/>
        <w:t>制的企业、被投资单位中可分割的部分以及结构化主体。</w:t>
      </w:r>
      <w:r>
        <w:rPr>
          <w:w w:val="100"/>
        </w:rPr>
        <w:t> </w:t>
      </w:r>
      <w:r>
        <w:rPr>
          <w:rFonts w:ascii="Times New Roman" w:hAnsi="Times New Roman" w:cs="Times New Roman" w:eastAsia="Times New Roman" w:hint="default"/>
        </w:rPr>
        <w:t>2</w:t>
      </w:r>
      <w:r>
        <w:rPr/>
        <w:t>、统一母子公司的会计政策、统一母子公司的资产负债表日及会计期间</w:t>
      </w:r>
      <w:r>
        <w:rPr>
          <w:w w:val="100"/>
        </w:rPr>
        <w:t> </w:t>
      </w:r>
      <w:r>
        <w:rPr>
          <w:spacing w:val="-1"/>
        </w:rPr>
        <w:t>子公司与本公司采用的会计政策或会计期间不一致的，在编制合并财务报表时，按照本公司的会</w:t>
      </w:r>
      <w:r>
        <w:rPr>
          <w:spacing w:val="-55"/>
        </w:rPr>
        <w:t> </w:t>
      </w:r>
      <w:r>
        <w:rPr>
          <w:spacing w:val="-55"/>
        </w:rPr>
      </w:r>
      <w:r>
        <w:rPr/>
        <w:t>计政策或会计期间对子公司财务报表进行必要的调整。</w:t>
      </w:r>
    </w:p>
    <w:p>
      <w:pPr>
        <w:pStyle w:val="BodyText"/>
        <w:spacing w:line="235" w:lineRule="auto" w:before="4"/>
        <w:ind w:right="100"/>
        <w:jc w:val="left"/>
      </w:pPr>
      <w:r>
        <w:rPr>
          <w:rFonts w:ascii="Times New Roman" w:hAnsi="Times New Roman" w:cs="Times New Roman" w:eastAsia="Times New Roman" w:hint="default"/>
        </w:rPr>
        <w:t>3</w:t>
      </w:r>
      <w:r>
        <w:rPr/>
        <w:t>、合并财务报表抵销事项</w:t>
      </w:r>
      <w:r>
        <w:rPr>
          <w:w w:val="100"/>
        </w:rPr>
        <w:t> </w:t>
      </w:r>
      <w:r>
        <w:rPr>
          <w:spacing w:val="-1"/>
        </w:rPr>
        <w:t>合并财务报表以母公司和子公司的资产负债表为基础，已抵销了母公司与子公司、子公司相互之</w:t>
      </w:r>
      <w:r>
        <w:rPr>
          <w:spacing w:val="-55"/>
        </w:rPr>
        <w:t> </w:t>
      </w:r>
      <w:r>
        <w:rPr>
          <w:spacing w:val="-55"/>
        </w:rPr>
      </w:r>
      <w:r>
        <w:rPr>
          <w:spacing w:val="-1"/>
        </w:rPr>
        <w:t>间发生的内部交易。子公司所有者权益中不属于母公司的份额，作为少数股东权益，在合并资产</w:t>
      </w:r>
      <w:r>
        <w:rPr>
          <w:spacing w:val="-55"/>
        </w:rPr>
        <w:t> </w:t>
      </w:r>
      <w:r>
        <w:rPr>
          <w:spacing w:val="-55"/>
        </w:rPr>
      </w:r>
      <w:r>
        <w:rPr>
          <w:spacing w:val="-1"/>
        </w:rPr>
        <w:t>负债表中所有者权益项目下以“少数股东权益”项目列示。子公司持有母公司的长期股权投资，</w:t>
      </w:r>
      <w:r>
        <w:rPr>
          <w:spacing w:val="-55"/>
        </w:rPr>
        <w:t> </w:t>
      </w:r>
      <w:r>
        <w:rPr>
          <w:spacing w:val="-55"/>
        </w:rPr>
      </w:r>
      <w:r>
        <w:rPr>
          <w:spacing w:val="-6"/>
        </w:rPr>
        <w:t>视为企业集团的库存股，作为所有者权益的减项，在合并资产负债表中所有者权益项目下以“减：</w:t>
      </w:r>
      <w:r>
        <w:rPr>
          <w:spacing w:val="-54"/>
        </w:rPr>
        <w:t> </w:t>
      </w:r>
      <w:r>
        <w:rPr>
          <w:spacing w:val="-54"/>
        </w:rPr>
      </w:r>
      <w:r>
        <w:rPr/>
        <w:t>库存股”项目列示。</w:t>
      </w:r>
    </w:p>
    <w:p>
      <w:pPr>
        <w:pStyle w:val="BodyText"/>
        <w:spacing w:line="235" w:lineRule="auto" w:before="4"/>
        <w:ind w:right="100"/>
        <w:jc w:val="left"/>
      </w:pPr>
      <w:r>
        <w:rPr>
          <w:rFonts w:ascii="Times New Roman" w:hAnsi="Times New Roman" w:cs="Times New Roman" w:eastAsia="Times New Roman" w:hint="default"/>
        </w:rPr>
        <w:t>4</w:t>
      </w:r>
      <w:r>
        <w:rPr/>
        <w:t>、合并取得子公司会计处理</w:t>
      </w:r>
      <w:r>
        <w:rPr>
          <w:w w:val="100"/>
        </w:rPr>
        <w:t> </w:t>
      </w:r>
      <w:r>
        <w:rPr>
          <w:spacing w:val="-1"/>
        </w:rPr>
        <w:t>对于同一控制下企业合并取得的子公司，视同该企业合并于自最终控制方开始实时控制时已经发</w:t>
      </w:r>
      <w:r>
        <w:rPr>
          <w:spacing w:val="-55"/>
        </w:rPr>
        <w:t> </w:t>
      </w:r>
      <w:r>
        <w:rPr>
          <w:spacing w:val="-55"/>
        </w:rPr>
      </w:r>
      <w:r>
        <w:rPr>
          <w:spacing w:val="-1"/>
        </w:rPr>
        <w:t>生，从合并当期的期初起将其资产、负债、经营成果和现金流量纳入合并财务报表；对于非同一</w:t>
      </w:r>
      <w:r>
        <w:rPr>
          <w:spacing w:val="-55"/>
        </w:rPr>
        <w:t> </w:t>
      </w:r>
      <w:r>
        <w:rPr>
          <w:spacing w:val="-55"/>
        </w:rPr>
      </w:r>
      <w:r>
        <w:rPr>
          <w:spacing w:val="-1"/>
        </w:rPr>
        <w:t>控制下企业合并取得的子公司，在编制合并财务报表时，以购买日可辨认净资产公允价值为基础</w:t>
      </w:r>
      <w:r>
        <w:rPr>
          <w:spacing w:val="-55"/>
        </w:rPr>
        <w:t> </w:t>
      </w:r>
      <w:r>
        <w:rPr>
          <w:spacing w:val="-55"/>
        </w:rPr>
      </w:r>
      <w:r>
        <w:rPr/>
        <w:t>对其个别财务报表进行调整。</w:t>
      </w:r>
    </w:p>
    <w:p>
      <w:pPr>
        <w:spacing w:line="240" w:lineRule="auto" w:before="11"/>
        <w:rPr>
          <w:rFonts w:ascii="宋体" w:hAnsi="宋体" w:cs="宋体" w:eastAsia="宋体" w:hint="default"/>
          <w:sz w:val="22"/>
          <w:szCs w:val="22"/>
        </w:rPr>
      </w:pPr>
    </w:p>
    <w:p>
      <w:pPr>
        <w:pStyle w:val="Heading2"/>
        <w:tabs>
          <w:tab w:pos="562" w:val="left" w:leader="none"/>
        </w:tabs>
        <w:spacing w:line="240" w:lineRule="auto" w:before="0"/>
        <w:ind w:right="10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82" w:lineRule="exact" w:before="56"/>
        <w:ind w:right="100"/>
        <w:jc w:val="left"/>
      </w:pPr>
      <w:r>
        <w:rPr/>
        <w:t>√适用</w:t>
      </w:r>
      <w:r>
        <w:rPr>
          <w:rFonts w:ascii="Times New Roman" w:hAnsi="Times New Roman" w:cs="Times New Roman" w:eastAsia="Times New Roman" w:hint="default"/>
        </w:rPr>
        <w:t>□</w:t>
      </w:r>
      <w:r>
        <w:rPr/>
        <w:t>不适用</w:t>
      </w:r>
    </w:p>
    <w:p>
      <w:pPr>
        <w:pStyle w:val="BodyText"/>
        <w:spacing w:line="235" w:lineRule="auto"/>
        <w:ind w:right="100"/>
        <w:jc w:val="left"/>
      </w:pPr>
      <w:r>
        <w:rPr>
          <w:rFonts w:ascii="Times New Roman" w:hAnsi="Times New Roman" w:cs="Times New Roman" w:eastAsia="Times New Roman" w:hint="default"/>
        </w:rPr>
        <w:t>1</w:t>
      </w:r>
      <w:r>
        <w:rPr/>
        <w:t>、合营安排的分类</w:t>
      </w:r>
      <w:r>
        <w:rPr>
          <w:w w:val="100"/>
        </w:rPr>
        <w:t> </w:t>
      </w:r>
      <w:r>
        <w:rPr/>
        <w:t>合营安排分为共同经营和合营企业。未通过单独主体达成的合营安排，划分为共同经营。单独主</w:t>
      </w:r>
      <w:r>
        <w:rPr>
          <w:spacing w:val="-97"/>
        </w:rPr>
        <w:t> </w:t>
      </w:r>
      <w:r>
        <w:rPr>
          <w:spacing w:val="-97"/>
        </w:rPr>
      </w:r>
      <w:r>
        <w:rPr/>
        <w:t>体，是指具有单独可辨认的财务架构的主体，包括单独的法人主体和不具备法人主体资格但法律</w:t>
      </w:r>
      <w:r>
        <w:rPr>
          <w:spacing w:val="-97"/>
        </w:rPr>
        <w:t> </w:t>
      </w:r>
      <w:r>
        <w:rPr>
          <w:spacing w:val="-97"/>
        </w:rPr>
      </w:r>
      <w:r>
        <w:rPr/>
        <w:t>认可的主体。通过单独主体达成的合营安排，通常划分为合营企业。相关事实和情况变化导致合</w:t>
      </w:r>
      <w:r>
        <w:rPr>
          <w:spacing w:val="-97"/>
        </w:rPr>
        <w:t> </w:t>
      </w:r>
      <w:r>
        <w:rPr>
          <w:spacing w:val="-97"/>
        </w:rPr>
      </w:r>
      <w:r>
        <w:rPr>
          <w:spacing w:val="-4"/>
          <w:w w:val="100"/>
        </w:rPr>
        <w:t>营方在合营安排中享有的权利和承担的义务发生变化的，合营方对合营安排的分类进行重新评估。</w:t>
      </w:r>
      <w:r>
        <w:rPr>
          <w:spacing w:val="-89"/>
          <w:w w:val="100"/>
        </w:rPr>
        <w:t> </w:t>
      </w:r>
      <w:r>
        <w:rPr>
          <w:spacing w:val="-89"/>
          <w:w w:val="100"/>
        </w:rPr>
      </w:r>
      <w:r>
        <w:rPr>
          <w:rFonts w:ascii="Times New Roman" w:hAnsi="Times New Roman" w:cs="Times New Roman" w:eastAsia="Times New Roman" w:hint="default"/>
        </w:rPr>
        <w:t>2</w:t>
      </w:r>
      <w:r>
        <w:rPr/>
        <w:t>、共同经营的会计处理</w:t>
      </w:r>
      <w:r>
        <w:rPr>
          <w:w w:val="100"/>
        </w:rPr>
        <w:t> </w:t>
      </w:r>
      <w:r>
        <w:rPr/>
        <w:t>共同经营参与方应当确认其与共同经营中利益份额相关的下列项目，并按照相关企业会计准则的</w:t>
      </w:r>
      <w:r>
        <w:rPr>
          <w:spacing w:val="-98"/>
        </w:rPr>
        <w:t> </w:t>
      </w:r>
      <w:r>
        <w:rPr>
          <w:spacing w:val="-98"/>
        </w:rPr>
      </w:r>
      <w:r>
        <w:rPr/>
        <w:t>规定进行会计处理：确认单独所持有的资产或负债，以及按其份额确认共同持有的资产或负债；</w:t>
      </w:r>
      <w:r>
        <w:rPr>
          <w:spacing w:val="-98"/>
        </w:rPr>
        <w:t> </w:t>
      </w:r>
      <w:r>
        <w:rPr>
          <w:spacing w:val="-98"/>
        </w:rPr>
      </w:r>
      <w:r>
        <w:rPr/>
        <w:t>确认出售其享有的共同经营产出份额所产生的收入；按其份额确认共同经营因出售产出所产生的</w:t>
      </w:r>
      <w:r>
        <w:rPr>
          <w:spacing w:val="-97"/>
        </w:rPr>
        <w:t> </w:t>
      </w:r>
      <w:r>
        <w:rPr>
          <w:spacing w:val="-97"/>
        </w:rPr>
      </w:r>
      <w:r>
        <w:rPr/>
        <w:t>收入；确认单独所发生的费用，以及按其份额确认共同经营发生的费用。</w:t>
      </w:r>
      <w:r>
        <w:rPr>
          <w:w w:val="100"/>
        </w:rPr>
        <w:t> </w:t>
      </w:r>
      <w:r>
        <w:rPr/>
        <w:t>对共同经营不享有共同控制的参与方，如果享有该共同经营相关资产且承担该共同经营相关负债</w:t>
      </w:r>
      <w:r>
        <w:rPr>
          <w:spacing w:val="-97"/>
        </w:rPr>
        <w:t> </w:t>
      </w:r>
      <w:r>
        <w:rPr>
          <w:spacing w:val="-97"/>
        </w:rPr>
      </w:r>
      <w:r>
        <w:rPr/>
        <w:t>的，参照共同经营参与方的规定进行会计处理；否则，应当按照相关企业会计准则的规定进行会</w:t>
      </w:r>
      <w:r>
        <w:rPr>
          <w:spacing w:val="-96"/>
        </w:rPr>
        <w:t> </w:t>
      </w:r>
      <w:r>
        <w:rPr>
          <w:spacing w:val="-96"/>
        </w:rPr>
      </w:r>
      <w:r>
        <w:rPr/>
        <w:t>计处理。</w:t>
      </w:r>
    </w:p>
    <w:p>
      <w:pPr>
        <w:pStyle w:val="BodyText"/>
        <w:spacing w:line="280" w:lineRule="exact"/>
        <w:ind w:right="100"/>
        <w:jc w:val="left"/>
      </w:pPr>
      <w:r>
        <w:rPr>
          <w:rFonts w:ascii="Times New Roman" w:hAnsi="Times New Roman" w:cs="Times New Roman" w:eastAsia="Times New Roman" w:hint="default"/>
        </w:rPr>
        <w:t>3</w:t>
      </w:r>
      <w:r>
        <w:rPr/>
        <w:t>、合营企业的会计处理</w:t>
      </w:r>
    </w:p>
    <w:p>
      <w:pPr>
        <w:pStyle w:val="BodyText"/>
        <w:spacing w:line="274" w:lineRule="exact" w:before="16"/>
        <w:ind w:right="202"/>
        <w:jc w:val="left"/>
      </w:pPr>
      <w:r>
        <w:rPr/>
        <w:t>合营企业参与方应当按照</w:t>
      </w:r>
      <w:hyperlink r:id="rId47">
        <w:r>
          <w:rPr/>
          <w:t>《企业会计准则第</w:t>
        </w:r>
      </w:hyperlink>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长期股权投资》的规定对合营企业的投资进行</w:t>
      </w:r>
      <w:r>
        <w:rPr>
          <w:w w:val="100"/>
        </w:rPr>
        <w:t> </w:t>
      </w:r>
      <w:r>
        <w:rPr/>
        <w:t>会计处理，不享有共同控制的参与方应当根据其对该合营企业的影响程度进行会计处理。</w:t>
      </w:r>
    </w:p>
    <w:p>
      <w:pPr>
        <w:spacing w:line="240" w:lineRule="auto" w:before="12"/>
        <w:rPr>
          <w:rFonts w:ascii="宋体" w:hAnsi="宋体" w:cs="宋体" w:eastAsia="宋体" w:hint="default"/>
          <w:sz w:val="20"/>
          <w:szCs w:val="20"/>
        </w:rPr>
      </w:pPr>
    </w:p>
    <w:p>
      <w:pPr>
        <w:pStyle w:val="Heading2"/>
        <w:tabs>
          <w:tab w:pos="562" w:val="left" w:leader="none"/>
        </w:tabs>
        <w:spacing w:line="240" w:lineRule="auto" w:before="0"/>
        <w:ind w:right="100"/>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37" w:lineRule="auto" w:before="59"/>
        <w:ind w:right="208"/>
        <w:jc w:val="both"/>
      </w:pPr>
      <w:r>
        <w:rPr>
          <w:spacing w:val="-1"/>
        </w:rPr>
        <w:t>本公司在编制现金流量表时所确定的现金，是指本公司库存现金以及可以随时用于支付的存款。</w:t>
      </w:r>
      <w:r>
        <w:rPr>
          <w:spacing w:val="-55"/>
        </w:rPr>
        <w:t> </w:t>
      </w:r>
      <w:r>
        <w:rPr>
          <w:spacing w:val="-55"/>
        </w:rPr>
      </w:r>
      <w:r>
        <w:rPr>
          <w:spacing w:val="-1"/>
        </w:rPr>
        <w:t>在编制现金流量表时所确定的现金等价物，是指持有的期限短、流动性强、易于转换为已知金额</w:t>
      </w:r>
      <w:r>
        <w:rPr>
          <w:spacing w:val="-55"/>
        </w:rPr>
        <w:t> </w:t>
      </w:r>
      <w:r>
        <w:rPr>
          <w:spacing w:val="-55"/>
        </w:rPr>
      </w:r>
      <w:r>
        <w:rPr/>
        <w:t>现金、价值变动风险很小的投资。</w:t>
      </w:r>
    </w:p>
    <w:p>
      <w:pPr>
        <w:spacing w:line="240" w:lineRule="auto" w:before="12"/>
        <w:rPr>
          <w:rFonts w:ascii="宋体" w:hAnsi="宋体" w:cs="宋体" w:eastAsia="宋体" w:hint="default"/>
          <w:sz w:val="22"/>
          <w:szCs w:val="22"/>
        </w:rPr>
      </w:pPr>
    </w:p>
    <w:p>
      <w:pPr>
        <w:pStyle w:val="Heading2"/>
        <w:tabs>
          <w:tab w:pos="562" w:val="left" w:leader="none"/>
        </w:tabs>
        <w:spacing w:line="240" w:lineRule="auto" w:before="0"/>
        <w:ind w:right="10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58"/>
        <w:ind w:right="100"/>
        <w:jc w:val="left"/>
      </w:pPr>
      <w:r>
        <w:rPr/>
        <w:t>√适用□不适用</w:t>
      </w:r>
    </w:p>
    <w:p>
      <w:pPr>
        <w:spacing w:after="0" w:line="240" w:lineRule="auto"/>
        <w:jc w:val="left"/>
        <w:sectPr>
          <w:footerReference w:type="default" r:id="rId46"/>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274" w:lineRule="exact" w:before="62"/>
        <w:ind w:left="558" w:right="0"/>
        <w:jc w:val="left"/>
      </w:pPr>
      <w:r>
        <w:rPr>
          <w:rFonts w:ascii="Times New Roman" w:hAnsi="Times New Roman" w:cs="Times New Roman" w:eastAsia="Times New Roman" w:hint="default"/>
        </w:rPr>
        <w:t>1</w:t>
      </w:r>
      <w:r>
        <w:rPr/>
        <w:t>、外币业务折算</w:t>
      </w:r>
      <w:r>
        <w:rPr>
          <w:w w:val="100"/>
        </w:rPr>
        <w:t> </w:t>
      </w:r>
      <w:r>
        <w:rPr>
          <w:spacing w:val="-2"/>
        </w:rPr>
        <w:t>本公司对发生的外币交易，采用与交易发生日或交易发生日即期汇率的近似汇率折合本位币</w:t>
      </w:r>
    </w:p>
    <w:p>
      <w:pPr>
        <w:pStyle w:val="BodyText"/>
        <w:spacing w:line="245" w:lineRule="exact"/>
        <w:ind w:right="0"/>
        <w:jc w:val="left"/>
      </w:pPr>
      <w:r>
        <w:rPr/>
        <w:t>入账。资产负债表日外币货币性项目按资产负债表日即期汇率折算，因该日的即期汇率与初始确</w:t>
      </w:r>
    </w:p>
    <w:p>
      <w:pPr>
        <w:pStyle w:val="BodyText"/>
        <w:spacing w:line="235" w:lineRule="auto" w:before="4"/>
        <w:ind w:right="128"/>
        <w:jc w:val="both"/>
      </w:pPr>
      <w:r>
        <w:rPr>
          <w:spacing w:val="-1"/>
        </w:rPr>
        <w:t>认时或者前一资产负债表日即期汇率不同而产生的汇兑差额，除符合资本化条件的外币专门借款</w:t>
      </w:r>
      <w:r>
        <w:rPr>
          <w:spacing w:val="-55"/>
        </w:rPr>
        <w:t> </w:t>
      </w:r>
      <w:r>
        <w:rPr>
          <w:spacing w:val="-55"/>
        </w:rPr>
      </w:r>
      <w:r>
        <w:rPr>
          <w:spacing w:val="-1"/>
        </w:rPr>
        <w:t>的汇兑差额在资本化期间予以资本化计入相关资产的成本外，均计入当期损益。以历史成本计量</w:t>
      </w:r>
      <w:r>
        <w:rPr>
          <w:spacing w:val="-55"/>
        </w:rPr>
        <w:t> </w:t>
      </w:r>
      <w:r>
        <w:rPr>
          <w:spacing w:val="-55"/>
        </w:rPr>
      </w:r>
      <w:r>
        <w:rPr>
          <w:spacing w:val="-1"/>
        </w:rPr>
        <w:t>的外币非货币性项目，仍采用交易发生日的即期汇率折算，不改变其记账本位币金额。以公允价</w:t>
      </w:r>
      <w:r>
        <w:rPr>
          <w:spacing w:val="-55"/>
        </w:rPr>
        <w:t> </w:t>
      </w:r>
      <w:r>
        <w:rPr>
          <w:spacing w:val="-55"/>
        </w:rPr>
      </w:r>
      <w:r>
        <w:rPr>
          <w:spacing w:val="-1"/>
        </w:rPr>
        <w:t>值计量的外币非货币性项目，采用公允价值确定日的即期汇率折算，折算后的记账本位币金额与</w:t>
      </w:r>
      <w:r>
        <w:rPr>
          <w:spacing w:val="-55"/>
        </w:rPr>
        <w:t> </w:t>
      </w:r>
      <w:r>
        <w:rPr>
          <w:spacing w:val="-55"/>
        </w:rPr>
      </w:r>
      <w:r>
        <w:rPr/>
        <w:t>原记账本位币金额的差额，作为公允价值变动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w:t>
      </w:r>
      <w:r>
        <w:rPr>
          <w:spacing w:val="-23"/>
        </w:rPr>
        <w:t> </w:t>
      </w:r>
      <w:r>
        <w:rPr>
          <w:spacing w:val="-23"/>
        </w:rPr>
      </w:r>
      <w:r>
        <w:rPr/>
        <w:t>合收益。</w:t>
      </w:r>
    </w:p>
    <w:p>
      <w:pPr>
        <w:pStyle w:val="BodyText"/>
        <w:spacing w:line="272" w:lineRule="exact" w:before="27"/>
        <w:ind w:left="558" w:right="0"/>
        <w:jc w:val="left"/>
      </w:pPr>
      <w:r>
        <w:rPr>
          <w:rFonts w:ascii="Times New Roman" w:hAnsi="Times New Roman" w:cs="Times New Roman" w:eastAsia="Times New Roman" w:hint="default"/>
        </w:rPr>
        <w:t>2</w:t>
      </w:r>
      <w:r>
        <w:rPr/>
        <w:t>、外币财务报表折算</w:t>
      </w:r>
      <w:r>
        <w:rPr>
          <w:w w:val="100"/>
        </w:rPr>
        <w:t> </w:t>
      </w:r>
      <w:r>
        <w:rPr>
          <w:spacing w:val="-2"/>
        </w:rPr>
        <w:t>本公司的控股子公司、合营企业、联营企业等，若采用与本公司不同的记账本位币，需对其</w:t>
      </w:r>
    </w:p>
    <w:p>
      <w:pPr>
        <w:pStyle w:val="BodyText"/>
        <w:spacing w:line="272" w:lineRule="exact" w:before="1"/>
        <w:ind w:right="128"/>
        <w:jc w:val="both"/>
      </w:pPr>
      <w:r>
        <w:rPr>
          <w:spacing w:val="-6"/>
          <w:w w:val="100"/>
        </w:rPr>
        <w:t>外币财务报表折算后，再进行会计核算及合并财务报表的编报。资产负债表中的资产和负债项目，</w:t>
      </w:r>
      <w:r>
        <w:rPr>
          <w:w w:val="100"/>
        </w:rPr>
        <w:t> </w:t>
      </w:r>
      <w:r>
        <w:rPr>
          <w:spacing w:val="-1"/>
        </w:rPr>
        <w:t>采用资产负债表日的即期汇率折算，所有者权益项目除“未分配利润”项目外，其他项目采用发</w:t>
      </w:r>
    </w:p>
    <w:p>
      <w:pPr>
        <w:pStyle w:val="BodyText"/>
        <w:spacing w:line="272" w:lineRule="exact" w:before="1"/>
        <w:ind w:right="127"/>
        <w:jc w:val="both"/>
      </w:pPr>
      <w:r>
        <w:rPr>
          <w:spacing w:val="-1"/>
        </w:rPr>
        <w:t>生时的即期汇率折算。利润表中的收入和费用项目，采用交易发生日的即期汇率或交易发生日即</w:t>
      </w:r>
      <w:r>
        <w:rPr>
          <w:spacing w:val="-55"/>
        </w:rPr>
        <w:t> </w:t>
      </w:r>
      <w:r>
        <w:rPr>
          <w:spacing w:val="-55"/>
        </w:rPr>
      </w:r>
      <w:r>
        <w:rPr>
          <w:spacing w:val="-1"/>
        </w:rPr>
        <w:t>期汇率的近似汇率折算。折算产生的外币财务报表折算差额，在资产负债表中所有者权益项目其</w:t>
      </w:r>
    </w:p>
    <w:p>
      <w:pPr>
        <w:pStyle w:val="BodyText"/>
        <w:spacing w:line="272" w:lineRule="exact" w:before="1"/>
        <w:ind w:right="128"/>
        <w:jc w:val="both"/>
      </w:pPr>
      <w:r>
        <w:rPr>
          <w:spacing w:val="-1"/>
        </w:rPr>
        <w:t>他综合收益下列示。外币现金流量按照系统合理方法确定的，采用交易发生日的即期汇率或交易</w:t>
      </w:r>
      <w:r>
        <w:rPr>
          <w:spacing w:val="-55"/>
        </w:rPr>
        <w:t> </w:t>
      </w:r>
      <w:r>
        <w:rPr>
          <w:spacing w:val="-55"/>
        </w:rPr>
      </w:r>
      <w:r>
        <w:rPr>
          <w:spacing w:val="-1"/>
        </w:rPr>
        <w:t>发生日即期汇率的近似汇率折算。汇率变动对现金的影响额，在现金流量表中单独列示。处置境</w:t>
      </w:r>
    </w:p>
    <w:p>
      <w:pPr>
        <w:pStyle w:val="BodyText"/>
        <w:spacing w:line="272" w:lineRule="exact" w:before="1"/>
        <w:ind w:right="128"/>
        <w:jc w:val="both"/>
      </w:pPr>
      <w:r>
        <w:rPr>
          <w:spacing w:val="-1"/>
        </w:rPr>
        <w:t>外经营时，与该境外经营有关的外币报表折算差额，全部或按处置该境外经营的比例转入处置当</w:t>
      </w:r>
      <w:r>
        <w:rPr>
          <w:spacing w:val="-55"/>
        </w:rPr>
        <w:t> </w:t>
      </w:r>
      <w:r>
        <w:rPr>
          <w:spacing w:val="-55"/>
        </w:rPr>
      </w:r>
      <w:r>
        <w:rPr/>
        <w:t>期损益。</w:t>
      </w:r>
    </w:p>
    <w:p>
      <w:pPr>
        <w:spacing w:line="240" w:lineRule="auto" w:before="12"/>
        <w:rPr>
          <w:rFonts w:ascii="宋体" w:hAnsi="宋体" w:cs="宋体" w:eastAsia="宋体" w:hint="default"/>
          <w:sz w:val="20"/>
          <w:szCs w:val="20"/>
        </w:rPr>
      </w:pPr>
    </w:p>
    <w:p>
      <w:pPr>
        <w:pStyle w:val="Heading2"/>
        <w:spacing w:line="240" w:lineRule="auto" w:before="0"/>
        <w:ind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3" w:lineRule="exact" w:before="58"/>
        <w:ind w:right="0"/>
        <w:jc w:val="left"/>
      </w:pPr>
      <w:r>
        <w:rPr/>
        <w:t>√适用□不适用</w:t>
      </w:r>
    </w:p>
    <w:p>
      <w:pPr>
        <w:pStyle w:val="BodyText"/>
        <w:spacing w:line="274" w:lineRule="exact" w:before="24"/>
        <w:ind w:left="558" w:right="0"/>
        <w:jc w:val="left"/>
      </w:pPr>
      <w:r>
        <w:rPr>
          <w:rFonts w:ascii="Times New Roman" w:hAnsi="Times New Roman" w:cs="Times New Roman" w:eastAsia="Times New Roman" w:hint="default"/>
        </w:rPr>
        <w:t>1</w:t>
      </w:r>
      <w:r>
        <w:rPr/>
        <w:t>、金融工具的分类及确认</w:t>
      </w:r>
      <w:r>
        <w:rPr>
          <w:w w:val="100"/>
        </w:rPr>
        <w:t> </w:t>
      </w:r>
      <w:r>
        <w:rPr>
          <w:spacing w:val="-2"/>
        </w:rPr>
        <w:t>金融工具划分为金融资产或金融负债和权益工具。本公司成为金融工具合同的一方时，确认</w:t>
      </w:r>
    </w:p>
    <w:p>
      <w:pPr>
        <w:pStyle w:val="BodyText"/>
        <w:spacing w:line="272" w:lineRule="exact"/>
        <w:ind w:left="558" w:right="0" w:hanging="420"/>
        <w:jc w:val="left"/>
      </w:pPr>
      <w:r>
        <w:rPr/>
        <w:t>为一项金融资产或金融负债，或权益工具。</w:t>
      </w:r>
      <w:r>
        <w:rPr>
          <w:w w:val="100"/>
        </w:rPr>
        <w:t> </w:t>
      </w:r>
      <w:r>
        <w:rPr>
          <w:spacing w:val="-2"/>
        </w:rPr>
        <w:t>金融资产于初始确认时分类为：以公允价值计量且其变动计入当期损益的金融资产、持有至</w:t>
      </w:r>
    </w:p>
    <w:p>
      <w:pPr>
        <w:pStyle w:val="BodyText"/>
        <w:spacing w:line="272" w:lineRule="exact" w:before="1"/>
        <w:ind w:right="128"/>
        <w:jc w:val="both"/>
      </w:pPr>
      <w:r>
        <w:rPr>
          <w:spacing w:val="-1"/>
        </w:rPr>
        <w:t>到期投资、应收款项、可供出售金融资产。除应收款项以外的金融资产的分类取决于本公司及其</w:t>
      </w:r>
      <w:r>
        <w:rPr>
          <w:spacing w:val="-55"/>
        </w:rPr>
        <w:t> </w:t>
      </w:r>
      <w:r>
        <w:rPr>
          <w:spacing w:val="-55"/>
        </w:rPr>
      </w:r>
      <w:r>
        <w:rPr>
          <w:spacing w:val="-1"/>
        </w:rPr>
        <w:t>子公司对金融资产的持有意图和持有能力等。金融负债于初始确认时分类为：以公允价值计量且</w:t>
      </w:r>
    </w:p>
    <w:p>
      <w:pPr>
        <w:pStyle w:val="BodyText"/>
        <w:spacing w:line="272" w:lineRule="exact" w:before="1"/>
        <w:ind w:left="558" w:right="0" w:hanging="420"/>
        <w:jc w:val="left"/>
      </w:pPr>
      <w:r>
        <w:rPr/>
        <w:t>其变动计入当期损益的金融负债以及其他金融负债。</w:t>
      </w:r>
      <w:r>
        <w:rPr>
          <w:w w:val="100"/>
        </w:rPr>
        <w:t> </w:t>
      </w:r>
      <w:r>
        <w:rPr>
          <w:spacing w:val="-2"/>
        </w:rPr>
        <w:t>以公允价值计量且其变动计入当期损益的金融资产包括持有目的为短期内出售的金融资产；</w:t>
      </w:r>
    </w:p>
    <w:p>
      <w:pPr>
        <w:pStyle w:val="BodyText"/>
        <w:spacing w:line="272" w:lineRule="exact" w:before="1"/>
        <w:ind w:right="128"/>
        <w:jc w:val="both"/>
      </w:pPr>
      <w:r>
        <w:rPr>
          <w:spacing w:val="-1"/>
        </w:rPr>
        <w:t>应收款项是指在活跃市场中没有报价、回收金额固定或可确定的非衍生金融资产；可供出售金融</w:t>
      </w:r>
      <w:r>
        <w:rPr>
          <w:spacing w:val="-55"/>
        </w:rPr>
        <w:t> </w:t>
      </w:r>
      <w:r>
        <w:rPr>
          <w:spacing w:val="-55"/>
        </w:rPr>
      </w:r>
      <w:r>
        <w:rPr>
          <w:spacing w:val="-1"/>
        </w:rPr>
        <w:t>资产包括初始确认时即被指定为可供出售的非衍生金融资产及未被划分为其他类的金融资产；持</w:t>
      </w:r>
    </w:p>
    <w:p>
      <w:pPr>
        <w:pStyle w:val="BodyText"/>
        <w:spacing w:line="272" w:lineRule="exact" w:before="1"/>
        <w:ind w:right="128"/>
        <w:jc w:val="both"/>
      </w:pPr>
      <w:r>
        <w:rPr>
          <w:spacing w:val="-1"/>
        </w:rPr>
        <w:t>有至到期投资是指到期日固定、回收金额固定或可确定，且管理层有明确意图和能力持有至到期</w:t>
      </w:r>
      <w:r>
        <w:rPr>
          <w:spacing w:val="-55"/>
        </w:rPr>
        <w:t> </w:t>
      </w:r>
      <w:r>
        <w:rPr>
          <w:spacing w:val="-55"/>
        </w:rPr>
      </w:r>
      <w:r>
        <w:rPr/>
        <w:t>的非衍生金融资产。</w:t>
      </w:r>
    </w:p>
    <w:p>
      <w:pPr>
        <w:pStyle w:val="BodyText"/>
        <w:spacing w:line="272" w:lineRule="exact" w:before="1"/>
        <w:ind w:left="558" w:right="0"/>
        <w:jc w:val="left"/>
      </w:pPr>
      <w:r>
        <w:rPr>
          <w:rFonts w:ascii="Times New Roman" w:hAnsi="Times New Roman" w:cs="Times New Roman" w:eastAsia="Times New Roman" w:hint="default"/>
        </w:rPr>
        <w:t>2</w:t>
      </w:r>
      <w:r>
        <w:rPr/>
        <w:t>、金融工具的计量</w:t>
      </w:r>
      <w:r>
        <w:rPr>
          <w:w w:val="100"/>
        </w:rPr>
        <w:t> </w:t>
      </w:r>
      <w:r>
        <w:rPr>
          <w:spacing w:val="-2"/>
        </w:rPr>
        <w:t>本公司金融工具初始确认按公允价值计量。后续计量分类为：以公允价值计量且其变动计入</w:t>
      </w:r>
    </w:p>
    <w:p>
      <w:pPr>
        <w:pStyle w:val="BodyText"/>
        <w:spacing w:line="272" w:lineRule="exact" w:before="2"/>
        <w:ind w:right="128"/>
        <w:jc w:val="both"/>
      </w:pPr>
      <w:r>
        <w:rPr>
          <w:spacing w:val="-1"/>
        </w:rPr>
        <w:t>当期损益的金融资产、可供出售金融资产及以公允价值计量且其变动计入当期损益的金融负债按</w:t>
      </w:r>
      <w:r>
        <w:rPr>
          <w:spacing w:val="-55"/>
        </w:rPr>
        <w:t> </w:t>
      </w:r>
      <w:r>
        <w:rPr>
          <w:spacing w:val="-55"/>
        </w:rPr>
      </w:r>
      <w:r>
        <w:rPr>
          <w:spacing w:val="-1"/>
        </w:rPr>
        <w:t>公允价值计量；持有到期投资、贷款和应收款项以及其他金融负债按摊余成本计量；在活跃市场</w:t>
      </w:r>
    </w:p>
    <w:p>
      <w:pPr>
        <w:pStyle w:val="BodyText"/>
        <w:spacing w:line="272" w:lineRule="exact" w:before="1"/>
        <w:ind w:right="128"/>
        <w:jc w:val="both"/>
      </w:pPr>
      <w:r>
        <w:rPr>
          <w:spacing w:val="-1"/>
        </w:rPr>
        <w:t>中没有报价且其公允价值不能可靠计量的权益工具投资，以及与该权益工具挂钩并须通过交付该</w:t>
      </w:r>
      <w:r>
        <w:rPr>
          <w:spacing w:val="-55"/>
        </w:rPr>
        <w:t> </w:t>
      </w:r>
      <w:r>
        <w:rPr>
          <w:spacing w:val="-55"/>
        </w:rPr>
      </w:r>
      <w:r>
        <w:rPr>
          <w:spacing w:val="-1"/>
        </w:rPr>
        <w:t>权益工具结算的衍生金融资产或者衍生金融负债，按照成本计量。本公司金融资产或金融负债后</w:t>
      </w:r>
    </w:p>
    <w:p>
      <w:pPr>
        <w:pStyle w:val="BodyText"/>
        <w:spacing w:line="272" w:lineRule="exact" w:before="1"/>
        <w:ind w:right="128"/>
        <w:jc w:val="both"/>
      </w:pPr>
      <w:r>
        <w:rPr>
          <w:spacing w:val="-1"/>
        </w:rPr>
        <w:t>续计量中公允价值变动形成的利得或损失，除与套期保值有关外，按照如下方法处理：①以公允</w:t>
      </w:r>
      <w:r>
        <w:rPr>
          <w:spacing w:val="-55"/>
        </w:rPr>
        <w:t> </w:t>
      </w:r>
      <w:r>
        <w:rPr>
          <w:spacing w:val="-55"/>
        </w:rPr>
      </w:r>
      <w:r>
        <w:rPr>
          <w:spacing w:val="-1"/>
        </w:rPr>
        <w:t>价值计量且其变动计入当期损益的金融资产或金融负债公允价值变动形成的利得或损失，计入公</w:t>
      </w:r>
    </w:p>
    <w:p>
      <w:pPr>
        <w:pStyle w:val="BodyText"/>
        <w:spacing w:line="247" w:lineRule="exact"/>
        <w:ind w:right="0"/>
        <w:jc w:val="left"/>
      </w:pPr>
      <w:r>
        <w:rPr/>
        <w:t>允价值变动损益。②可供出售金融资产的公允价值变动计入其他综合收益。</w:t>
      </w:r>
    </w:p>
    <w:p>
      <w:pPr>
        <w:pStyle w:val="BodyText"/>
        <w:spacing w:line="259" w:lineRule="auto"/>
        <w:ind w:left="558" w:right="0"/>
        <w:jc w:val="left"/>
      </w:pPr>
      <w:r>
        <w:rPr>
          <w:rFonts w:ascii="Times New Roman" w:hAnsi="Times New Roman" w:cs="Times New Roman" w:eastAsia="Times New Roman" w:hint="default"/>
        </w:rPr>
        <w:t>3</w:t>
      </w:r>
      <w:r>
        <w:rPr/>
        <w:t>、本公司对金融资产和金融负债的公允价值的确认方法</w:t>
      </w:r>
      <w:r>
        <w:rPr>
          <w:w w:val="100"/>
        </w:rPr>
        <w:t> </w:t>
      </w:r>
      <w:r>
        <w:rPr>
          <w:spacing w:val="-2"/>
        </w:rPr>
        <w:t>如存在活跃市场的金融工具，以活跃市场中的报价确定其公允价值；如不存在活跃市场的金</w:t>
      </w:r>
    </w:p>
    <w:p>
      <w:pPr>
        <w:pStyle w:val="BodyText"/>
        <w:spacing w:line="266" w:lineRule="auto" w:before="20"/>
        <w:ind w:left="558" w:right="0" w:hanging="420"/>
        <w:jc w:val="left"/>
      </w:pPr>
      <w:r>
        <w:rPr/>
        <w:t>融工具，采用估值技术确定其公允价值。估值技术主要包括市场法、收益法和成本法。</w:t>
      </w:r>
      <w:r>
        <w:rPr>
          <w:w w:val="100"/>
        </w:rPr>
        <w:t> </w:t>
      </w:r>
      <w:r>
        <w:rPr>
          <w:rFonts w:ascii="Times New Roman" w:hAnsi="Times New Roman" w:cs="Times New Roman" w:eastAsia="Times New Roman" w:hint="default"/>
        </w:rPr>
        <w:t>4</w:t>
      </w:r>
      <w:r>
        <w:rPr/>
        <w:t>、金融资产负债转移的确认依据和计量方法</w:t>
      </w:r>
      <w:r>
        <w:rPr>
          <w:w w:val="100"/>
        </w:rPr>
        <w:t> </w:t>
      </w:r>
      <w:r>
        <w:rPr>
          <w:spacing w:val="-2"/>
        </w:rPr>
        <w:t>金融资产所有权上几乎所有的风险和报酬转移时，或既没有转移也没有保留金融资产所有权</w:t>
      </w:r>
    </w:p>
    <w:p>
      <w:pPr>
        <w:pStyle w:val="BodyText"/>
        <w:spacing w:line="240" w:lineRule="auto" w:before="16"/>
        <w:ind w:right="0"/>
        <w:jc w:val="left"/>
      </w:pPr>
      <w:r>
        <w:rPr/>
        <w:t>上几乎所有的风险和报酬，但放弃了对该金融资产控制的，应当终止确认该项金融资产。金融资</w:t>
      </w:r>
    </w:p>
    <w:p>
      <w:pPr>
        <w:spacing w:after="0" w:line="240" w:lineRule="auto"/>
        <w:jc w:val="left"/>
        <w:sectPr>
          <w:footerReference w:type="default" r:id="rId48"/>
          <w:pgSz w:w="11910" w:h="16840"/>
          <w:pgMar w:footer="1195" w:header="882" w:top="1120" w:bottom="1380" w:left="1660" w:right="1140"/>
          <w:pgNumType w:start="91"/>
        </w:sectPr>
      </w:pPr>
    </w:p>
    <w:p>
      <w:pPr>
        <w:spacing w:line="240" w:lineRule="auto" w:before="1"/>
        <w:rPr>
          <w:rFonts w:ascii="宋体" w:hAnsi="宋体" w:cs="宋体" w:eastAsia="宋体" w:hint="default"/>
          <w:sz w:val="25"/>
          <w:szCs w:val="25"/>
        </w:rPr>
      </w:pPr>
    </w:p>
    <w:p>
      <w:pPr>
        <w:pStyle w:val="BodyText"/>
        <w:spacing w:line="273" w:lineRule="auto" w:before="36"/>
        <w:ind w:left="238" w:right="248"/>
        <w:jc w:val="both"/>
      </w:pPr>
      <w:r>
        <w:rPr>
          <w:spacing w:val="-1"/>
        </w:rPr>
        <w:t>产满足终止确认条件的，将所转移金融资产的账面价值与因转移而收到的对价和原直接计入其他</w:t>
      </w:r>
      <w:r>
        <w:rPr>
          <w:spacing w:val="-55"/>
        </w:rPr>
        <w:t> </w:t>
      </w:r>
      <w:r>
        <w:rPr>
          <w:spacing w:val="-55"/>
        </w:rPr>
      </w:r>
      <w:r>
        <w:rPr>
          <w:spacing w:val="-6"/>
          <w:w w:val="100"/>
        </w:rPr>
        <w:t>综合收益的公允价值变动累计额之和的差额部分，计入当期损益。部分转移满足终止确认条件的，</w:t>
      </w:r>
      <w:r>
        <w:rPr>
          <w:w w:val="100"/>
        </w:rPr>
        <w:t> </w:t>
      </w:r>
      <w:r>
        <w:rPr>
          <w:spacing w:val="-1"/>
        </w:rPr>
        <w:t>将所转移金融资产整体的账面价值，在终止确认部分和未终止确认部分之间，按照各自的相对公</w:t>
      </w:r>
      <w:r>
        <w:rPr>
          <w:spacing w:val="-55"/>
        </w:rPr>
        <w:t> </w:t>
      </w:r>
      <w:r>
        <w:rPr>
          <w:spacing w:val="-55"/>
        </w:rPr>
      </w:r>
      <w:r>
        <w:rPr/>
        <w:t>允价值进行分摊。</w:t>
      </w:r>
    </w:p>
    <w:p>
      <w:pPr>
        <w:pStyle w:val="BodyText"/>
        <w:spacing w:line="266" w:lineRule="auto" w:before="7"/>
        <w:ind w:left="658" w:right="0"/>
        <w:jc w:val="left"/>
      </w:pPr>
      <w:r>
        <w:rPr/>
        <w:t>金融负债的现时义务全部或部分已经解除的，则应终止确认该金融负债或其一部分。</w:t>
      </w:r>
      <w:r>
        <w:rPr>
          <w:w w:val="100"/>
        </w:rPr>
        <w:t> </w:t>
      </w:r>
      <w:r>
        <w:rPr>
          <w:rFonts w:ascii="Times New Roman" w:hAnsi="Times New Roman" w:cs="Times New Roman" w:eastAsia="Times New Roman" w:hint="default"/>
        </w:rPr>
        <w:t>5</w:t>
      </w:r>
      <w:r>
        <w:rPr/>
        <w:t>、金融资产减值</w:t>
      </w:r>
      <w:r>
        <w:rPr>
          <w:w w:val="100"/>
        </w:rPr>
        <w:t> </w:t>
      </w:r>
      <w:r>
        <w:rPr>
          <w:spacing w:val="-3"/>
        </w:rPr>
        <w:t>以摊余成本计量的金融资产发生减值时，按预计未来现金流量</w:t>
      </w:r>
      <w:r>
        <w:rPr>
          <w:rFonts w:ascii="Times New Roman" w:hAnsi="Times New Roman" w:cs="Times New Roman" w:eastAsia="Times New Roman" w:hint="default"/>
          <w:spacing w:val="-3"/>
        </w:rPr>
        <w:t>(</w:t>
      </w:r>
      <w:r>
        <w:rPr>
          <w:spacing w:val="-3"/>
        </w:rPr>
        <w:t>不包括尚未发生的未来信用损</w:t>
      </w:r>
    </w:p>
    <w:p>
      <w:pPr>
        <w:pStyle w:val="BodyText"/>
        <w:spacing w:line="256" w:lineRule="auto"/>
        <w:ind w:left="238" w:right="248"/>
        <w:jc w:val="both"/>
      </w:pPr>
      <w:r>
        <w:rPr>
          <w:spacing w:val="-3"/>
        </w:rPr>
        <w:t>失</w:t>
      </w:r>
      <w:r>
        <w:rPr>
          <w:rFonts w:ascii="Times New Roman" w:hAnsi="Times New Roman" w:cs="Times New Roman" w:eastAsia="Times New Roman" w:hint="default"/>
          <w:spacing w:val="-3"/>
        </w:rPr>
        <w:t>)</w:t>
      </w:r>
      <w:r>
        <w:rPr>
          <w:spacing w:val="-3"/>
        </w:rPr>
        <w:t>现值低于账面价值的差额，计提减值准备。如果有客观证据表明该金融资产价值已恢复，且客</w:t>
      </w:r>
      <w:r>
        <w:rPr>
          <w:spacing w:val="-43"/>
        </w:rPr>
        <w:t> </w:t>
      </w:r>
      <w:r>
        <w:rPr>
          <w:spacing w:val="-43"/>
        </w:rPr>
      </w:r>
      <w:r>
        <w:rPr/>
        <w:t>观上与确认该损失后发生的事项有关，原确认的减值损失予以转回，计入当期损益。</w:t>
      </w:r>
    </w:p>
    <w:p>
      <w:pPr>
        <w:pStyle w:val="BodyText"/>
        <w:spacing w:line="273" w:lineRule="auto" w:before="25"/>
        <w:ind w:left="238" w:right="248" w:firstLine="419"/>
        <w:jc w:val="both"/>
      </w:pPr>
      <w:r>
        <w:rPr>
          <w:spacing w:val="-2"/>
        </w:rPr>
        <w:t>以成本计量的金融资产包括在活跃市场中没有报价且其公允价值不能可靠计量的权益工具投</w:t>
      </w:r>
      <w:r>
        <w:rPr>
          <w:w w:val="100"/>
        </w:rPr>
        <w:t> </w:t>
      </w:r>
      <w:r>
        <w:rPr>
          <w:spacing w:val="-1"/>
        </w:rPr>
        <w:t>资，或与该权益工具挂钩并须通过交付该权益工具结算的衍生金融资产。以成本计量的金融资产</w:t>
      </w:r>
      <w:r>
        <w:rPr>
          <w:spacing w:val="-55"/>
        </w:rPr>
        <w:t> </w:t>
      </w:r>
      <w:r>
        <w:rPr>
          <w:spacing w:val="-55"/>
        </w:rPr>
      </w:r>
      <w:r>
        <w:rPr>
          <w:spacing w:val="-1"/>
        </w:rPr>
        <w:t>发生减值时，应当将该权益工具投资或衍生金融资产的账面价值与按照类似金融资产当时市场收</w:t>
      </w:r>
      <w:r>
        <w:rPr>
          <w:spacing w:val="-55"/>
        </w:rPr>
        <w:t> </w:t>
      </w:r>
      <w:r>
        <w:rPr>
          <w:spacing w:val="-55"/>
        </w:rPr>
      </w:r>
      <w:r>
        <w:rPr>
          <w:spacing w:val="-1"/>
        </w:rPr>
        <w:t>益率对未来现金流量折现确定的现值之间的差额，计提减值准备。发生的减值损失，一经确认，</w:t>
      </w:r>
      <w:r>
        <w:rPr>
          <w:spacing w:val="-55"/>
        </w:rPr>
        <w:t> </w:t>
      </w:r>
      <w:r>
        <w:rPr>
          <w:spacing w:val="-55"/>
        </w:rPr>
      </w:r>
      <w:r>
        <w:rPr/>
        <w:t>不再转回。</w:t>
      </w:r>
    </w:p>
    <w:p>
      <w:pPr>
        <w:pStyle w:val="BodyText"/>
        <w:spacing w:line="273" w:lineRule="auto" w:before="7"/>
        <w:ind w:left="238" w:right="248" w:firstLine="419"/>
        <w:jc w:val="right"/>
      </w:pPr>
      <w:r>
        <w:rPr>
          <w:spacing w:val="-2"/>
        </w:rPr>
        <w:t>当有客观证据表明可供出售金融资产发生减值时，原直接计入股东权益的因公允价值下降形</w:t>
      </w:r>
      <w:r>
        <w:rPr>
          <w:w w:val="100"/>
        </w:rPr>
        <w:t> </w:t>
      </w:r>
      <w:r>
        <w:rPr>
          <w:spacing w:val="-1"/>
        </w:rPr>
        <w:t>成的累计损失予以转出并计入减值损失。对已确认减值损失的可供出售债务工具投资，在期后公</w:t>
      </w:r>
      <w:r>
        <w:rPr>
          <w:spacing w:val="-70"/>
        </w:rPr>
        <w:t> </w:t>
      </w:r>
      <w:r>
        <w:rPr>
          <w:spacing w:val="-70"/>
        </w:rPr>
      </w:r>
      <w:r>
        <w:rPr>
          <w:spacing w:val="-1"/>
        </w:rPr>
        <w:t>允价值上升且客观上与确认原减值损失后发生的事项有关的，原确认的减值损失予以转回并计入</w:t>
      </w:r>
      <w:r>
        <w:rPr>
          <w:spacing w:val="-72"/>
        </w:rPr>
        <w:t> </w:t>
      </w:r>
      <w:r>
        <w:rPr>
          <w:spacing w:val="-72"/>
        </w:rPr>
      </w:r>
      <w:r>
        <w:rPr>
          <w:spacing w:val="-2"/>
        </w:rPr>
        <w:t>当期损益。对已确认减值损失的可供出售权益工具投资，期后公允价值上升直接计入股东权益。</w:t>
      </w:r>
      <w:r>
        <w:rPr>
          <w:spacing w:val="-52"/>
        </w:rPr>
        <w:t> </w:t>
      </w:r>
      <w:r>
        <w:rPr>
          <w:spacing w:val="-52"/>
        </w:rPr>
      </w:r>
      <w:r>
        <w:rPr/>
        <w:t>对于权益工具投资，本公司判断其公允价值发生</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下跌的具体量化标准、</w:t>
      </w:r>
    </w:p>
    <w:p>
      <w:pPr>
        <w:pStyle w:val="BodyText"/>
        <w:spacing w:line="266" w:lineRule="exact"/>
        <w:ind w:left="238" w:right="0"/>
        <w:jc w:val="both"/>
      </w:pPr>
      <w:r>
        <w:rPr/>
        <w:t>成本的计算方法、期末公允价值的确定方法，以及持续下跌期间的确定依据为：</w:t>
      </w:r>
    </w:p>
    <w:p>
      <w:pPr>
        <w:spacing w:line="240" w:lineRule="auto" w:before="6"/>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818"/>
        <w:gridCol w:w="6246"/>
      </w:tblGrid>
      <w:tr>
        <w:trPr>
          <w:trHeight w:val="567" w:hRule="exact"/>
        </w:trPr>
        <w:tc>
          <w:tcPr>
            <w:tcW w:w="2818" w:type="dxa"/>
            <w:tcBorders>
              <w:top w:val="single" w:sz="12"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公允价值发生</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严重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下跌的</w:t>
            </w:r>
          </w:p>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具体量化标准</w:t>
            </w:r>
          </w:p>
        </w:tc>
        <w:tc>
          <w:tcPr>
            <w:tcW w:w="62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期末公允价值相对于成本的下跌幅度已达到或超过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r>
      <w:tr>
        <w:trPr>
          <w:trHeight w:val="55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公允价值发生</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非暂时性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下</w:t>
            </w:r>
          </w:p>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跌的具体量化标准</w:t>
            </w:r>
          </w:p>
        </w:tc>
        <w:tc>
          <w:tcPr>
            <w:tcW w:w="6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连续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个月出现下跌。</w:t>
            </w:r>
          </w:p>
        </w:tc>
      </w:tr>
      <w:tr>
        <w:trPr>
          <w:trHeight w:val="55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成本的计算方法</w:t>
            </w:r>
          </w:p>
        </w:tc>
        <w:tc>
          <w:tcPr>
            <w:tcW w:w="624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取得时按支付对价（扣除已宣告但尚未发放的现金股利或已到付息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期但尚未领取的债券利息）和相关交易费用之和作为投资成本。</w:t>
            </w:r>
          </w:p>
        </w:tc>
      </w:tr>
      <w:tr>
        <w:trPr>
          <w:trHeight w:val="554"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期末公允价值的确定方法</w:t>
            </w:r>
          </w:p>
        </w:tc>
        <w:tc>
          <w:tcPr>
            <w:tcW w:w="624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存在活跃市场的金融工具，以活跃市场中的报价确定其公允价值；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如不存在活跃市场的金融工具，采用估值技术确定其公允价值。</w:t>
            </w:r>
          </w:p>
        </w:tc>
      </w:tr>
      <w:tr>
        <w:trPr>
          <w:trHeight w:val="566" w:hRule="exact"/>
        </w:trPr>
        <w:tc>
          <w:tcPr>
            <w:tcW w:w="28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持续下跌期间的确定依据</w:t>
            </w:r>
          </w:p>
        </w:tc>
        <w:tc>
          <w:tcPr>
            <w:tcW w:w="6246" w:type="dxa"/>
            <w:tcBorders>
              <w:top w:val="single" w:sz="4" w:space="0" w:color="000000"/>
              <w:left w:val="single" w:sz="4" w:space="0" w:color="000000"/>
              <w:bottom w:val="single" w:sz="12" w:space="0" w:color="000000"/>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连续下跌或在下跌趋势持续期间反弹上扬幅度低于</w:t>
            </w:r>
            <w:r>
              <w:rPr>
                <w:rFonts w:ascii="宋体" w:hAnsi="宋体" w:cs="宋体" w:eastAsia="宋体" w:hint="default"/>
                <w:spacing w:val="-47"/>
                <w:sz w:val="21"/>
                <w:szCs w:val="21"/>
              </w:rPr>
              <w:t> </w:t>
            </w:r>
            <w:r>
              <w:rPr>
                <w:rFonts w:ascii="Times New Roman" w:hAnsi="Times New Roman" w:cs="Times New Roman" w:eastAsia="Times New Roman" w:hint="default"/>
                <w:spacing w:val="-11"/>
                <w:sz w:val="21"/>
                <w:szCs w:val="21"/>
              </w:rPr>
              <w:t>20%</w:t>
            </w:r>
            <w:r>
              <w:rPr>
                <w:rFonts w:ascii="宋体" w:hAnsi="宋体" w:cs="宋体" w:eastAsia="宋体" w:hint="default"/>
                <w:spacing w:val="-11"/>
                <w:sz w:val="21"/>
                <w:szCs w:val="21"/>
              </w:rPr>
              <w:t>，反弹持续</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时间未超过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个月的均作为持续下跌期间。</w:t>
            </w:r>
          </w:p>
        </w:tc>
      </w:tr>
    </w:tbl>
    <w:p>
      <w:pPr>
        <w:spacing w:line="240" w:lineRule="auto" w:before="7"/>
        <w:rPr>
          <w:rFonts w:ascii="宋体" w:hAnsi="宋体" w:cs="宋体" w:eastAsia="宋体" w:hint="default"/>
          <w:sz w:val="17"/>
          <w:szCs w:val="17"/>
        </w:rPr>
      </w:pPr>
    </w:p>
    <w:p>
      <w:pPr>
        <w:pStyle w:val="Heading2"/>
        <w:spacing w:line="292" w:lineRule="auto"/>
        <w:ind w:left="238" w:right="442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0"/>
        <w:ind w:left="238" w:right="0"/>
        <w:jc w:val="left"/>
      </w:pPr>
      <w:r>
        <w:rPr/>
        <w:t>√适用</w:t>
      </w:r>
      <w:r>
        <w:rPr>
          <w:rFonts w:ascii="Times New Roman" w:hAnsi="Times New Roman" w:cs="Times New Roman" w:eastAsia="Times New Roman" w:hint="default"/>
        </w:rPr>
        <w:t>□</w:t>
      </w:r>
      <w:r>
        <w:rPr/>
        <w:t>不适用</w:t>
      </w:r>
    </w:p>
    <w:tbl>
      <w:tblPr>
        <w:tblW w:w="0" w:type="auto"/>
        <w:jc w:val="left"/>
        <w:tblInd w:w="125" w:type="dxa"/>
        <w:tblLayout w:type="fixed"/>
        <w:tblCellMar>
          <w:top w:w="0" w:type="dxa"/>
          <w:left w:w="0" w:type="dxa"/>
          <w:bottom w:w="0" w:type="dxa"/>
          <w:right w:w="0" w:type="dxa"/>
        </w:tblCellMar>
        <w:tblLook w:val="01E0"/>
      </w:tblPr>
      <w:tblGrid>
        <w:gridCol w:w="3795"/>
        <w:gridCol w:w="5029"/>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应收款项账面余额在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万以上的款项</w:t>
            </w:r>
          </w:p>
        </w:tc>
      </w:tr>
      <w:tr>
        <w:trPr>
          <w:trHeight w:val="82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提方法</w:t>
            </w:r>
          </w:p>
        </w:tc>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根据其账面价值与预计未来现金流量现值之间差额</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确认坏账准备金额，对单项金额重大单独测试未发生</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减值的应收款项，纳入账龄分析组合计提坏账准备</w:t>
            </w:r>
          </w:p>
        </w:tc>
      </w:tr>
    </w:tbl>
    <w:p>
      <w:pPr>
        <w:spacing w:line="240" w:lineRule="auto" w:before="0"/>
        <w:rPr>
          <w:rFonts w:ascii="宋体" w:hAnsi="宋体" w:cs="宋体" w:eastAsia="宋体" w:hint="default"/>
          <w:sz w:val="19"/>
          <w:szCs w:val="19"/>
        </w:rPr>
      </w:pPr>
    </w:p>
    <w:p>
      <w:pPr>
        <w:pStyle w:val="Heading2"/>
        <w:spacing w:line="240" w:lineRule="auto"/>
        <w:ind w:left="238" w:right="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38" w:right="0"/>
        <w:jc w:val="left"/>
      </w:pPr>
      <w:r>
        <w:rPr/>
        <w:t>√适用</w:t>
      </w:r>
      <w:r>
        <w:rPr>
          <w:rFonts w:ascii="Times New Roman" w:hAnsi="Times New Roman" w:cs="Times New Roman" w:eastAsia="Times New Roman" w:hint="default"/>
        </w:rPr>
        <w:t>□</w:t>
      </w:r>
      <w:r>
        <w:rPr/>
        <w:t>不适用</w:t>
      </w:r>
    </w:p>
    <w:tbl>
      <w:tblPr>
        <w:tblW w:w="0" w:type="auto"/>
        <w:jc w:val="left"/>
        <w:tblInd w:w="125" w:type="dxa"/>
        <w:tblLayout w:type="fixed"/>
        <w:tblCellMar>
          <w:top w:w="0" w:type="dxa"/>
          <w:left w:w="0" w:type="dxa"/>
          <w:bottom w:w="0" w:type="dxa"/>
          <w:right w:w="0" w:type="dxa"/>
        </w:tblCellMar>
        <w:tblLook w:val="01E0"/>
      </w:tblPr>
      <w:tblGrid>
        <w:gridCol w:w="3795"/>
        <w:gridCol w:w="5029"/>
      </w:tblGrid>
      <w:tr>
        <w:trPr>
          <w:trHeight w:val="281"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：账龄分析组合</w:t>
            </w:r>
          </w:p>
        </w:tc>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以账龄为信用风险特征划分组合</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：军工装备产品客户组合</w:t>
            </w:r>
          </w:p>
        </w:tc>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以是否为军工装备产品客户的应收款项划分组合</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：关联方组合</w:t>
            </w:r>
          </w:p>
        </w:tc>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以是否为纳入合并范围内公司的应收款项划分组合</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c>
          <w:tcPr>
            <w:tcW w:w="50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5029"/>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：账龄分析组合</w:t>
            </w:r>
          </w:p>
        </w:tc>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账龄分析法计提坏账准备</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：军工装备产品客户组合</w:t>
            </w:r>
          </w:p>
        </w:tc>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：关联方组合</w:t>
            </w:r>
          </w:p>
        </w:tc>
        <w:tc>
          <w:tcPr>
            <w:tcW w:w="5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252" w:hRule="exact"/>
        </w:trPr>
        <w:tc>
          <w:tcPr>
            <w:tcW w:w="3795" w:type="dxa"/>
            <w:tcBorders>
              <w:top w:val="single" w:sz="4" w:space="0" w:color="000000"/>
              <w:left w:val="single" w:sz="4" w:space="0" w:color="000000"/>
              <w:bottom w:val="single" w:sz="4" w:space="0" w:color="000000"/>
              <w:right w:val="single" w:sz="4" w:space="0" w:color="000000"/>
            </w:tcBorders>
          </w:tcPr>
          <w:p>
            <w:pPr/>
          </w:p>
        </w:tc>
        <w:tc>
          <w:tcPr>
            <w:tcW w:w="50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left="218" w:right="331"/>
        <w:jc w:val="left"/>
      </w:pPr>
      <w:r>
        <w:rPr/>
        <w:t>组合中，采用账龄分析法计提坏账准备的</w:t>
      </w:r>
    </w:p>
    <w:p>
      <w:pPr>
        <w:pStyle w:val="BodyText"/>
        <w:spacing w:line="289" w:lineRule="exact"/>
        <w:ind w:left="218" w:right="331"/>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044"/>
        <w:gridCol w:w="2890"/>
        <w:gridCol w:w="2890"/>
      </w:tblGrid>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年以内分项，可添加行</w:t>
            </w:r>
          </w:p>
        </w:tc>
      </w:tr>
      <w:tr>
        <w:trPr>
          <w:trHeight w:val="28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4"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80</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sz w:val="14"/>
          <w:szCs w:val="14"/>
        </w:rPr>
      </w:pPr>
    </w:p>
    <w:p>
      <w:pPr>
        <w:pStyle w:val="BodyText"/>
        <w:spacing w:line="274" w:lineRule="exact" w:before="36"/>
        <w:ind w:left="218" w:right="331"/>
        <w:jc w:val="left"/>
      </w:pPr>
      <w:r>
        <w:rPr/>
        <w:t>组合中，采用余额百分比法计提坏账准备的</w:t>
      </w:r>
    </w:p>
    <w:p>
      <w:pPr>
        <w:pStyle w:val="BodyText"/>
        <w:spacing w:line="290" w:lineRule="exact"/>
        <w:ind w:left="218" w:right="331"/>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8" w:right="331"/>
        <w:jc w:val="left"/>
      </w:pPr>
      <w:r>
        <w:rPr/>
        <w:t>组合中，采用其他方法计提坏账准备的</w:t>
      </w:r>
    </w:p>
    <w:p>
      <w:pPr>
        <w:pStyle w:val="BodyText"/>
        <w:spacing w:line="289" w:lineRule="exact"/>
        <w:ind w:left="218" w:right="331"/>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017"/>
        <w:gridCol w:w="2931"/>
        <w:gridCol w:w="2876"/>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军工装备产品客户</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1"/>
        <w:rPr>
          <w:rFonts w:ascii="宋体" w:hAnsi="宋体" w:cs="宋体" w:eastAsia="宋体" w:hint="default"/>
          <w:sz w:val="19"/>
          <w:szCs w:val="19"/>
        </w:rPr>
      </w:pPr>
    </w:p>
    <w:tbl>
      <w:tblPr>
        <w:tblW w:w="0" w:type="auto"/>
        <w:jc w:val="left"/>
        <w:tblInd w:w="165" w:type="dxa"/>
        <w:tblLayout w:type="fixed"/>
        <w:tblCellMar>
          <w:top w:w="0" w:type="dxa"/>
          <w:left w:w="0" w:type="dxa"/>
          <w:bottom w:w="0" w:type="dxa"/>
          <w:right w:w="0" w:type="dxa"/>
        </w:tblCellMar>
        <w:tblLook w:val="01E0"/>
      </w:tblPr>
      <w:tblGrid>
        <w:gridCol w:w="1740"/>
        <w:gridCol w:w="7156"/>
      </w:tblGrid>
      <w:tr>
        <w:trPr>
          <w:trHeight w:val="362" w:hRule="exact"/>
        </w:trPr>
        <w:tc>
          <w:tcPr>
            <w:tcW w:w="174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90" w:hRule="exact"/>
        </w:trPr>
        <w:tc>
          <w:tcPr>
            <w:tcW w:w="174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7"/>
              <w:ind w:right="45"/>
              <w:jc w:val="center"/>
              <w:rPr>
                <w:rFonts w:ascii="宋体" w:hAnsi="宋体" w:cs="宋体" w:eastAsia="宋体" w:hint="default"/>
                <w:sz w:val="18"/>
                <w:szCs w:val="18"/>
              </w:rPr>
            </w:pPr>
            <w:r>
              <w:rPr>
                <w:rFonts w:ascii="宋体" w:hAnsi="宋体" w:cs="宋体" w:eastAsia="宋体" w:hint="default"/>
                <w:sz w:val="18"/>
                <w:szCs w:val="18"/>
              </w:rPr>
              <w:t>军工装备产品客户</w:t>
            </w:r>
          </w:p>
        </w:tc>
        <w:tc>
          <w:tcPr>
            <w:tcW w:w="7156"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在正常情况下，本公司的军工装备产品营业收入不存在现金流量不能按期收回的风险，故</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对军工装备产品业务应收账款除有证据表明存在不能收回风险的以外，不计提坏账准备</w:t>
            </w:r>
          </w:p>
        </w:tc>
      </w:tr>
    </w:tbl>
    <w:p>
      <w:pPr>
        <w:spacing w:line="240" w:lineRule="auto" w:before="10"/>
        <w:rPr>
          <w:rFonts w:ascii="宋体" w:hAnsi="宋体" w:cs="宋体" w:eastAsia="宋体" w:hint="default"/>
          <w:sz w:val="17"/>
          <w:szCs w:val="17"/>
        </w:rPr>
      </w:pPr>
    </w:p>
    <w:p>
      <w:pPr>
        <w:pStyle w:val="Heading2"/>
        <w:spacing w:line="240" w:lineRule="auto"/>
        <w:ind w:left="218" w:right="331"/>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left="218" w:right="331"/>
        <w:jc w:val="left"/>
      </w:pP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660"/>
        <w:gridCol w:w="6164"/>
      </w:tblGrid>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应收款项的未来现金流量现值与以账龄为信用风险特征的应收款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项组合的未来现金流量现值存在显著差异</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差额计提坏账准备</w:t>
            </w:r>
          </w:p>
        </w:tc>
      </w:tr>
    </w:tbl>
    <w:p>
      <w:pPr>
        <w:spacing w:line="240" w:lineRule="auto" w:before="12"/>
        <w:rPr>
          <w:rFonts w:ascii="宋体" w:hAnsi="宋体" w:cs="宋体" w:eastAsia="宋体" w:hint="default"/>
          <w:sz w:val="18"/>
          <w:szCs w:val="18"/>
        </w:rPr>
      </w:pPr>
    </w:p>
    <w:p>
      <w:pPr>
        <w:pStyle w:val="Heading2"/>
        <w:spacing w:line="240" w:lineRule="auto"/>
        <w:ind w:left="218" w:right="331"/>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3" w:lineRule="exact" w:before="58"/>
        <w:ind w:left="218" w:right="331"/>
        <w:jc w:val="left"/>
      </w:pPr>
      <w:r>
        <w:rPr/>
        <w:t>√适用□不适用</w:t>
      </w:r>
    </w:p>
    <w:p>
      <w:pPr>
        <w:pStyle w:val="BodyText"/>
        <w:spacing w:line="232" w:lineRule="auto" w:before="5"/>
        <w:ind w:left="218" w:right="0"/>
        <w:jc w:val="left"/>
      </w:pPr>
      <w:r>
        <w:rPr>
          <w:rFonts w:ascii="Times New Roman" w:hAnsi="Times New Roman" w:cs="Times New Roman" w:eastAsia="Times New Roman" w:hint="default"/>
        </w:rPr>
        <w:t>1</w:t>
      </w:r>
      <w:r>
        <w:rPr/>
        <w:t>、存货的分类</w:t>
      </w:r>
      <w:r>
        <w:rPr>
          <w:w w:val="100"/>
        </w:rPr>
        <w:t> </w:t>
      </w:r>
      <w:r>
        <w:rPr>
          <w:spacing w:val="-1"/>
        </w:rPr>
        <w:t>存货是指本公司在日常活动中持有以备出售的产成品或商品、处在生产过程中的在产品、在生产</w:t>
      </w:r>
      <w:r>
        <w:rPr>
          <w:spacing w:val="-55"/>
        </w:rPr>
        <w:t> </w:t>
      </w:r>
      <w:r>
        <w:rPr>
          <w:spacing w:val="-55"/>
        </w:rPr>
      </w:r>
      <w:r>
        <w:rPr>
          <w:spacing w:val="-6"/>
        </w:rPr>
        <w:t>过程或提供劳务过程中耗用的材料和物料等。主要包括原材料、周转材料、包装物、低值易耗品、</w:t>
      </w:r>
      <w:r>
        <w:rPr>
          <w:spacing w:val="-52"/>
        </w:rPr>
        <w:t> </w:t>
      </w:r>
      <w:r>
        <w:rPr>
          <w:spacing w:val="-52"/>
        </w:rPr>
      </w:r>
      <w:r>
        <w:rPr>
          <w:spacing w:val="-7"/>
          <w:w w:val="100"/>
        </w:rPr>
        <w:t>在产品、产成品（库存商品）、工程施工等。</w:t>
      </w:r>
    </w:p>
    <w:p>
      <w:pPr>
        <w:pStyle w:val="BodyText"/>
        <w:spacing w:line="232" w:lineRule="auto" w:before="7"/>
        <w:ind w:left="218" w:right="0"/>
        <w:jc w:val="left"/>
      </w:pPr>
      <w:r>
        <w:rPr>
          <w:rFonts w:ascii="Times New Roman" w:hAnsi="Times New Roman" w:cs="Times New Roman" w:eastAsia="Times New Roman" w:hint="default"/>
        </w:rPr>
        <w:t>2</w:t>
      </w:r>
      <w:r>
        <w:rPr/>
        <w:t>、发出存货的计价方法</w:t>
      </w:r>
      <w:r>
        <w:rPr>
          <w:w w:val="100"/>
        </w:rPr>
        <w:t> </w:t>
      </w:r>
      <w:r>
        <w:rPr/>
        <w:t>存货取得时按实际成本计量。存货发出时，采取加权平均法确定其发出的实际成本。</w:t>
      </w:r>
      <w:r>
        <w:rPr>
          <w:w w:val="100"/>
        </w:rPr>
        <w:t> </w:t>
      </w:r>
      <w:r>
        <w:rPr>
          <w:rFonts w:ascii="Times New Roman" w:hAnsi="Times New Roman" w:cs="Times New Roman" w:eastAsia="Times New Roman" w:hint="default"/>
        </w:rPr>
        <w:t>3</w:t>
      </w:r>
      <w:r>
        <w:rPr/>
        <w:t>、存货跌价准备的计提方法</w:t>
      </w:r>
      <w:r>
        <w:rPr>
          <w:w w:val="100"/>
        </w:rPr>
        <w:t> </w:t>
      </w:r>
      <w:r>
        <w:rPr>
          <w:spacing w:val="-1"/>
        </w:rPr>
        <w:t>资产负债表日，存货按照成本与可变现净值孰低计量，并按单个存货项目计提存货跌价准备，但</w:t>
      </w:r>
      <w:r>
        <w:rPr>
          <w:spacing w:val="-55"/>
        </w:rPr>
        <w:t> </w:t>
      </w:r>
      <w:r>
        <w:rPr>
          <w:spacing w:val="-55"/>
        </w:rPr>
      </w:r>
      <w:r>
        <w:rPr/>
        <w:t>对于数量繁多、单价较低的存货，按照存货类别计提存货跌价准备。</w:t>
      </w:r>
      <w:r>
        <w:rPr>
          <w:w w:val="100"/>
        </w:rPr>
        <w:t> </w:t>
      </w:r>
      <w:r>
        <w:rPr>
          <w:spacing w:val="-1"/>
        </w:rPr>
        <w:t>存货可变现净值的确定依据：①产成品可变现净值为估计售价减去估计的销售费用和相关税费后</w:t>
      </w:r>
      <w:r>
        <w:rPr>
          <w:spacing w:val="-55"/>
        </w:rPr>
        <w:t> </w:t>
      </w:r>
      <w:r>
        <w:rPr>
          <w:spacing w:val="-55"/>
        </w:rPr>
      </w:r>
      <w:r>
        <w:rPr>
          <w:spacing w:val="-1"/>
        </w:rPr>
        <w:t>金额；②为生产而持有的材料等，当用其生产的产成品的可变现净值高于成本时按照成本计量；</w:t>
      </w:r>
    </w:p>
    <w:p>
      <w:pPr>
        <w:spacing w:after="0" w:line="232" w:lineRule="auto"/>
        <w:jc w:val="left"/>
        <w:sectPr>
          <w:pgSz w:w="11910" w:h="16840"/>
          <w:pgMar w:header="882" w:footer="1195" w:top="1120" w:bottom="1380" w:left="1580" w:right="1120"/>
        </w:sectPr>
      </w:pPr>
    </w:p>
    <w:p>
      <w:pPr>
        <w:spacing w:line="240" w:lineRule="auto" w:before="1"/>
        <w:rPr>
          <w:rFonts w:ascii="宋体" w:hAnsi="宋体" w:cs="宋体" w:eastAsia="宋体" w:hint="default"/>
          <w:sz w:val="25"/>
          <w:szCs w:val="25"/>
        </w:rPr>
      </w:pPr>
    </w:p>
    <w:p>
      <w:pPr>
        <w:pStyle w:val="BodyText"/>
        <w:spacing w:line="237" w:lineRule="auto" w:before="38"/>
        <w:ind w:right="128"/>
        <w:jc w:val="both"/>
      </w:pPr>
      <w:r>
        <w:rPr>
          <w:spacing w:val="-1"/>
        </w:rPr>
        <w:t>当材料价格下降表明产成品的可变现净值低于成本时，可变现净值为估计售价减去至完工时估计</w:t>
      </w:r>
      <w:r>
        <w:rPr>
          <w:spacing w:val="-55"/>
        </w:rPr>
        <w:t> </w:t>
      </w:r>
      <w:r>
        <w:rPr>
          <w:spacing w:val="-55"/>
        </w:rPr>
      </w:r>
      <w:r>
        <w:rPr>
          <w:spacing w:val="-1"/>
        </w:rPr>
        <w:t>将要发生的成本、估计的销售费用以及相关税费后的金额确定。③持有待售的材料等，可变现净</w:t>
      </w:r>
      <w:r>
        <w:rPr>
          <w:spacing w:val="-55"/>
        </w:rPr>
        <w:t> </w:t>
      </w:r>
      <w:r>
        <w:rPr>
          <w:spacing w:val="-55"/>
        </w:rPr>
      </w:r>
      <w:r>
        <w:rPr/>
        <w:t>值为市场售价。</w:t>
      </w:r>
    </w:p>
    <w:p>
      <w:pPr>
        <w:pStyle w:val="BodyText"/>
        <w:spacing w:line="228" w:lineRule="auto" w:before="11"/>
        <w:ind w:right="3891"/>
        <w:jc w:val="left"/>
      </w:pPr>
      <w:r>
        <w:rPr>
          <w:rFonts w:ascii="Times New Roman" w:hAnsi="Times New Roman" w:cs="Times New Roman" w:eastAsia="Times New Roman" w:hint="default"/>
        </w:rPr>
        <w:t>4</w:t>
      </w:r>
      <w:r>
        <w:rPr/>
        <w:t>、存货的盘存制度</w:t>
      </w:r>
      <w:r>
        <w:rPr>
          <w:w w:val="100"/>
        </w:rPr>
        <w:t> </w:t>
      </w:r>
      <w:r>
        <w:rPr/>
        <w:t>本公司的存货盘存制度为永续盘存制。</w:t>
      </w:r>
      <w:r>
        <w:rPr>
          <w:w w:val="100"/>
        </w:rPr>
        <w:t> </w:t>
      </w:r>
      <w:r>
        <w:rPr>
          <w:rFonts w:ascii="Times New Roman" w:hAnsi="Times New Roman" w:cs="Times New Roman" w:eastAsia="Times New Roman" w:hint="default"/>
        </w:rPr>
        <w:t>5</w:t>
      </w:r>
      <w:r>
        <w:rPr/>
        <w:t>、低值易耗品和包装物的摊销方法</w:t>
      </w:r>
      <w:r>
        <w:rPr>
          <w:w w:val="100"/>
        </w:rPr>
        <w:t> </w:t>
      </w:r>
      <w:r>
        <w:rPr>
          <w:spacing w:val="-2"/>
        </w:rPr>
        <w:t>低值易耗品和包装物采用一次转销法摊销。</w:t>
      </w:r>
    </w:p>
    <w:p>
      <w:pPr>
        <w:spacing w:line="240" w:lineRule="auto" w:before="12"/>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spacing w:line="237" w:lineRule="auto" w:before="61"/>
        <w:ind w:right="0"/>
        <w:jc w:val="left"/>
      </w:pPr>
      <w:r>
        <w:rPr/>
        <w:t>√适用□不适用</w:t>
      </w:r>
      <w:r>
        <w:rPr>
          <w:spacing w:val="-103"/>
        </w:rPr>
        <w:t> </w:t>
      </w:r>
      <w:r>
        <w:rPr>
          <w:spacing w:val="-103"/>
        </w:rPr>
      </w:r>
      <w:r>
        <w:rPr>
          <w:spacing w:val="-1"/>
        </w:rPr>
        <w:t>本公司将同时满足下列条件的非流动资产应当划分为持有待售：一是企业已经就处置该非流动资</w:t>
      </w:r>
      <w:r>
        <w:rPr>
          <w:spacing w:val="-55"/>
        </w:rPr>
        <w:t> </w:t>
      </w:r>
      <w:r>
        <w:rPr>
          <w:spacing w:val="-55"/>
        </w:rPr>
      </w:r>
      <w:r>
        <w:rPr>
          <w:spacing w:val="-7"/>
          <w:w w:val="100"/>
        </w:rPr>
        <w:t>产作出决议；二是企业已经与受让方签订了不可撤销的转让协议；三是该项转让将在一年内完成。</w:t>
      </w:r>
    </w:p>
    <w:p>
      <w:pPr>
        <w:spacing w:line="240" w:lineRule="auto" w:before="12"/>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spacing w:line="274" w:lineRule="exact" w:before="56"/>
        <w:ind w:right="0"/>
        <w:jc w:val="left"/>
      </w:pPr>
      <w:r>
        <w:rPr/>
        <w:t>√适用□不适用</w:t>
      </w:r>
    </w:p>
    <w:p>
      <w:pPr>
        <w:pStyle w:val="BodyText"/>
        <w:spacing w:line="232" w:lineRule="auto" w:before="6"/>
        <w:ind w:right="0"/>
        <w:jc w:val="left"/>
      </w:pPr>
      <w:r>
        <w:rPr>
          <w:rFonts w:ascii="Times New Roman" w:hAnsi="Times New Roman" w:cs="Times New Roman" w:eastAsia="Times New Roman" w:hint="default"/>
        </w:rPr>
        <w:t>1</w:t>
      </w:r>
      <w:r>
        <w:rPr/>
        <w:t>、初始投资成本确定</w:t>
      </w:r>
      <w:r>
        <w:rPr>
          <w:w w:val="100"/>
        </w:rPr>
        <w:t> </w:t>
      </w:r>
      <w:r>
        <w:rPr>
          <w:spacing w:val="-1"/>
        </w:rPr>
        <w:t>对于企业合并取得的长期股权投资，如为同一控制下的企业合并，应当按照取得被合并方所有者</w:t>
      </w:r>
      <w:r>
        <w:rPr>
          <w:spacing w:val="-55"/>
        </w:rPr>
        <w:t> </w:t>
      </w:r>
      <w:r>
        <w:rPr>
          <w:spacing w:val="-55"/>
        </w:rPr>
      </w:r>
      <w:r>
        <w:rPr>
          <w:spacing w:val="-1"/>
        </w:rPr>
        <w:t>权益账面价值的份额确认为初始成本；非同一控制下的企业合并，应当按购买日确定的合并成本</w:t>
      </w:r>
      <w:r>
        <w:rPr>
          <w:spacing w:val="-55"/>
        </w:rPr>
        <w:t> </w:t>
      </w:r>
      <w:r>
        <w:rPr>
          <w:spacing w:val="-55"/>
        </w:rPr>
      </w:r>
      <w:r>
        <w:rPr>
          <w:spacing w:val="-1"/>
        </w:rPr>
        <w:t>确认为初始成本；以支付现金取得的长期股权投资，初始投资成本为实际支付的购买价款；以发</w:t>
      </w:r>
      <w:r>
        <w:rPr>
          <w:spacing w:val="-55"/>
        </w:rPr>
        <w:t> </w:t>
      </w:r>
      <w:r>
        <w:rPr>
          <w:spacing w:val="-55"/>
        </w:rPr>
      </w:r>
      <w:r>
        <w:rPr>
          <w:spacing w:val="-1"/>
        </w:rPr>
        <w:t>行权益性证券取得的长期股权投资，初始投资成本为发行权益性证券的公允价值；通过债务重组</w:t>
      </w:r>
      <w:r>
        <w:rPr>
          <w:spacing w:val="-55"/>
        </w:rPr>
        <w:t> </w:t>
      </w:r>
      <w:r>
        <w:rPr>
          <w:spacing w:val="-55"/>
        </w:rPr>
      </w:r>
      <w:r>
        <w:rPr>
          <w:spacing w:val="-4"/>
        </w:rPr>
        <w:t>取得的长期股权投资，其初始投资成本应当按照《企业会计准则第 </w:t>
      </w:r>
      <w:r>
        <w:rPr>
          <w:rFonts w:ascii="Times New Roman" w:hAnsi="Times New Roman" w:cs="Times New Roman" w:eastAsia="Times New Roman" w:hint="default"/>
        </w:rPr>
        <w:t>12 </w:t>
      </w:r>
      <w:r>
        <w:rPr>
          <w:spacing w:val="-4"/>
        </w:rPr>
        <w:t>号</w:t>
      </w:r>
      <w:r>
        <w:rPr>
          <w:rFonts w:ascii="Times New Roman" w:hAnsi="Times New Roman" w:cs="Times New Roman" w:eastAsia="Times New Roman" w:hint="default"/>
          <w:spacing w:val="-4"/>
        </w:rPr>
        <w:t>—</w:t>
      </w:r>
      <w:r>
        <w:rPr>
          <w:spacing w:val="-4"/>
        </w:rPr>
        <w:t>债务重组》的有关规定</w:t>
      </w:r>
      <w:r>
        <w:rPr>
          <w:spacing w:val="-93"/>
        </w:rPr>
        <w:t> </w:t>
      </w:r>
      <w:r>
        <w:rPr>
          <w:spacing w:val="-93"/>
        </w:rPr>
      </w:r>
      <w:r>
        <w:rPr/>
        <w:t>确定；非货币性资产交换取得的长期股权投资，初始投资成本根据准则相关规定确定。</w:t>
      </w:r>
      <w:r>
        <w:rPr>
          <w:w w:val="100"/>
        </w:rPr>
        <w:t> </w:t>
      </w:r>
      <w:r>
        <w:rPr>
          <w:rFonts w:ascii="Times New Roman" w:hAnsi="Times New Roman" w:cs="Times New Roman" w:eastAsia="Times New Roman" w:hint="default"/>
        </w:rPr>
        <w:t>2</w:t>
      </w:r>
      <w:r>
        <w:rPr/>
        <w:t>、后续计量及损益确认方法</w:t>
      </w:r>
      <w:r>
        <w:rPr>
          <w:w w:val="100"/>
        </w:rPr>
        <w:t> </w:t>
      </w:r>
      <w:r>
        <w:rPr>
          <w:spacing w:val="-1"/>
        </w:rPr>
        <w:t>投资方能够对被投资单位实施控制的长期股权投资应当采用成本法核算，对联营企业和合营企业</w:t>
      </w:r>
      <w:r>
        <w:rPr>
          <w:spacing w:val="-55"/>
        </w:rPr>
        <w:t> </w:t>
      </w:r>
      <w:r>
        <w:rPr>
          <w:spacing w:val="-55"/>
        </w:rPr>
      </w:r>
      <w:r>
        <w:rPr>
          <w:spacing w:val="-1"/>
        </w:rPr>
        <w:t>的长期股权投资采用权益法核算。投资方对联营企业的权益性投资，其中一部分通过风险投资机</w:t>
      </w:r>
      <w:r>
        <w:rPr>
          <w:spacing w:val="-55"/>
        </w:rPr>
        <w:t> </w:t>
      </w:r>
      <w:r>
        <w:rPr>
          <w:spacing w:val="-55"/>
        </w:rPr>
      </w:r>
      <w:r>
        <w:rPr>
          <w:spacing w:val="-1"/>
        </w:rPr>
        <w:t>构、共同基金、信托公司或包括投连险基金在内的类似主体间接持有的，无论以上主体是否对这</w:t>
      </w:r>
      <w:r>
        <w:rPr>
          <w:spacing w:val="-55"/>
        </w:rPr>
        <w:t> </w:t>
      </w:r>
      <w:r>
        <w:rPr>
          <w:spacing w:val="-55"/>
        </w:rPr>
      </w:r>
      <w:r>
        <w:rPr>
          <w:spacing w:val="-4"/>
        </w:rPr>
        <w:t>部分投资具有重大影响，投资方都应当按照《企业会计准则第 </w:t>
      </w:r>
      <w:r>
        <w:rPr>
          <w:rFonts w:ascii="Times New Roman" w:hAnsi="Times New Roman" w:cs="Times New Roman" w:eastAsia="Times New Roman" w:hint="default"/>
        </w:rPr>
        <w:t>22 </w:t>
      </w:r>
      <w:r>
        <w:rPr>
          <w:spacing w:val="-4"/>
        </w:rPr>
        <w:t>号</w:t>
      </w:r>
      <w:r>
        <w:rPr>
          <w:rFonts w:ascii="Times New Roman" w:hAnsi="Times New Roman" w:cs="Times New Roman" w:eastAsia="Times New Roman" w:hint="default"/>
          <w:spacing w:val="-4"/>
        </w:rPr>
        <w:t>——</w:t>
      </w:r>
      <w:r>
        <w:rPr>
          <w:spacing w:val="-4"/>
        </w:rPr>
        <w:t>金融工具确认和计量》的</w:t>
      </w:r>
      <w:r>
        <w:rPr>
          <w:spacing w:val="-92"/>
        </w:rPr>
        <w:t> </w:t>
      </w:r>
      <w:r>
        <w:rPr>
          <w:spacing w:val="-92"/>
        </w:rPr>
      </w:r>
      <w:r>
        <w:rPr>
          <w:spacing w:val="-1"/>
        </w:rPr>
        <w:t>有关规定，对间接持有的该部分投资选择以公允价值计量且其变动计入损益，并对其余部分采用</w:t>
      </w:r>
      <w:r>
        <w:rPr>
          <w:spacing w:val="-55"/>
        </w:rPr>
        <w:t> </w:t>
      </w:r>
      <w:r>
        <w:rPr>
          <w:spacing w:val="-55"/>
        </w:rPr>
      </w:r>
      <w:r>
        <w:rPr/>
        <w:t>权益法核算。</w:t>
      </w:r>
    </w:p>
    <w:p>
      <w:pPr>
        <w:pStyle w:val="BodyText"/>
        <w:spacing w:line="232" w:lineRule="auto" w:before="7"/>
        <w:ind w:right="121"/>
        <w:jc w:val="left"/>
      </w:pPr>
      <w:r>
        <w:rPr>
          <w:rFonts w:ascii="Times New Roman" w:hAnsi="Times New Roman" w:cs="Times New Roman" w:eastAsia="Times New Roman" w:hint="default"/>
        </w:rPr>
        <w:t>3</w:t>
      </w:r>
      <w:r>
        <w:rPr/>
        <w:t>、确定对被投资单位具有共同控制、重大影响的依据</w:t>
      </w:r>
      <w:r>
        <w:rPr>
          <w:w w:val="100"/>
        </w:rPr>
        <w:t> </w:t>
      </w:r>
      <w:r>
        <w:rPr>
          <w:spacing w:val="-1"/>
        </w:rPr>
        <w:t>对被投资单位具有共同控制，是指对某项安排的回报产生重大影响的活动必须经过分享控制权的</w:t>
      </w:r>
      <w:r>
        <w:rPr>
          <w:spacing w:val="-56"/>
        </w:rPr>
        <w:t> </w:t>
      </w:r>
      <w:r>
        <w:rPr>
          <w:spacing w:val="-56"/>
        </w:rPr>
      </w:r>
      <w:r>
        <w:rPr>
          <w:spacing w:val="-1"/>
        </w:rPr>
        <w:t>参与方一致同意后才能决策，包括商品或劳务的销售和购买、金融资产的管理、资产的购买和处</w:t>
      </w:r>
      <w:r>
        <w:rPr>
          <w:spacing w:val="-55"/>
        </w:rPr>
        <w:t> </w:t>
      </w:r>
      <w:r>
        <w:rPr>
          <w:spacing w:val="-55"/>
        </w:rPr>
      </w:r>
      <w:r>
        <w:rPr>
          <w:spacing w:val="-2"/>
        </w:rPr>
        <w:t>置、研究与开发活动以及融资活动等；对被投资单位具有重大影响，是指当持有被投资单位</w:t>
      </w:r>
      <w:r>
        <w:rPr/>
        <w:t> </w:t>
      </w:r>
      <w:r>
        <w:rPr>
          <w:rFonts w:ascii="Times New Roman" w:hAnsi="Times New Roman" w:cs="Times New Roman" w:eastAsia="Times New Roman" w:hint="default"/>
        </w:rPr>
        <w:t>20%</w:t>
      </w:r>
      <w:r>
        <w:rPr>
          <w:rFonts w:ascii="Times New Roman" w:hAnsi="Times New Roman" w:cs="Times New Roman" w:eastAsia="Times New Roman" w:hint="default"/>
          <w:spacing w:val="-39"/>
        </w:rPr>
        <w:t> </w:t>
      </w:r>
      <w:r>
        <w:rPr/>
        <w:t>以上至</w:t>
      </w:r>
      <w:r>
        <w:rPr>
          <w:spacing w:val="-67"/>
        </w:rPr>
        <w:t> </w:t>
      </w:r>
      <w:r>
        <w:rPr>
          <w:rFonts w:ascii="Times New Roman" w:hAnsi="Times New Roman" w:cs="Times New Roman" w:eastAsia="Times New Roman" w:hint="default"/>
        </w:rPr>
        <w:t>50%</w:t>
      </w:r>
      <w:r>
        <w:rPr/>
        <w:t>的表决权资本时，具有重大影响。或虽不足</w:t>
      </w:r>
      <w:r>
        <w:rPr>
          <w:spacing w:val="-66"/>
        </w:rPr>
        <w:t> </w:t>
      </w:r>
      <w:r>
        <w:rPr>
          <w:rFonts w:ascii="Times New Roman" w:hAnsi="Times New Roman" w:cs="Times New Roman" w:eastAsia="Times New Roman" w:hint="default"/>
        </w:rPr>
        <w:t>20%</w:t>
      </w:r>
      <w:r>
        <w:rPr/>
        <w:t>，但符合下列条件之一时，具有重大</w:t>
      </w:r>
      <w:r>
        <w:rPr>
          <w:w w:val="100"/>
        </w:rPr>
        <w:t> </w:t>
      </w:r>
      <w:r>
        <w:rPr>
          <w:spacing w:val="-1"/>
        </w:rPr>
        <w:t>影响：在被投资单位的董事会或类似的权力机构中派有代表；参与被投资单位的政策制定过程；</w:t>
      </w:r>
      <w:r>
        <w:rPr>
          <w:spacing w:val="-55"/>
        </w:rPr>
        <w:t> </w:t>
      </w:r>
      <w:r>
        <w:rPr>
          <w:spacing w:val="-55"/>
        </w:rPr>
      </w:r>
      <w:r>
        <w:rPr>
          <w:spacing w:val="-1"/>
        </w:rPr>
        <w:t>向被投资单位派出管理人员；被投资单位依赖投资公司的技术或技术资料；与被投资单位之间发</w:t>
      </w:r>
      <w:r>
        <w:rPr>
          <w:spacing w:val="-55"/>
        </w:rPr>
        <w:t> </w:t>
      </w:r>
      <w:r>
        <w:rPr>
          <w:spacing w:val="-55"/>
        </w:rPr>
      </w:r>
      <w:r>
        <w:rPr/>
        <w:t>生重要交易。</w:t>
      </w:r>
    </w:p>
    <w:p>
      <w:pPr>
        <w:spacing w:line="240" w:lineRule="auto" w:before="12"/>
        <w:rPr>
          <w:rFonts w:ascii="宋体" w:hAnsi="宋体" w:cs="宋体" w:eastAsia="宋体" w:hint="default"/>
          <w:sz w:val="22"/>
          <w:szCs w:val="22"/>
        </w:rPr>
      </w:pPr>
    </w:p>
    <w:p>
      <w:pPr>
        <w:pStyle w:val="Heading2"/>
        <w:spacing w:line="290" w:lineRule="auto" w:before="0"/>
        <w:ind w:right="5995"/>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6" w:lineRule="exact"/>
        <w:ind w:right="0"/>
        <w:jc w:val="left"/>
      </w:pPr>
      <w:r>
        <w:rPr/>
        <w:t>本公司投资性房地产的类别，包括出租的土地使用权、出租的建筑物、持有并准备增值后转让的</w:t>
      </w:r>
    </w:p>
    <w:p>
      <w:pPr>
        <w:pStyle w:val="BodyText"/>
        <w:spacing w:line="237" w:lineRule="auto" w:before="2"/>
        <w:ind w:right="0"/>
        <w:jc w:val="left"/>
      </w:pPr>
      <w:r>
        <w:rPr/>
        <w:t>土地使用权。投资性房地产按照成本进行初始计量，采用成本模式进行后续计量。</w:t>
      </w:r>
      <w:r>
        <w:rPr>
          <w:w w:val="100"/>
        </w:rPr>
        <w:t> </w:t>
      </w:r>
      <w:r>
        <w:rPr>
          <w:spacing w:val="-1"/>
        </w:rPr>
        <w:t>本公司投资性房地产中出租的建筑物采用年限平均法计提折旧，具体核算政策与固定资产部分相</w:t>
      </w:r>
      <w:r>
        <w:rPr>
          <w:spacing w:val="-55"/>
        </w:rPr>
        <w:t> </w:t>
      </w:r>
      <w:r>
        <w:rPr>
          <w:spacing w:val="-55"/>
        </w:rPr>
      </w:r>
      <w:r>
        <w:rPr>
          <w:spacing w:val="-1"/>
        </w:rPr>
        <w:t>同。投资性房地产中出租的土地使用权、持有并准备增值后转让的土地使用权采用直线法摊销，</w:t>
      </w:r>
      <w:r>
        <w:rPr>
          <w:spacing w:val="-55"/>
        </w:rPr>
        <w:t> </w:t>
      </w:r>
      <w:r>
        <w:rPr>
          <w:spacing w:val="-55"/>
        </w:rPr>
      </w:r>
      <w:r>
        <w:rPr/>
        <w:t>具体核算政策与无形资产部分相同。</w:t>
      </w:r>
    </w:p>
    <w:p>
      <w:pPr>
        <w:spacing w:after="0" w:line="23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90" w:lineRule="auto"/>
        <w:ind w:left="218" w:right="76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32" w:lineRule="auto" w:before="19"/>
        <w:ind w:left="218" w:right="100"/>
        <w:jc w:val="left"/>
      </w:pPr>
      <w:r>
        <w:rPr/>
        <w:t>√适用</w:t>
      </w:r>
      <w:r>
        <w:rPr>
          <w:rFonts w:ascii="Times New Roman" w:hAnsi="Times New Roman" w:cs="Times New Roman" w:eastAsia="Times New Roman" w:hint="default"/>
        </w:rPr>
        <w:t>□</w:t>
      </w:r>
      <w:r>
        <w:rPr/>
        <w:t>不适用</w:t>
      </w:r>
      <w:r>
        <w:rPr>
          <w:w w:val="100"/>
        </w:rPr>
        <w:t> </w:t>
      </w:r>
      <w:r>
        <w:rPr>
          <w:spacing w:val="-1"/>
        </w:rPr>
        <w:t>固定资产指为生产商品、提供劳务、出租或经营管理而持有的，使用寿命超过一个会计年度的有</w:t>
      </w:r>
      <w:r>
        <w:rPr>
          <w:spacing w:val="-55"/>
        </w:rPr>
        <w:t> </w:t>
      </w:r>
      <w:r>
        <w:rPr>
          <w:spacing w:val="-55"/>
        </w:rPr>
      </w:r>
      <w:r>
        <w:rPr>
          <w:spacing w:val="-1"/>
        </w:rPr>
        <w:t>形资产。同时满足以下条件时予以确认：与该固定资产有关的经济利益很可能流入企业；该固定</w:t>
      </w:r>
      <w:r>
        <w:rPr>
          <w:spacing w:val="-55"/>
        </w:rPr>
        <w:t> </w:t>
      </w:r>
      <w:r>
        <w:rPr>
          <w:spacing w:val="-55"/>
        </w:rPr>
      </w:r>
      <w:r>
        <w:rPr/>
        <w:t>资产的成本能够可靠地计量。</w:t>
      </w:r>
    </w:p>
    <w:p>
      <w:pPr>
        <w:spacing w:line="240" w:lineRule="auto" w:before="12"/>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(2).</w:t>
      </w:r>
      <w:r>
        <w:rPr/>
        <w:t>折旧方法</w:t>
      </w:r>
      <w:r>
        <w:rPr>
          <w:b w:val="0"/>
          <w:bCs w:val="0"/>
        </w:rPr>
      </w:r>
    </w:p>
    <w:p>
      <w:pPr>
        <w:pStyle w:val="BodyText"/>
        <w:spacing w:line="237" w:lineRule="auto" w:before="59"/>
        <w:ind w:left="218" w:right="128"/>
        <w:jc w:val="both"/>
      </w:pPr>
      <w:r>
        <w:rPr>
          <w:spacing w:val="-1"/>
        </w:rPr>
        <w:t>本公司固定资产主要分为房屋建筑物、机器设备、其他设备、运输设备等；折旧方法采用年限平</w:t>
      </w:r>
      <w:r>
        <w:rPr>
          <w:spacing w:val="-55"/>
        </w:rPr>
        <w:t> </w:t>
      </w:r>
      <w:r>
        <w:rPr>
          <w:spacing w:val="-55"/>
        </w:rPr>
      </w:r>
      <w:r>
        <w:rPr>
          <w:spacing w:val="-1"/>
        </w:rPr>
        <w:t>均法。根据各类固定资产的性质和使用情况，确定固定资产的使用寿命和预计净残值。并在年度</w:t>
      </w:r>
      <w:r>
        <w:rPr>
          <w:spacing w:val="-55"/>
        </w:rPr>
        <w:t> </w:t>
      </w:r>
      <w:r>
        <w:rPr>
          <w:spacing w:val="-55"/>
        </w:rPr>
      </w:r>
      <w:r>
        <w:rPr>
          <w:spacing w:val="-1"/>
        </w:rPr>
        <w:t>终了，对固定资产的使用寿命、预计净残值和折旧方法进行复核，如与原先估计数存在差异的，</w:t>
      </w:r>
      <w:r>
        <w:rPr>
          <w:spacing w:val="-55"/>
        </w:rPr>
        <w:t> </w:t>
      </w:r>
      <w:r>
        <w:rPr>
          <w:spacing w:val="-55"/>
        </w:rPr>
      </w:r>
      <w:r>
        <w:rPr>
          <w:spacing w:val="-1"/>
        </w:rPr>
        <w:t>进行相应的调整。除已提足折旧仍继续使用的固定资产和单独计价入账的土地之外，本公司对所</w:t>
      </w:r>
      <w:r>
        <w:rPr>
          <w:spacing w:val="-55"/>
        </w:rPr>
        <w:t> </w:t>
      </w:r>
      <w:r>
        <w:rPr>
          <w:spacing w:val="-55"/>
        </w:rPr>
      </w:r>
      <w:r>
        <w:rPr/>
        <w:t>有固定资产计提折旧。</w:t>
      </w:r>
    </w:p>
    <w:p>
      <w:pPr>
        <w:pStyle w:val="BodyText"/>
        <w:spacing w:line="290" w:lineRule="exact"/>
        <w:ind w:left="218" w:right="100"/>
        <w:jc w:val="left"/>
      </w:pP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180"/>
        <w:gridCol w:w="1795"/>
        <w:gridCol w:w="1659"/>
        <w:gridCol w:w="1402"/>
        <w:gridCol w:w="1789"/>
      </w:tblGrid>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30-45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3.23%-2.16%</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9.70%</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9.70%</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19.40%</w:t>
            </w:r>
          </w:p>
        </w:tc>
      </w:tr>
    </w:tbl>
    <w:p>
      <w:pPr>
        <w:spacing w:line="240" w:lineRule="auto" w:before="9"/>
        <w:rPr>
          <w:rFonts w:ascii="宋体" w:hAnsi="宋体" w:cs="宋体" w:eastAsia="宋体" w:hint="default"/>
          <w:sz w:val="18"/>
          <w:szCs w:val="18"/>
        </w:rPr>
      </w:pPr>
    </w:p>
    <w:p>
      <w:pPr>
        <w:pStyle w:val="Heading2"/>
        <w:spacing w:line="240" w:lineRule="auto"/>
        <w:ind w:left="218" w:right="10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37" w:lineRule="auto" w:before="61"/>
        <w:ind w:left="218" w:right="100"/>
        <w:jc w:val="left"/>
      </w:pPr>
      <w:r>
        <w:rPr/>
        <w:t>√适用□不适用</w:t>
      </w:r>
      <w:r>
        <w:rPr>
          <w:spacing w:val="-103"/>
        </w:rPr>
        <w:t> </w:t>
      </w:r>
      <w:r>
        <w:rPr>
          <w:spacing w:val="-103"/>
        </w:rPr>
      </w:r>
      <w:r>
        <w:rPr>
          <w:spacing w:val="-1"/>
        </w:rPr>
        <w:t>融资租入固定资产为实质上转移了与资产所有权有关的全部风险和报酬的租赁。融资租入固定资</w:t>
      </w:r>
      <w:r>
        <w:rPr>
          <w:spacing w:val="-55"/>
        </w:rPr>
        <w:t> </w:t>
      </w:r>
      <w:r>
        <w:rPr>
          <w:spacing w:val="-55"/>
        </w:rPr>
      </w:r>
      <w:r>
        <w:rPr>
          <w:spacing w:val="-1"/>
        </w:rPr>
        <w:t>产初始计价为租赁期开始日租赁资产公允价值与最低租赁付款额现值较低者作为入账价值；融资</w:t>
      </w:r>
      <w:r>
        <w:rPr>
          <w:spacing w:val="-55"/>
        </w:rPr>
        <w:t> </w:t>
      </w:r>
      <w:r>
        <w:rPr>
          <w:spacing w:val="-55"/>
        </w:rPr>
      </w:r>
      <w:r>
        <w:rPr/>
        <w:t>租入固定资产后续计价采用与自有固定资产相一致的折旧政策计提折旧及减值准备。</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37" w:lineRule="auto" w:before="61"/>
        <w:ind w:left="218" w:right="100"/>
        <w:jc w:val="left"/>
      </w:pPr>
      <w:r>
        <w:rPr/>
        <w:t>√适用□不适用</w:t>
      </w:r>
      <w:r>
        <w:rPr>
          <w:spacing w:val="-103"/>
        </w:rPr>
        <w:t> </w:t>
      </w:r>
      <w:r>
        <w:rPr>
          <w:spacing w:val="-103"/>
        </w:rPr>
      </w:r>
      <w:r>
        <w:rPr>
          <w:spacing w:val="-1"/>
        </w:rPr>
        <w:t>本公司在建工程分为自营方式建造和出包方式建造两种。在建工程在工程完工达到预定可使用状</w:t>
      </w:r>
      <w:r>
        <w:rPr>
          <w:spacing w:val="-55"/>
        </w:rPr>
        <w:t> </w:t>
      </w:r>
      <w:r>
        <w:rPr>
          <w:spacing w:val="-55"/>
        </w:rPr>
      </w:r>
      <w:r>
        <w:rPr>
          <w:spacing w:val="-1"/>
        </w:rPr>
        <w:t>态时，结转固定资产。预定可使用状态的判断标准，应符合下列情况之一：固定资产的实体建造</w:t>
      </w:r>
    </w:p>
    <w:p>
      <w:pPr>
        <w:pStyle w:val="BodyText"/>
        <w:spacing w:line="237" w:lineRule="auto"/>
        <w:ind w:left="218" w:right="124"/>
        <w:jc w:val="left"/>
      </w:pPr>
      <w:r>
        <w:rPr>
          <w:spacing w:val="-1"/>
        </w:rPr>
        <w:t>（包括安装）工作已经全部完成或实质上已经全部完成；已经试生产或试运行，并且其结果表明</w:t>
      </w:r>
      <w:r>
        <w:rPr>
          <w:spacing w:val="-55"/>
        </w:rPr>
        <w:t> </w:t>
      </w:r>
      <w:r>
        <w:rPr>
          <w:spacing w:val="-55"/>
        </w:rPr>
      </w:r>
      <w:r>
        <w:rPr>
          <w:spacing w:val="-1"/>
        </w:rPr>
        <w:t>资产能够正常运行或能够稳定地生产出合格产品，或者试运行结果表明其能够正常运转或营业；</w:t>
      </w:r>
      <w:r>
        <w:rPr>
          <w:spacing w:val="-55"/>
        </w:rPr>
        <w:t> </w:t>
      </w:r>
      <w:r>
        <w:rPr>
          <w:spacing w:val="-55"/>
        </w:rPr>
      </w:r>
      <w:r>
        <w:rPr>
          <w:spacing w:val="-1"/>
        </w:rPr>
        <w:t>该项建造的固定资产上的支出金额很少或者几乎不再发生；所购建的固定资产已经达到设计或合</w:t>
      </w:r>
      <w:r>
        <w:rPr>
          <w:spacing w:val="-55"/>
        </w:rPr>
        <w:t> </w:t>
      </w:r>
      <w:r>
        <w:rPr>
          <w:spacing w:val="-55"/>
        </w:rPr>
      </w:r>
      <w:r>
        <w:rPr/>
        <w:t>同要求，或与设计或合同要求基本相符。</w:t>
      </w:r>
      <w:r>
        <w:rPr>
          <w:w w:val="100"/>
        </w:rPr>
        <w:t> </w:t>
      </w:r>
      <w:r>
        <w:rPr>
          <w:spacing w:val="-6"/>
          <w:w w:val="100"/>
        </w:rPr>
        <w:t>本公司在建工程在工程完工达到预定可使用状态时，结转固定资产。预定可使用状态的判断标准，</w:t>
      </w:r>
      <w:r>
        <w:rPr>
          <w:spacing w:val="-104"/>
          <w:w w:val="100"/>
        </w:rPr>
        <w:t> </w:t>
      </w:r>
      <w:r>
        <w:rPr>
          <w:spacing w:val="-104"/>
          <w:w w:val="100"/>
        </w:rPr>
      </w:r>
      <w:r>
        <w:rPr/>
        <w:t>应符合下列情况之一：</w:t>
      </w:r>
    </w:p>
    <w:p>
      <w:pPr>
        <w:pStyle w:val="BodyText"/>
        <w:spacing w:line="270" w:lineRule="exact"/>
        <w:ind w:left="218" w:right="100"/>
        <w:jc w:val="left"/>
      </w:pPr>
      <w:r>
        <w:rPr/>
        <w:t>①</w:t>
      </w:r>
      <w:r>
        <w:rPr>
          <w:spacing w:val="-6"/>
        </w:rPr>
        <w:t> </w:t>
      </w:r>
      <w:r>
        <w:rPr/>
        <w:t>固定资产的实体建造（包括安装）工作已经全部完成或实质上已经全部完成；</w:t>
      </w:r>
    </w:p>
    <w:p>
      <w:pPr>
        <w:pStyle w:val="BodyText"/>
        <w:spacing w:line="240" w:lineRule="auto"/>
        <w:ind w:left="218" w:right="100"/>
        <w:jc w:val="left"/>
      </w:pPr>
      <w:r>
        <w:rPr/>
        <w:t>②</w:t>
      </w:r>
      <w:r>
        <w:rPr>
          <w:spacing w:val="53"/>
        </w:rPr>
        <w:t> </w:t>
      </w:r>
      <w:r>
        <w:rPr>
          <w:spacing w:val="-4"/>
        </w:rPr>
        <w:t>已经试生产或试运行，并且其结果表明资产能够正常运行或能够稳定地生产出合格产品，或者</w:t>
      </w:r>
      <w:r>
        <w:rPr>
          <w:spacing w:val="-96"/>
        </w:rPr>
        <w:t> </w:t>
      </w:r>
      <w:r>
        <w:rPr>
          <w:spacing w:val="-96"/>
        </w:rPr>
      </w:r>
      <w:r>
        <w:rPr/>
        <w:t>试运行结果表明其能够正常运转或营业；</w:t>
      </w:r>
    </w:p>
    <w:p>
      <w:pPr>
        <w:pStyle w:val="BodyText"/>
        <w:spacing w:line="271" w:lineRule="exact"/>
        <w:ind w:left="218" w:right="100"/>
        <w:jc w:val="left"/>
      </w:pPr>
      <w:r>
        <w:rPr/>
        <w:t>③</w:t>
      </w:r>
      <w:r>
        <w:rPr>
          <w:spacing w:val="-4"/>
        </w:rPr>
        <w:t> </w:t>
      </w:r>
      <w:r>
        <w:rPr/>
        <w:t>该项建造的固定资产上的支出金额很少或者几乎不再发生；</w:t>
      </w:r>
    </w:p>
    <w:p>
      <w:pPr>
        <w:pStyle w:val="BodyText"/>
        <w:spacing w:line="274" w:lineRule="exact"/>
        <w:ind w:left="218" w:right="100"/>
        <w:jc w:val="left"/>
      </w:pPr>
      <w:r>
        <w:rPr/>
        <w:t>④</w:t>
      </w:r>
      <w:r>
        <w:rPr>
          <w:spacing w:val="-6"/>
        </w:rPr>
        <w:t> </w:t>
      </w:r>
      <w:r>
        <w:rPr/>
        <w:t>所购建的固定资产已经达到设计或合同要求，或与设计或合同要求基本相符。</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4" w:lineRule="exact" w:before="56"/>
        <w:ind w:left="218" w:right="100"/>
        <w:jc w:val="left"/>
      </w:pPr>
      <w:r>
        <w:rPr/>
        <w:t>√适用□不适用</w:t>
      </w:r>
    </w:p>
    <w:p>
      <w:pPr>
        <w:pStyle w:val="BodyText"/>
        <w:spacing w:line="232" w:lineRule="auto" w:before="6"/>
        <w:ind w:left="218" w:right="100"/>
        <w:jc w:val="left"/>
      </w:pPr>
      <w:r>
        <w:rPr>
          <w:rFonts w:ascii="Times New Roman" w:hAnsi="Times New Roman" w:cs="Times New Roman" w:eastAsia="Times New Roman" w:hint="default"/>
        </w:rPr>
        <w:t>1</w:t>
      </w:r>
      <w:r>
        <w:rPr/>
        <w:t>、借款费用资本化的确认原则</w:t>
      </w:r>
      <w:r>
        <w:rPr>
          <w:w w:val="100"/>
        </w:rPr>
        <w:t> </w:t>
      </w:r>
      <w:r>
        <w:rPr>
          <w:spacing w:val="-1"/>
        </w:rPr>
        <w:t>本公司发生的借款费用，可直接归属于符合资本化条件的资产的购建或者生产的，予以资本化，</w:t>
      </w:r>
      <w:r>
        <w:rPr>
          <w:spacing w:val="-55"/>
        </w:rPr>
        <w:t> </w:t>
      </w:r>
      <w:r>
        <w:rPr>
          <w:spacing w:val="-55"/>
        </w:rPr>
      </w:r>
      <w:r>
        <w:rPr>
          <w:spacing w:val="-1"/>
        </w:rPr>
        <w:t>计入相关资产成本；其他借款费用，在发生时根据其发生额确认为费用，计入当期损益。符合资</w:t>
      </w:r>
      <w:r>
        <w:rPr>
          <w:spacing w:val="-55"/>
        </w:rPr>
        <w:t> </w:t>
      </w:r>
      <w:r>
        <w:rPr>
          <w:spacing w:val="-55"/>
        </w:rPr>
      </w:r>
      <w:r>
        <w:rPr>
          <w:spacing w:val="-1"/>
        </w:rPr>
        <w:t>本化条件的资产，是指需要经过相当长时间的购建或者生产活动才能达到预定可使用或者可销售</w:t>
      </w:r>
    </w:p>
    <w:p>
      <w:pPr>
        <w:spacing w:after="0" w:line="232" w:lineRule="auto"/>
        <w:jc w:val="left"/>
        <w:sectPr>
          <w:pgSz w:w="11910" w:h="16840"/>
          <w:pgMar w:header="882" w:footer="1195" w:top="1120" w:bottom="1380" w:left="1580" w:right="1140"/>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pPr>
      <w:r>
        <w:rPr/>
        <w:t>状态的固定资产、投资性房地产和存货等资产。</w:t>
      </w:r>
    </w:p>
    <w:p>
      <w:pPr>
        <w:pStyle w:val="BodyText"/>
        <w:spacing w:line="235" w:lineRule="auto" w:before="4"/>
        <w:ind w:right="123"/>
        <w:jc w:val="left"/>
      </w:pPr>
      <w:r>
        <w:rPr>
          <w:rFonts w:ascii="Times New Roman" w:hAnsi="Times New Roman" w:cs="Times New Roman" w:eastAsia="Times New Roman" w:hint="default"/>
        </w:rPr>
        <w:t>2</w:t>
      </w:r>
      <w:r>
        <w:rPr/>
        <w:t>、资本化金额计算方法</w:t>
      </w:r>
      <w:r>
        <w:rPr>
          <w:w w:val="100"/>
        </w:rPr>
        <w:t> </w:t>
      </w:r>
      <w:r>
        <w:rPr>
          <w:spacing w:val="-1"/>
        </w:rPr>
        <w:t>资本化期间，是指从借款费用开始资本化时点到停止资本化时点的期间。借款费用暂停资本化的</w:t>
      </w:r>
      <w:r>
        <w:rPr>
          <w:spacing w:val="-55"/>
        </w:rPr>
        <w:t> </w:t>
      </w:r>
      <w:r>
        <w:rPr>
          <w:spacing w:val="-55"/>
        </w:rPr>
      </w:r>
      <w:r>
        <w:rPr/>
        <w:t>期间不包括在内。在购建或生产过程中发生非正常中断、且中断时间连续超过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个月的，应当暂</w:t>
      </w:r>
      <w:r>
        <w:rPr>
          <w:w w:val="100"/>
        </w:rPr>
        <w:t> </w:t>
      </w:r>
      <w:r>
        <w:rPr/>
        <w:t>停借款费用的资本化。</w:t>
      </w:r>
      <w:r>
        <w:rPr>
          <w:w w:val="100"/>
        </w:rPr>
        <w:t> </w:t>
      </w:r>
      <w:r>
        <w:rPr>
          <w:spacing w:val="-1"/>
        </w:rPr>
        <w:t>借入专门借款，按照专门借款当期实际发生的利息费用，减去将尚未动用的借款资金存入银行取</w:t>
      </w:r>
      <w:r>
        <w:rPr>
          <w:spacing w:val="-56"/>
        </w:rPr>
        <w:t> </w:t>
      </w:r>
      <w:r>
        <w:rPr>
          <w:spacing w:val="-56"/>
        </w:rPr>
      </w:r>
      <w:r>
        <w:rPr>
          <w:spacing w:val="-1"/>
        </w:rPr>
        <w:t>得的利息收入或进行暂时性投资取得的投资收益后的金额确定；占用一般借款按照累计资产支出</w:t>
      </w:r>
      <w:r>
        <w:rPr>
          <w:spacing w:val="-55"/>
        </w:rPr>
        <w:t> </w:t>
      </w:r>
      <w:r>
        <w:rPr>
          <w:spacing w:val="-55"/>
        </w:rPr>
      </w:r>
      <w:r>
        <w:rPr>
          <w:spacing w:val="-1"/>
        </w:rPr>
        <w:t>超过专门借款部分的资产支出加权平均数乘以所占用一般借款的资本化率计算确定，资本化率为</w:t>
      </w:r>
      <w:r>
        <w:rPr>
          <w:spacing w:val="-55"/>
        </w:rPr>
        <w:t> </w:t>
      </w:r>
      <w:r>
        <w:rPr>
          <w:spacing w:val="-55"/>
        </w:rPr>
      </w:r>
      <w:r>
        <w:rPr>
          <w:spacing w:val="-1"/>
        </w:rPr>
        <w:t>一般借款的加权平均利率；借款存在折价或溢价的，按照实际利率法确定每一会计期间应摊销的</w:t>
      </w:r>
      <w:r>
        <w:rPr>
          <w:spacing w:val="-55"/>
        </w:rPr>
        <w:t> </w:t>
      </w:r>
      <w:r>
        <w:rPr>
          <w:spacing w:val="-55"/>
        </w:rPr>
      </w:r>
      <w:r>
        <w:rPr/>
        <w:t>折价或溢价金额，调整每期利息金额。</w:t>
      </w:r>
      <w:r>
        <w:rPr>
          <w:w w:val="100"/>
        </w:rPr>
        <w:t> </w:t>
      </w:r>
      <w:r>
        <w:rPr>
          <w:spacing w:val="-1"/>
        </w:rPr>
        <w:t>实际利率法是根据借款实际利率计算其摊余折价或溢价或利息费用的方法。其中实际利率是借款</w:t>
      </w:r>
      <w:r>
        <w:rPr>
          <w:spacing w:val="-55"/>
        </w:rPr>
        <w:t> </w:t>
      </w:r>
      <w:r>
        <w:rPr>
          <w:spacing w:val="-55"/>
        </w:rPr>
      </w:r>
      <w:r>
        <w:rPr/>
        <w:t>在预期存续期间的未来现金流量，折现为该借款当前账面价值所使用的利率。</w:t>
      </w:r>
    </w:p>
    <w:p>
      <w:pPr>
        <w:spacing w:line="240" w:lineRule="auto" w:before="12"/>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right="0"/>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8"/>
        <w:ind w:right="0"/>
        <w:jc w:val="left"/>
      </w:pPr>
      <w:r>
        <w:rPr/>
        <w:t>□适用√不适用</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2"/>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81" w:lineRule="exact" w:before="58"/>
        <w:ind w:right="0"/>
        <w:jc w:val="left"/>
      </w:pPr>
      <w:r>
        <w:rPr/>
        <w:t>√适用</w:t>
      </w:r>
      <w:r>
        <w:rPr>
          <w:rFonts w:ascii="Times New Roman" w:hAnsi="Times New Roman" w:cs="Times New Roman" w:eastAsia="Times New Roman" w:hint="default"/>
        </w:rPr>
        <w:t>□</w:t>
      </w:r>
      <w:r>
        <w:rPr/>
        <w:t>不适用</w:t>
      </w:r>
    </w:p>
    <w:p>
      <w:pPr>
        <w:pStyle w:val="BodyText"/>
        <w:spacing w:line="235" w:lineRule="auto"/>
        <w:ind w:right="0"/>
        <w:jc w:val="left"/>
      </w:pPr>
      <w:r>
        <w:rPr>
          <w:rFonts w:ascii="Times New Roman" w:hAnsi="Times New Roman" w:cs="Times New Roman" w:eastAsia="Times New Roman" w:hint="default"/>
        </w:rPr>
        <w:t>1</w:t>
      </w:r>
      <w:r>
        <w:rPr/>
        <w:t>、无形资产的计价方法</w:t>
      </w:r>
      <w:r>
        <w:rPr>
          <w:w w:val="100"/>
        </w:rPr>
        <w:t> </w:t>
      </w:r>
      <w:r>
        <w:rPr>
          <w:spacing w:val="-1"/>
        </w:rPr>
        <w:t>本公司无形资产按照成本进行初始计量。购入的无形资产，按实际支付的价款和相关支出作为实</w:t>
      </w:r>
      <w:r>
        <w:rPr>
          <w:spacing w:val="-55"/>
        </w:rPr>
        <w:t> </w:t>
      </w:r>
      <w:r>
        <w:rPr>
          <w:spacing w:val="-55"/>
        </w:rPr>
      </w:r>
      <w:r>
        <w:rPr>
          <w:spacing w:val="-1"/>
        </w:rPr>
        <w:t>际成本。投资者投入的无形资产，按投资合同或协议约定的价值确定实际成本，但合同或协议约</w:t>
      </w:r>
      <w:r>
        <w:rPr>
          <w:spacing w:val="-55"/>
        </w:rPr>
        <w:t> </w:t>
      </w:r>
      <w:r>
        <w:rPr>
          <w:spacing w:val="-55"/>
        </w:rPr>
      </w:r>
      <w:r>
        <w:rPr>
          <w:spacing w:val="-1"/>
        </w:rPr>
        <w:t>定价值不公允的，按公允价值确定实际成本。自行开发的无形资产，其成本为达到预定用途前所</w:t>
      </w:r>
      <w:r>
        <w:rPr>
          <w:spacing w:val="-55"/>
        </w:rPr>
        <w:t> </w:t>
      </w:r>
      <w:r>
        <w:rPr>
          <w:spacing w:val="-55"/>
        </w:rPr>
      </w:r>
      <w:r>
        <w:rPr/>
        <w:t>发生的支出总额。</w:t>
      </w:r>
      <w:r>
        <w:rPr>
          <w:w w:val="100"/>
        </w:rPr>
        <w:t> </w:t>
      </w:r>
      <w:r>
        <w:rPr>
          <w:spacing w:val="-1"/>
        </w:rPr>
        <w:t>本公司无形资产后续计量方法分别为：使用寿命有限无形资产采用直线法摊销，并在年度终了，</w:t>
      </w:r>
      <w:r>
        <w:rPr>
          <w:spacing w:val="-55"/>
        </w:rPr>
        <w:t> </w:t>
      </w:r>
      <w:r>
        <w:rPr>
          <w:spacing w:val="-55"/>
        </w:rPr>
      </w:r>
      <w:r>
        <w:rPr>
          <w:spacing w:val="-1"/>
        </w:rPr>
        <w:t>对无形资产的使用寿命和摊销方法进行复核，如与原先估计数存在差异的，进行相应的调整；使</w:t>
      </w:r>
      <w:r>
        <w:rPr>
          <w:spacing w:val="-54"/>
        </w:rPr>
        <w:t> </w:t>
      </w:r>
      <w:r>
        <w:rPr>
          <w:spacing w:val="-54"/>
        </w:rPr>
      </w:r>
      <w:r>
        <w:rPr>
          <w:spacing w:val="-1"/>
        </w:rPr>
        <w:t>用寿命不确定的无形资产不摊销，但在年度终了，对使用寿命进行复核，当有确凿证据表明其使</w:t>
      </w:r>
      <w:r>
        <w:rPr>
          <w:spacing w:val="-55"/>
        </w:rPr>
        <w:t> </w:t>
      </w:r>
      <w:r>
        <w:rPr>
          <w:spacing w:val="-55"/>
        </w:rPr>
      </w:r>
      <w:r>
        <w:rPr/>
        <w:t>用寿命是有限的，则估计其使用寿命，按直线法进行摊销。</w:t>
      </w:r>
    </w:p>
    <w:p>
      <w:pPr>
        <w:pStyle w:val="BodyText"/>
        <w:spacing w:line="235" w:lineRule="auto" w:before="4"/>
        <w:ind w:right="0"/>
        <w:jc w:val="left"/>
      </w:pPr>
      <w:r>
        <w:rPr>
          <w:rFonts w:ascii="Times New Roman" w:hAnsi="Times New Roman" w:cs="Times New Roman" w:eastAsia="Times New Roman" w:hint="default"/>
        </w:rPr>
        <w:t>2</w:t>
      </w:r>
      <w:r>
        <w:rPr/>
        <w:t>、使用寿命不确定的判断依据</w:t>
      </w:r>
      <w:r>
        <w:rPr>
          <w:w w:val="100"/>
        </w:rPr>
        <w:t> </w:t>
      </w:r>
      <w:r>
        <w:rPr>
          <w:spacing w:val="-1"/>
        </w:rPr>
        <w:t>本公司将无法预见该资产为公司带来经济利益的期限，或使用期限不确定等无形资产确定为使用</w:t>
      </w:r>
      <w:r>
        <w:rPr>
          <w:spacing w:val="-55"/>
        </w:rPr>
        <w:t> </w:t>
      </w:r>
      <w:r>
        <w:rPr>
          <w:spacing w:val="-55"/>
        </w:rPr>
      </w:r>
      <w:r>
        <w:rPr>
          <w:spacing w:val="-1"/>
        </w:rPr>
        <w:t>寿命不确定的无形资产。使用寿命不确定的判断依据为：来源于合同性权利或其他法定权利，但</w:t>
      </w:r>
      <w:r>
        <w:rPr>
          <w:spacing w:val="-55"/>
        </w:rPr>
        <w:t> </w:t>
      </w:r>
      <w:r>
        <w:rPr>
          <w:spacing w:val="-55"/>
        </w:rPr>
      </w:r>
      <w:r>
        <w:rPr>
          <w:spacing w:val="-1"/>
        </w:rPr>
        <w:t>合同规定或法律规定无明确使用年限；综合同行业情况或相关专家论证等，仍无法判断无形资产</w:t>
      </w:r>
      <w:r>
        <w:rPr>
          <w:spacing w:val="-55"/>
        </w:rPr>
        <w:t> </w:t>
      </w:r>
      <w:r>
        <w:rPr>
          <w:spacing w:val="-55"/>
        </w:rPr>
      </w:r>
      <w:r>
        <w:rPr/>
        <w:t>为公司带来经济利益的期限。</w:t>
      </w:r>
      <w:r>
        <w:rPr>
          <w:w w:val="100"/>
        </w:rPr>
        <w:t> </w:t>
      </w:r>
      <w:r>
        <w:rPr>
          <w:spacing w:val="-1"/>
        </w:rPr>
        <w:t>每年年末，对使用寿命不确定无形资产使用寿命进行复核，主要采取自下而上的方式，由无形资</w:t>
      </w:r>
      <w:r>
        <w:rPr>
          <w:spacing w:val="-55"/>
        </w:rPr>
        <w:t> </w:t>
      </w:r>
      <w:r>
        <w:rPr>
          <w:spacing w:val="-55"/>
        </w:rPr>
      </w:r>
      <w:r>
        <w:rPr/>
        <w:t>产使用相关部门进行基础复核，评价使用寿命不确定判断依据是否存在变化等。</w:t>
      </w:r>
    </w:p>
    <w:p>
      <w:pPr>
        <w:spacing w:line="240" w:lineRule="auto" w:before="1"/>
        <w:rPr>
          <w:rFonts w:ascii="宋体" w:hAnsi="宋体" w:cs="宋体" w:eastAsia="宋体" w:hint="default"/>
          <w:sz w:val="23"/>
          <w:szCs w:val="23"/>
        </w:rPr>
      </w:pPr>
    </w:p>
    <w:p>
      <w:pPr>
        <w:pStyle w:val="Heading2"/>
        <w:spacing w:line="240" w:lineRule="auto" w:before="0"/>
        <w:ind w:right="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30" w:lineRule="auto" w:before="66"/>
        <w:ind w:right="0"/>
        <w:jc w:val="left"/>
      </w:pPr>
      <w:r>
        <w:rPr/>
        <w:t>√适用</w:t>
      </w:r>
      <w:r>
        <w:rPr>
          <w:rFonts w:ascii="Times New Roman" w:hAnsi="Times New Roman" w:cs="Times New Roman" w:eastAsia="Times New Roman" w:hint="default"/>
        </w:rPr>
        <w:t>□</w:t>
      </w:r>
      <w:r>
        <w:rPr/>
        <w:t>不适用</w:t>
      </w:r>
      <w:r>
        <w:rPr>
          <w:w w:val="100"/>
        </w:rPr>
        <w:t> </w:t>
      </w:r>
      <w:r>
        <w:rPr>
          <w:spacing w:val="-1"/>
        </w:rPr>
        <w:t>内部研究开发项目研究阶段的支出，于发生时计入当期损益；开发阶段的支出，同时满足下列条</w:t>
      </w:r>
      <w:r>
        <w:rPr>
          <w:spacing w:val="-55"/>
        </w:rPr>
        <w:t> </w:t>
      </w:r>
      <w:r>
        <w:rPr>
          <w:spacing w:val="-55"/>
        </w:rPr>
      </w:r>
      <w:r>
        <w:rPr>
          <w:spacing w:val="-4"/>
        </w:rPr>
        <w:t>件的，确认为无形资产：</w:t>
      </w:r>
      <w:r>
        <w:rPr>
          <w:rFonts w:ascii="Times New Roman" w:hAnsi="Times New Roman" w:cs="Times New Roman" w:eastAsia="Times New Roman" w:hint="default"/>
          <w:spacing w:val="-4"/>
        </w:rPr>
        <w:t>(1)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具</w:t>
      </w:r>
      <w:r>
        <w:rPr>
          <w:w w:val="100"/>
        </w:rPr>
        <w:t> </w:t>
      </w:r>
      <w:r>
        <w:rPr/>
        <w:t>有完成该无形资产并使用或出售的意图；</w:t>
      </w:r>
      <w:r>
        <w:rPr>
          <w:rFonts w:ascii="Times New Roman" w:hAnsi="Times New Roman" w:cs="Times New Roman" w:eastAsia="Times New Roman" w:hint="default"/>
        </w:rPr>
        <w:t>(3) </w:t>
      </w:r>
      <w:r>
        <w:rPr/>
        <w:t>无形资产产生经济利益的方式，包括能够证明运用</w:t>
      </w:r>
      <w:r>
        <w:rPr>
          <w:spacing w:val="-79"/>
        </w:rPr>
        <w:t> </w:t>
      </w:r>
      <w:r>
        <w:rPr>
          <w:spacing w:val="-79"/>
        </w:rPr>
      </w:r>
      <w:r>
        <w:rPr>
          <w:spacing w:val="-1"/>
        </w:rPr>
        <w:t>该无形资产生产的产品存在市场或无形资产自身存在市场，无形资产将在内部使用的，能证明其</w:t>
      </w:r>
      <w:r>
        <w:rPr>
          <w:spacing w:val="-55"/>
        </w:rPr>
        <w:t> </w:t>
      </w:r>
      <w:r>
        <w:rPr>
          <w:spacing w:val="-55"/>
        </w:rPr>
      </w:r>
      <w:r>
        <w:rPr/>
        <w:t>有用性；</w:t>
      </w:r>
      <w:r>
        <w:rPr>
          <w:rFonts w:ascii="Times New Roman" w:hAnsi="Times New Roman" w:cs="Times New Roman" w:eastAsia="Times New Roman" w:hint="default"/>
        </w:rPr>
        <w:t>(4) </w:t>
      </w:r>
      <w:r>
        <w:rPr/>
        <w:t>有足够的技术、财务资源和其他资源支持，以完成该无形资产的开发，并有能力使</w:t>
      </w:r>
      <w:r>
        <w:rPr>
          <w:spacing w:val="-80"/>
        </w:rPr>
        <w:t> </w:t>
      </w:r>
      <w:r>
        <w:rPr>
          <w:spacing w:val="-80"/>
        </w:rPr>
      </w:r>
      <w:r>
        <w:rPr/>
        <w:t>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归属于该无形资产开发阶段的支出能够可靠地计量。</w:t>
      </w:r>
      <w:r>
        <w:rPr>
          <w:w w:val="100"/>
        </w:rPr>
        <w:t> </w:t>
      </w:r>
      <w:r>
        <w:rPr>
          <w:spacing w:val="-1"/>
        </w:rPr>
        <w:t>划分内部研究开发项目的研究阶段和开发阶段的具体标准：为获取新的技术和知识等进行的有计</w:t>
      </w:r>
      <w:r>
        <w:rPr>
          <w:spacing w:val="-55"/>
        </w:rPr>
        <w:t> </w:t>
      </w:r>
      <w:r>
        <w:rPr>
          <w:spacing w:val="-55"/>
        </w:rPr>
      </w:r>
      <w:r>
        <w:rPr>
          <w:spacing w:val="-1"/>
        </w:rPr>
        <w:t>划的调查阶段，应确定为研究阶段，该阶段具有计划性和探索性等特点；在进行商业性生产或使</w:t>
      </w:r>
    </w:p>
    <w:p>
      <w:pPr>
        <w:spacing w:after="0" w:line="23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spacing w:val="-1"/>
        </w:rPr>
        <w:t>用前，将研究成果或其他知识应用于某项计划或设计，以生产出新的或具有实质性改进的材料、</w:t>
      </w:r>
      <w:r>
        <w:rPr>
          <w:spacing w:val="-55"/>
        </w:rPr>
        <w:t> </w:t>
      </w:r>
      <w:r>
        <w:rPr>
          <w:spacing w:val="-55"/>
        </w:rPr>
      </w:r>
      <w:r>
        <w:rPr/>
        <w:t>装置、产品等阶段，应确定为开发阶段，该阶段具有针对性和形成成果的可能性较大等特点。</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spacing w:line="237" w:lineRule="auto" w:before="59"/>
        <w:ind w:right="0"/>
        <w:jc w:val="left"/>
      </w:pPr>
      <w:r>
        <w:rPr/>
        <w:t>√适用□不适用</w:t>
      </w:r>
      <w:r>
        <w:rPr>
          <w:spacing w:val="-103"/>
        </w:rPr>
        <w:t> </w:t>
      </w:r>
      <w:r>
        <w:rPr>
          <w:spacing w:val="-103"/>
        </w:rPr>
      </w:r>
      <w:r>
        <w:rPr>
          <w:spacing w:val="-1"/>
        </w:rPr>
        <w:t>长期股权投资、采用成本模式计量的投资性房地产、固定资产、在建工程、采用成本模式计量的</w:t>
      </w:r>
      <w:r>
        <w:rPr>
          <w:spacing w:val="-55"/>
        </w:rPr>
        <w:t> </w:t>
      </w:r>
      <w:r>
        <w:rPr>
          <w:spacing w:val="-55"/>
        </w:rPr>
      </w:r>
      <w:r>
        <w:rPr>
          <w:spacing w:val="-1"/>
        </w:rPr>
        <w:t>生产性生物资产、油气资产、无形资产、商誉等长期资产于资产负债表日存在减值迹象的，进行</w:t>
      </w:r>
      <w:r>
        <w:rPr>
          <w:spacing w:val="-55"/>
        </w:rPr>
        <w:t> </w:t>
      </w:r>
      <w:r>
        <w:rPr>
          <w:spacing w:val="-55"/>
        </w:rPr>
      </w:r>
      <w:r>
        <w:rPr>
          <w:spacing w:val="-1"/>
        </w:rPr>
        <w:t>减值测试。减值测试结果表明资产的可收回金额低于其账面价值的，按其差额计提减值准备并计</w:t>
      </w:r>
      <w:r>
        <w:rPr>
          <w:spacing w:val="-55"/>
        </w:rPr>
        <w:t> </w:t>
      </w:r>
      <w:r>
        <w:rPr>
          <w:spacing w:val="-55"/>
        </w:rPr>
      </w:r>
      <w:r>
        <w:rPr/>
        <w:t>入减值损失。</w:t>
      </w:r>
      <w:r>
        <w:rPr>
          <w:w w:val="100"/>
        </w:rPr>
        <w:t> </w:t>
      </w:r>
      <w:r>
        <w:rPr>
          <w:spacing w:val="-1"/>
        </w:rPr>
        <w:t>可收回金额为资产的公允价值减去处置费用后的净额与资产预计未来现金流量的现值两者之间的</w:t>
      </w:r>
      <w:r>
        <w:rPr>
          <w:spacing w:val="-55"/>
        </w:rPr>
        <w:t> </w:t>
      </w:r>
      <w:r>
        <w:rPr>
          <w:spacing w:val="-55"/>
        </w:rPr>
      </w:r>
      <w:r>
        <w:rPr>
          <w:spacing w:val="-1"/>
        </w:rPr>
        <w:t>较高者。资产减值准备按单项资产为基础计算并确认，如果难以对单项资产的可收回金额进行估</w:t>
      </w:r>
      <w:r>
        <w:rPr>
          <w:spacing w:val="-55"/>
        </w:rPr>
        <w:t> </w:t>
      </w:r>
      <w:r>
        <w:rPr>
          <w:spacing w:val="-55"/>
        </w:rPr>
      </w:r>
      <w:r>
        <w:rPr>
          <w:spacing w:val="-1"/>
        </w:rPr>
        <w:t>计的，以该资产所属的资产组确定资产组的可收回金额。资产组是能够独立产生现金流入的最小</w:t>
      </w:r>
      <w:r>
        <w:rPr>
          <w:spacing w:val="-55"/>
        </w:rPr>
        <w:t> </w:t>
      </w:r>
      <w:r>
        <w:rPr>
          <w:spacing w:val="-55"/>
        </w:rPr>
      </w:r>
      <w:r>
        <w:rPr/>
        <w:t>资产组合。</w:t>
      </w:r>
      <w:r>
        <w:rPr>
          <w:spacing w:val="-102"/>
        </w:rPr>
        <w:t> </w:t>
      </w:r>
      <w:r>
        <w:rPr>
          <w:spacing w:val="-102"/>
        </w:rPr>
      </w:r>
      <w:r>
        <w:rPr>
          <w:spacing w:val="-1"/>
        </w:rPr>
        <w:t>在财务报表中单独列示的商誉，无论是否存在减值迹象，至少每年进行减值测试。减值测试时，</w:t>
      </w:r>
      <w:r>
        <w:rPr>
          <w:spacing w:val="-55"/>
        </w:rPr>
        <w:t> </w:t>
      </w:r>
      <w:r>
        <w:rPr>
          <w:spacing w:val="-55"/>
        </w:rPr>
      </w:r>
      <w:r>
        <w:rPr>
          <w:spacing w:val="-1"/>
        </w:rPr>
        <w:t>商誉的账面价值分摊至预期从企业合并的协同效应中受益的资产组或资产组组合。测试结果表明</w:t>
      </w:r>
      <w:r>
        <w:rPr>
          <w:spacing w:val="-55"/>
        </w:rPr>
        <w:t> </w:t>
      </w:r>
      <w:r>
        <w:rPr>
          <w:spacing w:val="-55"/>
        </w:rPr>
      </w:r>
      <w:r>
        <w:rPr>
          <w:spacing w:val="-1"/>
        </w:rPr>
        <w:t>包含分摊的商誉的资产组或资产组组合的可收回金额低于其账面价值的，确认相应的减值损失。</w:t>
      </w:r>
      <w:r>
        <w:rPr>
          <w:spacing w:val="-55"/>
        </w:rPr>
        <w:t> </w:t>
      </w:r>
      <w:r>
        <w:rPr>
          <w:spacing w:val="-55"/>
        </w:rPr>
      </w:r>
      <w:r>
        <w:rPr>
          <w:spacing w:val="-1"/>
        </w:rPr>
        <w:t>减值损失金额先抵减分摊至该资产组或资产组组合的商誉的账面价值，再根据资产组或资产组组</w:t>
      </w:r>
      <w:r>
        <w:rPr>
          <w:spacing w:val="-55"/>
        </w:rPr>
        <w:t> </w:t>
      </w:r>
      <w:r>
        <w:rPr>
          <w:spacing w:val="-55"/>
        </w:rPr>
      </w:r>
      <w:r>
        <w:rPr/>
        <w:t>合中除商誉以外的其他各项资产的账面价值所占比重，按比例抵减其他各项资产的账面价值。</w:t>
      </w:r>
      <w:r>
        <w:rPr>
          <w:w w:val="100"/>
        </w:rPr>
        <w:t> </w:t>
      </w:r>
      <w:r>
        <w:rPr/>
        <w:t>上述资产减值损失一经确认，以后期间不予转回价值得以恢复的部分。</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37" w:lineRule="auto" w:before="61"/>
        <w:ind w:right="0"/>
        <w:jc w:val="left"/>
      </w:pPr>
      <w:r>
        <w:rPr/>
        <w:t>√适用□不适用</w:t>
      </w:r>
      <w:r>
        <w:rPr>
          <w:spacing w:val="-103"/>
        </w:rPr>
        <w:t> </w:t>
      </w:r>
      <w:r>
        <w:rPr>
          <w:spacing w:val="-103"/>
        </w:rPr>
      </w:r>
      <w:r>
        <w:rPr>
          <w:spacing w:val="-1"/>
        </w:rPr>
        <w:t>本公司长期待摊费用是指已经支出，但受益期限在一年以上（不含一年）的各项费用。长期待摊</w:t>
      </w:r>
      <w:r>
        <w:rPr>
          <w:spacing w:val="-55"/>
        </w:rPr>
        <w:t> </w:t>
      </w:r>
      <w:r>
        <w:rPr>
          <w:spacing w:val="-55"/>
        </w:rPr>
      </w:r>
      <w:r>
        <w:rPr>
          <w:spacing w:val="-1"/>
        </w:rPr>
        <w:t>费用按费用项目的受益期限分期摊销。若长期待摊的费用项目不能使以后会计期间受益，则将尚</w:t>
      </w:r>
      <w:r>
        <w:rPr>
          <w:spacing w:val="-55"/>
        </w:rPr>
        <w:t> </w:t>
      </w:r>
      <w:r>
        <w:rPr>
          <w:spacing w:val="-55"/>
        </w:rPr>
      </w:r>
      <w:r>
        <w:rPr/>
        <w:t>未摊销的该项目的摊余价值全部转入当期损益。</w:t>
      </w:r>
    </w:p>
    <w:p>
      <w:pPr>
        <w:spacing w:line="240" w:lineRule="auto" w:before="11"/>
        <w:rPr>
          <w:rFonts w:ascii="宋体" w:hAnsi="宋体" w:cs="宋体" w:eastAsia="宋体" w:hint="default"/>
          <w:sz w:val="22"/>
          <w:szCs w:val="22"/>
        </w:rPr>
      </w:pPr>
    </w:p>
    <w:p>
      <w:pPr>
        <w:pStyle w:val="BodyText"/>
        <w:spacing w:line="280" w:lineRule="auto"/>
        <w:ind w:right="0"/>
        <w:jc w:val="left"/>
      </w:pPr>
      <w:r>
        <w:rPr>
          <w:rFonts w:ascii="宋体" w:hAnsi="宋体" w:cs="宋体" w:eastAsia="宋体" w:hint="default"/>
          <w:b/>
          <w:bCs/>
        </w:rPr>
        <w:t>24.</w:t>
      </w:r>
      <w:r>
        <w:rPr>
          <w:rFonts w:ascii="宋体" w:hAnsi="宋体" w:cs="宋体" w:eastAsia="宋体" w:hint="default"/>
          <w:b/>
          <w:bCs/>
          <w:spacing w:val="2"/>
        </w:rPr>
        <w:t> </w:t>
      </w:r>
      <w:r>
        <w:rPr>
          <w:rFonts w:ascii="宋体" w:hAnsi="宋体" w:cs="宋体" w:eastAsia="宋体" w:hint="default"/>
          <w:b/>
          <w:bCs/>
        </w:rPr>
        <w:t>职工薪酬</w:t>
      </w:r>
      <w:r>
        <w:rPr>
          <w:rFonts w:ascii="宋体" w:hAnsi="宋体" w:cs="宋体" w:eastAsia="宋体" w:hint="default"/>
          <w:b/>
          <w:bCs/>
          <w:w w:val="100"/>
        </w:rPr>
        <w:t> </w:t>
      </w:r>
      <w:r>
        <w:rPr>
          <w:spacing w:val="-2"/>
        </w:rPr>
        <w:t>职工薪酬，是指企业为获得职工提供的服务或解除劳动关系而给予的各种形式的报酬或补偿。职</w:t>
      </w:r>
      <w:r>
        <w:rPr>
          <w:spacing w:val="-25"/>
        </w:rPr>
        <w:t> </w:t>
      </w:r>
      <w:r>
        <w:rPr>
          <w:spacing w:val="-25"/>
        </w:rPr>
      </w:r>
      <w:r>
        <w:rPr/>
        <w:t>工薪酬主要包括短期薪酬、离职后福利、辞退福利和其他长期职工福利。</w:t>
      </w:r>
    </w:p>
    <w:p>
      <w:pPr>
        <w:pStyle w:val="Heading2"/>
        <w:spacing w:line="240" w:lineRule="auto" w:before="64"/>
        <w:ind w:right="0"/>
        <w:jc w:val="left"/>
        <w:rPr>
          <w:b w:val="0"/>
          <w:bCs w:val="0"/>
        </w:rPr>
      </w:pPr>
      <w:r>
        <w:rPr>
          <w:rFonts w:ascii="宋体" w:hAnsi="宋体" w:cs="宋体" w:eastAsia="宋体" w:hint="default"/>
        </w:rPr>
        <w:t>(1)</w:t>
      </w:r>
      <w:r>
        <w:rPr/>
        <w:t>、短期薪酬的会计处理方法</w:t>
      </w:r>
      <w:r>
        <w:rPr>
          <w:b w:val="0"/>
          <w:bCs w:val="0"/>
        </w:rPr>
      </w:r>
    </w:p>
    <w:p>
      <w:pPr>
        <w:pStyle w:val="BodyText"/>
        <w:spacing w:line="237" w:lineRule="auto" w:before="59"/>
        <w:ind w:right="0"/>
        <w:jc w:val="left"/>
      </w:pPr>
      <w:r>
        <w:rPr/>
        <w:t>√适用□不适用</w:t>
      </w:r>
      <w:r>
        <w:rPr>
          <w:spacing w:val="-103"/>
        </w:rPr>
        <w:t> </w:t>
      </w:r>
      <w:r>
        <w:rPr>
          <w:spacing w:val="-103"/>
        </w:rPr>
      </w:r>
      <w:r>
        <w:rPr>
          <w:spacing w:val="-1"/>
        </w:rPr>
        <w:t>在职工为本公司提供服务的会计期间，将实际发生的短期薪酬确认为负债，并计入当期损益，其</w:t>
      </w:r>
      <w:r>
        <w:rPr>
          <w:spacing w:val="-55"/>
        </w:rPr>
        <w:t> </w:t>
      </w:r>
      <w:r>
        <w:rPr>
          <w:spacing w:val="-55"/>
        </w:rPr>
      </w:r>
      <w:r>
        <w:rPr>
          <w:spacing w:val="-1"/>
        </w:rPr>
        <w:t>他会计准则要求或允许计入资产成本的除外。本公司发生的职工福利费，在实际发生时根据实际</w:t>
      </w:r>
      <w:r>
        <w:rPr>
          <w:spacing w:val="-55"/>
        </w:rPr>
        <w:t> </w:t>
      </w:r>
      <w:r>
        <w:rPr>
          <w:spacing w:val="-55"/>
        </w:rPr>
      </w:r>
      <w:r>
        <w:rPr>
          <w:spacing w:val="-1"/>
        </w:rPr>
        <w:t>发生额计入当期损益或相关资产成本。职工福利费为非货币性福利的，按照公允价值计量。企业</w:t>
      </w:r>
      <w:r>
        <w:rPr>
          <w:spacing w:val="-55"/>
        </w:rPr>
        <w:t> </w:t>
      </w:r>
      <w:r>
        <w:rPr>
          <w:spacing w:val="-55"/>
        </w:rPr>
      </w:r>
      <w:r>
        <w:rPr>
          <w:spacing w:val="-1"/>
        </w:rPr>
        <w:t>为职工缴纳的医疗保险费、工伤保险费、生育保险费等社会保险费和住房公积金，以及按规定提</w:t>
      </w:r>
      <w:r>
        <w:rPr>
          <w:spacing w:val="-55"/>
        </w:rPr>
        <w:t> </w:t>
      </w:r>
      <w:r>
        <w:rPr>
          <w:spacing w:val="-55"/>
        </w:rPr>
      </w:r>
      <w:r>
        <w:rPr>
          <w:spacing w:val="-1"/>
        </w:rPr>
        <w:t>取的工会经费和职工教育经费，在职工提供服务的会计期间，根据规定的计提基础和计提比例计</w:t>
      </w:r>
      <w:r>
        <w:rPr>
          <w:spacing w:val="-55"/>
        </w:rPr>
        <w:t> </w:t>
      </w:r>
      <w:r>
        <w:rPr>
          <w:spacing w:val="-55"/>
        </w:rPr>
      </w:r>
      <w:r>
        <w:rPr/>
        <w:t>算确定相应的职工薪酬金额，并确认相应负债，计入当期损益或相关资产成本。</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(2)</w:t>
      </w:r>
      <w:r>
        <w:rPr/>
        <w:t>、离职后福利的会计处理方法</w:t>
      </w:r>
      <w:r>
        <w:rPr>
          <w:b w:val="0"/>
          <w:bCs w:val="0"/>
        </w:rPr>
      </w:r>
    </w:p>
    <w:p>
      <w:pPr>
        <w:pStyle w:val="BodyText"/>
        <w:spacing w:line="237" w:lineRule="auto" w:before="61"/>
        <w:ind w:right="0"/>
        <w:jc w:val="left"/>
      </w:pPr>
      <w:r>
        <w:rPr/>
        <w:t>√适用□不适用</w:t>
      </w:r>
      <w:r>
        <w:rPr>
          <w:spacing w:val="-103"/>
        </w:rPr>
        <w:t> </w:t>
      </w:r>
      <w:r>
        <w:rPr>
          <w:spacing w:val="-103"/>
        </w:rPr>
      </w:r>
      <w:r>
        <w:rPr>
          <w:spacing w:val="-1"/>
        </w:rPr>
        <w:t>本公司在职工提供服务的会计期间，根据设定提存计划计算的应缴存金额确认为负债，并计入当</w:t>
      </w:r>
      <w:r>
        <w:rPr>
          <w:spacing w:val="-55"/>
        </w:rPr>
        <w:t> </w:t>
      </w:r>
      <w:r>
        <w:rPr>
          <w:spacing w:val="-55"/>
        </w:rPr>
      </w:r>
      <w:r>
        <w:rPr>
          <w:spacing w:val="-1"/>
        </w:rPr>
        <w:t>期损益或相关资产成本。根据预期累计福利单位法确定的公式将设定受益计划产生的福利义务归</w:t>
      </w:r>
      <w:r>
        <w:rPr>
          <w:spacing w:val="-55"/>
        </w:rPr>
        <w:t> </w:t>
      </w:r>
      <w:r>
        <w:rPr>
          <w:spacing w:val="-55"/>
        </w:rPr>
      </w:r>
      <w:r>
        <w:rPr/>
        <w:t>属于职工提供服务的期间，并计入当期损益或相关资产成本。</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(3)</w:t>
      </w:r>
      <w:r>
        <w:rPr/>
        <w:t>、辞退福利的会计处理方法</w:t>
      </w:r>
      <w:r>
        <w:rPr>
          <w:b w:val="0"/>
          <w:bCs w:val="0"/>
        </w:rPr>
      </w:r>
    </w:p>
    <w:p>
      <w:pPr>
        <w:pStyle w:val="BodyText"/>
        <w:spacing w:line="237" w:lineRule="auto" w:before="61"/>
        <w:ind w:right="0"/>
        <w:jc w:val="left"/>
      </w:pPr>
      <w:r>
        <w:rPr/>
        <w:t>√适用□不适用</w:t>
      </w:r>
      <w:r>
        <w:rPr>
          <w:spacing w:val="-103"/>
        </w:rPr>
        <w:t> </w:t>
      </w:r>
      <w:r>
        <w:rPr>
          <w:spacing w:val="-103"/>
        </w:rPr>
      </w:r>
      <w:r>
        <w:rPr>
          <w:spacing w:val="-1"/>
        </w:rPr>
        <w:t>本公司向职工提供辞退福利时，在下列两者孰早日确认辞退福利产生的职工薪酬负债，并计入当</w:t>
      </w:r>
      <w:r>
        <w:rPr>
          <w:spacing w:val="-55"/>
        </w:rPr>
        <w:t> </w:t>
      </w:r>
      <w:r>
        <w:rPr>
          <w:spacing w:val="-55"/>
        </w:rPr>
      </w:r>
      <w:r>
        <w:rPr>
          <w:spacing w:val="-1"/>
        </w:rPr>
        <w:t>期损益：企业不能单方面撤回因解除劳动关系计划或裁减建议所提供的辞退福利时；公司确认与</w:t>
      </w:r>
    </w:p>
    <w:p>
      <w:pPr>
        <w:spacing w:after="0" w:line="23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涉及支付辞退福利的重组相关的成本或费用时。</w:t>
      </w:r>
    </w:p>
    <w:p>
      <w:pPr>
        <w:spacing w:line="240" w:lineRule="auto" w:before="0"/>
        <w:rPr>
          <w:rFonts w:ascii="宋体" w:hAnsi="宋体" w:cs="宋体" w:eastAsia="宋体" w:hint="default"/>
          <w:sz w:val="23"/>
          <w:szCs w:val="23"/>
        </w:rPr>
      </w:pPr>
    </w:p>
    <w:p>
      <w:pPr>
        <w:pStyle w:val="Heading2"/>
        <w:spacing w:line="240" w:lineRule="auto" w:before="0"/>
        <w:ind w:right="0"/>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37" w:lineRule="auto" w:before="59"/>
        <w:ind w:right="0"/>
        <w:jc w:val="left"/>
      </w:pPr>
      <w:r>
        <w:rPr/>
        <w:t>√适用□不适用</w:t>
      </w:r>
      <w:r>
        <w:rPr>
          <w:spacing w:val="-103"/>
        </w:rPr>
        <w:t> </w:t>
      </w:r>
      <w:r>
        <w:rPr>
          <w:spacing w:val="-103"/>
        </w:rPr>
      </w:r>
      <w:r>
        <w:rPr>
          <w:spacing w:val="-1"/>
        </w:rPr>
        <w:t>本公司向职工提供的其他长期职工福利，符合设定提存计划条件的，应当有关设定提存计划的规</w:t>
      </w:r>
      <w:r>
        <w:rPr>
          <w:spacing w:val="-55"/>
        </w:rPr>
        <w:t> </w:t>
      </w:r>
      <w:r>
        <w:rPr>
          <w:spacing w:val="-55"/>
        </w:rPr>
      </w:r>
      <w:r>
        <w:rPr>
          <w:spacing w:val="-1"/>
        </w:rPr>
        <w:t>定进行处理；除此外，根据设定受益计划的有关规定，确认和计量其他长期职工福利净负债或净</w:t>
      </w:r>
      <w:r>
        <w:rPr>
          <w:spacing w:val="-55"/>
        </w:rPr>
        <w:t> </w:t>
      </w:r>
      <w:r>
        <w:rPr>
          <w:spacing w:val="-55"/>
        </w:rPr>
      </w:r>
      <w:r>
        <w:rPr/>
        <w:t>资产。</w:t>
      </w:r>
    </w:p>
    <w:p>
      <w:pPr>
        <w:spacing w:line="240" w:lineRule="auto" w:before="1"/>
        <w:rPr>
          <w:rFonts w:ascii="宋体" w:hAnsi="宋体" w:cs="宋体" w:eastAsia="宋体" w:hint="default"/>
          <w:sz w:val="23"/>
          <w:szCs w:val="23"/>
        </w:rPr>
      </w:pPr>
    </w:p>
    <w:p>
      <w:pPr>
        <w:pStyle w:val="Heading2"/>
        <w:spacing w:line="240" w:lineRule="auto" w:before="0"/>
        <w:ind w:right="0"/>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37" w:lineRule="auto" w:before="59"/>
        <w:ind w:right="0"/>
        <w:jc w:val="left"/>
      </w:pPr>
      <w:r>
        <w:rPr/>
        <w:t>√适用□不适用</w:t>
      </w:r>
      <w:r>
        <w:rPr>
          <w:spacing w:val="-103"/>
        </w:rPr>
        <w:t> </w:t>
      </w:r>
      <w:r>
        <w:rPr>
          <w:spacing w:val="-103"/>
        </w:rPr>
      </w:r>
      <w:r>
        <w:rPr>
          <w:spacing w:val="-1"/>
        </w:rPr>
        <w:t>当与或有事项相关的义务是公司承担的现时义务，且履行该义务很可能导致经济利益流出，同时</w:t>
      </w:r>
      <w:r>
        <w:rPr>
          <w:spacing w:val="-55"/>
        </w:rPr>
        <w:t> </w:t>
      </w:r>
      <w:r>
        <w:rPr>
          <w:spacing w:val="-55"/>
        </w:rPr>
      </w:r>
      <w:r>
        <w:rPr>
          <w:spacing w:val="-1"/>
        </w:rPr>
        <w:t>其金额能够可靠地计量时确认该义务为预计负债。本公司按照履行相关现时义务所需支出的最佳</w:t>
      </w:r>
      <w:r>
        <w:rPr>
          <w:spacing w:val="-55"/>
        </w:rPr>
        <w:t> </w:t>
      </w:r>
      <w:r>
        <w:rPr>
          <w:spacing w:val="-55"/>
        </w:rPr>
      </w:r>
      <w:r>
        <w:rPr>
          <w:spacing w:val="-1"/>
        </w:rPr>
        <w:t>估计数进行初始计量，如所需支出存在一个连续范围，且该范围内各种结果发生的可能性相同，</w:t>
      </w:r>
      <w:r>
        <w:rPr>
          <w:spacing w:val="-55"/>
        </w:rPr>
        <w:t> </w:t>
      </w:r>
      <w:r>
        <w:rPr>
          <w:spacing w:val="-55"/>
        </w:rPr>
      </w:r>
      <w:r>
        <w:rPr>
          <w:spacing w:val="-1"/>
        </w:rPr>
        <w:t>最佳估计数按照该范围内的中间值确定；如涉及多个项目，按照各种可能结果及相关概率计算确</w:t>
      </w:r>
      <w:r>
        <w:rPr>
          <w:spacing w:val="-55"/>
        </w:rPr>
        <w:t> </w:t>
      </w:r>
      <w:r>
        <w:rPr>
          <w:spacing w:val="-55"/>
        </w:rPr>
      </w:r>
      <w:r>
        <w:rPr/>
        <w:t>定最佳估计数。</w:t>
      </w:r>
      <w:r>
        <w:rPr>
          <w:spacing w:val="-103"/>
        </w:rPr>
        <w:t> </w:t>
      </w:r>
      <w:r>
        <w:rPr>
          <w:spacing w:val="-103"/>
        </w:rPr>
      </w:r>
      <w:r>
        <w:rPr>
          <w:spacing w:val="-1"/>
        </w:rPr>
        <w:t>资产负债表日应当对预计负债账面价值进行复核，有确凿证据表明该账面价值不能真实反映当前</w:t>
      </w:r>
      <w:r>
        <w:rPr>
          <w:spacing w:val="-55"/>
        </w:rPr>
        <w:t> </w:t>
      </w:r>
      <w:r>
        <w:rPr>
          <w:spacing w:val="-55"/>
        </w:rPr>
      </w:r>
      <w:r>
        <w:rPr/>
        <w:t>最佳估计数，应当按照当前最佳估计数对该账面价值进行调整。</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37" w:lineRule="auto" w:before="61"/>
        <w:ind w:right="0"/>
        <w:jc w:val="left"/>
      </w:pPr>
      <w:r>
        <w:rPr/>
        <w:t>√适用□不适用</w:t>
      </w:r>
      <w:r>
        <w:rPr>
          <w:spacing w:val="-103"/>
        </w:rPr>
        <w:t> </w:t>
      </w:r>
      <w:r>
        <w:rPr>
          <w:spacing w:val="-103"/>
        </w:rPr>
      </w:r>
      <w:r>
        <w:rPr>
          <w:spacing w:val="-1"/>
        </w:rPr>
        <w:t>本公司股份支付包括以权益结算的股份支付和以现金结算的股份支付。以权益结算的股份支付换</w:t>
      </w:r>
      <w:r>
        <w:rPr>
          <w:spacing w:val="-55"/>
        </w:rPr>
        <w:t> </w:t>
      </w:r>
      <w:r>
        <w:rPr>
          <w:spacing w:val="-55"/>
        </w:rPr>
      </w:r>
      <w:r>
        <w:rPr>
          <w:spacing w:val="-1"/>
        </w:rPr>
        <w:t>取职工提供服务的，以授予职工权益工具的公允价值计量。存在活跃市场的，按照活跃市场中的</w:t>
      </w:r>
      <w:r>
        <w:rPr>
          <w:spacing w:val="-55"/>
        </w:rPr>
        <w:t> </w:t>
      </w:r>
      <w:r>
        <w:rPr>
          <w:spacing w:val="-55"/>
        </w:rPr>
      </w:r>
      <w:r>
        <w:rPr>
          <w:spacing w:val="-1"/>
        </w:rPr>
        <w:t>报价确定；不存在活跃市场的，采用估值技术确定，包括参考熟悉情况并自愿交易的各方最近进</w:t>
      </w:r>
      <w:r>
        <w:rPr>
          <w:spacing w:val="-55"/>
        </w:rPr>
        <w:t> </w:t>
      </w:r>
      <w:r>
        <w:rPr>
          <w:spacing w:val="-55"/>
        </w:rPr>
      </w:r>
      <w:r>
        <w:rPr>
          <w:spacing w:val="-1"/>
        </w:rPr>
        <w:t>行的市场交易中使用的价格、参照实质上相同的其他金融工具的当前公允价值、现金流量折现法</w:t>
      </w:r>
      <w:r>
        <w:rPr>
          <w:spacing w:val="-55"/>
        </w:rPr>
        <w:t> </w:t>
      </w:r>
      <w:r>
        <w:rPr>
          <w:spacing w:val="-55"/>
        </w:rPr>
      </w:r>
      <w:r>
        <w:rPr/>
        <w:t>和期权定价模型等。</w:t>
      </w:r>
      <w:r>
        <w:rPr>
          <w:w w:val="100"/>
        </w:rPr>
        <w:t> </w:t>
      </w:r>
      <w:r>
        <w:rPr>
          <w:spacing w:val="-1"/>
        </w:rPr>
        <w:t>在各个资产负债表日，根据最新取得的可行权人数变动、业绩指标完成情况等后续信息，修正预</w:t>
      </w:r>
      <w:r>
        <w:rPr>
          <w:spacing w:val="-55"/>
        </w:rPr>
        <w:t> </w:t>
      </w:r>
      <w:r>
        <w:rPr>
          <w:spacing w:val="-55"/>
        </w:rPr>
      </w:r>
      <w:r>
        <w:rPr>
          <w:spacing w:val="-1"/>
        </w:rPr>
        <w:t>计可行权的股票期权数量，并以此为依据确认各期应分摊的费用。对于跨越多个会计期间的期权</w:t>
      </w:r>
      <w:r>
        <w:rPr>
          <w:spacing w:val="-55"/>
        </w:rPr>
        <w:t> </w:t>
      </w:r>
      <w:r>
        <w:rPr>
          <w:spacing w:val="-55"/>
        </w:rPr>
      </w:r>
      <w:r>
        <w:rPr/>
        <w:t>费用，一般可以按照该期权在某会计期间内等待期长度占整个等待期长度的比例进行分摊。</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80" w:val="left" w:leader="none"/>
        </w:tabs>
        <w:spacing w:line="274" w:lineRule="exact" w:before="56"/>
        <w:ind w:right="0"/>
        <w:jc w:val="left"/>
      </w:pPr>
      <w:r>
        <w:rPr/>
        <w:t>√适用</w:t>
        <w:tab/>
        <w:t>□不适用</w:t>
      </w:r>
    </w:p>
    <w:p>
      <w:pPr>
        <w:pStyle w:val="BodyText"/>
        <w:spacing w:line="230" w:lineRule="auto" w:before="9"/>
        <w:ind w:right="124"/>
        <w:jc w:val="left"/>
      </w:pPr>
      <w:r>
        <w:rPr>
          <w:rFonts w:ascii="Times New Roman" w:hAnsi="Times New Roman" w:cs="Times New Roman" w:eastAsia="Times New Roman" w:hint="default"/>
        </w:rPr>
        <w:t>1</w:t>
      </w:r>
      <w:r>
        <w:rPr/>
        <w:t>、金融负债和权益工具的划分</w:t>
      </w:r>
      <w:r>
        <w:rPr>
          <w:w w:val="100"/>
        </w:rPr>
        <w:t> </w:t>
      </w:r>
      <w:r>
        <w:rPr>
          <w:spacing w:val="-6"/>
          <w:w w:val="100"/>
        </w:rPr>
        <w:t>本公司发行的优先股、永续债（例如长期限含权中期票据）、认股权、可转换公司债券等，按照以</w:t>
      </w:r>
      <w:r>
        <w:rPr>
          <w:w w:val="100"/>
        </w:rPr>
        <w:t> </w:t>
      </w:r>
      <w:r>
        <w:rPr/>
        <w:t>下原则换分为金融负债或权益工具：</w:t>
      </w:r>
    </w:p>
    <w:p>
      <w:pPr>
        <w:pStyle w:val="BodyText"/>
        <w:spacing w:line="274" w:lineRule="exact" w:before="23"/>
        <w:ind w:right="0"/>
        <w:jc w:val="left"/>
      </w:pPr>
      <w:r>
        <w:rPr>
          <w:spacing w:val="-4"/>
        </w:rPr>
        <w:t>（</w:t>
      </w:r>
      <w:r>
        <w:rPr>
          <w:rFonts w:ascii="Times New Roman" w:hAnsi="Times New Roman" w:cs="Times New Roman" w:eastAsia="Times New Roman" w:hint="default"/>
          <w:spacing w:val="-4"/>
        </w:rPr>
        <w:t>1</w:t>
      </w:r>
      <w:r>
        <w:rPr>
          <w:spacing w:val="-4"/>
        </w:rPr>
        <w:t>）通过交付现金、其他金融资产或交换金融资产或金融负债结算的情况。如果企业不能无条件</w:t>
      </w:r>
      <w:r>
        <w:rPr>
          <w:spacing w:val="-33"/>
        </w:rPr>
        <w:t> </w:t>
      </w:r>
      <w:r>
        <w:rPr>
          <w:spacing w:val="-33"/>
        </w:rPr>
      </w:r>
      <w:r>
        <w:rPr/>
        <w:t>地避免以交付现金或其他金融资产来履行一项合同义务，则该合同义务符合金融负债的定义。</w:t>
      </w:r>
    </w:p>
    <w:p>
      <w:pPr>
        <w:pStyle w:val="BodyText"/>
        <w:spacing w:line="253" w:lineRule="exact"/>
        <w:ind w:right="0"/>
        <w:jc w:val="left"/>
      </w:pPr>
      <w:r>
        <w:rPr>
          <w:spacing w:val="-4"/>
        </w:rPr>
        <w:t>（</w:t>
      </w:r>
      <w:r>
        <w:rPr>
          <w:rFonts w:ascii="Times New Roman" w:hAnsi="Times New Roman" w:cs="Times New Roman" w:eastAsia="Times New Roman" w:hint="default"/>
          <w:spacing w:val="-4"/>
        </w:rPr>
        <w:t>2</w:t>
      </w:r>
      <w:r>
        <w:rPr>
          <w:spacing w:val="-4"/>
        </w:rPr>
        <w:t>）通过自身权益工具结算的情况。如果发行的金融工具须用或可用企业自身权益工具结算，作</w:t>
      </w:r>
    </w:p>
    <w:p>
      <w:pPr>
        <w:pStyle w:val="BodyText"/>
        <w:spacing w:line="272" w:lineRule="exact" w:before="19"/>
        <w:ind w:right="0"/>
        <w:jc w:val="left"/>
      </w:pPr>
      <w:r>
        <w:rPr>
          <w:spacing w:val="-1"/>
        </w:rPr>
        <w:t>为现金或其他金融资产的替代品，该工具是发行方的金融负债；如果为了使该工具持有人享有在</w:t>
      </w:r>
      <w:r>
        <w:rPr>
          <w:spacing w:val="-55"/>
        </w:rPr>
        <w:t> </w:t>
      </w:r>
      <w:r>
        <w:rPr>
          <w:spacing w:val="-55"/>
        </w:rPr>
      </w:r>
      <w:r>
        <w:rPr/>
        <w:t>发行方扣除所有负债后的资产中的剩余权益，则该工具是发行方的权益工具。</w:t>
      </w:r>
    </w:p>
    <w:p>
      <w:pPr>
        <w:pStyle w:val="BodyText"/>
        <w:spacing w:line="272" w:lineRule="exact" w:before="1"/>
        <w:ind w:right="0"/>
        <w:jc w:val="left"/>
      </w:pPr>
      <w:r>
        <w:rPr>
          <w:spacing w:val="-4"/>
        </w:rPr>
        <w:t>（</w:t>
      </w:r>
      <w:r>
        <w:rPr>
          <w:rFonts w:ascii="Times New Roman" w:hAnsi="Times New Roman" w:cs="Times New Roman" w:eastAsia="Times New Roman" w:hint="default"/>
          <w:spacing w:val="-4"/>
        </w:rPr>
        <w:t>3</w:t>
      </w:r>
      <w:r>
        <w:rPr>
          <w:spacing w:val="-4"/>
        </w:rPr>
        <w:t>）对于将来须用或可用企业自身权益工具结算的金融工具的分类，应当区分衍生工具还是非衍</w:t>
      </w:r>
      <w:r>
        <w:rPr>
          <w:spacing w:val="-33"/>
        </w:rPr>
        <w:t> </w:t>
      </w:r>
      <w:r>
        <w:rPr>
          <w:spacing w:val="-33"/>
        </w:rPr>
      </w:r>
      <w:r>
        <w:rPr>
          <w:spacing w:val="-1"/>
        </w:rPr>
        <w:t>生工具。对于非衍生工具，如果发行方未来没有义务交付可变数量的自身权益工具进行结算，则</w:t>
      </w:r>
    </w:p>
    <w:p>
      <w:pPr>
        <w:pStyle w:val="BodyText"/>
        <w:spacing w:line="272" w:lineRule="exact" w:before="1"/>
        <w:ind w:right="128"/>
        <w:jc w:val="both"/>
      </w:pPr>
      <w:r>
        <w:rPr>
          <w:spacing w:val="-1"/>
        </w:rPr>
        <w:t>该非衍生工具是权益工具；否则，该非衍生工具是金融负债。对于衍生工具，如果发行方只能通</w:t>
      </w:r>
      <w:r>
        <w:rPr>
          <w:spacing w:val="-55"/>
        </w:rPr>
        <w:t> </w:t>
      </w:r>
      <w:r>
        <w:rPr>
          <w:spacing w:val="-55"/>
        </w:rPr>
      </w:r>
      <w:r>
        <w:rPr>
          <w:spacing w:val="-1"/>
        </w:rPr>
        <w:t>过以固定数量的自身权益工具交换固定金额的现金或其他金融资产进行结算，则该衍生工具是权</w:t>
      </w:r>
      <w:r>
        <w:rPr>
          <w:spacing w:val="-55"/>
        </w:rPr>
        <w:t> </w:t>
      </w:r>
      <w:r>
        <w:rPr>
          <w:spacing w:val="-55"/>
        </w:rPr>
      </w:r>
      <w:r>
        <w:rPr>
          <w:spacing w:val="-1"/>
        </w:rPr>
        <w:t>益工具；如果发行方以固定数量自身权益工具交换可变金额现金或其他金融资产，或以可变数量</w:t>
      </w:r>
    </w:p>
    <w:p>
      <w:pPr>
        <w:pStyle w:val="BodyText"/>
        <w:spacing w:line="272" w:lineRule="exact" w:before="1"/>
        <w:ind w:right="0"/>
        <w:jc w:val="left"/>
      </w:pPr>
      <w:r>
        <w:rPr>
          <w:spacing w:val="-1"/>
        </w:rPr>
        <w:t>自身权益工具交换固定金额现金或其他金融资产，或在转换价格不固定的情况下以可变数量自身</w:t>
      </w:r>
      <w:r>
        <w:rPr>
          <w:spacing w:val="-55"/>
        </w:rPr>
        <w:t> </w:t>
      </w:r>
      <w:r>
        <w:rPr>
          <w:spacing w:val="-55"/>
        </w:rPr>
      </w:r>
      <w:r>
        <w:rPr/>
        <w:t>权益工具交换可变金额现金或其他金融资产，则该衍生工具应当确认为金融负债或金融资产。</w:t>
      </w:r>
    </w:p>
    <w:p>
      <w:pPr>
        <w:pStyle w:val="BodyText"/>
        <w:spacing w:line="225" w:lineRule="auto"/>
        <w:ind w:right="0"/>
        <w:jc w:val="left"/>
      </w:pPr>
      <w:r>
        <w:rPr>
          <w:rFonts w:ascii="Times New Roman" w:hAnsi="Times New Roman" w:cs="Times New Roman" w:eastAsia="Times New Roman" w:hint="default"/>
        </w:rPr>
        <w:t>2</w:t>
      </w:r>
      <w:r>
        <w:rPr/>
        <w:t>、优先股、永续债的会计处理</w:t>
      </w:r>
      <w:r>
        <w:rPr>
          <w:w w:val="100"/>
        </w:rPr>
        <w:t> </w:t>
      </w:r>
      <w:r>
        <w:rPr>
          <w:spacing w:val="-1"/>
        </w:rPr>
        <w:t>发行方对于归类为金融负债的金融工具在</w:t>
      </w:r>
      <w:r>
        <w:rPr>
          <w:rFonts w:ascii="Times New Roman" w:hAnsi="Times New Roman" w:cs="Times New Roman" w:eastAsia="Times New Roman" w:hint="default"/>
          <w:spacing w:val="-1"/>
        </w:rPr>
        <w:t>“</w:t>
      </w:r>
      <w:r>
        <w:rPr>
          <w:spacing w:val="-1"/>
        </w:rPr>
        <w:t>应付债券</w:t>
      </w:r>
      <w:r>
        <w:rPr>
          <w:rFonts w:ascii="Times New Roman" w:hAnsi="Times New Roman" w:cs="Times New Roman" w:eastAsia="Times New Roman" w:hint="default"/>
          <w:spacing w:val="-1"/>
        </w:rPr>
        <w:t>”</w:t>
      </w:r>
      <w:r>
        <w:rPr>
          <w:spacing w:val="-1"/>
        </w:rPr>
        <w:t>科目核算，在该工具存续期间，计提利息并</w:t>
      </w:r>
      <w:r>
        <w:rPr>
          <w:spacing w:val="-25"/>
        </w:rPr>
        <w:t> </w:t>
      </w:r>
      <w:r>
        <w:rPr>
          <w:spacing w:val="-25"/>
        </w:rPr>
      </w:r>
      <w:r>
        <w:rPr>
          <w:spacing w:val="-1"/>
        </w:rPr>
        <w:t>对账面的利息调整进行调整等的会计处理，按照金融工具确认和计量准则中有关金融负债按摊余</w:t>
      </w:r>
    </w:p>
    <w:p>
      <w:pPr>
        <w:spacing w:after="0" w:line="225"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74" w:lineRule="exact" w:before="62"/>
        <w:ind w:right="0"/>
        <w:jc w:val="left"/>
      </w:pPr>
      <w:r>
        <w:rPr>
          <w:spacing w:val="-1"/>
        </w:rPr>
        <w:t>成本后续计量的规定进行会计处理。发行方对于归类为权益工具的在</w:t>
      </w:r>
      <w:r>
        <w:rPr>
          <w:rFonts w:ascii="Times New Roman" w:hAnsi="Times New Roman" w:cs="Times New Roman" w:eastAsia="Times New Roman" w:hint="default"/>
          <w:spacing w:val="-1"/>
        </w:rPr>
        <w:t>“</w:t>
      </w:r>
      <w:r>
        <w:rPr>
          <w:spacing w:val="-1"/>
        </w:rPr>
        <w:t>其他权益工具</w:t>
      </w:r>
      <w:r>
        <w:rPr>
          <w:rFonts w:ascii="Times New Roman" w:hAnsi="Times New Roman" w:cs="Times New Roman" w:eastAsia="Times New Roman" w:hint="default"/>
          <w:spacing w:val="-1"/>
        </w:rPr>
        <w:t>”</w:t>
      </w:r>
      <w:r>
        <w:rPr>
          <w:spacing w:val="-1"/>
        </w:rPr>
        <w:t>科目核算，</w:t>
      </w:r>
      <w:r>
        <w:rPr>
          <w:spacing w:val="-26"/>
        </w:rPr>
        <w:t> </w:t>
      </w:r>
      <w:r>
        <w:rPr>
          <w:spacing w:val="-26"/>
        </w:rPr>
      </w:r>
      <w:r>
        <w:rPr/>
        <w:t>在存续期间分派股利（含分类为权益工具的工具所产生的利息）的，作为利润分配处理。</w:t>
      </w:r>
    </w:p>
    <w:p>
      <w:pPr>
        <w:spacing w:line="240" w:lineRule="auto" w:before="12"/>
        <w:rPr>
          <w:rFonts w:ascii="宋体" w:hAnsi="宋体" w:cs="宋体" w:eastAsia="宋体" w:hint="default"/>
          <w:sz w:val="20"/>
          <w:szCs w:val="20"/>
        </w:rPr>
      </w:pPr>
    </w:p>
    <w:p>
      <w:pPr>
        <w:pStyle w:val="Heading2"/>
        <w:spacing w:line="240" w:lineRule="auto" w:before="0"/>
        <w:ind w:right="0"/>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40" w:lineRule="auto" w:before="56"/>
        <w:ind w:left="558" w:right="0" w:hanging="420"/>
        <w:jc w:val="left"/>
      </w:pPr>
      <w:r>
        <w:rPr/>
        <w:t>√适用□不适用</w:t>
      </w:r>
      <w:r>
        <w:rPr>
          <w:spacing w:val="-103"/>
        </w:rPr>
        <w:t> </w:t>
      </w:r>
      <w:r>
        <w:rPr>
          <w:spacing w:val="-103"/>
        </w:rPr>
      </w:r>
      <w:r>
        <w:rPr>
          <w:spacing w:val="-2"/>
        </w:rPr>
        <w:t>公司所涉及的业务收入，主要包括：智慧能源业务的软件产品销售收入、软件项目开发收入</w:t>
      </w:r>
    </w:p>
    <w:p>
      <w:pPr>
        <w:pStyle w:val="BodyText"/>
        <w:spacing w:line="271" w:lineRule="exact"/>
        <w:ind w:right="0"/>
        <w:jc w:val="left"/>
      </w:pPr>
      <w:r>
        <w:rPr/>
        <w:t>及系统集成收入；军工装备业务。具体收入确认原则及方法如下：</w:t>
      </w:r>
    </w:p>
    <w:p>
      <w:pPr>
        <w:pStyle w:val="BodyText"/>
        <w:spacing w:line="272" w:lineRule="exact" w:before="27"/>
        <w:ind w:left="558" w:right="0"/>
        <w:jc w:val="left"/>
      </w:pPr>
      <w:r>
        <w:rPr/>
        <w:t>（</w:t>
      </w:r>
      <w:r>
        <w:rPr>
          <w:rFonts w:ascii="Times New Roman" w:hAnsi="Times New Roman" w:cs="Times New Roman" w:eastAsia="Times New Roman" w:hint="default"/>
        </w:rPr>
        <w:t>1</w:t>
      </w:r>
      <w:r>
        <w:rPr/>
        <w:t>）软件产品销售收入的确认原则及方法</w:t>
      </w:r>
      <w:r>
        <w:rPr>
          <w:w w:val="100"/>
        </w:rPr>
        <w:t> </w:t>
      </w:r>
      <w:r>
        <w:rPr>
          <w:spacing w:val="-2"/>
        </w:rPr>
        <w:t>软件产品销售收入：是指销售不需进行二次开发即可直接使用的计算机软件所获得的收入。</w:t>
      </w:r>
    </w:p>
    <w:p>
      <w:pPr>
        <w:pStyle w:val="BodyText"/>
        <w:spacing w:line="272" w:lineRule="exact" w:before="1"/>
        <w:ind w:right="0"/>
        <w:jc w:val="left"/>
      </w:pPr>
      <w:r>
        <w:rPr>
          <w:spacing w:val="-1"/>
        </w:rPr>
        <w:t>该类产品的特点是通用性强、不需要进行本地化开发，通过产品配置、技术培训就能够满足客户</w:t>
      </w:r>
      <w:r>
        <w:rPr>
          <w:spacing w:val="-55"/>
        </w:rPr>
        <w:t> </w:t>
      </w:r>
      <w:r>
        <w:rPr>
          <w:spacing w:val="-55"/>
        </w:rPr>
      </w:r>
      <w:r>
        <w:rPr/>
        <w:t>对产品的应用需求。</w:t>
      </w:r>
    </w:p>
    <w:p>
      <w:pPr>
        <w:pStyle w:val="BodyText"/>
        <w:spacing w:line="272" w:lineRule="exact" w:before="1"/>
        <w:ind w:right="308" w:firstLine="419"/>
        <w:jc w:val="both"/>
      </w:pPr>
      <w:r>
        <w:rPr>
          <w:spacing w:val="-2"/>
        </w:rPr>
        <w:t>公司在已将所销售的软件产品使用权上的主要风险和报酬转移给买方、不再对该软件产品使</w:t>
      </w:r>
      <w:r>
        <w:rPr>
          <w:w w:val="100"/>
        </w:rPr>
        <w:t> </w:t>
      </w:r>
      <w:r>
        <w:rPr>
          <w:spacing w:val="-1"/>
        </w:rPr>
        <w:t>用权实施继续管理权和实际控制权、相关的收入已经取得或取得了收款的凭据且相关的经济利益</w:t>
      </w:r>
    </w:p>
    <w:p>
      <w:pPr>
        <w:pStyle w:val="BodyText"/>
        <w:spacing w:line="272" w:lineRule="exact" w:before="1"/>
        <w:ind w:left="558" w:right="0" w:hanging="420"/>
        <w:jc w:val="left"/>
      </w:pPr>
      <w:r>
        <w:rPr/>
        <w:t>很可能流入，与销售该软件产品有关的成本能够可靠地计量时，确认销售收入。</w:t>
      </w:r>
      <w:r>
        <w:rPr>
          <w:w w:val="100"/>
        </w:rPr>
        <w:t> </w:t>
      </w:r>
      <w:r>
        <w:rPr>
          <w:spacing w:val="-2"/>
        </w:rPr>
        <w:t>销售合同未规定需要安装验收的，在取得客户到货验收证明时确认为销售收入；销售合同规</w:t>
      </w:r>
    </w:p>
    <w:p>
      <w:pPr>
        <w:pStyle w:val="BodyText"/>
        <w:spacing w:line="247" w:lineRule="exact"/>
        <w:ind w:right="0"/>
        <w:jc w:val="left"/>
      </w:pPr>
      <w:r>
        <w:rPr/>
        <w:t>定需要安装验收的，在取得客户的安装验收报告时确认销售收入。</w:t>
      </w:r>
    </w:p>
    <w:p>
      <w:pPr>
        <w:pStyle w:val="BodyText"/>
        <w:spacing w:line="274" w:lineRule="exact" w:before="24"/>
        <w:ind w:left="558" w:right="0"/>
        <w:jc w:val="left"/>
      </w:pPr>
      <w:r>
        <w:rPr/>
        <w:t>（</w:t>
      </w:r>
      <w:r>
        <w:rPr>
          <w:rFonts w:ascii="Times New Roman" w:hAnsi="Times New Roman" w:cs="Times New Roman" w:eastAsia="Times New Roman" w:hint="default"/>
        </w:rPr>
        <w:t>2</w:t>
      </w:r>
      <w:r>
        <w:rPr/>
        <w:t>）软件开发项目收入的确认原则及方法</w:t>
      </w:r>
      <w:r>
        <w:rPr>
          <w:w w:val="100"/>
        </w:rPr>
        <w:t> </w:t>
      </w:r>
      <w:r>
        <w:rPr>
          <w:spacing w:val="-2"/>
        </w:rPr>
        <w:t>软件开发项目收入：是指接受客户委托，根据客户的需要，应用软件技术进行研究开发所获</w:t>
      </w:r>
    </w:p>
    <w:p>
      <w:pPr>
        <w:pStyle w:val="BodyText"/>
        <w:spacing w:line="245" w:lineRule="exact"/>
        <w:ind w:right="0"/>
        <w:jc w:val="left"/>
      </w:pPr>
      <w:r>
        <w:rPr/>
        <w:t>得的收入。该类业务通常是按客户需求定制，可复制性低、研发周期长。</w:t>
      </w:r>
    </w:p>
    <w:p>
      <w:pPr>
        <w:pStyle w:val="BodyText"/>
        <w:spacing w:line="237" w:lineRule="auto" w:before="2"/>
        <w:ind w:right="308" w:firstLine="419"/>
        <w:jc w:val="both"/>
      </w:pPr>
      <w:r>
        <w:rPr>
          <w:spacing w:val="-2"/>
        </w:rPr>
        <w:t>由于软件开发项目收入实质上属于提供劳务，适用收入准则中提供劳务收入的确认原则，公</w:t>
      </w:r>
      <w:r>
        <w:rPr>
          <w:w w:val="100"/>
        </w:rPr>
        <w:t> </w:t>
      </w:r>
      <w:r>
        <w:rPr>
          <w:spacing w:val="-1"/>
        </w:rPr>
        <w:t>司对软件开发项目收入的确认采用完工百分比法，即：在软件开发项目收入的金额能够可靠地计</w:t>
      </w:r>
      <w:r>
        <w:rPr>
          <w:spacing w:val="-55"/>
        </w:rPr>
        <w:t> </w:t>
      </w:r>
      <w:r>
        <w:rPr>
          <w:spacing w:val="-55"/>
        </w:rPr>
      </w:r>
      <w:r>
        <w:rPr>
          <w:spacing w:val="-1"/>
        </w:rPr>
        <w:t>量，相关的经济利益很可能流入企业，项目开发的完工进度能够可靠地确定，项目开发中已发生</w:t>
      </w:r>
      <w:r>
        <w:rPr>
          <w:spacing w:val="-55"/>
        </w:rPr>
        <w:t> </w:t>
      </w:r>
      <w:r>
        <w:rPr>
          <w:spacing w:val="-55"/>
        </w:rPr>
      </w:r>
      <w:r>
        <w:rPr/>
        <w:t>和将发生的成本能够可靠地计量时，确认软件开发项目收入。</w:t>
      </w:r>
    </w:p>
    <w:p>
      <w:pPr>
        <w:pStyle w:val="BodyText"/>
        <w:spacing w:line="272" w:lineRule="exact" w:before="26"/>
        <w:ind w:left="558" w:right="0"/>
        <w:jc w:val="left"/>
      </w:pPr>
      <w:r>
        <w:rPr/>
        <w:t>当期软件开发项目收入＝合同金额×累计完工进度</w:t>
      </w:r>
      <w:r>
        <w:rPr>
          <w:rFonts w:ascii="Times New Roman" w:hAnsi="Times New Roman" w:cs="Times New Roman" w:eastAsia="Times New Roman" w:hint="default"/>
        </w:rPr>
        <w:t>-</w:t>
      </w:r>
      <w:r>
        <w:rPr/>
        <w:t>已确认软件开发项目收入</w:t>
      </w:r>
      <w:r>
        <w:rPr>
          <w:w w:val="100"/>
        </w:rPr>
        <w:t> </w:t>
      </w:r>
      <w:r>
        <w:rPr>
          <w:spacing w:val="-1"/>
        </w:rPr>
        <w:t>软件开发项目完工百分比的确定方法：若合同约定工程进度的按合同约定执行；若合同未约</w:t>
      </w:r>
    </w:p>
    <w:p>
      <w:pPr>
        <w:pStyle w:val="BodyText"/>
        <w:spacing w:line="246" w:lineRule="exact"/>
        <w:ind w:right="0"/>
        <w:jc w:val="left"/>
      </w:pPr>
      <w:r>
        <w:rPr/>
        <w:t>定工程进度则按软件项目的实施环节确认完工进度，即公司取得项目实施相关环节的文档并得到</w:t>
      </w:r>
    </w:p>
    <w:p>
      <w:pPr>
        <w:pStyle w:val="BodyText"/>
        <w:spacing w:line="274" w:lineRule="exact"/>
        <w:ind w:right="0"/>
        <w:jc w:val="left"/>
      </w:pPr>
      <w:r>
        <w:rPr/>
        <w:t>客户确认后，确定工程进度。</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42"/>
        <w:gridCol w:w="975"/>
        <w:gridCol w:w="1171"/>
        <w:gridCol w:w="989"/>
        <w:gridCol w:w="987"/>
        <w:gridCol w:w="974"/>
        <w:gridCol w:w="989"/>
        <w:gridCol w:w="989"/>
        <w:gridCol w:w="636"/>
      </w:tblGrid>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项目研发环节</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项目立项</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可行性分析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初步设计</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编程设计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编程测试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实施评审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结项验收</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8"/>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项目完工进度</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10%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20"/>
                <w:szCs w:val="20"/>
              </w:rPr>
            </w:pPr>
            <w:r>
              <w:rPr>
                <w:rFonts w:ascii="Times New Roman"/>
                <w:sz w:val="20"/>
              </w:rPr>
              <w:t>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20"/>
                <w:szCs w:val="20"/>
              </w:rPr>
            </w:pPr>
            <w:r>
              <w:rPr>
                <w:rFonts w:ascii="Times New Roman"/>
                <w:sz w:val="20"/>
              </w:rPr>
              <w:t>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20"/>
                <w:szCs w:val="20"/>
              </w:rPr>
            </w:pPr>
            <w:r>
              <w:rPr>
                <w:rFonts w:ascii="Times New Roman"/>
                <w:sz w:val="20"/>
              </w:rPr>
              <w:t>30%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1"/>
              <w:jc w:val="center"/>
              <w:rPr>
                <w:rFonts w:ascii="Times New Roman" w:hAnsi="Times New Roman" w:cs="Times New Roman" w:eastAsia="Times New Roman" w:hint="default"/>
                <w:sz w:val="20"/>
                <w:szCs w:val="20"/>
              </w:rPr>
            </w:pPr>
            <w:r>
              <w:rPr>
                <w:rFonts w:ascii="Times New Roman"/>
                <w:sz w:val="20"/>
              </w:rPr>
              <w:t>100%</w:t>
            </w:r>
          </w:p>
        </w:tc>
      </w:tr>
    </w:tbl>
    <w:p>
      <w:pPr>
        <w:pStyle w:val="BodyText"/>
        <w:spacing w:line="247" w:lineRule="exact"/>
        <w:ind w:left="558" w:right="0"/>
        <w:jc w:val="left"/>
      </w:pPr>
      <w:r>
        <w:rPr/>
        <w:t>（</w:t>
      </w:r>
      <w:r>
        <w:rPr>
          <w:rFonts w:ascii="Times New Roman" w:hAnsi="Times New Roman" w:cs="Times New Roman" w:eastAsia="Times New Roman" w:hint="default"/>
        </w:rPr>
        <w:t>3</w:t>
      </w:r>
      <w:r>
        <w:rPr/>
        <w:t>）系统集成收入的确认原则及方法</w:t>
      </w:r>
    </w:p>
    <w:p>
      <w:pPr>
        <w:pStyle w:val="BodyText"/>
        <w:spacing w:line="237" w:lineRule="auto"/>
        <w:ind w:right="308" w:firstLine="419"/>
        <w:jc w:val="both"/>
      </w:pPr>
      <w:r>
        <w:rPr>
          <w:spacing w:val="-2"/>
        </w:rPr>
        <w:t>系统集成销售收入是指公司应客户要求使用自制软件及外购软硬件，并进行设计、安装、集</w:t>
      </w:r>
      <w:r>
        <w:rPr>
          <w:w w:val="100"/>
        </w:rPr>
        <w:t> </w:t>
      </w:r>
      <w:r>
        <w:rPr>
          <w:spacing w:val="-1"/>
        </w:rPr>
        <w:t>成所获得的收入。由于系统集成业务有涉及产品数量多、种类繁杂、工程需在客户现场实施等特</w:t>
      </w:r>
      <w:r>
        <w:rPr>
          <w:spacing w:val="-55"/>
        </w:rPr>
        <w:t> </w:t>
      </w:r>
      <w:r>
        <w:rPr>
          <w:spacing w:val="-55"/>
        </w:rPr>
      </w:r>
      <w:r>
        <w:rPr>
          <w:spacing w:val="-1"/>
        </w:rPr>
        <w:t>点，故公司采用完工百分比法确认其收入，即：系统集成收入的金额能够可靠地计量，相关的经</w:t>
      </w:r>
      <w:r>
        <w:rPr>
          <w:spacing w:val="-55"/>
        </w:rPr>
        <w:t> </w:t>
      </w:r>
      <w:r>
        <w:rPr>
          <w:spacing w:val="-55"/>
        </w:rPr>
      </w:r>
      <w:r>
        <w:rPr>
          <w:spacing w:val="-1"/>
        </w:rPr>
        <w:t>济利益很可能流入企业，系统集成项目的完工进度能够可靠地确定，项目中已发生和将发生的成</w:t>
      </w:r>
      <w:r>
        <w:rPr>
          <w:spacing w:val="-55"/>
        </w:rPr>
        <w:t> </w:t>
      </w:r>
      <w:r>
        <w:rPr>
          <w:spacing w:val="-55"/>
        </w:rPr>
      </w:r>
      <w:r>
        <w:rPr/>
        <w:t>本能够可靠地计量时，确认系统集成收入：</w:t>
      </w:r>
    </w:p>
    <w:p>
      <w:pPr>
        <w:pStyle w:val="BodyText"/>
        <w:spacing w:line="225" w:lineRule="auto" w:before="14"/>
        <w:ind w:left="558" w:right="0"/>
        <w:jc w:val="left"/>
      </w:pPr>
      <w:r>
        <w:rPr/>
        <w:t>当期系统集成收入＝合同金额×完工进度</w:t>
      </w:r>
      <w:r>
        <w:rPr>
          <w:rFonts w:ascii="Times New Roman" w:hAnsi="Times New Roman" w:cs="Times New Roman" w:eastAsia="Times New Roman" w:hint="default"/>
        </w:rPr>
        <w:t>-</w:t>
      </w:r>
      <w:r>
        <w:rPr/>
        <w:t>已确认系统集成收入</w:t>
      </w:r>
      <w:r>
        <w:rPr>
          <w:w w:val="100"/>
        </w:rPr>
        <w:t> </w:t>
      </w:r>
      <w:r>
        <w:rPr/>
        <w:t>完工进度＝（项目累计实际发出商品成本</w:t>
      </w:r>
      <w:r>
        <w:rPr>
          <w:rFonts w:ascii="Times New Roman" w:hAnsi="Times New Roman" w:cs="Times New Roman" w:eastAsia="Times New Roman" w:hint="default"/>
        </w:rPr>
        <w:t>/</w:t>
      </w:r>
      <w:r>
        <w:rPr/>
        <w:t>项目预算总成本）×</w:t>
      </w:r>
      <w:r>
        <w:rPr>
          <w:rFonts w:ascii="Times New Roman" w:hAnsi="Times New Roman" w:cs="Times New Roman" w:eastAsia="Times New Roman" w:hint="default"/>
        </w:rPr>
        <w:t>100%</w:t>
      </w:r>
      <w:r>
        <w:rPr/>
        <w:t>。</w:t>
      </w:r>
      <w:r>
        <w:rPr>
          <w:w w:val="100"/>
        </w:rPr>
        <w:t> </w:t>
      </w:r>
      <w:r>
        <w:rPr>
          <w:spacing w:val="-2"/>
        </w:rPr>
        <w:t>但若系统集成项目施工周期小于三个月或项目合同金额在一百万元以下，为简化会计处理程</w:t>
      </w:r>
    </w:p>
    <w:p>
      <w:pPr>
        <w:pStyle w:val="BodyText"/>
        <w:spacing w:line="280" w:lineRule="exact"/>
        <w:ind w:right="0"/>
        <w:jc w:val="left"/>
      </w:pPr>
      <w:r>
        <w:rPr/>
        <w:t>序，公司在取得客户收货</w:t>
      </w:r>
      <w:r>
        <w:rPr>
          <w:rFonts w:ascii="Times New Roman" w:hAnsi="Times New Roman" w:cs="Times New Roman" w:eastAsia="Times New Roman" w:hint="default"/>
        </w:rPr>
        <w:t>/</w:t>
      </w:r>
      <w:r>
        <w:rPr/>
        <w:t>验收报告时确认收入。</w:t>
      </w:r>
    </w:p>
    <w:p>
      <w:pPr>
        <w:pStyle w:val="BodyText"/>
        <w:spacing w:line="272" w:lineRule="exact" w:before="19"/>
        <w:ind w:left="558" w:right="0"/>
        <w:jc w:val="left"/>
      </w:pPr>
      <w:r>
        <w:rPr/>
        <w:t>（</w:t>
      </w:r>
      <w:r>
        <w:rPr>
          <w:rFonts w:ascii="Times New Roman" w:hAnsi="Times New Roman" w:cs="Times New Roman" w:eastAsia="Times New Roman" w:hint="default"/>
        </w:rPr>
        <w:t>4</w:t>
      </w:r>
      <w:r>
        <w:rPr/>
        <w:t>）军工装备及其他业务收入确认原则及方法</w:t>
      </w:r>
      <w:r>
        <w:rPr>
          <w:w w:val="100"/>
        </w:rPr>
        <w:t> </w:t>
      </w:r>
      <w:r>
        <w:rPr>
          <w:spacing w:val="-2"/>
        </w:rPr>
        <w:t>军工装备业务以购货方验收，并同时满足企业会计准则中规定的收入确认其他条件作为收入</w:t>
      </w:r>
    </w:p>
    <w:p>
      <w:pPr>
        <w:pStyle w:val="BodyText"/>
        <w:spacing w:line="247" w:lineRule="exact"/>
        <w:ind w:right="0"/>
        <w:jc w:val="left"/>
      </w:pPr>
      <w:r>
        <w:rPr/>
        <w:t>确认时点。</w:t>
      </w:r>
    </w:p>
    <w:p>
      <w:pPr>
        <w:pStyle w:val="BodyText"/>
        <w:spacing w:line="240" w:lineRule="auto"/>
        <w:ind w:right="310" w:firstLine="419"/>
        <w:jc w:val="both"/>
      </w:pPr>
      <w:r>
        <w:rPr>
          <w:spacing w:val="-2"/>
        </w:rPr>
        <w:t>公司与购货方在销售合同中约定了不同种贸易方式，公司将根据贸易方式判断主要风险和报</w:t>
      </w:r>
      <w:r>
        <w:rPr>
          <w:w w:val="100"/>
        </w:rPr>
        <w:t> </w:t>
      </w:r>
      <w:r>
        <w:rPr/>
        <w:t>酬转移的时点，并相应确认收入。</w:t>
      </w:r>
    </w:p>
    <w:p>
      <w:pPr>
        <w:pStyle w:val="BodyText"/>
        <w:spacing w:line="274" w:lineRule="exact" w:before="22"/>
        <w:ind w:right="310" w:firstLine="419"/>
        <w:jc w:val="both"/>
      </w:pPr>
      <w:r>
        <w:rPr>
          <w:spacing w:val="-2"/>
        </w:rPr>
        <w:t>合同或协议价款的收取采用递延方式，实质上具有融资性质的，按照应收的合同或协议价款</w:t>
      </w:r>
      <w:r>
        <w:rPr>
          <w:w w:val="100"/>
        </w:rPr>
        <w:t> </w:t>
      </w:r>
      <w:r>
        <w:rPr/>
        <w:t>的公允价值确定销售商品收入金额。</w:t>
      </w:r>
    </w:p>
    <w:p>
      <w:pPr>
        <w:pStyle w:val="BodyText"/>
        <w:spacing w:line="223" w:lineRule="auto"/>
        <w:ind w:left="558" w:right="0"/>
        <w:jc w:val="left"/>
      </w:pPr>
      <w:r>
        <w:rPr/>
        <w:t>（</w:t>
      </w:r>
      <w:r>
        <w:rPr>
          <w:rFonts w:ascii="Times New Roman" w:hAnsi="Times New Roman" w:cs="Times New Roman" w:eastAsia="Times New Roman" w:hint="default"/>
        </w:rPr>
        <w:t>5</w:t>
      </w:r>
      <w:r>
        <w:rPr/>
        <w:t>）让渡资产使用权</w:t>
      </w:r>
      <w:r>
        <w:rPr>
          <w:w w:val="100"/>
        </w:rPr>
        <w:t> </w:t>
      </w:r>
      <w:r>
        <w:rPr>
          <w:spacing w:val="-2"/>
        </w:rPr>
        <w:t>本公司在让渡资产使用权相关的经济利益很可能流入并且收入的金额能够可靠地计量时确认</w:t>
      </w:r>
    </w:p>
    <w:p>
      <w:pPr>
        <w:pStyle w:val="BodyText"/>
        <w:spacing w:line="273" w:lineRule="exact" w:before="1"/>
        <w:ind w:right="0"/>
        <w:jc w:val="left"/>
      </w:pPr>
      <w:r>
        <w:rPr/>
        <w:t>让渡资产使用权收入。</w:t>
      </w:r>
    </w:p>
    <w:p>
      <w:pPr>
        <w:pStyle w:val="BodyText"/>
        <w:spacing w:line="289" w:lineRule="exact"/>
        <w:ind w:left="558" w:right="0"/>
        <w:jc w:val="left"/>
      </w:pPr>
      <w:r>
        <w:rPr/>
        <w:t>（</w:t>
      </w:r>
      <w:r>
        <w:rPr>
          <w:rFonts w:ascii="Times New Roman" w:hAnsi="Times New Roman" w:cs="Times New Roman" w:eastAsia="Times New Roman" w:hint="default"/>
        </w:rPr>
        <w:t>6</w:t>
      </w:r>
      <w:r>
        <w:rPr/>
        <w:t>）建造合同收入</w:t>
      </w:r>
    </w:p>
    <w:p>
      <w:pPr>
        <w:spacing w:after="0" w:line="289" w:lineRule="exact"/>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240" w:lineRule="auto" w:before="36"/>
        <w:ind w:right="210" w:firstLine="419"/>
        <w:jc w:val="both"/>
      </w:pPr>
      <w:r>
        <w:rPr>
          <w:spacing w:val="-2"/>
        </w:rPr>
        <w:t>在资产负债表日，建造合同的结果能够可靠估计的，根据完工百分比法确认合同收入和合同</w:t>
      </w:r>
      <w:r>
        <w:rPr>
          <w:w w:val="100"/>
        </w:rPr>
        <w:t> </w:t>
      </w:r>
      <w:r>
        <w:rPr/>
        <w:t>费用。</w:t>
      </w:r>
    </w:p>
    <w:p>
      <w:pPr>
        <w:pStyle w:val="BodyText"/>
        <w:spacing w:line="225" w:lineRule="auto" w:before="11"/>
        <w:ind w:right="208" w:firstLine="419"/>
        <w:jc w:val="both"/>
      </w:pPr>
      <w:r>
        <w:rPr>
          <w:w w:val="100"/>
        </w:rPr>
        <w:t>固定造</w:t>
      </w:r>
      <w:r>
        <w:rPr>
          <w:spacing w:val="-3"/>
          <w:w w:val="100"/>
        </w:rPr>
        <w:t>价</w:t>
      </w:r>
      <w:r>
        <w:rPr>
          <w:w w:val="100"/>
        </w:rPr>
        <w:t>合同</w:t>
      </w:r>
      <w:r>
        <w:rPr>
          <w:spacing w:val="-3"/>
          <w:w w:val="100"/>
        </w:rPr>
        <w:t>的</w:t>
      </w:r>
      <w:r>
        <w:rPr>
          <w:w w:val="100"/>
        </w:rPr>
        <w:t>结</w:t>
      </w:r>
      <w:r>
        <w:rPr>
          <w:spacing w:val="-3"/>
          <w:w w:val="100"/>
        </w:rPr>
        <w:t>果</w:t>
      </w:r>
      <w:r>
        <w:rPr>
          <w:w w:val="100"/>
        </w:rPr>
        <w:t>能</w:t>
      </w:r>
      <w:r>
        <w:rPr>
          <w:spacing w:val="-3"/>
          <w:w w:val="100"/>
        </w:rPr>
        <w:t>够</w:t>
      </w:r>
      <w:r>
        <w:rPr>
          <w:w w:val="100"/>
        </w:rPr>
        <w:t>可靠估</w:t>
      </w:r>
      <w:r>
        <w:rPr>
          <w:spacing w:val="-3"/>
          <w:w w:val="100"/>
        </w:rPr>
        <w:t>计</w:t>
      </w:r>
      <w:r>
        <w:rPr>
          <w:w w:val="100"/>
        </w:rPr>
        <w:t>，是</w:t>
      </w:r>
      <w:r>
        <w:rPr>
          <w:spacing w:val="-3"/>
          <w:w w:val="100"/>
        </w:rPr>
        <w:t>指</w:t>
      </w:r>
      <w:r>
        <w:rPr>
          <w:w w:val="100"/>
        </w:rPr>
        <w:t>同</w:t>
      </w:r>
      <w:r>
        <w:rPr>
          <w:spacing w:val="-3"/>
          <w:w w:val="100"/>
        </w:rPr>
        <w:t>时</w:t>
      </w:r>
      <w:r>
        <w:rPr>
          <w:w w:val="100"/>
        </w:rPr>
        <w:t>满</w:t>
      </w:r>
      <w:r>
        <w:rPr>
          <w:spacing w:val="-3"/>
          <w:w w:val="100"/>
        </w:rPr>
        <w:t>足</w:t>
      </w:r>
      <w:r>
        <w:rPr>
          <w:w w:val="100"/>
        </w:rPr>
        <w:t>下列条</w:t>
      </w:r>
      <w:r>
        <w:rPr>
          <w:spacing w:val="-3"/>
          <w:w w:val="100"/>
        </w:rPr>
        <w:t>件</w:t>
      </w:r>
      <w:r>
        <w:rPr>
          <w:spacing w:val="-106"/>
          <w:w w:val="100"/>
        </w:rPr>
        <w:t>：</w:t>
      </w:r>
      <w:r>
        <w:rPr>
          <w:w w:val="100"/>
        </w:rPr>
        <w:t>（</w:t>
      </w:r>
      <w:r>
        <w:rPr>
          <w:rFonts w:ascii="Times New Roman" w:hAnsi="Times New Roman" w:cs="Times New Roman" w:eastAsia="Times New Roman" w:hint="default"/>
          <w:w w:val="100"/>
        </w:rPr>
        <w:t>1</w:t>
      </w:r>
      <w:r>
        <w:rPr>
          <w:spacing w:val="-3"/>
          <w:w w:val="100"/>
        </w:rPr>
        <w:t>）</w:t>
      </w:r>
      <w:r>
        <w:rPr>
          <w:w w:val="100"/>
        </w:rPr>
        <w:t>合同</w:t>
      </w:r>
      <w:r>
        <w:rPr>
          <w:spacing w:val="-3"/>
          <w:w w:val="100"/>
        </w:rPr>
        <w:t>总收</w:t>
      </w:r>
      <w:r>
        <w:rPr>
          <w:w w:val="100"/>
        </w:rPr>
        <w:t>入能够</w:t>
      </w:r>
      <w:r>
        <w:rPr>
          <w:spacing w:val="-3"/>
          <w:w w:val="100"/>
        </w:rPr>
        <w:t>可</w:t>
      </w:r>
      <w:r>
        <w:rPr>
          <w:w w:val="100"/>
        </w:rPr>
        <w:t>靠</w:t>
      </w:r>
      <w:r>
        <w:rPr>
          <w:spacing w:val="-3"/>
          <w:w w:val="100"/>
        </w:rPr>
        <w:t>地</w:t>
      </w:r>
      <w:r>
        <w:rPr>
          <w:w w:val="100"/>
        </w:rPr>
        <w:t>计</w:t>
      </w:r>
      <w:r>
        <w:rPr>
          <w:w w:val="100"/>
        </w:rPr>
        <w:t> 量</w:t>
      </w:r>
      <w:r>
        <w:rPr>
          <w:spacing w:val="-106"/>
          <w:w w:val="100"/>
        </w:rPr>
        <w:t>；</w:t>
      </w:r>
      <w:r>
        <w:rPr>
          <w:spacing w:val="-1"/>
          <w:w w:val="100"/>
        </w:rPr>
        <w:t>（</w:t>
      </w:r>
      <w:r>
        <w:rPr>
          <w:rFonts w:ascii="Times New Roman" w:hAnsi="Times New Roman" w:cs="Times New Roman" w:eastAsia="Times New Roman" w:hint="default"/>
          <w:w w:val="100"/>
        </w:rPr>
        <w:t>2</w:t>
      </w:r>
      <w:r>
        <w:rPr>
          <w:spacing w:val="-3"/>
          <w:w w:val="100"/>
        </w:rPr>
        <w:t>）</w:t>
      </w:r>
      <w:r>
        <w:rPr>
          <w:w w:val="100"/>
        </w:rPr>
        <w:t>与合</w:t>
      </w:r>
      <w:r>
        <w:rPr>
          <w:spacing w:val="-3"/>
          <w:w w:val="100"/>
        </w:rPr>
        <w:t>同</w:t>
      </w:r>
      <w:r>
        <w:rPr>
          <w:w w:val="100"/>
        </w:rPr>
        <w:t>相</w:t>
      </w:r>
      <w:r>
        <w:rPr>
          <w:spacing w:val="-3"/>
          <w:w w:val="100"/>
        </w:rPr>
        <w:t>关</w:t>
      </w:r>
      <w:r>
        <w:rPr>
          <w:w w:val="100"/>
        </w:rPr>
        <w:t>的</w:t>
      </w:r>
      <w:r>
        <w:rPr>
          <w:spacing w:val="-3"/>
          <w:w w:val="100"/>
        </w:rPr>
        <w:t>经</w:t>
      </w:r>
      <w:r>
        <w:rPr>
          <w:w w:val="100"/>
        </w:rPr>
        <w:t>济利益</w:t>
      </w:r>
      <w:r>
        <w:rPr>
          <w:spacing w:val="-3"/>
          <w:w w:val="100"/>
        </w:rPr>
        <w:t>很</w:t>
      </w:r>
      <w:r>
        <w:rPr>
          <w:w w:val="100"/>
        </w:rPr>
        <w:t>可</w:t>
      </w:r>
      <w:r>
        <w:rPr>
          <w:spacing w:val="-3"/>
          <w:w w:val="100"/>
        </w:rPr>
        <w:t>能</w:t>
      </w:r>
      <w:r>
        <w:rPr>
          <w:w w:val="100"/>
        </w:rPr>
        <w:t>流入</w:t>
      </w:r>
      <w:r>
        <w:rPr>
          <w:spacing w:val="-3"/>
          <w:w w:val="100"/>
        </w:rPr>
        <w:t>企</w:t>
      </w:r>
      <w:r>
        <w:rPr>
          <w:w w:val="100"/>
        </w:rPr>
        <w:t>业</w:t>
      </w:r>
      <w:r>
        <w:rPr>
          <w:spacing w:val="-106"/>
          <w:w w:val="100"/>
        </w:rPr>
        <w:t>；</w:t>
      </w:r>
      <w:r>
        <w:rPr>
          <w:spacing w:val="-2"/>
          <w:w w:val="100"/>
        </w:rPr>
        <w:t>（</w:t>
      </w:r>
      <w:r>
        <w:rPr>
          <w:rFonts w:ascii="Times New Roman" w:hAnsi="Times New Roman" w:cs="Times New Roman" w:eastAsia="Times New Roman" w:hint="default"/>
          <w:w w:val="100"/>
        </w:rPr>
        <w:t>3</w:t>
      </w:r>
      <w:r>
        <w:rPr>
          <w:w w:val="100"/>
        </w:rPr>
        <w:t>）实</w:t>
      </w:r>
      <w:r>
        <w:rPr>
          <w:spacing w:val="-3"/>
          <w:w w:val="100"/>
        </w:rPr>
        <w:t>际</w:t>
      </w:r>
      <w:r>
        <w:rPr>
          <w:w w:val="100"/>
        </w:rPr>
        <w:t>发生</w:t>
      </w:r>
      <w:r>
        <w:rPr>
          <w:spacing w:val="-3"/>
          <w:w w:val="100"/>
        </w:rPr>
        <w:t>的</w:t>
      </w:r>
      <w:r>
        <w:rPr>
          <w:w w:val="100"/>
        </w:rPr>
        <w:t>合同</w:t>
      </w:r>
      <w:r>
        <w:rPr>
          <w:spacing w:val="-3"/>
          <w:w w:val="100"/>
        </w:rPr>
        <w:t>成</w:t>
      </w:r>
      <w:r>
        <w:rPr>
          <w:w w:val="100"/>
        </w:rPr>
        <w:t>本</w:t>
      </w:r>
      <w:r>
        <w:rPr>
          <w:spacing w:val="-3"/>
          <w:w w:val="100"/>
        </w:rPr>
        <w:t>能</w:t>
      </w:r>
      <w:r>
        <w:rPr>
          <w:w w:val="100"/>
        </w:rPr>
        <w:t>够清楚</w:t>
      </w:r>
      <w:r>
        <w:rPr>
          <w:spacing w:val="-3"/>
          <w:w w:val="100"/>
        </w:rPr>
        <w:t>地</w:t>
      </w:r>
      <w:r>
        <w:rPr>
          <w:w w:val="100"/>
        </w:rPr>
        <w:t>区</w:t>
      </w:r>
      <w:r>
        <w:rPr>
          <w:spacing w:val="-3"/>
          <w:w w:val="100"/>
        </w:rPr>
        <w:t>分</w:t>
      </w:r>
      <w:r>
        <w:rPr>
          <w:w w:val="100"/>
        </w:rPr>
        <w:t>和可</w:t>
      </w:r>
      <w:r>
        <w:rPr>
          <w:w w:val="100"/>
        </w:rPr>
        <w:t> 靠地</w:t>
      </w:r>
      <w:r>
        <w:rPr>
          <w:spacing w:val="-3"/>
          <w:w w:val="100"/>
        </w:rPr>
        <w:t>计</w:t>
      </w:r>
      <w:r>
        <w:rPr>
          <w:w w:val="100"/>
        </w:rPr>
        <w:t>量</w:t>
      </w:r>
      <w:r>
        <w:rPr>
          <w:spacing w:val="-108"/>
          <w:w w:val="100"/>
        </w:rPr>
        <w:t>；</w:t>
      </w:r>
      <w:r>
        <w:rPr>
          <w:spacing w:val="-1"/>
          <w:w w:val="100"/>
        </w:rPr>
        <w:t>（</w:t>
      </w:r>
      <w:r>
        <w:rPr>
          <w:rFonts w:ascii="Times New Roman" w:hAnsi="Times New Roman" w:cs="Times New Roman" w:eastAsia="Times New Roman" w:hint="default"/>
          <w:w w:val="100"/>
        </w:rPr>
        <w:t>4</w:t>
      </w:r>
      <w:r>
        <w:rPr>
          <w:spacing w:val="-3"/>
          <w:w w:val="100"/>
        </w:rPr>
        <w:t>）</w:t>
      </w:r>
      <w:r>
        <w:rPr>
          <w:w w:val="100"/>
        </w:rPr>
        <w:t>合</w:t>
      </w:r>
      <w:r>
        <w:rPr>
          <w:spacing w:val="-3"/>
          <w:w w:val="100"/>
        </w:rPr>
        <w:t>同</w:t>
      </w:r>
      <w:r>
        <w:rPr>
          <w:w w:val="100"/>
        </w:rPr>
        <w:t>完</w:t>
      </w:r>
      <w:r>
        <w:rPr>
          <w:spacing w:val="-3"/>
          <w:w w:val="100"/>
        </w:rPr>
        <w:t>工</w:t>
      </w:r>
      <w:r>
        <w:rPr>
          <w:w w:val="100"/>
        </w:rPr>
        <w:t>进度</w:t>
      </w:r>
      <w:r>
        <w:rPr>
          <w:spacing w:val="-3"/>
          <w:w w:val="100"/>
        </w:rPr>
        <w:t>和</w:t>
      </w:r>
      <w:r>
        <w:rPr>
          <w:w w:val="100"/>
        </w:rPr>
        <w:t>为</w:t>
      </w:r>
      <w:r>
        <w:rPr>
          <w:spacing w:val="-3"/>
          <w:w w:val="100"/>
        </w:rPr>
        <w:t>完</w:t>
      </w:r>
      <w:r>
        <w:rPr>
          <w:w w:val="100"/>
        </w:rPr>
        <w:t>成</w:t>
      </w:r>
      <w:r>
        <w:rPr>
          <w:spacing w:val="-3"/>
          <w:w w:val="100"/>
        </w:rPr>
        <w:t>合</w:t>
      </w:r>
      <w:r>
        <w:rPr>
          <w:w w:val="100"/>
        </w:rPr>
        <w:t>同</w:t>
      </w:r>
      <w:r>
        <w:rPr>
          <w:spacing w:val="-3"/>
          <w:w w:val="100"/>
        </w:rPr>
        <w:t>尚</w:t>
      </w:r>
      <w:r>
        <w:rPr>
          <w:w w:val="100"/>
        </w:rPr>
        <w:t>需</w:t>
      </w:r>
      <w:r>
        <w:rPr>
          <w:spacing w:val="-3"/>
          <w:w w:val="100"/>
        </w:rPr>
        <w:t>发</w:t>
      </w:r>
      <w:r>
        <w:rPr>
          <w:w w:val="100"/>
        </w:rPr>
        <w:t>生的</w:t>
      </w:r>
      <w:r>
        <w:rPr>
          <w:spacing w:val="-3"/>
          <w:w w:val="100"/>
        </w:rPr>
        <w:t>成</w:t>
      </w:r>
      <w:r>
        <w:rPr>
          <w:w w:val="100"/>
        </w:rPr>
        <w:t>本</w:t>
      </w:r>
      <w:r>
        <w:rPr>
          <w:spacing w:val="-3"/>
          <w:w w:val="100"/>
        </w:rPr>
        <w:t>能</w:t>
      </w:r>
      <w:r>
        <w:rPr>
          <w:w w:val="100"/>
        </w:rPr>
        <w:t>够</w:t>
      </w:r>
      <w:r>
        <w:rPr>
          <w:spacing w:val="-3"/>
          <w:w w:val="100"/>
        </w:rPr>
        <w:t>可</w:t>
      </w:r>
      <w:r>
        <w:rPr>
          <w:w w:val="100"/>
        </w:rPr>
        <w:t>靠</w:t>
      </w:r>
      <w:r>
        <w:rPr>
          <w:spacing w:val="-3"/>
          <w:w w:val="100"/>
        </w:rPr>
        <w:t>地</w:t>
      </w:r>
      <w:r>
        <w:rPr>
          <w:w w:val="100"/>
        </w:rPr>
        <w:t>确</w:t>
      </w:r>
      <w:r>
        <w:rPr>
          <w:spacing w:val="-3"/>
          <w:w w:val="100"/>
        </w:rPr>
        <w:t>定</w:t>
      </w:r>
      <w:r>
        <w:rPr>
          <w:w w:val="100"/>
        </w:rPr>
        <w:t>。</w:t>
      </w:r>
    </w:p>
    <w:p>
      <w:pPr>
        <w:pStyle w:val="BodyText"/>
        <w:spacing w:line="272" w:lineRule="exact" w:before="13"/>
        <w:ind w:right="210" w:firstLine="419"/>
        <w:jc w:val="both"/>
      </w:pPr>
      <w:r>
        <w:rPr>
          <w:w w:val="100"/>
        </w:rPr>
        <w:t>成本加</w:t>
      </w:r>
      <w:r>
        <w:rPr>
          <w:spacing w:val="-3"/>
          <w:w w:val="100"/>
        </w:rPr>
        <w:t>成</w:t>
      </w:r>
      <w:r>
        <w:rPr>
          <w:w w:val="100"/>
        </w:rPr>
        <w:t>合同</w:t>
      </w:r>
      <w:r>
        <w:rPr>
          <w:spacing w:val="-3"/>
          <w:w w:val="100"/>
        </w:rPr>
        <w:t>的</w:t>
      </w:r>
      <w:r>
        <w:rPr>
          <w:w w:val="100"/>
        </w:rPr>
        <w:t>结</w:t>
      </w:r>
      <w:r>
        <w:rPr>
          <w:spacing w:val="-3"/>
          <w:w w:val="100"/>
        </w:rPr>
        <w:t>果</w:t>
      </w:r>
      <w:r>
        <w:rPr>
          <w:w w:val="100"/>
        </w:rPr>
        <w:t>能</w:t>
      </w:r>
      <w:r>
        <w:rPr>
          <w:spacing w:val="-3"/>
          <w:w w:val="100"/>
        </w:rPr>
        <w:t>够</w:t>
      </w:r>
      <w:r>
        <w:rPr>
          <w:w w:val="100"/>
        </w:rPr>
        <w:t>可靠估</w:t>
      </w:r>
      <w:r>
        <w:rPr>
          <w:spacing w:val="-3"/>
          <w:w w:val="100"/>
        </w:rPr>
        <w:t>计</w:t>
      </w:r>
      <w:r>
        <w:rPr>
          <w:w w:val="100"/>
        </w:rPr>
        <w:t>，是</w:t>
      </w:r>
      <w:r>
        <w:rPr>
          <w:spacing w:val="-3"/>
          <w:w w:val="100"/>
        </w:rPr>
        <w:t>指</w:t>
      </w:r>
      <w:r>
        <w:rPr>
          <w:w w:val="100"/>
        </w:rPr>
        <w:t>同</w:t>
      </w:r>
      <w:r>
        <w:rPr>
          <w:spacing w:val="-3"/>
          <w:w w:val="100"/>
        </w:rPr>
        <w:t>时</w:t>
      </w:r>
      <w:r>
        <w:rPr>
          <w:w w:val="100"/>
        </w:rPr>
        <w:t>满</w:t>
      </w:r>
      <w:r>
        <w:rPr>
          <w:spacing w:val="-3"/>
          <w:w w:val="100"/>
        </w:rPr>
        <w:t>足</w:t>
      </w:r>
      <w:r>
        <w:rPr>
          <w:w w:val="100"/>
        </w:rPr>
        <w:t>下列条</w:t>
      </w:r>
      <w:r>
        <w:rPr>
          <w:spacing w:val="-3"/>
          <w:w w:val="100"/>
        </w:rPr>
        <w:t>件</w:t>
      </w:r>
      <w:r>
        <w:rPr>
          <w:spacing w:val="-106"/>
          <w:w w:val="100"/>
        </w:rPr>
        <w:t>：</w:t>
      </w:r>
      <w:r>
        <w:rPr>
          <w:w w:val="100"/>
        </w:rPr>
        <w:t>（</w:t>
      </w:r>
      <w:r>
        <w:rPr>
          <w:rFonts w:ascii="Times New Roman" w:hAnsi="Times New Roman" w:cs="Times New Roman" w:eastAsia="Times New Roman" w:hint="default"/>
          <w:w w:val="100"/>
        </w:rPr>
        <w:t>1</w:t>
      </w:r>
      <w:r>
        <w:rPr>
          <w:spacing w:val="-3"/>
          <w:w w:val="100"/>
        </w:rPr>
        <w:t>）</w:t>
      </w:r>
      <w:r>
        <w:rPr>
          <w:w w:val="100"/>
        </w:rPr>
        <w:t>与合</w:t>
      </w:r>
      <w:r>
        <w:rPr>
          <w:spacing w:val="-3"/>
          <w:w w:val="100"/>
        </w:rPr>
        <w:t>同相</w:t>
      </w:r>
      <w:r>
        <w:rPr>
          <w:w w:val="100"/>
        </w:rPr>
        <w:t>关的经</w:t>
      </w:r>
      <w:r>
        <w:rPr>
          <w:spacing w:val="-3"/>
          <w:w w:val="100"/>
        </w:rPr>
        <w:t>济</w:t>
      </w:r>
      <w:r>
        <w:rPr>
          <w:w w:val="100"/>
        </w:rPr>
        <w:t>利</w:t>
      </w:r>
      <w:r>
        <w:rPr>
          <w:spacing w:val="-3"/>
          <w:w w:val="100"/>
        </w:rPr>
        <w:t>益</w:t>
      </w:r>
      <w:r>
        <w:rPr>
          <w:w w:val="100"/>
        </w:rPr>
        <w:t>很</w:t>
      </w:r>
      <w:r>
        <w:rPr>
          <w:w w:val="100"/>
        </w:rPr>
        <w:t> 可能</w:t>
      </w:r>
      <w:r>
        <w:rPr>
          <w:spacing w:val="-3"/>
          <w:w w:val="100"/>
        </w:rPr>
        <w:t>流</w:t>
      </w:r>
      <w:r>
        <w:rPr>
          <w:w w:val="100"/>
        </w:rPr>
        <w:t>入</w:t>
      </w:r>
      <w:r>
        <w:rPr>
          <w:spacing w:val="-3"/>
          <w:w w:val="100"/>
        </w:rPr>
        <w:t>企</w:t>
      </w:r>
      <w:r>
        <w:rPr>
          <w:w w:val="100"/>
        </w:rPr>
        <w:t>业</w:t>
      </w:r>
      <w:r>
        <w:rPr>
          <w:spacing w:val="-108"/>
          <w:w w:val="100"/>
        </w:rPr>
        <w:t>；</w:t>
      </w:r>
      <w:r>
        <w:rPr>
          <w:spacing w:val="-1"/>
          <w:w w:val="100"/>
        </w:rPr>
        <w:t>（</w:t>
      </w:r>
      <w:r>
        <w:rPr>
          <w:rFonts w:ascii="Times New Roman" w:hAnsi="Times New Roman" w:cs="Times New Roman" w:eastAsia="Times New Roman" w:hint="default"/>
          <w:w w:val="100"/>
        </w:rPr>
        <w:t>2</w:t>
      </w:r>
      <w:r>
        <w:rPr>
          <w:spacing w:val="-3"/>
          <w:w w:val="100"/>
        </w:rPr>
        <w:t>）</w:t>
      </w:r>
      <w:r>
        <w:rPr>
          <w:w w:val="100"/>
        </w:rPr>
        <w:t>实</w:t>
      </w:r>
      <w:r>
        <w:rPr>
          <w:spacing w:val="-3"/>
          <w:w w:val="100"/>
        </w:rPr>
        <w:t>际</w:t>
      </w:r>
      <w:r>
        <w:rPr>
          <w:w w:val="100"/>
        </w:rPr>
        <w:t>发生</w:t>
      </w:r>
      <w:r>
        <w:rPr>
          <w:spacing w:val="-3"/>
          <w:w w:val="100"/>
        </w:rPr>
        <w:t>的</w:t>
      </w:r>
      <w:r>
        <w:rPr>
          <w:w w:val="100"/>
        </w:rPr>
        <w:t>合</w:t>
      </w:r>
      <w:r>
        <w:rPr>
          <w:spacing w:val="-3"/>
          <w:w w:val="100"/>
        </w:rPr>
        <w:t>同</w:t>
      </w:r>
      <w:r>
        <w:rPr>
          <w:w w:val="100"/>
        </w:rPr>
        <w:t>成</w:t>
      </w:r>
      <w:r>
        <w:rPr>
          <w:spacing w:val="-3"/>
          <w:w w:val="100"/>
        </w:rPr>
        <w:t>本</w:t>
      </w:r>
      <w:r>
        <w:rPr>
          <w:w w:val="100"/>
        </w:rPr>
        <w:t>能</w:t>
      </w:r>
      <w:r>
        <w:rPr>
          <w:spacing w:val="-3"/>
          <w:w w:val="100"/>
        </w:rPr>
        <w:t>够</w:t>
      </w:r>
      <w:r>
        <w:rPr>
          <w:w w:val="100"/>
        </w:rPr>
        <w:t>清</w:t>
      </w:r>
      <w:r>
        <w:rPr>
          <w:spacing w:val="-3"/>
          <w:w w:val="100"/>
        </w:rPr>
        <w:t>楚</w:t>
      </w:r>
      <w:r>
        <w:rPr>
          <w:w w:val="100"/>
        </w:rPr>
        <w:t>地区</w:t>
      </w:r>
      <w:r>
        <w:rPr>
          <w:spacing w:val="-3"/>
          <w:w w:val="100"/>
        </w:rPr>
        <w:t>分</w:t>
      </w:r>
      <w:r>
        <w:rPr>
          <w:w w:val="100"/>
        </w:rPr>
        <w:t>和</w:t>
      </w:r>
      <w:r>
        <w:rPr>
          <w:spacing w:val="-3"/>
          <w:w w:val="100"/>
        </w:rPr>
        <w:t>可</w:t>
      </w:r>
      <w:r>
        <w:rPr>
          <w:w w:val="100"/>
        </w:rPr>
        <w:t>靠</w:t>
      </w:r>
      <w:r>
        <w:rPr>
          <w:spacing w:val="-3"/>
          <w:w w:val="100"/>
        </w:rPr>
        <w:t>地</w:t>
      </w:r>
      <w:r>
        <w:rPr>
          <w:w w:val="100"/>
        </w:rPr>
        <w:t>计</w:t>
      </w:r>
      <w:r>
        <w:rPr>
          <w:spacing w:val="-3"/>
          <w:w w:val="100"/>
        </w:rPr>
        <w:t>量</w:t>
      </w:r>
      <w:r>
        <w:rPr>
          <w:w w:val="100"/>
        </w:rPr>
        <w:t>。</w:t>
      </w:r>
    </w:p>
    <w:p>
      <w:pPr>
        <w:pStyle w:val="BodyText"/>
        <w:spacing w:line="272" w:lineRule="exact" w:before="1"/>
        <w:ind w:right="210" w:firstLine="419"/>
        <w:jc w:val="both"/>
      </w:pPr>
      <w:r>
        <w:rPr>
          <w:spacing w:val="-2"/>
        </w:rPr>
        <w:t>公司采用累计实际发生的合同成本占合同预计总成本的比例（已经完成的合同工作量占合同</w:t>
      </w:r>
      <w:r>
        <w:rPr>
          <w:w w:val="100"/>
        </w:rPr>
        <w:t> </w:t>
      </w:r>
      <w:r>
        <w:rPr/>
        <w:t>预计总工作量的比例或实际测定的完工进度）确定合同完工进度。</w:t>
      </w:r>
    </w:p>
    <w:p>
      <w:pPr>
        <w:pStyle w:val="BodyText"/>
        <w:spacing w:line="272" w:lineRule="exact" w:before="1"/>
        <w:ind w:right="208" w:firstLine="419"/>
        <w:jc w:val="both"/>
      </w:pPr>
      <w:r>
        <w:rPr>
          <w:spacing w:val="-2"/>
        </w:rPr>
        <w:t>建造合同的结果不能可靠估计的，合同成本能够收回的，合同收入根据能够收回的实际合同</w:t>
      </w:r>
      <w:r>
        <w:rPr>
          <w:w w:val="100"/>
        </w:rPr>
        <w:t> </w:t>
      </w:r>
      <w:r>
        <w:rPr>
          <w:spacing w:val="-1"/>
        </w:rPr>
        <w:t>成本予以确认，合同成本在其发生的当期确认为合同费用；合同成本不可能收回的，在发生时立</w:t>
      </w:r>
    </w:p>
    <w:p>
      <w:pPr>
        <w:pStyle w:val="BodyText"/>
        <w:spacing w:line="249" w:lineRule="exact"/>
        <w:ind w:right="100"/>
        <w:jc w:val="left"/>
      </w:pPr>
      <w:r>
        <w:rPr/>
        <w:t>即确认为合同费用，不确认合同收入。</w:t>
      </w:r>
    </w:p>
    <w:p>
      <w:pPr>
        <w:spacing w:line="240" w:lineRule="auto" w:before="12"/>
        <w:rPr>
          <w:rFonts w:ascii="宋体" w:hAnsi="宋体" w:cs="宋体" w:eastAsia="宋体" w:hint="default"/>
          <w:sz w:val="22"/>
          <w:szCs w:val="22"/>
        </w:rPr>
      </w:pPr>
    </w:p>
    <w:p>
      <w:pPr>
        <w:pStyle w:val="Heading2"/>
        <w:spacing w:line="290" w:lineRule="auto" w:before="0"/>
        <w:ind w:right="3749"/>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37" w:lineRule="auto" w:before="17"/>
        <w:ind w:right="100"/>
        <w:jc w:val="left"/>
      </w:pPr>
      <w:r>
        <w:rPr/>
        <w:t>√适用□不适用</w:t>
      </w:r>
      <w:r>
        <w:rPr>
          <w:spacing w:val="-103"/>
        </w:rPr>
        <w:t> </w:t>
      </w:r>
      <w:r>
        <w:rPr>
          <w:spacing w:val="-103"/>
        </w:rPr>
      </w:r>
      <w:r>
        <w:rPr>
          <w:spacing w:val="-1"/>
        </w:rPr>
        <w:t>与资产相关的政府补助，确认为递延收益。确认为递延收益的金额，在相关资产使用寿命内按照</w:t>
      </w:r>
      <w:r>
        <w:rPr>
          <w:spacing w:val="-55"/>
        </w:rPr>
        <w:t> </w:t>
      </w:r>
      <w:r>
        <w:rPr>
          <w:spacing w:val="-55"/>
        </w:rPr>
      </w:r>
      <w:r>
        <w:rPr>
          <w:spacing w:val="-1"/>
        </w:rPr>
        <w:t>合理、系统的方法分期计入当期损益。其中与本公司日常活动相关的，计入其他收益，与本公司</w:t>
      </w:r>
      <w:r>
        <w:rPr>
          <w:spacing w:val="-55"/>
        </w:rPr>
        <w:t> </w:t>
      </w:r>
      <w:r>
        <w:rPr>
          <w:spacing w:val="-55"/>
        </w:rPr>
      </w:r>
      <w:r>
        <w:rPr/>
        <w:t>日常活动无关的，计入营业外收入。按照名义金额计量的政府补助，直接计入当期损益。</w:t>
      </w:r>
    </w:p>
    <w:p>
      <w:pPr>
        <w:spacing w:line="240" w:lineRule="auto" w:before="11"/>
        <w:rPr>
          <w:rFonts w:ascii="宋体" w:hAnsi="宋体" w:cs="宋体" w:eastAsia="宋体" w:hint="default"/>
          <w:sz w:val="22"/>
          <w:szCs w:val="22"/>
        </w:rPr>
      </w:pPr>
    </w:p>
    <w:p>
      <w:pPr>
        <w:pStyle w:val="Heading2"/>
        <w:spacing w:line="240" w:lineRule="auto" w:before="0"/>
        <w:ind w:right="100"/>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37" w:lineRule="auto" w:before="61"/>
        <w:ind w:right="204"/>
        <w:jc w:val="left"/>
      </w:pPr>
      <w:r>
        <w:rPr/>
        <w:t>√适用□不适用</w:t>
      </w:r>
      <w:r>
        <w:rPr>
          <w:spacing w:val="-103"/>
        </w:rPr>
        <w:t> </w:t>
      </w:r>
      <w:r>
        <w:rPr>
          <w:spacing w:val="-103"/>
        </w:rPr>
      </w:r>
      <w:r>
        <w:rPr>
          <w:spacing w:val="-1"/>
        </w:rPr>
        <w:t>与收益相关的政府补助，分别下列情况处理：用于补偿企业以后期间的相关费用或损失的，确认</w:t>
      </w:r>
      <w:r>
        <w:rPr>
          <w:spacing w:val="-55"/>
        </w:rPr>
        <w:t> </w:t>
      </w:r>
      <w:r>
        <w:rPr>
          <w:spacing w:val="-55"/>
        </w:rPr>
      </w:r>
      <w:r>
        <w:rPr>
          <w:spacing w:val="-1"/>
        </w:rPr>
        <w:t>为递延收益，并在确认相关费用的期间，计入当期损益。用于补偿企业已发生的相关费用或损失</w:t>
      </w:r>
      <w:r>
        <w:rPr>
          <w:spacing w:val="-55"/>
        </w:rPr>
        <w:t> </w:t>
      </w:r>
      <w:r>
        <w:rPr>
          <w:spacing w:val="-55"/>
        </w:rPr>
      </w:r>
      <w:r>
        <w:rPr>
          <w:spacing w:val="-1"/>
        </w:rPr>
        <w:t>的，直接计入当期损益。计入当期损益时，与本公司日常活动相关的政府补助，计入其他收益；</w:t>
      </w:r>
      <w:r>
        <w:rPr>
          <w:spacing w:val="-55"/>
        </w:rPr>
        <w:t> </w:t>
      </w:r>
      <w:r>
        <w:rPr>
          <w:spacing w:val="-55"/>
        </w:rPr>
      </w:r>
      <w:r>
        <w:rPr/>
        <w:t>与本公司日常活动无关的政府补助，计入营业外收入。</w:t>
      </w:r>
      <w:r>
        <w:rPr>
          <w:w w:val="100"/>
        </w:rPr>
        <w:t> </w:t>
      </w:r>
      <w:r>
        <w:rPr/>
        <w:t>区分与资产相关政府补助和与收益相关政府补助的具体标准：</w:t>
      </w:r>
      <w:r>
        <w:rPr>
          <w:w w:val="100"/>
        </w:rPr>
        <w:t> </w:t>
      </w:r>
      <w:r>
        <w:rPr>
          <w:spacing w:val="-6"/>
          <w:w w:val="100"/>
        </w:rPr>
        <w:t>本公司取得的、用于购建或以其他方式形成长期资产的政府补助，确认为与资产相关的政府补助，</w:t>
      </w:r>
      <w:r>
        <w:rPr>
          <w:w w:val="100"/>
        </w:rPr>
        <w:t> </w:t>
      </w:r>
      <w:r>
        <w:rPr/>
        <w:t>除与资产相关的政府补助之外的政府补助，确认为与收益相关的政府补助。</w:t>
      </w:r>
      <w:r>
        <w:rPr>
          <w:w w:val="100"/>
        </w:rPr>
        <w:t> </w:t>
      </w:r>
      <w:r>
        <w:rPr>
          <w:spacing w:val="-1"/>
        </w:rPr>
        <w:t>若政府文件未明确规定补助对象，将该政府补助划分为与资产相关或与收益相关的判断依据：①</w:t>
      </w:r>
      <w:r>
        <w:rPr>
          <w:spacing w:val="-55"/>
        </w:rPr>
        <w:t> </w:t>
      </w:r>
      <w:r>
        <w:rPr>
          <w:spacing w:val="-55"/>
        </w:rPr>
      </w:r>
      <w:r>
        <w:rPr>
          <w:spacing w:val="-1"/>
        </w:rPr>
        <w:t>政府文件明确了补助所针对的特定项目的，根据该特定项目的预算中将形成资产的支出金额和计</w:t>
      </w:r>
      <w:r>
        <w:rPr>
          <w:spacing w:val="-55"/>
        </w:rPr>
        <w:t> </w:t>
      </w:r>
      <w:r>
        <w:rPr>
          <w:spacing w:val="-55"/>
        </w:rPr>
      </w:r>
      <w:r>
        <w:rPr>
          <w:spacing w:val="-1"/>
        </w:rPr>
        <w:t>入费用的支出金额的相对比例进行划分，对该划分比例需在每个资产负债表日进行复核，必要时</w:t>
      </w:r>
      <w:r>
        <w:rPr>
          <w:spacing w:val="-55"/>
        </w:rPr>
        <w:t> </w:t>
      </w:r>
      <w:r>
        <w:rPr>
          <w:spacing w:val="-55"/>
        </w:rPr>
      </w:r>
      <w:r>
        <w:rPr>
          <w:spacing w:val="-1"/>
        </w:rPr>
        <w:t>进行变更；②政府文件中对用途仅作一般性表述，没有指明特定项目的，作为与收益相关的政府</w:t>
      </w:r>
      <w:r>
        <w:rPr>
          <w:spacing w:val="-55"/>
        </w:rPr>
        <w:t> </w:t>
      </w:r>
      <w:r>
        <w:rPr>
          <w:spacing w:val="-55"/>
        </w:rPr>
      </w:r>
      <w:r>
        <w:rPr/>
        <w:t>补助。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before="0"/>
        <w:ind w:right="100"/>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35" w:lineRule="auto" w:before="37"/>
        <w:ind w:right="100"/>
        <w:jc w:val="left"/>
      </w:pPr>
      <w:r>
        <w:rPr/>
        <w:t>√适用□不适用</w:t>
      </w:r>
      <w:r>
        <w:rPr>
          <w:spacing w:val="-103"/>
        </w:rPr>
        <w:t> </w:t>
      </w:r>
      <w:r>
        <w:rPr>
          <w:spacing w:val="-103"/>
        </w:rPr>
      </w:r>
      <w:r>
        <w:rPr>
          <w:rFonts w:ascii="Times New Roman" w:hAnsi="Times New Roman" w:cs="Times New Roman" w:eastAsia="Times New Roman" w:hint="default"/>
          <w:spacing w:val="-4"/>
        </w:rPr>
        <w:t>1</w:t>
      </w:r>
      <w:r>
        <w:rPr>
          <w:spacing w:val="-4"/>
        </w:rPr>
        <w:t>、根据资产、负债的账面价值与其计税基础之间的差额（未作为资产和负债确认的项目按照税法</w:t>
      </w:r>
      <w:r>
        <w:rPr>
          <w:spacing w:val="-35"/>
        </w:rPr>
        <w:t> </w:t>
      </w:r>
      <w:r>
        <w:rPr>
          <w:spacing w:val="-35"/>
        </w:rPr>
      </w:r>
      <w:r>
        <w:rPr>
          <w:spacing w:val="-6"/>
          <w:w w:val="100"/>
        </w:rPr>
        <w:t>规定可以确定其计税基础的，确定该计税基础为其差额），按照预期收回该资产或清偿该负债期间</w:t>
      </w:r>
      <w:r>
        <w:rPr>
          <w:spacing w:val="-104"/>
          <w:w w:val="100"/>
        </w:rPr>
        <w:t> </w:t>
      </w:r>
      <w:r>
        <w:rPr>
          <w:spacing w:val="-104"/>
          <w:w w:val="100"/>
        </w:rPr>
      </w:r>
      <w:r>
        <w:rPr/>
        <w:t>的适用税率计算确认递延所得税资产或递延所得税负债。</w:t>
      </w:r>
      <w:r>
        <w:rPr>
          <w:w w:val="100"/>
        </w:rPr>
        <w:t> </w:t>
      </w:r>
      <w:r>
        <w:rPr>
          <w:rFonts w:ascii="Times New Roman" w:hAnsi="Times New Roman" w:cs="Times New Roman" w:eastAsia="Times New Roman" w:hint="default"/>
          <w:spacing w:val="-4"/>
        </w:rPr>
        <w:t>2</w:t>
      </w:r>
      <w:r>
        <w:rPr>
          <w:spacing w:val="-4"/>
        </w:rPr>
        <w:t>、递延所得税资产的确认以很可能取得用来抵扣可抵扣暂时性差异的应纳税所得额为限。资产负</w:t>
      </w:r>
      <w:r>
        <w:rPr>
          <w:spacing w:val="-33"/>
        </w:rPr>
        <w:t> </w:t>
      </w:r>
      <w:r>
        <w:rPr>
          <w:spacing w:val="-33"/>
        </w:rPr>
      </w:r>
      <w:r>
        <w:rPr>
          <w:spacing w:val="-4"/>
          <w:w w:val="100"/>
        </w:rPr>
        <w:t>债表日，有确凿证据表明未来期间很可能获得足够的应纳税所得额用来抵扣可抵扣暂时性差异的，</w:t>
      </w:r>
      <w:r>
        <w:rPr>
          <w:spacing w:val="-86"/>
          <w:w w:val="100"/>
        </w:rPr>
        <w:t> </w:t>
      </w:r>
      <w:r>
        <w:rPr>
          <w:spacing w:val="-86"/>
          <w:w w:val="100"/>
        </w:rPr>
      </w:r>
      <w:r>
        <w:rPr/>
        <w:t>确认以前会计期间未确认的递延所得税资产。如未来期间很可能无法获得足够的应纳税所得额用</w:t>
      </w:r>
      <w:r>
        <w:rPr>
          <w:spacing w:val="-97"/>
        </w:rPr>
        <w:t> </w:t>
      </w:r>
      <w:r>
        <w:rPr>
          <w:spacing w:val="-97"/>
        </w:rPr>
      </w:r>
      <w:r>
        <w:rPr/>
        <w:t>以抵扣递延所得税资产的，则减记递延所得税资产的账面价值。</w:t>
      </w:r>
      <w:r>
        <w:rPr>
          <w:w w:val="100"/>
        </w:rPr>
        <w:t> </w:t>
      </w:r>
      <w:r>
        <w:rPr>
          <w:rFonts w:ascii="Times New Roman" w:hAnsi="Times New Roman" w:cs="Times New Roman" w:eastAsia="Times New Roman" w:hint="default"/>
          <w:spacing w:val="-4"/>
        </w:rPr>
        <w:t>3</w:t>
      </w:r>
      <w:r>
        <w:rPr>
          <w:spacing w:val="-4"/>
        </w:rPr>
        <w:t>、对与子公司及联营企业投资相关的应纳税暂时性差异，确认递延所得税负债，除非本公司能够</w:t>
      </w:r>
      <w:r>
        <w:rPr>
          <w:spacing w:val="-34"/>
        </w:rPr>
        <w:t> </w:t>
      </w:r>
      <w:r>
        <w:rPr>
          <w:spacing w:val="-34"/>
        </w:rPr>
      </w:r>
      <w:r>
        <w:rPr/>
        <w:t>控制暂时性差异转回的时间且该暂时性差异在可预见的未来很可能不会转回。对与子公司及联营</w:t>
      </w:r>
      <w:r>
        <w:rPr>
          <w:spacing w:val="-97"/>
        </w:rPr>
        <w:t> </w:t>
      </w:r>
      <w:r>
        <w:rPr>
          <w:spacing w:val="-97"/>
        </w:rPr>
      </w:r>
      <w:r>
        <w:rPr/>
        <w:t>企业投资相关的可抵扣暂时性差异，当该暂时性差异在可预见的未来很可能转回且未来很可能获</w:t>
      </w:r>
      <w:r>
        <w:rPr>
          <w:spacing w:val="-97"/>
        </w:rPr>
        <w:t> </w:t>
      </w:r>
      <w:r>
        <w:rPr>
          <w:spacing w:val="-97"/>
        </w:rPr>
      </w:r>
      <w:r>
        <w:rPr/>
        <w:t>得用来抵扣可抵扣暂时性差异的应纳税所得额时，确认递延所得税资产。</w:t>
      </w:r>
    </w:p>
    <w:p>
      <w:pPr>
        <w:spacing w:after="0" w:line="235" w:lineRule="auto"/>
        <w:jc w:val="left"/>
        <w:sectPr>
          <w:footerReference w:type="default" r:id="rId49"/>
          <w:pgSz w:w="11910" w:h="16840"/>
          <w:pgMar w:footer="1195"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90" w:lineRule="auto"/>
        <w:ind w:left="218" w:right="618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2" w:lineRule="exact" w:before="40"/>
        <w:ind w:left="218" w:right="734"/>
        <w:jc w:val="left"/>
      </w:pPr>
      <w:r>
        <w:rPr/>
        <w:t>√适用□不适用</w:t>
      </w:r>
      <w:r>
        <w:rPr>
          <w:spacing w:val="-103"/>
        </w:rPr>
        <w:t> </w:t>
      </w:r>
      <w:r>
        <w:rPr>
          <w:spacing w:val="-103"/>
        </w:rPr>
      </w:r>
      <w:r>
        <w:rPr>
          <w:spacing w:val="-2"/>
        </w:rPr>
        <w:t>经营租赁的租金支出在租赁期内按照直线法计入相关资产成本或当期损益。</w:t>
      </w:r>
    </w:p>
    <w:p>
      <w:pPr>
        <w:spacing w:line="240" w:lineRule="auto" w:before="2"/>
        <w:rPr>
          <w:rFonts w:ascii="宋体" w:hAnsi="宋体" w:cs="宋体" w:eastAsia="宋体" w:hint="default"/>
          <w:sz w:val="21"/>
          <w:szCs w:val="21"/>
        </w:rPr>
      </w:pPr>
    </w:p>
    <w:p>
      <w:pPr>
        <w:pStyle w:val="Heading2"/>
        <w:spacing w:line="240" w:lineRule="auto" w:before="0"/>
        <w:ind w:left="218" w:right="0"/>
        <w:jc w:val="left"/>
        <w:rPr>
          <w:b w:val="0"/>
          <w:bCs w:val="0"/>
        </w:rPr>
      </w:pPr>
      <w:r>
        <w:rPr>
          <w:rFonts w:ascii="宋体" w:hAnsi="宋体" w:cs="宋体" w:eastAsia="宋体" w:hint="default"/>
        </w:rPr>
        <w:t>(2)</w:t>
      </w:r>
      <w:r>
        <w:rPr/>
        <w:t>、融资租赁的会计处理方法</w:t>
      </w:r>
      <w:r>
        <w:rPr>
          <w:b w:val="0"/>
          <w:bCs w:val="0"/>
        </w:rPr>
      </w:r>
    </w:p>
    <w:p>
      <w:pPr>
        <w:pStyle w:val="BodyText"/>
        <w:spacing w:line="237" w:lineRule="auto" w:before="59"/>
        <w:ind w:left="218" w:right="0"/>
        <w:jc w:val="left"/>
      </w:pPr>
      <w:r>
        <w:rPr/>
        <w:t>√适用□不适用</w:t>
      </w:r>
      <w:r>
        <w:rPr>
          <w:spacing w:val="-103"/>
        </w:rPr>
        <w:t> </w:t>
      </w:r>
      <w:r>
        <w:rPr>
          <w:spacing w:val="-103"/>
        </w:rPr>
      </w:r>
      <w:r>
        <w:rPr/>
        <w:t>以租赁资产的公允价值与最低租赁付款额的现值两者中较低者作为租入资产的入账价值，租入资</w:t>
      </w:r>
      <w:r>
        <w:rPr>
          <w:spacing w:val="-97"/>
        </w:rPr>
        <w:t> </w:t>
      </w:r>
      <w:r>
        <w:rPr>
          <w:spacing w:val="-97"/>
        </w:rPr>
      </w:r>
      <w:r>
        <w:rPr>
          <w:spacing w:val="-4"/>
          <w:w w:val="100"/>
        </w:rPr>
        <w:t>产的入账价值与最低租赁付款额之间的差额作为未确认融资费用，在租赁期内按实际利率法摊销。</w:t>
      </w:r>
      <w:r>
        <w:rPr>
          <w:spacing w:val="-86"/>
          <w:w w:val="100"/>
        </w:rPr>
        <w:t> </w:t>
      </w:r>
      <w:r>
        <w:rPr>
          <w:spacing w:val="-86"/>
          <w:w w:val="100"/>
        </w:rPr>
      </w:r>
      <w:r>
        <w:rPr/>
        <w:t>最低租赁付款额扣除未确认融资费用后的余额作为长期应付款列示。</w:t>
      </w:r>
    </w:p>
    <w:p>
      <w:pPr>
        <w:spacing w:line="240" w:lineRule="auto" w:before="1"/>
        <w:rPr>
          <w:rFonts w:ascii="宋体" w:hAnsi="宋体" w:cs="宋体" w:eastAsia="宋体" w:hint="default"/>
          <w:sz w:val="23"/>
          <w:szCs w:val="23"/>
        </w:rPr>
      </w:pPr>
    </w:p>
    <w:p>
      <w:pPr>
        <w:pStyle w:val="Heading2"/>
        <w:spacing w:line="240" w:lineRule="auto" w:before="0"/>
        <w:ind w:left="218" w:right="0"/>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964" w:val="left" w:leader="none"/>
        </w:tabs>
        <w:spacing w:line="274" w:lineRule="exact" w:before="82"/>
        <w:ind w:left="218" w:right="754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无。</w:t>
      </w:r>
    </w:p>
    <w:p>
      <w:pPr>
        <w:spacing w:line="240" w:lineRule="auto" w:before="12"/>
        <w:rPr>
          <w:rFonts w:ascii="宋体" w:hAnsi="宋体" w:cs="宋体" w:eastAsia="宋体" w:hint="default"/>
          <w:sz w:val="20"/>
          <w:szCs w:val="20"/>
        </w:rPr>
      </w:pPr>
    </w:p>
    <w:p>
      <w:pPr>
        <w:pStyle w:val="Heading2"/>
        <w:spacing w:line="290" w:lineRule="auto" w:before="0"/>
        <w:ind w:left="218" w:right="565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883"/>
        <w:gridCol w:w="2338"/>
        <w:gridCol w:w="3603"/>
      </w:tblGrid>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3"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受重要影响的报表项目名称和</w:t>
            </w:r>
          </w:p>
          <w:p>
            <w:pPr>
              <w:pStyle w:val="TableParagraph"/>
              <w:spacing w:line="28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金额</w:t>
            </w:r>
            <w:r>
              <w:rPr>
                <w:rFonts w:ascii="Times New Roman" w:hAnsi="Times New Roman" w:cs="Times New Roman" w:eastAsia="Times New Roman" w:hint="default"/>
                <w:sz w:val="21"/>
                <w:szCs w:val="21"/>
              </w:rPr>
              <w:t>)</w:t>
            </w:r>
          </w:p>
        </w:tc>
      </w:tr>
      <w:tr>
        <w:trPr>
          <w:trHeight w:val="555"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w:t>
            </w:r>
            <w:r>
              <w:rPr>
                <w:rFonts w:ascii="宋体" w:hAnsi="宋体" w:cs="宋体" w:eastAsia="宋体" w:hint="default"/>
                <w:spacing w:val="13"/>
                <w:sz w:val="21"/>
                <w:szCs w:val="21"/>
              </w:rPr>
              <w:t>在利润表中分别列示持续</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经营损益和终止经营损益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经公司第六届董事会第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三十次会议审议通过</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 止 经 营 净 利 润 项 目 金</w:t>
            </w:r>
            <w:r>
              <w:rPr>
                <w:rFonts w:ascii="宋体" w:hAnsi="宋体" w:cs="宋体" w:eastAsia="宋体" w:hint="default"/>
                <w:spacing w:val="23"/>
                <w:sz w:val="21"/>
                <w:szCs w:val="21"/>
              </w:rPr>
              <w:t> </w:t>
            </w:r>
            <w:r>
              <w:rPr>
                <w:rFonts w:ascii="宋体" w:hAnsi="宋体" w:cs="宋体" w:eastAsia="宋体" w:hint="default"/>
                <w:sz w:val="21"/>
                <w:szCs w:val="21"/>
              </w:rPr>
              <w:t>额</w:t>
            </w:r>
          </w:p>
          <w:p>
            <w:pPr>
              <w:pStyle w:val="TableParagraph"/>
              <w:spacing w:line="240" w:lineRule="auto" w:before="25"/>
              <w:ind w:left="103" w:right="0"/>
              <w:jc w:val="left"/>
              <w:rPr>
                <w:rFonts w:ascii="Arial Narrow" w:hAnsi="Arial Narrow" w:cs="Arial Narrow" w:eastAsia="Arial Narrow" w:hint="default"/>
                <w:sz w:val="21"/>
                <w:szCs w:val="21"/>
              </w:rPr>
            </w:pPr>
            <w:r>
              <w:rPr>
                <w:rFonts w:ascii="Arial Narrow"/>
                <w:sz w:val="21"/>
              </w:rPr>
              <w:t>57,616,708.78</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与本公司日常活动相关的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政府补助计入其他收益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经公司第六届董事会第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二十七次会议审议通过</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Arial Narrow" w:hAnsi="Arial Narrow" w:cs="Arial Narrow" w:eastAsia="Arial Narrow" w:hint="default"/>
                <w:sz w:val="21"/>
                <w:szCs w:val="21"/>
              </w:rPr>
            </w:pPr>
            <w:r>
              <w:rPr>
                <w:rFonts w:ascii="宋体" w:hAnsi="宋体" w:cs="宋体" w:eastAsia="宋体" w:hint="default"/>
                <w:sz w:val="21"/>
                <w:szCs w:val="21"/>
              </w:rPr>
              <w:t>其他收益项目金额</w:t>
            </w:r>
            <w:r>
              <w:rPr>
                <w:rFonts w:ascii="宋体" w:hAnsi="宋体" w:cs="宋体" w:eastAsia="宋体" w:hint="default"/>
                <w:spacing w:val="-56"/>
                <w:sz w:val="21"/>
                <w:szCs w:val="21"/>
              </w:rPr>
              <w:t> </w:t>
            </w:r>
            <w:r>
              <w:rPr>
                <w:rFonts w:ascii="Arial Narrow" w:hAnsi="Arial Narrow" w:cs="Arial Narrow" w:eastAsia="Arial Narrow" w:hint="default"/>
                <w:sz w:val="21"/>
                <w:szCs w:val="21"/>
              </w:rPr>
              <w:t>19,859,602.77</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资产处置损益列报调整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经公司第六届董事会第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三十次会议审议通过</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Arial Narrow" w:hAnsi="Arial Narrow" w:cs="Arial Narrow" w:eastAsia="Arial Narrow" w:hint="default"/>
                <w:sz w:val="21"/>
                <w:szCs w:val="21"/>
              </w:rPr>
            </w:pPr>
            <w:r>
              <w:rPr>
                <w:rFonts w:ascii="宋体" w:hAnsi="宋体" w:cs="宋体" w:eastAsia="宋体" w:hint="default"/>
                <w:sz w:val="21"/>
                <w:szCs w:val="21"/>
              </w:rPr>
              <w:t>资产处置收益项目金额</w:t>
            </w:r>
            <w:r>
              <w:rPr>
                <w:rFonts w:ascii="宋体" w:hAnsi="宋体" w:cs="宋体" w:eastAsia="宋体" w:hint="default"/>
                <w:spacing w:val="-67"/>
                <w:sz w:val="21"/>
                <w:szCs w:val="21"/>
              </w:rPr>
              <w:t> </w:t>
            </w:r>
            <w:r>
              <w:rPr>
                <w:rFonts w:ascii="Arial Narrow" w:hAnsi="Arial Narrow" w:cs="Arial Narrow" w:eastAsia="Arial Narrow" w:hint="default"/>
                <w:sz w:val="21"/>
                <w:szCs w:val="21"/>
              </w:rPr>
              <w:t>2,119,508.27</w:t>
            </w:r>
          </w:p>
        </w:tc>
      </w:tr>
    </w:tbl>
    <w:p>
      <w:pPr>
        <w:spacing w:line="240" w:lineRule="auto" w:before="2"/>
        <w:rPr>
          <w:rFonts w:ascii="宋体" w:hAnsi="宋体" w:cs="宋体" w:eastAsia="宋体" w:hint="default"/>
          <w:sz w:val="13"/>
          <w:szCs w:val="13"/>
        </w:rPr>
      </w:pPr>
    </w:p>
    <w:p>
      <w:pPr>
        <w:pStyle w:val="BodyText"/>
        <w:spacing w:line="273" w:lineRule="exact" w:before="36"/>
        <w:ind w:left="218" w:right="0"/>
        <w:jc w:val="left"/>
      </w:pPr>
      <w:r>
        <w:rPr/>
        <w:t>其他说明</w:t>
      </w:r>
    </w:p>
    <w:p>
      <w:pPr>
        <w:pStyle w:val="BodyText"/>
        <w:spacing w:line="280" w:lineRule="exact"/>
        <w:ind w:left="218" w:right="0"/>
        <w:jc w:val="left"/>
      </w:pPr>
      <w:r>
        <w:rPr/>
        <w:t>财政部于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年度发布了《企业会计准则第</w:t>
      </w:r>
      <w:r>
        <w:rPr>
          <w:spacing w:val="-51"/>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号——持有待售的非流动资产、处置组和终止经</w:t>
      </w:r>
    </w:p>
    <w:p>
      <w:pPr>
        <w:pStyle w:val="BodyText"/>
        <w:spacing w:line="272" w:lineRule="exact" w:before="19"/>
        <w:ind w:left="218" w:right="0"/>
        <w:jc w:val="left"/>
      </w:pPr>
      <w:r>
        <w:rPr>
          <w:spacing w:val="-53"/>
          <w:w w:val="100"/>
        </w:rPr>
        <w:t>营》，自</w:t>
      </w:r>
      <w:r>
        <w:rPr>
          <w:spacing w:val="-51"/>
          <w:w w:val="100"/>
        </w:rPr>
        <w:t> </w:t>
      </w:r>
      <w:r>
        <w:rPr>
          <w:rFonts w:ascii="Times New Roman" w:hAnsi="Times New Roman" w:cs="Times New Roman" w:eastAsia="Times New Roman" w:hint="default"/>
          <w:spacing w:val="-1"/>
          <w:w w:val="100"/>
        </w:rPr>
        <w:t>2017 </w:t>
      </w:r>
      <w:r>
        <w:rPr>
          <w:w w:val="100"/>
        </w:rPr>
        <w:t>年</w:t>
      </w:r>
      <w:r>
        <w:rPr>
          <w:spacing w:val="-51"/>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28 </w:t>
      </w:r>
      <w:r>
        <w:rPr>
          <w:spacing w:val="-8"/>
          <w:w w:val="100"/>
        </w:rPr>
        <w:t>日起施行，对于施行日存在的持有待售的非流动资产、处置组和终止经营，</w:t>
      </w:r>
      <w:r>
        <w:rPr>
          <w:w w:val="100"/>
        </w:rPr>
        <w:t> </w:t>
      </w:r>
      <w:r>
        <w:rPr/>
        <w:t>要求采用未来适用法处理。</w:t>
      </w:r>
    </w:p>
    <w:p>
      <w:pPr>
        <w:pStyle w:val="BodyText"/>
        <w:spacing w:line="255" w:lineRule="exact"/>
        <w:ind w:left="218" w:right="0"/>
        <w:jc w:val="left"/>
      </w:pPr>
      <w:r>
        <w:rPr>
          <w:w w:val="100"/>
        </w:rPr>
        <w:t>财政</w:t>
      </w:r>
      <w:r>
        <w:rPr>
          <w:spacing w:val="-3"/>
          <w:w w:val="100"/>
        </w:rPr>
        <w:t>部</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2"/>
        </w:rPr>
        <w:t> </w:t>
      </w:r>
      <w:r>
        <w:rPr>
          <w:spacing w:val="-3"/>
          <w:w w:val="100"/>
        </w:rPr>
        <w:t>年</w:t>
      </w:r>
      <w:r>
        <w:rPr>
          <w:w w:val="100"/>
        </w:rPr>
        <w:t>度</w:t>
      </w:r>
      <w:r>
        <w:rPr>
          <w:spacing w:val="-3"/>
          <w:w w:val="100"/>
        </w:rPr>
        <w:t>修</w:t>
      </w:r>
      <w:r>
        <w:rPr>
          <w:w w:val="100"/>
        </w:rPr>
        <w:t>订</w:t>
      </w:r>
      <w:r>
        <w:rPr>
          <w:spacing w:val="-3"/>
          <w:w w:val="100"/>
        </w:rPr>
        <w:t>了</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16</w:t>
      </w:r>
      <w:r>
        <w:rPr>
          <w:rFonts w:ascii="Times New Roman" w:hAnsi="Times New Roman" w:cs="Times New Roman" w:eastAsia="Times New Roman" w:hint="default"/>
        </w:rPr>
        <w:t> </w:t>
      </w:r>
      <w:r>
        <w:rPr>
          <w:w w:val="100"/>
        </w:rPr>
        <w:t>号</w:t>
      </w:r>
      <w:r>
        <w:rPr>
          <w:spacing w:val="-3"/>
          <w:w w:val="100"/>
        </w:rPr>
        <w:t>—</w:t>
      </w:r>
      <w:r>
        <w:rPr>
          <w:w w:val="100"/>
        </w:rPr>
        <w:t>—政</w:t>
      </w:r>
      <w:r>
        <w:rPr>
          <w:spacing w:val="-3"/>
          <w:w w:val="100"/>
        </w:rPr>
        <w:t>府</w:t>
      </w:r>
      <w:r>
        <w:rPr>
          <w:w w:val="100"/>
        </w:rPr>
        <w:t>补</w:t>
      </w:r>
      <w:r>
        <w:rPr>
          <w:spacing w:val="-3"/>
          <w:w w:val="100"/>
        </w:rPr>
        <w:t>助</w:t>
      </w:r>
      <w:r>
        <w:rPr>
          <w:spacing w:val="-106"/>
          <w:w w:val="100"/>
        </w:rPr>
        <w:t>》</w:t>
      </w:r>
      <w:r>
        <w:rPr>
          <w:spacing w:val="-3"/>
          <w:w w:val="100"/>
        </w:rPr>
        <w:t>，</w:t>
      </w:r>
      <w:r>
        <w:rPr>
          <w:w w:val="100"/>
        </w:rPr>
        <w:t>修</w:t>
      </w:r>
      <w:r>
        <w:rPr>
          <w:spacing w:val="-3"/>
          <w:w w:val="100"/>
        </w:rPr>
        <w:t>订</w:t>
      </w:r>
      <w:r>
        <w:rPr>
          <w:w w:val="100"/>
        </w:rPr>
        <w:t>后</w:t>
      </w:r>
      <w:r>
        <w:rPr>
          <w:spacing w:val="-3"/>
          <w:w w:val="100"/>
        </w:rPr>
        <w:t>的准</w:t>
      </w:r>
      <w:r>
        <w:rPr>
          <w:w w:val="100"/>
        </w:rPr>
        <w:t>则自</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0"/>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p>
    <w:p>
      <w:pPr>
        <w:pStyle w:val="BodyText"/>
        <w:spacing w:line="273" w:lineRule="exact"/>
        <w:ind w:left="218" w:right="0"/>
        <w:jc w:val="left"/>
        <w:rPr>
          <w:rFonts w:ascii="Times New Roman" w:hAnsi="Times New Roman" w:cs="Times New Roman" w:eastAsia="Times New Roman" w:hint="default"/>
        </w:rPr>
      </w:pPr>
      <w:r>
        <w:rPr>
          <w:rFonts w:ascii="Times New Roman" w:hAnsi="Times New Roman" w:cs="Times New Roman" w:eastAsia="Times New Roman" w:hint="default"/>
        </w:rPr>
        <w:t>12 </w:t>
      </w:r>
      <w:r>
        <w:rPr/>
        <w:t>日起施行，对于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日存在的政府补助，要求采用未来适用法处理；对于</w:t>
      </w:r>
      <w:r>
        <w:rPr>
          <w:spacing w:val="-52"/>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1</w:t>
      </w:r>
    </w:p>
    <w:p>
      <w:pPr>
        <w:pStyle w:val="BodyText"/>
        <w:spacing w:line="272" w:lineRule="exact"/>
        <w:ind w:left="218" w:right="0"/>
        <w:jc w:val="left"/>
      </w:pP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日至施行日新增的政府补助，也要求按照修订后的准则进行调整。</w:t>
      </w:r>
    </w:p>
    <w:p>
      <w:pPr>
        <w:pStyle w:val="BodyText"/>
        <w:spacing w:line="272" w:lineRule="exact"/>
        <w:ind w:left="218" w:right="0"/>
        <w:jc w:val="left"/>
      </w:pPr>
      <w:r>
        <w:rPr>
          <w:w w:val="100"/>
        </w:rPr>
        <w:t>财政</w:t>
      </w:r>
      <w:r>
        <w:rPr>
          <w:spacing w:val="-3"/>
          <w:w w:val="100"/>
        </w:rPr>
        <w:t>部</w:t>
      </w:r>
      <w:r>
        <w:rPr>
          <w:w w:val="100"/>
        </w:rPr>
        <w:t>于</w:t>
      </w:r>
      <w:r>
        <w:rPr>
          <w:spacing w:val="-4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7"/>
        </w:rPr>
        <w:t> </w:t>
      </w:r>
      <w:r>
        <w:rPr>
          <w:spacing w:val="-3"/>
          <w:w w:val="100"/>
        </w:rPr>
        <w:t>年</w:t>
      </w:r>
      <w:r>
        <w:rPr>
          <w:w w:val="100"/>
        </w:rPr>
        <w:t>度</w:t>
      </w:r>
      <w:r>
        <w:rPr>
          <w:spacing w:val="-3"/>
          <w:w w:val="100"/>
        </w:rPr>
        <w:t>发</w:t>
      </w:r>
      <w:r>
        <w:rPr>
          <w:w w:val="100"/>
        </w:rPr>
        <w:t>布</w:t>
      </w:r>
      <w:r>
        <w:rPr>
          <w:spacing w:val="-3"/>
          <w:w w:val="100"/>
        </w:rPr>
        <w:t>了</w:t>
      </w:r>
      <w:r>
        <w:rPr>
          <w:w w:val="100"/>
        </w:rPr>
        <w:t>《财</w:t>
      </w:r>
      <w:r>
        <w:rPr>
          <w:spacing w:val="-3"/>
          <w:w w:val="100"/>
        </w:rPr>
        <w:t>政</w:t>
      </w:r>
      <w:r>
        <w:rPr>
          <w:w w:val="100"/>
        </w:rPr>
        <w:t>部</w:t>
      </w:r>
      <w:r>
        <w:rPr>
          <w:spacing w:val="-3"/>
          <w:w w:val="100"/>
        </w:rPr>
        <w:t>关</w:t>
      </w:r>
      <w:r>
        <w:rPr>
          <w:w w:val="100"/>
        </w:rPr>
        <w:t>于</w:t>
      </w:r>
      <w:r>
        <w:rPr>
          <w:spacing w:val="-3"/>
          <w:w w:val="100"/>
        </w:rPr>
        <w:t>修</w:t>
      </w:r>
      <w:r>
        <w:rPr>
          <w:w w:val="100"/>
        </w:rPr>
        <w:t>订</w:t>
      </w:r>
      <w:r>
        <w:rPr>
          <w:spacing w:val="-3"/>
          <w:w w:val="100"/>
        </w:rPr>
        <w:t>印</w:t>
      </w:r>
      <w:r>
        <w:rPr>
          <w:w w:val="100"/>
        </w:rPr>
        <w:t>发</w:t>
      </w:r>
      <w:r>
        <w:rPr>
          <w:spacing w:val="-3"/>
          <w:w w:val="100"/>
        </w:rPr>
        <w:t>一</w:t>
      </w:r>
      <w:r>
        <w:rPr>
          <w:w w:val="100"/>
        </w:rPr>
        <w:t>般企</w:t>
      </w:r>
      <w:r>
        <w:rPr>
          <w:spacing w:val="-3"/>
          <w:w w:val="100"/>
        </w:rPr>
        <w:t>业</w:t>
      </w:r>
      <w:r>
        <w:rPr>
          <w:w w:val="100"/>
        </w:rPr>
        <w:t>财</w:t>
      </w:r>
      <w:r>
        <w:rPr>
          <w:spacing w:val="-3"/>
          <w:w w:val="100"/>
        </w:rPr>
        <w:t>务</w:t>
      </w:r>
      <w:r>
        <w:rPr>
          <w:w w:val="100"/>
        </w:rPr>
        <w:t>报</w:t>
      </w:r>
      <w:r>
        <w:rPr>
          <w:spacing w:val="-3"/>
          <w:w w:val="100"/>
        </w:rPr>
        <w:t>表</w:t>
      </w:r>
      <w:r>
        <w:rPr>
          <w:w w:val="100"/>
        </w:rPr>
        <w:t>格</w:t>
      </w:r>
      <w:r>
        <w:rPr>
          <w:spacing w:val="-3"/>
          <w:w w:val="100"/>
        </w:rPr>
        <w:t>式</w:t>
      </w:r>
      <w:r>
        <w:rPr>
          <w:w w:val="100"/>
        </w:rPr>
        <w:t>的</w:t>
      </w:r>
      <w:r>
        <w:rPr>
          <w:spacing w:val="-3"/>
          <w:w w:val="100"/>
        </w:rPr>
        <w:t>通</w:t>
      </w:r>
      <w:r>
        <w:rPr>
          <w:w w:val="100"/>
        </w:rPr>
        <w:t>知</w:t>
      </w:r>
      <w:r>
        <w:rPr>
          <w:spacing w:val="-106"/>
          <w:w w:val="100"/>
        </w:rPr>
        <w:t>》</w:t>
      </w:r>
      <w:r>
        <w:rPr>
          <w:spacing w:val="-3"/>
          <w:w w:val="100"/>
        </w:rPr>
        <w:t>（</w:t>
      </w:r>
      <w:r>
        <w:rPr>
          <w:w w:val="100"/>
        </w:rPr>
        <w:t>财</w:t>
      </w:r>
      <w:r>
        <w:rPr>
          <w:spacing w:val="-3"/>
          <w:w w:val="100"/>
        </w:rPr>
        <w:t>会</w:t>
      </w: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17</w:t>
      </w:r>
      <w:r>
        <w:rPr>
          <w:w w:val="100"/>
        </w:rPr>
        <w:t>〕</w:t>
      </w:r>
    </w:p>
    <w:p>
      <w:pPr>
        <w:pStyle w:val="BodyText"/>
        <w:spacing w:line="272" w:lineRule="exact" w:before="19"/>
        <w:ind w:left="218" w:right="0"/>
        <w:jc w:val="left"/>
      </w:pPr>
      <w:r>
        <w:rPr>
          <w:rFonts w:ascii="Times New Roman" w:hAnsi="Times New Roman" w:cs="Times New Roman" w:eastAsia="Times New Roman" w:hint="default"/>
          <w:w w:val="100"/>
        </w:rPr>
        <w:t>30</w:t>
      </w:r>
      <w:r>
        <w:rPr>
          <w:rFonts w:ascii="Times New Roman" w:hAnsi="Times New Roman" w:cs="Times New Roman" w:eastAsia="Times New Roman" w:hint="default"/>
          <w:spacing w:val="10"/>
          <w:w w:val="100"/>
        </w:rPr>
        <w:t> </w:t>
      </w:r>
      <w:r>
        <w:rPr>
          <w:spacing w:val="-7"/>
          <w:w w:val="100"/>
        </w:rPr>
        <w:t>号），执行企业会计准则的企业应按照企业会计准则和该通知要求编制</w:t>
      </w:r>
      <w:r>
        <w:rPr>
          <w:spacing w:val="-43"/>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8"/>
          <w:w w:val="100"/>
        </w:rPr>
        <w:t> </w:t>
      </w:r>
      <w:r>
        <w:rPr>
          <w:spacing w:val="-2"/>
          <w:w w:val="100"/>
        </w:rPr>
        <w:t>年度及以后期间的</w:t>
      </w:r>
      <w:r>
        <w:rPr>
          <w:spacing w:val="-102"/>
          <w:w w:val="100"/>
        </w:rPr>
        <w:t> </w:t>
      </w:r>
      <w:r>
        <w:rPr>
          <w:spacing w:val="-102"/>
          <w:w w:val="100"/>
        </w:rPr>
      </w:r>
      <w:r>
        <w:rPr/>
        <w:t>财务报表。</w:t>
      </w:r>
    </w:p>
    <w:p>
      <w:pPr>
        <w:spacing w:line="240" w:lineRule="auto" w:before="12"/>
        <w:rPr>
          <w:rFonts w:ascii="宋体" w:hAnsi="宋体" w:cs="宋体" w:eastAsia="宋体" w:hint="default"/>
          <w:sz w:val="20"/>
          <w:szCs w:val="20"/>
        </w:rPr>
      </w:pPr>
    </w:p>
    <w:p>
      <w:pPr>
        <w:pStyle w:val="Heading2"/>
        <w:spacing w:line="240" w:lineRule="auto" w:before="0"/>
        <w:ind w:left="218" w:right="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before="0"/>
        <w:ind w:left="218" w:right="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73" w:lineRule="exact" w:before="58"/>
        <w:ind w:left="218" w:right="0"/>
        <w:jc w:val="left"/>
      </w:pPr>
      <w:r>
        <w:rPr/>
        <w:t>√适用□不适用</w:t>
      </w:r>
    </w:p>
    <w:p>
      <w:pPr>
        <w:pStyle w:val="BodyText"/>
        <w:spacing w:line="274" w:lineRule="exact" w:before="24"/>
        <w:ind w:left="218" w:right="0"/>
        <w:jc w:val="left"/>
      </w:pPr>
      <w:r>
        <w:rPr>
          <w:rFonts w:ascii="Times New Roman" w:hAnsi="Times New Roman" w:cs="Times New Roman" w:eastAsia="Times New Roman" w:hint="default"/>
        </w:rPr>
        <w:t>1</w:t>
      </w:r>
      <w:r>
        <w:rPr/>
        <w:t>、商誉</w:t>
      </w:r>
      <w:r>
        <w:rPr>
          <w:w w:val="100"/>
        </w:rPr>
        <w:t> </w:t>
      </w:r>
      <w:r>
        <w:rPr>
          <w:spacing w:val="-1"/>
        </w:rPr>
        <w:t>商誉是指在非同一控制下的企业合并下，购买方的合并成本大于合并中取得的被购买方可辨认净</w:t>
      </w:r>
    </w:p>
    <w:p>
      <w:pPr>
        <w:spacing w:after="0" w:line="274" w:lineRule="exact"/>
        <w:jc w:val="left"/>
        <w:sectPr>
          <w:footerReference w:type="default" r:id="rId50"/>
          <w:pgSz w:w="11910" w:h="16840"/>
          <w:pgMar w:footer="1195" w:header="882" w:top="1120" w:bottom="1380" w:left="1580" w:right="1060"/>
          <w:pgNumType w:start="101"/>
        </w:sectPr>
      </w:pPr>
    </w:p>
    <w:p>
      <w:pPr>
        <w:spacing w:line="240" w:lineRule="auto" w:before="1"/>
        <w:rPr>
          <w:rFonts w:ascii="宋体" w:hAnsi="宋体" w:cs="宋体" w:eastAsia="宋体" w:hint="default"/>
          <w:sz w:val="25"/>
          <w:szCs w:val="25"/>
        </w:rPr>
      </w:pPr>
    </w:p>
    <w:p>
      <w:pPr>
        <w:pStyle w:val="BodyText"/>
        <w:spacing w:line="237" w:lineRule="auto" w:before="38"/>
        <w:ind w:left="218" w:right="100"/>
        <w:jc w:val="left"/>
      </w:pPr>
      <w:r>
        <w:rPr>
          <w:spacing w:val="-1"/>
        </w:rPr>
        <w:t>资产公允价值份额的差额或股权投资成本超过取得日应享有被投资单位公允价值份额的差额。初</w:t>
      </w:r>
      <w:r>
        <w:rPr>
          <w:spacing w:val="-55"/>
        </w:rPr>
        <w:t> </w:t>
      </w:r>
      <w:r>
        <w:rPr>
          <w:spacing w:val="-55"/>
        </w:rPr>
      </w:r>
      <w:r>
        <w:rPr/>
        <w:t>始确认后的商誉，应当以其成本扣除累计减值准备后的金额计量。</w:t>
      </w:r>
      <w:r>
        <w:rPr>
          <w:w w:val="100"/>
        </w:rPr>
        <w:t> </w:t>
      </w:r>
      <w:r>
        <w:rPr>
          <w:spacing w:val="-1"/>
        </w:rPr>
        <w:t>本公司在每年年度终了对企业合并所形成的商誉进行减值测试。在对包含商誉的相关资产组或者</w:t>
      </w:r>
      <w:r>
        <w:rPr>
          <w:spacing w:val="-55"/>
        </w:rPr>
        <w:t> </w:t>
      </w:r>
      <w:r>
        <w:rPr>
          <w:spacing w:val="-55"/>
        </w:rPr>
      </w:r>
      <w:r>
        <w:rPr>
          <w:spacing w:val="-1"/>
        </w:rPr>
        <w:t>资产组组合进行减值测试时，如与商誉相关的资产组或者资产组组合存在减值迹象的，则先对不</w:t>
      </w:r>
      <w:r>
        <w:rPr>
          <w:spacing w:val="-55"/>
        </w:rPr>
        <w:t> </w:t>
      </w:r>
      <w:r>
        <w:rPr>
          <w:spacing w:val="-55"/>
        </w:rPr>
      </w:r>
      <w:r>
        <w:rPr>
          <w:spacing w:val="-1"/>
        </w:rPr>
        <w:t>包含商誉的资产组或者资产组组合进行减值测试，计算可收回金额，并与相关账面价值相比较，</w:t>
      </w:r>
      <w:r>
        <w:rPr>
          <w:spacing w:val="-55"/>
        </w:rPr>
        <w:t> </w:t>
      </w:r>
      <w:r>
        <w:rPr>
          <w:spacing w:val="-55"/>
        </w:rPr>
      </w:r>
      <w:r>
        <w:rPr>
          <w:spacing w:val="-1"/>
        </w:rPr>
        <w:t>确认相应的减值损失。再对包含商誉的资产组或者资产组组合进行减值测试，比较这些相关资产</w:t>
      </w:r>
      <w:r>
        <w:rPr>
          <w:spacing w:val="-55"/>
        </w:rPr>
        <w:t> </w:t>
      </w:r>
      <w:r>
        <w:rPr>
          <w:spacing w:val="-55"/>
        </w:rPr>
      </w:r>
      <w:r>
        <w:rPr>
          <w:spacing w:val="-1"/>
        </w:rPr>
        <w:t>组或者资产组组合的账面价值（包括所分摊的商誉的账面价值部分）与其可收回金额，如相关资</w:t>
      </w:r>
      <w:r>
        <w:rPr>
          <w:spacing w:val="-55"/>
        </w:rPr>
        <w:t> </w:t>
      </w:r>
      <w:r>
        <w:rPr>
          <w:spacing w:val="-55"/>
        </w:rPr>
      </w:r>
      <w:r>
        <w:rPr>
          <w:spacing w:val="-1"/>
        </w:rPr>
        <w:t>产组或者资产组组合的可收回金额低于其账面价值的，则确认商誉的减值损失，资产减值损失一</w:t>
      </w:r>
      <w:r>
        <w:rPr>
          <w:spacing w:val="-55"/>
        </w:rPr>
        <w:t> </w:t>
      </w:r>
      <w:r>
        <w:rPr>
          <w:spacing w:val="-55"/>
        </w:rPr>
      </w:r>
      <w:r>
        <w:rPr/>
        <w:t>经确认，在以后会计期间均不再转回。</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t>六、税项</w:t>
      </w:r>
      <w:r>
        <w:rPr>
          <w:b w:val="0"/>
          <w:bCs w:val="0"/>
        </w:rPr>
      </w:r>
    </w:p>
    <w:p>
      <w:pPr>
        <w:tabs>
          <w:tab w:pos="642" w:val="left" w:leader="none"/>
        </w:tabs>
        <w:spacing w:line="290" w:lineRule="auto" w:before="58"/>
        <w:ind w:left="218" w:right="70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45" w:lineRule="exact"/>
        <w:ind w:left="218" w:right="100"/>
        <w:jc w:val="left"/>
      </w:pP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713"/>
        <w:gridCol w:w="3068"/>
        <w:gridCol w:w="3044"/>
      </w:tblGrid>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销售货物或者提供应税劳务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17%</w:t>
            </w:r>
          </w:p>
        </w:tc>
      </w:tr>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应纳流转税税额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应纳流转税税额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p>
        </w:tc>
      </w:tr>
      <w:tr>
        <w:trPr>
          <w:trHeight w:val="252" w:hRule="exact"/>
        </w:trPr>
        <w:tc>
          <w:tcPr>
            <w:tcW w:w="2713"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74" w:lineRule="exact" w:before="36"/>
        <w:ind w:left="218" w:right="100"/>
        <w:jc w:val="left"/>
      </w:pPr>
      <w:r>
        <w:rPr/>
        <w:t>存在不同企业所得税税率纳税主体的，披露情况说明</w:t>
      </w:r>
    </w:p>
    <w:p>
      <w:pPr>
        <w:pStyle w:val="BodyText"/>
        <w:spacing w:line="290" w:lineRule="exact"/>
        <w:ind w:left="218" w:right="10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489"/>
        <w:gridCol w:w="4335"/>
      </w:tblGrid>
      <w:tr>
        <w:trPr>
          <w:trHeight w:val="286" w:hRule="exact"/>
        </w:trPr>
        <w:tc>
          <w:tcPr>
            <w:tcW w:w="4489"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335"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1337"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贵州泰豪宝碳智慧能源有限公司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江西泰豪能源互联网有限公司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泰豪国际工程有限公司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9"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上海泰豪智能节能技术有限公司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泰豪晟大创业投资有限公司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广东泰豪能源科技有限公司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上海泰豪迈能能源科技有限公司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泰豪福瑞斯动力设备有限公司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陕西泰豪沃达动力设备有限公司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广东泰豪三奥动力科技有限公司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济南吉美乐电源技术有限公司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长春泰豪电子装备有限公司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48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嘉兴泰豪装备技术有限公司</w:t>
            </w:r>
          </w:p>
        </w:tc>
        <w:tc>
          <w:tcPr>
            <w:tcW w:w="4335"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489"/>
        <w:gridCol w:w="4335"/>
      </w:tblGrid>
      <w:tr>
        <w:trPr>
          <w:trHeight w:val="286" w:hRule="exact"/>
        </w:trPr>
        <w:tc>
          <w:tcPr>
            <w:tcW w:w="4489"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4335"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北京泰豪电力技术有限公司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北京泰豪电力科技有限公司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杭州乾龙伟业电器成套有限公司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黑龙江中能电力设计有限公司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泰豪科技（亚洲）有限公司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莱福士电力电子设备（深圳）有限公司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上海博辕信息技术服务如皋有限公司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上海博辕信息技术服务海安有限公司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北京博辕捷迅科技发展有限公司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宁波博辕信息技术服务有限公司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9"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深圳博辕钧融科技有限公司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苏州博辕恒瑞信息技术服务有限公司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上海致胜信息技术服务有限公司</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4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中能华电（北京）电力技术研究院</w:t>
            </w:r>
          </w:p>
        </w:tc>
        <w:tc>
          <w:tcPr>
            <w:tcW w:w="433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48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贵州泰豪电力科技有限公司</w:t>
            </w:r>
          </w:p>
        </w:tc>
        <w:tc>
          <w:tcPr>
            <w:tcW w:w="4335"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642" w:val="left" w:leader="none"/>
        </w:tabs>
        <w:spacing w:line="240" w:lineRule="auto"/>
        <w:ind w:left="218" w:right="100"/>
        <w:jc w:val="left"/>
        <w:rPr>
          <w:b w:val="0"/>
          <w:bCs w:val="0"/>
        </w:rPr>
      </w:pPr>
      <w:r>
        <w:rPr>
          <w:rFonts w:ascii="宋体" w:hAnsi="宋体" w:cs="宋体" w:eastAsia="宋体" w:hint="default"/>
          <w:w w:val="95"/>
        </w:rPr>
        <w:t>2.</w:t>
        <w:tab/>
      </w:r>
      <w:r>
        <w:rPr/>
        <w:t>税收优惠</w:t>
      </w:r>
      <w:r>
        <w:rPr>
          <w:b w:val="0"/>
          <w:bCs w:val="0"/>
        </w:rPr>
      </w:r>
    </w:p>
    <w:p>
      <w:pPr>
        <w:pStyle w:val="BodyText"/>
        <w:spacing w:line="273" w:lineRule="exact" w:before="58"/>
        <w:ind w:left="218" w:right="100"/>
        <w:jc w:val="left"/>
      </w:pPr>
      <w:r>
        <w:rPr/>
        <w:t>√适用□不适用</w:t>
      </w:r>
    </w:p>
    <w:p>
      <w:pPr>
        <w:pStyle w:val="BodyText"/>
        <w:spacing w:line="232" w:lineRule="auto" w:before="5"/>
        <w:ind w:left="218" w:right="100"/>
        <w:jc w:val="left"/>
      </w:pPr>
      <w:r>
        <w:rPr/>
        <w:t>（</w:t>
      </w:r>
      <w:r>
        <w:rPr>
          <w:rFonts w:ascii="Times New Roman" w:hAnsi="Times New Roman" w:cs="Times New Roman" w:eastAsia="Times New Roman" w:hint="default"/>
        </w:rPr>
        <w:t>1</w:t>
      </w:r>
      <w:r>
        <w:rPr/>
        <w:t>）企业所得税</w:t>
      </w:r>
      <w:r>
        <w:rPr>
          <w:w w:val="100"/>
        </w:rPr>
        <w:t> </w:t>
      </w:r>
      <w:r>
        <w:rPr>
          <w:spacing w:val="-1"/>
        </w:rPr>
        <w:t>本公司及控股子公司泰豪科技（深圳）电力技术有限公司、泰豪软件股份有限公司、江西清华泰</w:t>
      </w:r>
      <w:r>
        <w:rPr>
          <w:spacing w:val="-55"/>
        </w:rPr>
        <w:t> </w:t>
      </w:r>
      <w:r>
        <w:rPr>
          <w:spacing w:val="-55"/>
        </w:rPr>
      </w:r>
      <w:r>
        <w:rPr>
          <w:spacing w:val="-1"/>
        </w:rPr>
        <w:t>豪三波电机有限公司、江西泰豪军工集团有限公司、泰豪电源技术有限公司、衡阳泰豪通信车辆</w:t>
      </w:r>
      <w:r>
        <w:rPr>
          <w:spacing w:val="-55"/>
        </w:rPr>
        <w:t> </w:t>
      </w:r>
      <w:r>
        <w:rPr>
          <w:spacing w:val="-55"/>
        </w:rPr>
      </w:r>
      <w:r>
        <w:rPr>
          <w:spacing w:val="-1"/>
        </w:rPr>
        <w:t>有限公司、济南吉美乐电源技术有限公司、北京泰豪电力科技有限公司、北京泰豪电力技术有限</w:t>
      </w:r>
      <w:r>
        <w:rPr>
          <w:spacing w:val="-55"/>
        </w:rPr>
        <w:t> </w:t>
      </w:r>
      <w:r>
        <w:rPr>
          <w:spacing w:val="-55"/>
        </w:rPr>
      </w:r>
      <w:r>
        <w:rPr>
          <w:spacing w:val="-1"/>
        </w:rPr>
        <w:t>公司、上海泰豪智能节能技术有限公司、上海博辕信息技术服务有限公司、龙岩市海德馨汽车有</w:t>
      </w:r>
      <w:r>
        <w:rPr>
          <w:spacing w:val="-55"/>
        </w:rPr>
        <w:t> </w:t>
      </w:r>
      <w:r>
        <w:rPr>
          <w:spacing w:val="-55"/>
        </w:rPr>
      </w:r>
      <w:r>
        <w:rPr/>
        <w:t>限公司均被认定为高新技术企业，</w:t>
      </w:r>
      <w:r>
        <w:rPr>
          <w:rFonts w:ascii="Times New Roman" w:hAnsi="Times New Roman" w:cs="Times New Roman" w:eastAsia="Times New Roman" w:hint="default"/>
        </w:rPr>
        <w:t>2017 </w:t>
      </w:r>
      <w:r>
        <w:rPr/>
        <w:t>年度上述公司执行的企业所得税税率为</w:t>
      </w:r>
      <w:r>
        <w:rPr>
          <w:spacing w:val="-56"/>
        </w:rPr>
        <w:t> </w:t>
      </w:r>
      <w:r>
        <w:rPr>
          <w:rFonts w:ascii="Times New Roman" w:hAnsi="Times New Roman" w:cs="Times New Roman" w:eastAsia="Times New Roman" w:hint="default"/>
        </w:rPr>
        <w:t>15%</w:t>
      </w:r>
      <w:r>
        <w:rPr/>
        <w:t>。</w:t>
      </w:r>
      <w:r>
        <w:rPr>
          <w:w w:val="100"/>
        </w:rPr>
        <w:t> </w:t>
      </w:r>
      <w:r>
        <w:rPr>
          <w:spacing w:val="-2"/>
        </w:rPr>
        <w:t>本公司控股子公司深圳博辕钧融科技有限公司按前海深巷现代服务业合作区鼓励产业减按</w:t>
      </w:r>
      <w:r>
        <w:rPr/>
        <w:t> </w:t>
      </w:r>
      <w:r>
        <w:rPr>
          <w:rFonts w:ascii="Times New Roman" w:hAnsi="Times New Roman" w:cs="Times New Roman" w:eastAsia="Times New Roman" w:hint="default"/>
          <w:spacing w:val="-2"/>
        </w:rPr>
        <w:t>15%</w:t>
      </w:r>
      <w:r>
        <w:rPr>
          <w:spacing w:val="-2"/>
        </w:rPr>
        <w:t>的</w:t>
      </w:r>
      <w:r>
        <w:rPr>
          <w:spacing w:val="-84"/>
        </w:rPr>
        <w:t> </w:t>
      </w:r>
      <w:r>
        <w:rPr/>
        <w:t>税率征收企业所得税。</w:t>
      </w:r>
    </w:p>
    <w:p>
      <w:pPr>
        <w:pStyle w:val="BodyText"/>
        <w:spacing w:line="279" w:lineRule="exact"/>
        <w:ind w:left="218" w:right="100"/>
        <w:jc w:val="left"/>
      </w:pPr>
      <w:r>
        <w:rPr/>
        <w:t>除上述企业外其他控股子公司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度执行的企业所得税税率为</w:t>
      </w:r>
      <w:r>
        <w:rPr>
          <w:spacing w:val="-55"/>
        </w:rPr>
        <w:t> </w:t>
      </w:r>
      <w:r>
        <w:rPr>
          <w:rFonts w:ascii="Times New Roman" w:hAnsi="Times New Roman" w:cs="Times New Roman" w:eastAsia="Times New Roman" w:hint="default"/>
        </w:rPr>
        <w:t>25%</w:t>
      </w:r>
      <w:r>
        <w:rPr/>
        <w:t>。</w:t>
      </w:r>
    </w:p>
    <w:p>
      <w:pPr>
        <w:pStyle w:val="BodyText"/>
        <w:spacing w:line="272" w:lineRule="exact"/>
        <w:ind w:left="218" w:right="100"/>
        <w:jc w:val="left"/>
      </w:pPr>
      <w:r>
        <w:rPr/>
        <w:t>（</w:t>
      </w:r>
      <w:r>
        <w:rPr>
          <w:rFonts w:ascii="Times New Roman" w:hAnsi="Times New Roman" w:cs="Times New Roman" w:eastAsia="Times New Roman" w:hint="default"/>
        </w:rPr>
        <w:t>2</w:t>
      </w:r>
      <w:r>
        <w:rPr/>
        <w:t>）增值税</w:t>
      </w:r>
    </w:p>
    <w:p>
      <w:pPr>
        <w:pStyle w:val="BodyText"/>
        <w:spacing w:line="225" w:lineRule="auto" w:before="5"/>
        <w:ind w:left="218" w:right="127"/>
        <w:jc w:val="both"/>
      </w:pPr>
      <w:r>
        <w:rPr>
          <w:spacing w:val="-4"/>
          <w:w w:val="100"/>
        </w:rPr>
        <w:t>依据《财政部</w:t>
      </w:r>
      <w:r>
        <w:rPr>
          <w:spacing w:val="17"/>
          <w:w w:val="100"/>
        </w:rPr>
        <w:t> </w:t>
      </w:r>
      <w:r>
        <w:rPr>
          <w:spacing w:val="-6"/>
          <w:w w:val="100"/>
        </w:rPr>
        <w:t>国家税务总局关于软件产品增值税政策的通知》（财税</w:t>
      </w:r>
      <w:r>
        <w:rPr>
          <w:rFonts w:ascii="Times New Roman" w:hAnsi="Times New Roman" w:cs="Times New Roman" w:eastAsia="Times New Roman" w:hint="default"/>
          <w:spacing w:val="-6"/>
          <w:w w:val="100"/>
        </w:rPr>
        <w:t>[2011]100</w:t>
      </w:r>
      <w:r>
        <w:rPr>
          <w:rFonts w:ascii="Times New Roman" w:hAnsi="Times New Roman" w:cs="Times New Roman" w:eastAsia="Times New Roman" w:hint="default"/>
          <w:spacing w:val="9"/>
          <w:w w:val="100"/>
        </w:rPr>
        <w:t> </w:t>
      </w:r>
      <w:r>
        <w:rPr>
          <w:spacing w:val="-6"/>
          <w:w w:val="100"/>
        </w:rPr>
        <w:t>号）文件规定，本</w:t>
      </w:r>
      <w:r>
        <w:rPr>
          <w:spacing w:val="-102"/>
          <w:w w:val="100"/>
        </w:rPr>
        <w:t> </w:t>
      </w:r>
      <w:r>
        <w:rPr>
          <w:spacing w:val="-102"/>
          <w:w w:val="100"/>
        </w:rPr>
      </w:r>
      <w:r>
        <w:rPr>
          <w:spacing w:val="-2"/>
          <w:w w:val="100"/>
        </w:rPr>
        <w:t>公司控股子公司泰豪软件股份有限公司自</w:t>
      </w:r>
      <w:r>
        <w:rPr>
          <w:spacing w:val="-52"/>
          <w:w w:val="100"/>
        </w:rPr>
        <w:t> </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2"/>
          <w:w w:val="100"/>
        </w:rPr>
        <w:t> </w:t>
      </w:r>
      <w:r>
        <w:rPr>
          <w:w w:val="100"/>
        </w:rPr>
        <w:t>年</w:t>
      </w:r>
      <w:r>
        <w:rPr>
          <w:spacing w:val="-51"/>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spacing w:val="-9"/>
          <w:w w:val="100"/>
        </w:rPr>
        <w:t>日起，对自行开发的软件产品按</w:t>
      </w:r>
      <w:r>
        <w:rPr>
          <w:spacing w:val="-52"/>
          <w:w w:val="100"/>
        </w:rPr>
        <w:t> </w:t>
      </w:r>
      <w:r>
        <w:rPr>
          <w:rFonts w:ascii="Times New Roman" w:hAnsi="Times New Roman" w:cs="Times New Roman" w:eastAsia="Times New Roman" w:hint="default"/>
          <w:spacing w:val="-2"/>
          <w:w w:val="100"/>
        </w:rPr>
        <w:t>17%</w:t>
      </w:r>
      <w:r>
        <w:rPr>
          <w:spacing w:val="-2"/>
          <w:w w:val="100"/>
        </w:rPr>
        <w:t>的法</w:t>
      </w:r>
      <w:r>
        <w:rPr>
          <w:spacing w:val="-3"/>
          <w:w w:val="100"/>
        </w:rPr>
        <w:t> </w:t>
      </w:r>
      <w:r>
        <w:rPr>
          <w:spacing w:val="-2"/>
        </w:rPr>
        <w:t>定税率征收增值税后，对其增值税实际税负超过</w:t>
      </w:r>
      <w:r>
        <w:rPr>
          <w:spacing w:val="13"/>
        </w:rPr>
        <w:t> </w:t>
      </w:r>
      <w:r>
        <w:rPr>
          <w:rFonts w:ascii="Times New Roman" w:hAnsi="Times New Roman" w:cs="Times New Roman" w:eastAsia="Times New Roman" w:hint="default"/>
          <w:spacing w:val="-2"/>
        </w:rPr>
        <w:t>3%</w:t>
      </w:r>
      <w:r>
        <w:rPr>
          <w:spacing w:val="-2"/>
        </w:rPr>
        <w:t>的部分实行即征即退政策。</w:t>
      </w:r>
    </w:p>
    <w:p>
      <w:pPr>
        <w:pStyle w:val="BodyText"/>
        <w:spacing w:line="272" w:lineRule="exact" w:before="13"/>
        <w:ind w:left="218" w:right="120"/>
        <w:jc w:val="left"/>
      </w:pPr>
      <w:r>
        <w:rPr>
          <w:w w:val="100"/>
        </w:rPr>
        <w:t>根据《</w:t>
      </w:r>
      <w:r>
        <w:rPr>
          <w:spacing w:val="-3"/>
          <w:w w:val="100"/>
        </w:rPr>
        <w:t>财</w:t>
      </w:r>
      <w:r>
        <w:rPr>
          <w:w w:val="100"/>
        </w:rPr>
        <w:t>政部</w:t>
      </w:r>
      <w:r>
        <w:rPr>
          <w:spacing w:val="-2"/>
        </w:rPr>
        <w:t> </w:t>
      </w:r>
      <w:r>
        <w:rPr>
          <w:w w:val="100"/>
        </w:rPr>
        <w:t>国家</w:t>
      </w:r>
      <w:r>
        <w:rPr>
          <w:spacing w:val="-3"/>
          <w:w w:val="100"/>
        </w:rPr>
        <w:t>税</w:t>
      </w:r>
      <w:r>
        <w:rPr>
          <w:w w:val="100"/>
        </w:rPr>
        <w:t>务</w:t>
      </w:r>
      <w:r>
        <w:rPr>
          <w:spacing w:val="-3"/>
          <w:w w:val="100"/>
        </w:rPr>
        <w:t>总</w:t>
      </w:r>
      <w:r>
        <w:rPr>
          <w:w w:val="100"/>
        </w:rPr>
        <w:t>局关于</w:t>
      </w:r>
      <w:r>
        <w:rPr>
          <w:spacing w:val="-3"/>
          <w:w w:val="100"/>
        </w:rPr>
        <w:t>将</w:t>
      </w:r>
      <w:r>
        <w:rPr>
          <w:w w:val="100"/>
        </w:rPr>
        <w:t>铁</w:t>
      </w:r>
      <w:r>
        <w:rPr>
          <w:spacing w:val="-3"/>
          <w:w w:val="100"/>
        </w:rPr>
        <w:t>路</w:t>
      </w:r>
      <w:r>
        <w:rPr>
          <w:w w:val="100"/>
        </w:rPr>
        <w:t>运输</w:t>
      </w:r>
      <w:r>
        <w:rPr>
          <w:spacing w:val="-3"/>
          <w:w w:val="100"/>
        </w:rPr>
        <w:t>和</w:t>
      </w:r>
      <w:r>
        <w:rPr>
          <w:w w:val="100"/>
        </w:rPr>
        <w:t>邮</w:t>
      </w:r>
      <w:r>
        <w:rPr>
          <w:spacing w:val="-3"/>
          <w:w w:val="100"/>
        </w:rPr>
        <w:t>政</w:t>
      </w:r>
      <w:r>
        <w:rPr>
          <w:w w:val="100"/>
        </w:rPr>
        <w:t>业纳入</w:t>
      </w:r>
      <w:r>
        <w:rPr>
          <w:spacing w:val="-3"/>
          <w:w w:val="100"/>
        </w:rPr>
        <w:t>营</w:t>
      </w:r>
      <w:r>
        <w:rPr>
          <w:w w:val="100"/>
        </w:rPr>
        <w:t>业</w:t>
      </w:r>
      <w:r>
        <w:rPr>
          <w:spacing w:val="-3"/>
          <w:w w:val="100"/>
        </w:rPr>
        <w:t>税</w:t>
      </w:r>
      <w:r>
        <w:rPr>
          <w:w w:val="100"/>
        </w:rPr>
        <w:t>改征</w:t>
      </w:r>
      <w:r>
        <w:rPr>
          <w:spacing w:val="-3"/>
          <w:w w:val="100"/>
        </w:rPr>
        <w:t>增</w:t>
      </w:r>
      <w:r>
        <w:rPr>
          <w:w w:val="100"/>
        </w:rPr>
        <w:t>值</w:t>
      </w:r>
      <w:r>
        <w:rPr>
          <w:spacing w:val="-3"/>
          <w:w w:val="100"/>
        </w:rPr>
        <w:t>税</w:t>
      </w:r>
      <w:r>
        <w:rPr>
          <w:w w:val="100"/>
        </w:rPr>
        <w:t>试点的</w:t>
      </w:r>
      <w:r>
        <w:rPr>
          <w:spacing w:val="-3"/>
          <w:w w:val="100"/>
        </w:rPr>
        <w:t>通</w:t>
      </w:r>
      <w:r>
        <w:rPr>
          <w:w w:val="100"/>
        </w:rPr>
        <w:t>知</w:t>
      </w:r>
      <w:r>
        <w:rPr>
          <w:spacing w:val="-106"/>
          <w:w w:val="100"/>
        </w:rPr>
        <w:t>》</w:t>
      </w:r>
      <w:r>
        <w:rPr>
          <w:spacing w:val="-3"/>
          <w:w w:val="100"/>
        </w:rPr>
        <w:t>（</w:t>
      </w:r>
      <w:r>
        <w:rPr>
          <w:w w:val="100"/>
        </w:rPr>
        <w:t>财税</w:t>
      </w:r>
      <w:r>
        <w:rPr>
          <w:w w:val="100"/>
        </w:rPr>
        <w:t> 字</w:t>
      </w:r>
      <w:r>
        <w:rPr/>
        <w:t> </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6</w:t>
      </w:r>
      <w:r>
        <w:rPr>
          <w:rFonts w:ascii="Times New Roman" w:hAnsi="Times New Roman" w:cs="Times New Roman" w:eastAsia="Times New Roman" w:hint="default"/>
          <w:spacing w:val="-22"/>
        </w:rPr>
        <w:t> </w:t>
      </w:r>
      <w:r>
        <w:rPr>
          <w:w w:val="100"/>
        </w:rPr>
        <w:t>号</w:t>
      </w:r>
      <w:r>
        <w:rPr>
          <w:spacing w:val="-108"/>
          <w:w w:val="100"/>
        </w:rPr>
        <w:t>）</w:t>
      </w:r>
      <w:r>
        <w:rPr>
          <w:w w:val="100"/>
        </w:rPr>
        <w:t>文</w:t>
      </w:r>
      <w:r>
        <w:rPr>
          <w:spacing w:val="-3"/>
          <w:w w:val="100"/>
        </w:rPr>
        <w:t>件</w:t>
      </w:r>
      <w:r>
        <w:rPr>
          <w:w w:val="100"/>
        </w:rPr>
        <w:t>规</w:t>
      </w:r>
      <w:r>
        <w:rPr>
          <w:spacing w:val="-3"/>
          <w:w w:val="100"/>
        </w:rPr>
        <w:t>定</w:t>
      </w:r>
      <w:r>
        <w:rPr>
          <w:spacing w:val="-106"/>
          <w:w w:val="100"/>
        </w:rPr>
        <w:t>，</w:t>
      </w:r>
      <w:r>
        <w:rPr>
          <w:w w:val="100"/>
        </w:rPr>
        <w:t>本</w:t>
      </w:r>
      <w:r>
        <w:rPr>
          <w:spacing w:val="-3"/>
          <w:w w:val="100"/>
        </w:rPr>
        <w:t>公</w:t>
      </w:r>
      <w:r>
        <w:rPr>
          <w:w w:val="100"/>
        </w:rPr>
        <w:t>司</w:t>
      </w:r>
      <w:r>
        <w:rPr>
          <w:spacing w:val="-3"/>
          <w:w w:val="100"/>
        </w:rPr>
        <w:t>控</w:t>
      </w:r>
      <w:r>
        <w:rPr>
          <w:w w:val="100"/>
        </w:rPr>
        <w:t>股</w:t>
      </w:r>
      <w:r>
        <w:rPr>
          <w:spacing w:val="-3"/>
          <w:w w:val="100"/>
        </w:rPr>
        <w:t>子</w:t>
      </w:r>
      <w:r>
        <w:rPr>
          <w:w w:val="100"/>
        </w:rPr>
        <w:t>公</w:t>
      </w:r>
      <w:r>
        <w:rPr>
          <w:spacing w:val="-3"/>
          <w:w w:val="100"/>
        </w:rPr>
        <w:t>司</w:t>
      </w:r>
      <w:r>
        <w:rPr>
          <w:w w:val="100"/>
        </w:rPr>
        <w:t>泰</w:t>
      </w:r>
      <w:r>
        <w:rPr>
          <w:spacing w:val="-3"/>
          <w:w w:val="100"/>
        </w:rPr>
        <w:t>豪软</w:t>
      </w:r>
      <w:r>
        <w:rPr>
          <w:w w:val="100"/>
        </w:rPr>
        <w:t>件股</w:t>
      </w:r>
      <w:r>
        <w:rPr>
          <w:spacing w:val="-3"/>
          <w:w w:val="100"/>
        </w:rPr>
        <w:t>份</w:t>
      </w:r>
      <w:r>
        <w:rPr>
          <w:w w:val="100"/>
        </w:rPr>
        <w:t>有</w:t>
      </w:r>
      <w:r>
        <w:rPr>
          <w:spacing w:val="-3"/>
          <w:w w:val="100"/>
        </w:rPr>
        <w:t>限</w:t>
      </w:r>
      <w:r>
        <w:rPr>
          <w:w w:val="100"/>
        </w:rPr>
        <w:t>公</w:t>
      </w:r>
      <w:r>
        <w:rPr>
          <w:spacing w:val="-3"/>
          <w:w w:val="100"/>
        </w:rPr>
        <w:t>司</w:t>
      </w:r>
      <w:r>
        <w:rPr>
          <w:w w:val="100"/>
        </w:rPr>
        <w:t>技</w:t>
      </w:r>
      <w:r>
        <w:rPr>
          <w:spacing w:val="-3"/>
          <w:w w:val="100"/>
        </w:rPr>
        <w:t>术</w:t>
      </w:r>
      <w:r>
        <w:rPr>
          <w:w w:val="100"/>
        </w:rPr>
        <w:t>开</w:t>
      </w:r>
      <w:r>
        <w:rPr>
          <w:spacing w:val="-3"/>
          <w:w w:val="100"/>
        </w:rPr>
        <w:t>发</w:t>
      </w:r>
      <w:r>
        <w:rPr>
          <w:w w:val="100"/>
        </w:rPr>
        <w:t>收入</w:t>
      </w:r>
      <w:r>
        <w:rPr>
          <w:spacing w:val="-3"/>
          <w:w w:val="100"/>
        </w:rPr>
        <w:t>免</w:t>
      </w:r>
      <w:r>
        <w:rPr>
          <w:w w:val="100"/>
        </w:rPr>
        <w:t>征</w:t>
      </w:r>
      <w:r>
        <w:rPr>
          <w:spacing w:val="-3"/>
          <w:w w:val="100"/>
        </w:rPr>
        <w:t>增值税</w:t>
      </w:r>
      <w:r>
        <w:rPr>
          <w:w w:val="100"/>
        </w:rPr>
        <w:t>。</w:t>
      </w:r>
    </w:p>
    <w:p>
      <w:pPr>
        <w:spacing w:line="240" w:lineRule="auto" w:before="5"/>
        <w:rPr>
          <w:rFonts w:ascii="宋体" w:hAnsi="宋体" w:cs="宋体" w:eastAsia="宋体" w:hint="default"/>
          <w:sz w:val="23"/>
          <w:szCs w:val="23"/>
        </w:rPr>
      </w:pPr>
    </w:p>
    <w:p>
      <w:pPr>
        <w:pStyle w:val="Heading2"/>
        <w:tabs>
          <w:tab w:pos="642" w:val="left" w:leader="none"/>
        </w:tabs>
        <w:spacing w:line="240" w:lineRule="auto" w:before="0"/>
        <w:ind w:left="218" w:right="100"/>
        <w:jc w:val="left"/>
        <w:rPr>
          <w:b w:val="0"/>
          <w:bCs w:val="0"/>
        </w:rPr>
      </w:pPr>
      <w:r>
        <w:rPr>
          <w:rFonts w:ascii="宋体" w:hAnsi="宋体" w:cs="宋体" w:eastAsia="宋体" w:hint="default"/>
          <w:w w:val="95"/>
        </w:rPr>
        <w:t>3.</w:t>
        <w:tab/>
      </w:r>
      <w:r>
        <w:rPr/>
        <w:t>其他</w:t>
      </w:r>
      <w:r>
        <w:rPr>
          <w:b w:val="0"/>
          <w:bCs w:val="0"/>
        </w:rPr>
      </w:r>
    </w:p>
    <w:p>
      <w:pPr>
        <w:pStyle w:val="BodyText"/>
        <w:spacing w:line="240" w:lineRule="auto" w:before="56"/>
        <w:ind w:left="218" w:right="100"/>
        <w:jc w:val="left"/>
      </w:pPr>
      <w:r>
        <w:rPr/>
        <w:t>□适用√不适用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140"/>
        </w:sectPr>
      </w:pPr>
    </w:p>
    <w:p>
      <w:pPr>
        <w:pStyle w:val="Heading2"/>
        <w:spacing w:line="290" w:lineRule="auto"/>
        <w:ind w:left="21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64" w:val="left" w:leader="none"/>
        </w:tabs>
        <w:spacing w:line="240" w:lineRule="auto" w:before="12"/>
        <w:ind w:left="218"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2753" w:space="3769"/>
            <w:col w:w="2668"/>
          </w:cols>
        </w:sectPr>
      </w:pPr>
    </w:p>
    <w:p>
      <w:pPr>
        <w:spacing w:line="240" w:lineRule="auto" w:before="4"/>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3260"/>
        <w:gridCol w:w="2249"/>
        <w:gridCol w:w="3315"/>
      </w:tblGrid>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47,847.84</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82,977.36</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1,033,032,896.27</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1,317,530,635.30</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106,842,238.69</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82,171,522.75</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1,139,922,982.80</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1,399,785,135.41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8" w:type="dxa"/>
        <w:tblLayout w:type="fixed"/>
        <w:tblCellMar>
          <w:top w:w="0" w:type="dxa"/>
          <w:left w:w="0" w:type="dxa"/>
          <w:bottom w:w="0" w:type="dxa"/>
          <w:right w:w="0" w:type="dxa"/>
        </w:tblCellMar>
        <w:tblLook w:val="01E0"/>
      </w:tblPr>
      <w:tblGrid>
        <w:gridCol w:w="3260"/>
        <w:gridCol w:w="2249"/>
        <w:gridCol w:w="3315"/>
      </w:tblGrid>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4"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35" w:right="0"/>
              <w:jc w:val="left"/>
              <w:rPr>
                <w:rFonts w:ascii="Times New Roman" w:hAnsi="Times New Roman" w:cs="Times New Roman" w:eastAsia="Times New Roman" w:hint="default"/>
                <w:sz w:val="21"/>
                <w:szCs w:val="21"/>
              </w:rPr>
            </w:pPr>
            <w:r>
              <w:rPr>
                <w:rFonts w:ascii="Times New Roman"/>
                <w:sz w:val="21"/>
              </w:rPr>
              <w:t>4,161,946.89</w:t>
            </w:r>
          </w:p>
        </w:tc>
        <w:tc>
          <w:tcPr>
            <w:tcW w:w="33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258" w:right="0"/>
        <w:jc w:val="left"/>
      </w:pPr>
      <w:r>
        <w:rPr/>
        <w:t>其他说明</w:t>
      </w:r>
    </w:p>
    <w:p>
      <w:pPr>
        <w:spacing w:line="240" w:lineRule="auto" w:before="0"/>
        <w:rPr>
          <w:rFonts w:ascii="宋体" w:hAnsi="宋体" w:cs="宋体" w:eastAsia="宋体" w:hint="default"/>
          <w:sz w:val="14"/>
          <w:szCs w:val="14"/>
        </w:rPr>
      </w:pPr>
    </w:p>
    <w:p>
      <w:pPr>
        <w:pStyle w:val="BodyText"/>
        <w:spacing w:line="240" w:lineRule="auto"/>
        <w:ind w:left="690" w:right="0"/>
        <w:jc w:val="left"/>
      </w:pPr>
      <w:r>
        <w:rPr/>
        <w:t>其他货币资金明细：</w:t>
      </w:r>
    </w:p>
    <w:p>
      <w:pPr>
        <w:spacing w:line="240" w:lineRule="auto" w:before="9"/>
        <w:rPr>
          <w:rFonts w:ascii="宋体" w:hAnsi="宋体" w:cs="宋体" w:eastAsia="宋体" w:hint="default"/>
          <w:sz w:val="11"/>
          <w:szCs w:val="11"/>
        </w:rPr>
      </w:pPr>
    </w:p>
    <w:tbl>
      <w:tblPr>
        <w:tblW w:w="0" w:type="auto"/>
        <w:jc w:val="left"/>
        <w:tblInd w:w="214" w:type="dxa"/>
        <w:tblLayout w:type="fixed"/>
        <w:tblCellMar>
          <w:top w:w="0" w:type="dxa"/>
          <w:left w:w="0" w:type="dxa"/>
          <w:bottom w:w="0" w:type="dxa"/>
          <w:right w:w="0" w:type="dxa"/>
        </w:tblCellMar>
        <w:tblLook w:val="01E0"/>
      </w:tblPr>
      <w:tblGrid>
        <w:gridCol w:w="3128"/>
        <w:gridCol w:w="2974"/>
        <w:gridCol w:w="2777"/>
      </w:tblGrid>
      <w:tr>
        <w:trPr>
          <w:trHeight w:val="360" w:hRule="exact"/>
        </w:trPr>
        <w:tc>
          <w:tcPr>
            <w:tcW w:w="3128"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2"/>
              <w:ind w:right="1130"/>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29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31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97,522,011.06</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79,750,883.27</w:t>
            </w:r>
          </w:p>
        </w:tc>
      </w:tr>
      <w:tr>
        <w:trPr>
          <w:trHeight w:val="350" w:hRule="exact"/>
        </w:trPr>
        <w:tc>
          <w:tcPr>
            <w:tcW w:w="31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保函及信用证保证金</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9,220,978.89</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2,321,390.74</w:t>
            </w:r>
          </w:p>
        </w:tc>
      </w:tr>
      <w:tr>
        <w:trPr>
          <w:trHeight w:val="350" w:hRule="exact"/>
        </w:trPr>
        <w:tc>
          <w:tcPr>
            <w:tcW w:w="31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存出投资款</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99,248.74</w:t>
            </w:r>
          </w:p>
        </w:tc>
        <w:tc>
          <w:tcPr>
            <w:tcW w:w="2777"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99,248.74</w:t>
            </w:r>
          </w:p>
        </w:tc>
      </w:tr>
      <w:tr>
        <w:trPr>
          <w:trHeight w:val="360" w:hRule="exact"/>
        </w:trPr>
        <w:tc>
          <w:tcPr>
            <w:tcW w:w="3128"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74" w:lineRule="exact"/>
              <w:ind w:right="113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974"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106,842,238.69</w:t>
            </w:r>
          </w:p>
        </w:tc>
        <w:tc>
          <w:tcPr>
            <w:tcW w:w="2777"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82,171,522.75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2"/>
        <w:spacing w:line="240" w:lineRule="auto"/>
        <w:ind w:left="25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5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before="0"/>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5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120"/>
        </w:sectPr>
      </w:pPr>
    </w:p>
    <w:p>
      <w:pPr>
        <w:pStyle w:val="Heading2"/>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9"/>
        <w:ind w:left="25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2476" w:space="4046"/>
            <w:col w:w="272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41"/>
        <w:gridCol w:w="3123"/>
        <w:gridCol w:w="2871"/>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3"/>
              <w:jc w:val="right"/>
              <w:rPr>
                <w:rFonts w:ascii="宋体" w:hAnsi="宋体" w:cs="宋体" w:eastAsia="宋体" w:hint="default"/>
                <w:sz w:val="21"/>
                <w:szCs w:val="21"/>
              </w:rPr>
            </w:pPr>
            <w:r>
              <w:rPr>
                <w:rFonts w:ascii="宋体" w:hAnsi="宋体" w:cs="宋体" w:eastAsia="宋体" w:hint="default"/>
                <w:sz w:val="21"/>
                <w:szCs w:val="21"/>
              </w:rPr>
              <w:t>项目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53,033,722.93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66,403,196.00</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45,152,813.68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12,976,850.00</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国内信用证</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23,851,354.23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3,664,880.00</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3"/>
              <w:jc w:val="right"/>
              <w:rPr>
                <w:rFonts w:ascii="宋体" w:hAnsi="宋体" w:cs="宋体" w:eastAsia="宋体" w:hint="default"/>
                <w:sz w:val="21"/>
                <w:szCs w:val="21"/>
              </w:rPr>
            </w:pPr>
            <w:r>
              <w:rPr>
                <w:rFonts w:ascii="宋体" w:hAnsi="宋体" w:cs="宋体" w:eastAsia="宋体" w:hint="default"/>
                <w:sz w:val="21"/>
                <w:szCs w:val="21"/>
              </w:rPr>
              <w:t>合计</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122,037,890.84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83,044,926.00</w:t>
            </w:r>
          </w:p>
        </w:tc>
      </w:tr>
    </w:tbl>
    <w:p>
      <w:pPr>
        <w:pStyle w:val="BodyText"/>
        <w:spacing w:line="241" w:lineRule="exact"/>
        <w:ind w:left="258" w:right="0"/>
        <w:jc w:val="left"/>
      </w:pPr>
      <w:r>
        <w:rPr>
          <w:rFonts w:ascii="宋体" w:hAnsi="宋体" w:cs="宋体" w:eastAsia="宋体" w:hint="default"/>
        </w:rPr>
        <w:t>1</w:t>
      </w:r>
      <w:r>
        <w:rPr/>
        <w:t>、本账户期末余额中无用于抵押、质押或因出票人无力履约而将票据转为应收账款的票据。</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120"/>
        </w:sectPr>
      </w:pPr>
    </w:p>
    <w:p>
      <w:pPr>
        <w:pStyle w:val="Heading2"/>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58" w:right="-16"/>
        <w:jc w:val="left"/>
      </w:pPr>
      <w:r>
        <w:rPr/>
        <w:t>□适用 √不适用</w:t>
      </w:r>
    </w:p>
    <w:p>
      <w:pPr>
        <w:pStyle w:val="Heading2"/>
        <w:spacing w:line="240" w:lineRule="auto" w:before="56"/>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9"/>
        <w:ind w:left="25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6691" w:space="40"/>
            <w:col w:w="2519"/>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06"/>
        <w:gridCol w:w="2974"/>
        <w:gridCol w:w="3044"/>
      </w:tblGrid>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项目</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180,558,535.85</w:t>
            </w: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297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180,558,535.85</w:t>
            </w:r>
          </w:p>
        </w:tc>
        <w:tc>
          <w:tcPr>
            <w:tcW w:w="30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58" w:right="7393"/>
        <w:jc w:val="left"/>
      </w:pPr>
      <w:r>
        <w:rPr/>
        <w:t>□适用 √不适用</w:t>
      </w:r>
      <w:r>
        <w:rPr>
          <w:w w:val="100"/>
        </w:rPr>
        <w:t> </w:t>
      </w:r>
      <w:r>
        <w:rPr/>
        <w:t>其他说明</w:t>
      </w:r>
    </w:p>
    <w:p>
      <w:pPr>
        <w:pStyle w:val="BodyText"/>
        <w:spacing w:line="249" w:lineRule="exact"/>
        <w:ind w:left="258" w:right="0"/>
        <w:jc w:val="left"/>
      </w:pPr>
      <w:r>
        <w:rPr/>
        <w:t>□适用 √不适用</w:t>
      </w:r>
    </w:p>
    <w:p>
      <w:pPr>
        <w:spacing w:after="0" w:line="249" w:lineRule="exact"/>
        <w:jc w:val="left"/>
        <w:sectPr>
          <w:type w:val="continuous"/>
          <w:pgSz w:w="11910" w:h="16840"/>
          <w:pgMar w:top="1120" w:bottom="1380" w:left="15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1"/>
          <w:footerReference w:type="default" r:id="rId52"/>
          <w:pgSz w:w="16840" w:h="11910" w:orient="landscape"/>
          <w:pgMar w:header="882" w:footer="1195" w:top="1120" w:bottom="1380" w:left="1260" w:right="1380"/>
          <w:pgNumType w:start="105"/>
        </w:sectPr>
      </w:pPr>
    </w:p>
    <w:p>
      <w:pPr>
        <w:pStyle w:val="Heading2"/>
        <w:spacing w:line="240" w:lineRule="auto" w:before="175"/>
        <w:ind w:left="180"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6"/>
        <w:ind w:left="180"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180" w:right="-2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231" w:val="left" w:leader="none"/>
        </w:tabs>
        <w:spacing w:line="240" w:lineRule="auto"/>
        <w:ind w:left="18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60" w:right="1380"/>
          <w:cols w:num="2" w:equalWidth="0">
            <w:col w:w="2444" w:space="9015"/>
            <w:col w:w="274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24"/>
        <w:gridCol w:w="1323"/>
        <w:gridCol w:w="653"/>
        <w:gridCol w:w="1188"/>
        <w:gridCol w:w="934"/>
        <w:gridCol w:w="1231"/>
        <w:gridCol w:w="1322"/>
        <w:gridCol w:w="653"/>
        <w:gridCol w:w="1188"/>
        <w:gridCol w:w="936"/>
        <w:gridCol w:w="1320"/>
      </w:tblGrid>
      <w:tr>
        <w:trPr>
          <w:trHeight w:val="269" w:hRule="exact"/>
        </w:trPr>
        <w:tc>
          <w:tcPr>
            <w:tcW w:w="32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53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4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3224" w:type="dxa"/>
            <w:vMerge/>
            <w:tcBorders>
              <w:left w:val="single" w:sz="4" w:space="0" w:color="000000"/>
              <w:right w:val="single" w:sz="4" w:space="0" w:color="000000"/>
            </w:tcBorders>
          </w:tcPr>
          <w:p>
            <w:pPr/>
          </w:p>
        </w:tc>
        <w:tc>
          <w:tcPr>
            <w:tcW w:w="1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1" w:type="dxa"/>
            <w:vMerge w:val="restart"/>
            <w:tcBorders>
              <w:top w:val="single" w:sz="4" w:space="0" w:color="000000"/>
              <w:left w:val="single" w:sz="4" w:space="0" w:color="000000"/>
              <w:right w:val="single" w:sz="4" w:space="0" w:color="000000"/>
            </w:tcBorders>
          </w:tcPr>
          <w:p>
            <w:pPr>
              <w:pStyle w:val="TableParagraph"/>
              <w:spacing w:line="234" w:lineRule="exact" w:before="101"/>
              <w:ind w:left="432" w:right="427"/>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0" w:type="dxa"/>
            <w:vMerge w:val="restart"/>
            <w:tcBorders>
              <w:top w:val="single" w:sz="4" w:space="0" w:color="000000"/>
              <w:left w:val="single" w:sz="4" w:space="0" w:color="000000"/>
              <w:right w:val="single" w:sz="4" w:space="0" w:color="000000"/>
            </w:tcBorders>
          </w:tcPr>
          <w:p>
            <w:pPr>
              <w:pStyle w:val="TableParagraph"/>
              <w:spacing w:line="234" w:lineRule="exact" w:before="101"/>
              <w:ind w:left="472" w:right="477"/>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52" w:hRule="exact"/>
        </w:trPr>
        <w:tc>
          <w:tcPr>
            <w:tcW w:w="3224"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187"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1231"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187"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1320" w:type="dxa"/>
            <w:vMerge/>
            <w:tcBorders>
              <w:left w:val="single" w:sz="4" w:space="0" w:color="000000"/>
              <w:bottom w:val="single" w:sz="4" w:space="0" w:color="000000"/>
              <w:right w:val="single" w:sz="4" w:space="0" w:color="000000"/>
            </w:tcBorders>
          </w:tcPr>
          <w:p>
            <w:pPr/>
          </w:p>
        </w:tc>
      </w:tr>
      <w:tr>
        <w:trPr>
          <w:trHeight w:val="478"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5"/>
                <w:sz w:val="18"/>
                <w:szCs w:val="18"/>
              </w:rPr>
              <w:t>单项金额重大并单独计提坏账准备的应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32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5"/>
                <w:sz w:val="18"/>
                <w:szCs w:val="18"/>
              </w:rPr>
              <w:t>按信用风险特征组合计提坏账准备的应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3,929,720,354.11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247,891,932.01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6.31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3,681,828,422.1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2,618,404,880.06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208,694,593.56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7.97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5" w:right="0"/>
              <w:jc w:val="center"/>
              <w:rPr>
                <w:rFonts w:ascii="Times New Roman" w:hAnsi="Times New Roman" w:cs="Times New Roman" w:eastAsia="Times New Roman" w:hint="default"/>
                <w:sz w:val="18"/>
                <w:szCs w:val="18"/>
              </w:rPr>
            </w:pPr>
            <w:r>
              <w:rPr>
                <w:rFonts w:ascii="Times New Roman"/>
                <w:sz w:val="18"/>
              </w:rPr>
              <w:t>2,409,710,286.5</w:t>
            </w:r>
          </w:p>
        </w:tc>
      </w:tr>
      <w:tr>
        <w:trPr>
          <w:trHeight w:val="245"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账龄风险组合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3,291,502,018.20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83.76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247,891,932.01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7.53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8" w:right="0"/>
              <w:jc w:val="center"/>
              <w:rPr>
                <w:rFonts w:ascii="Times New Roman" w:hAnsi="Times New Roman" w:cs="Times New Roman" w:eastAsia="Times New Roman" w:hint="default"/>
                <w:sz w:val="18"/>
                <w:szCs w:val="18"/>
              </w:rPr>
            </w:pPr>
            <w:r>
              <w:rPr>
                <w:rFonts w:ascii="Times New Roman"/>
                <w:sz w:val="18"/>
              </w:rPr>
              <w:t>3043610086.19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2,157,799,369.27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82.41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208,694,593.56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9.67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1,949,104,775.71</w:t>
            </w: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 w:right="0"/>
              <w:jc w:val="left"/>
              <w:rPr>
                <w:rFonts w:ascii="宋体" w:hAnsi="宋体" w:cs="宋体" w:eastAsia="宋体" w:hint="default"/>
                <w:sz w:val="18"/>
                <w:szCs w:val="18"/>
              </w:rPr>
            </w:pPr>
            <w:r>
              <w:rPr>
                <w:rFonts w:ascii="宋体" w:hAnsi="宋体" w:cs="宋体" w:eastAsia="宋体" w:hint="default"/>
                <w:sz w:val="18"/>
                <w:szCs w:val="18"/>
              </w:rPr>
              <w:t>军工装备产品客户风险组合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638,218,335.91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16.24</w:t>
            </w:r>
          </w:p>
        </w:tc>
        <w:tc>
          <w:tcPr>
            <w:tcW w:w="118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7" w:right="0"/>
              <w:jc w:val="center"/>
              <w:rPr>
                <w:rFonts w:ascii="Times New Roman" w:hAnsi="Times New Roman" w:cs="Times New Roman" w:eastAsia="Times New Roman" w:hint="default"/>
                <w:sz w:val="18"/>
                <w:szCs w:val="18"/>
              </w:rPr>
            </w:pPr>
            <w:r>
              <w:rPr>
                <w:rFonts w:ascii="Times New Roman"/>
                <w:sz w:val="18"/>
              </w:rPr>
              <w:t>638,218,335.91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460,605,510.79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17.59</w:t>
            </w:r>
          </w:p>
        </w:tc>
        <w:tc>
          <w:tcPr>
            <w:tcW w:w="118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1" w:right="0"/>
              <w:jc w:val="center"/>
              <w:rPr>
                <w:rFonts w:ascii="Times New Roman" w:hAnsi="Times New Roman" w:cs="Times New Roman" w:eastAsia="Times New Roman" w:hint="default"/>
                <w:sz w:val="18"/>
                <w:szCs w:val="18"/>
              </w:rPr>
            </w:pPr>
            <w:r>
              <w:rPr>
                <w:rFonts w:ascii="Times New Roman"/>
                <w:sz w:val="18"/>
              </w:rPr>
              <w:t>460,605,510.79</w:t>
            </w:r>
          </w:p>
        </w:tc>
      </w:tr>
      <w:tr>
        <w:trPr>
          <w:trHeight w:val="478"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5"/>
                <w:sz w:val="18"/>
                <w:szCs w:val="18"/>
              </w:rPr>
              <w:t>单项金额不重大但单独计提坏账准备的</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3,929,720,354.11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247,891,932.01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02" w:right="0"/>
              <w:jc w:val="left"/>
              <w:rPr>
                <w:rFonts w:ascii="Times New Roman" w:hAnsi="Times New Roman" w:cs="Times New Roman" w:eastAsia="Times New Roman" w:hint="default"/>
                <w:sz w:val="18"/>
                <w:szCs w:val="18"/>
              </w:rPr>
            </w:pPr>
            <w:r>
              <w:rPr>
                <w:rFonts w:ascii="Times New Roman"/>
                <w:sz w:val="18"/>
              </w:rPr>
              <w:t>6.31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3,681,828,422.1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2,618,404,880.06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5"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208,694,593.56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04" w:right="0"/>
              <w:jc w:val="left"/>
              <w:rPr>
                <w:rFonts w:ascii="Times New Roman" w:hAnsi="Times New Roman" w:cs="Times New Roman" w:eastAsia="Times New Roman" w:hint="default"/>
                <w:sz w:val="18"/>
                <w:szCs w:val="18"/>
              </w:rPr>
            </w:pPr>
            <w:r>
              <w:rPr>
                <w:rFonts w:ascii="Times New Roman"/>
                <w:sz w:val="18"/>
              </w:rPr>
              <w:t>7.97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5" w:right="0"/>
              <w:jc w:val="center"/>
              <w:rPr>
                <w:rFonts w:ascii="Times New Roman" w:hAnsi="Times New Roman" w:cs="Times New Roman" w:eastAsia="Times New Roman" w:hint="default"/>
                <w:sz w:val="18"/>
                <w:szCs w:val="18"/>
              </w:rPr>
            </w:pPr>
            <w:r>
              <w:rPr>
                <w:rFonts w:ascii="Times New Roman"/>
                <w:sz w:val="18"/>
              </w:rPr>
              <w:t>2,409,710,286.5</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1260" w:right="1380"/>
        </w:sectPr>
      </w:pPr>
    </w:p>
    <w:p>
      <w:pPr>
        <w:spacing w:line="240" w:lineRule="auto" w:before="6"/>
        <w:rPr>
          <w:rFonts w:ascii="宋体" w:hAnsi="宋体" w:cs="宋体" w:eastAsia="宋体" w:hint="default"/>
          <w:sz w:val="14"/>
          <w:szCs w:val="14"/>
        </w:rPr>
      </w:pPr>
    </w:p>
    <w:p>
      <w:pPr>
        <w:pStyle w:val="BodyText"/>
        <w:spacing w:line="273" w:lineRule="exact"/>
        <w:ind w:left="180" w:right="0"/>
        <w:jc w:val="left"/>
      </w:pPr>
      <w:r>
        <w:rPr>
          <w:spacing w:val="-2"/>
        </w:rPr>
        <w:t>期末单项金额重大并单项计提坏帐准备的应收账款</w:t>
      </w:r>
    </w:p>
    <w:p>
      <w:pPr>
        <w:pStyle w:val="BodyText"/>
        <w:spacing w:line="240" w:lineRule="auto"/>
        <w:ind w:left="180"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87" w:lineRule="exact"/>
        <w:ind w:left="18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tabs>
          <w:tab w:pos="1231" w:val="left" w:leader="none"/>
        </w:tabs>
        <w:spacing w:line="240" w:lineRule="auto"/>
        <w:ind w:left="180" w:right="0"/>
        <w:jc w:val="left"/>
      </w:pPr>
      <w:r>
        <w:rPr>
          <w:spacing w:val="-1"/>
        </w:rPr>
        <w:t>单位：元</w:t>
        <w:tab/>
        <w:t>币种：人民币</w:t>
      </w:r>
    </w:p>
    <w:p>
      <w:pPr>
        <w:spacing w:after="0" w:line="240" w:lineRule="auto"/>
        <w:jc w:val="left"/>
        <w:sectPr>
          <w:type w:val="continuous"/>
          <w:pgSz w:w="16840" w:h="11910" w:orient="landscape"/>
          <w:pgMar w:top="1120" w:bottom="1380" w:left="1260" w:right="1380"/>
          <w:cols w:num="2" w:equalWidth="0">
            <w:col w:w="4806" w:space="6757"/>
            <w:col w:w="2637"/>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207"/>
        <w:gridCol w:w="3577"/>
        <w:gridCol w:w="3629"/>
        <w:gridCol w:w="3524"/>
      </w:tblGrid>
      <w:tr>
        <w:trPr>
          <w:trHeight w:val="283" w:hRule="exact"/>
        </w:trPr>
        <w:tc>
          <w:tcPr>
            <w:tcW w:w="320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207" w:type="dxa"/>
            <w:vMerge/>
            <w:tcBorders>
              <w:left w:val="single" w:sz="4" w:space="0" w:color="000000"/>
              <w:bottom w:val="single" w:sz="4" w:space="0" w:color="000000"/>
              <w:right w:val="single" w:sz="4" w:space="0" w:color="000000"/>
            </w:tcBorders>
          </w:tcPr>
          <w:p>
            <w:pP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4"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730"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年以内分项</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2,421,965,647.09</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48,439,312.96</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2</w:t>
            </w:r>
          </w:p>
        </w:tc>
      </w:tr>
      <w:tr>
        <w:trPr>
          <w:trHeight w:val="28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2,421,965,647.09</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48,439,312.96</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2</w:t>
            </w:r>
          </w:p>
        </w:tc>
      </w:tr>
      <w:tr>
        <w:trPr>
          <w:trHeight w:val="28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565,595,936.32</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56,559,593.62</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w:t>
            </w:r>
          </w:p>
        </w:tc>
      </w:tr>
      <w:tr>
        <w:trPr>
          <w:trHeight w:val="28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161,971,620.18</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32,394,324.05</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w:t>
            </w:r>
          </w:p>
        </w:tc>
      </w:tr>
      <w:tr>
        <w:trPr>
          <w:trHeight w:val="28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577" w:type="dxa"/>
            <w:tcBorders>
              <w:top w:val="single" w:sz="4" w:space="0" w:color="000000"/>
              <w:left w:val="single" w:sz="4" w:space="0" w:color="000000"/>
              <w:bottom w:val="single" w:sz="4" w:space="0" w:color="000000"/>
              <w:right w:val="single" w:sz="4" w:space="0" w:color="000000"/>
            </w:tcBorders>
          </w:tcPr>
          <w:p>
            <w:pPr/>
          </w:p>
        </w:tc>
        <w:tc>
          <w:tcPr>
            <w:tcW w:w="3629" w:type="dxa"/>
            <w:tcBorders>
              <w:top w:val="single" w:sz="4" w:space="0" w:color="000000"/>
              <w:left w:val="single" w:sz="4" w:space="0" w:color="000000"/>
              <w:bottom w:val="single" w:sz="4" w:space="0" w:color="000000"/>
              <w:right w:val="single" w:sz="4" w:space="0" w:color="000000"/>
            </w:tcBorders>
          </w:tcPr>
          <w:p>
            <w:pPr/>
          </w:p>
        </w:tc>
        <w:tc>
          <w:tcPr>
            <w:tcW w:w="352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6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207"/>
        <w:gridCol w:w="3577"/>
        <w:gridCol w:w="3629"/>
        <w:gridCol w:w="3524"/>
      </w:tblGrid>
      <w:tr>
        <w:trPr>
          <w:trHeight w:val="281"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37,235,184.59</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14,894,073.84</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w:t>
            </w:r>
          </w:p>
        </w:tc>
      </w:tr>
      <w:tr>
        <w:trPr>
          <w:trHeight w:val="28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45,645,012.37</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36,516,009.89</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80</w:t>
            </w:r>
          </w:p>
        </w:tc>
      </w:tr>
      <w:tr>
        <w:trPr>
          <w:trHeight w:val="28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59,088,617.65</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59,088,617.65</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3207" w:type="dxa"/>
            <w:tcBorders>
              <w:top w:val="single" w:sz="4" w:space="0" w:color="000000"/>
              <w:left w:val="single" w:sz="4" w:space="0" w:color="000000"/>
              <w:bottom w:val="single" w:sz="4" w:space="0" w:color="000000"/>
              <w:right w:val="single" w:sz="4" w:space="0" w:color="000000"/>
            </w:tcBorders>
          </w:tcPr>
          <w:p>
            <w:pPr/>
          </w:p>
        </w:tc>
        <w:tc>
          <w:tcPr>
            <w:tcW w:w="3577" w:type="dxa"/>
            <w:tcBorders>
              <w:top w:val="single" w:sz="4" w:space="0" w:color="000000"/>
              <w:left w:val="single" w:sz="4" w:space="0" w:color="000000"/>
              <w:bottom w:val="single" w:sz="4" w:space="0" w:color="000000"/>
              <w:right w:val="single" w:sz="4" w:space="0" w:color="000000"/>
            </w:tcBorders>
          </w:tcPr>
          <w:p>
            <w:pPr/>
          </w:p>
        </w:tc>
        <w:tc>
          <w:tcPr>
            <w:tcW w:w="3629" w:type="dxa"/>
            <w:tcBorders>
              <w:top w:val="single" w:sz="4" w:space="0" w:color="000000"/>
              <w:left w:val="single" w:sz="4" w:space="0" w:color="000000"/>
              <w:bottom w:val="single" w:sz="4" w:space="0" w:color="000000"/>
              <w:right w:val="single" w:sz="4" w:space="0" w:color="000000"/>
            </w:tcBorders>
          </w:tcPr>
          <w:p>
            <w:pPr/>
          </w:p>
        </w:tc>
        <w:tc>
          <w:tcPr>
            <w:tcW w:w="35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7" w:type="dxa"/>
            <w:tcBorders>
              <w:top w:val="single" w:sz="4" w:space="0" w:color="000000"/>
              <w:left w:val="single" w:sz="4" w:space="0" w:color="000000"/>
              <w:bottom w:val="single" w:sz="4" w:space="0" w:color="000000"/>
              <w:right w:val="single" w:sz="4" w:space="0" w:color="000000"/>
            </w:tcBorders>
          </w:tcPr>
          <w:p>
            <w:pPr/>
          </w:p>
        </w:tc>
        <w:tc>
          <w:tcPr>
            <w:tcW w:w="3577" w:type="dxa"/>
            <w:tcBorders>
              <w:top w:val="single" w:sz="4" w:space="0" w:color="000000"/>
              <w:left w:val="single" w:sz="4" w:space="0" w:color="000000"/>
              <w:bottom w:val="single" w:sz="4" w:space="0" w:color="000000"/>
              <w:right w:val="single" w:sz="4" w:space="0" w:color="000000"/>
            </w:tcBorders>
          </w:tcPr>
          <w:p>
            <w:pPr/>
          </w:p>
        </w:tc>
        <w:tc>
          <w:tcPr>
            <w:tcW w:w="3629" w:type="dxa"/>
            <w:tcBorders>
              <w:top w:val="single" w:sz="4" w:space="0" w:color="000000"/>
              <w:left w:val="single" w:sz="4" w:space="0" w:color="000000"/>
              <w:bottom w:val="single" w:sz="4" w:space="0" w:color="000000"/>
              <w:right w:val="single" w:sz="4" w:space="0" w:color="000000"/>
            </w:tcBorders>
          </w:tcPr>
          <w:p>
            <w:pPr/>
          </w:p>
        </w:tc>
        <w:tc>
          <w:tcPr>
            <w:tcW w:w="35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3,291,502,018.20</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247,891,932.01</w:t>
            </w:r>
          </w:p>
        </w:tc>
        <w:tc>
          <w:tcPr>
            <w:tcW w:w="35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3"/>
          <w:szCs w:val="13"/>
        </w:rPr>
      </w:pPr>
    </w:p>
    <w:p>
      <w:pPr>
        <w:pStyle w:val="BodyText"/>
        <w:spacing w:line="274" w:lineRule="exact" w:before="36"/>
        <w:ind w:left="140" w:right="7889"/>
        <w:jc w:val="left"/>
      </w:pPr>
      <w:r>
        <w:rPr/>
        <w:t>组合中，采用余额百分比法计提坏账准备的应收账款：</w:t>
      </w:r>
    </w:p>
    <w:p>
      <w:pPr>
        <w:pStyle w:val="BodyText"/>
        <w:spacing w:line="272" w:lineRule="exact" w:before="27"/>
        <w:ind w:left="140" w:right="7889"/>
        <w:jc w:val="left"/>
      </w:pPr>
      <w:r>
        <w:rPr/>
        <w:t>□适用</w:t>
      </w:r>
      <w:r>
        <w:rPr>
          <w:spacing w:val="-2"/>
        </w:rPr>
        <w:t> </w:t>
      </w:r>
      <w:r>
        <w:rPr/>
        <w:t>√不适用</w:t>
      </w:r>
      <w:r>
        <w:rPr>
          <w:spacing w:val="-103"/>
        </w:rPr>
        <w:t> </w:t>
      </w:r>
      <w:r>
        <w:rPr>
          <w:spacing w:val="-103"/>
        </w:rPr>
      </w:r>
      <w:r>
        <w:rPr>
          <w:spacing w:val="-2"/>
        </w:rPr>
        <w:t>组合中，采用其他方法计提坏账准备的应收账款：</w:t>
      </w:r>
    </w:p>
    <w:p>
      <w:pPr>
        <w:pStyle w:val="BodyText"/>
        <w:tabs>
          <w:tab w:pos="886" w:val="left" w:leader="none"/>
        </w:tabs>
        <w:spacing w:line="265" w:lineRule="exact"/>
        <w:ind w:left="140" w:right="788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4969"/>
        <w:gridCol w:w="1699"/>
        <w:gridCol w:w="1702"/>
        <w:gridCol w:w="1418"/>
        <w:gridCol w:w="1558"/>
        <w:gridCol w:w="1406"/>
        <w:gridCol w:w="1145"/>
      </w:tblGrid>
      <w:tr>
        <w:trPr>
          <w:trHeight w:val="360" w:hRule="exact"/>
        </w:trPr>
        <w:tc>
          <w:tcPr>
            <w:tcW w:w="4969" w:type="dxa"/>
            <w:vMerge w:val="restart"/>
            <w:tcBorders>
              <w:top w:val="single" w:sz="12" w:space="0" w:color="000000"/>
              <w:left w:val="nil" w:sz="6" w:space="0" w:color="auto"/>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82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4969" w:type="dxa"/>
            <w:vMerge/>
            <w:tcBorders>
              <w:left w:val="nil" w:sz="6" w:space="0" w:color="auto"/>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496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军工装备产品客户风险组合</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8" w:right="0"/>
              <w:jc w:val="left"/>
              <w:rPr>
                <w:rFonts w:ascii="Arial Narrow" w:hAnsi="Arial Narrow" w:cs="Arial Narrow" w:eastAsia="Arial Narrow" w:hint="default"/>
                <w:sz w:val="21"/>
                <w:szCs w:val="21"/>
              </w:rPr>
            </w:pPr>
            <w:r>
              <w:rPr>
                <w:rFonts w:ascii="Arial Narrow"/>
                <w:sz w:val="21"/>
              </w:rPr>
              <w:t>638,218,335.91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1"/>
                <w:sz w:val="21"/>
              </w:rPr>
              <w:t>460,605,510.79</w:t>
            </w:r>
            <w:r>
              <w:rPr>
                <w:rFonts w:ascii="Arial Narrow"/>
                <w:sz w:val="21"/>
              </w:rPr>
            </w:r>
          </w:p>
        </w:tc>
        <w:tc>
          <w:tcPr>
            <w:tcW w:w="140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969"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left="388" w:right="0"/>
              <w:jc w:val="left"/>
              <w:rPr>
                <w:rFonts w:ascii="Arial Narrow" w:hAnsi="Arial Narrow" w:cs="Arial Narrow" w:eastAsia="Arial Narrow" w:hint="default"/>
                <w:sz w:val="21"/>
                <w:szCs w:val="21"/>
              </w:rPr>
            </w:pPr>
            <w:r>
              <w:rPr>
                <w:rFonts w:ascii="Arial Narrow"/>
                <w:sz w:val="21"/>
              </w:rPr>
              <w:t>638,218,335.91</w:t>
            </w:r>
          </w:p>
        </w:tc>
        <w:tc>
          <w:tcPr>
            <w:tcW w:w="1702"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96"/>
              <w:jc w:val="right"/>
              <w:rPr>
                <w:rFonts w:ascii="Arial Narrow" w:hAnsi="Arial Narrow" w:cs="Arial Narrow" w:eastAsia="Arial Narrow" w:hint="default"/>
                <w:sz w:val="21"/>
                <w:szCs w:val="21"/>
              </w:rPr>
            </w:pPr>
            <w:r>
              <w:rPr>
                <w:rFonts w:ascii="Arial Narrow"/>
                <w:spacing w:val="-1"/>
                <w:sz w:val="21"/>
              </w:rPr>
              <w:t>460,605,510.79</w:t>
            </w:r>
            <w:r>
              <w:rPr>
                <w:rFonts w:ascii="Arial Narrow"/>
                <w:sz w:val="21"/>
              </w:rPr>
            </w:r>
          </w:p>
        </w:tc>
        <w:tc>
          <w:tcPr>
            <w:tcW w:w="1406" w:type="dxa"/>
            <w:tcBorders>
              <w:top w:val="single" w:sz="4" w:space="0" w:color="000000"/>
              <w:left w:val="single" w:sz="4" w:space="0" w:color="000000"/>
              <w:bottom w:val="single" w:sz="12" w:space="0" w:color="000000"/>
              <w:right w:val="single" w:sz="4" w:space="0" w:color="000000"/>
            </w:tcBorders>
          </w:tcPr>
          <w:p>
            <w:pPr/>
          </w:p>
        </w:tc>
        <w:tc>
          <w:tcPr>
            <w:tcW w:w="1145"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exact"/>
        <w:ind w:left="140" w:right="0"/>
        <w:jc w:val="left"/>
      </w:pPr>
      <w:r>
        <w:rPr/>
        <w:t>注：正常情况下，本公司的军工装备产品营业收入不存在现金流量不能按期收回的风险，故对军工装备产品业务应收账款除有证据表明存在不能收回风</w:t>
      </w:r>
    </w:p>
    <w:p>
      <w:pPr>
        <w:pStyle w:val="BodyText"/>
        <w:spacing w:line="274" w:lineRule="exact"/>
        <w:ind w:left="140" w:right="7889"/>
        <w:jc w:val="left"/>
      </w:pPr>
      <w:r>
        <w:rPr/>
        <w:t>险的以外，不计提坏账准备。</w:t>
      </w:r>
    </w:p>
    <w:p>
      <w:pPr>
        <w:spacing w:line="240" w:lineRule="auto" w:before="11"/>
        <w:rPr>
          <w:rFonts w:ascii="宋体" w:hAnsi="宋体" w:cs="宋体" w:eastAsia="宋体" w:hint="default"/>
          <w:sz w:val="22"/>
          <w:szCs w:val="22"/>
        </w:rPr>
      </w:pPr>
    </w:p>
    <w:p>
      <w:pPr>
        <w:pStyle w:val="Heading2"/>
        <w:spacing w:line="240" w:lineRule="auto" w:before="0"/>
        <w:ind w:left="140" w:right="7889"/>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left="140" w:right="0"/>
        <w:jc w:val="left"/>
      </w:pPr>
      <w:r>
        <w:rPr/>
        <w:t>本期计提坏账准备金额</w:t>
      </w:r>
      <w:r>
        <w:rPr>
          <w:spacing w:val="-54"/>
        </w:rPr>
        <w:t> </w:t>
      </w:r>
      <w:r>
        <w:rPr>
          <w:rFonts w:ascii="Times New Roman" w:hAnsi="Times New Roman" w:cs="Times New Roman" w:eastAsia="Times New Roman" w:hint="default"/>
        </w:rPr>
        <w:t>55,619,032.40</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r>
    </w:p>
    <w:p>
      <w:pPr>
        <w:spacing w:line="240" w:lineRule="auto" w:before="0"/>
        <w:rPr>
          <w:rFonts w:ascii="宋体" w:hAnsi="宋体" w:cs="宋体" w:eastAsia="宋体" w:hint="default"/>
          <w:sz w:val="17"/>
          <w:szCs w:val="17"/>
        </w:rPr>
      </w:pPr>
    </w:p>
    <w:p>
      <w:pPr>
        <w:pStyle w:val="BodyText"/>
        <w:spacing w:line="274" w:lineRule="exact"/>
        <w:ind w:left="140" w:right="7889"/>
        <w:jc w:val="left"/>
      </w:pPr>
      <w:r>
        <w:rPr/>
        <w:t>其中本期坏账准备收回或转回金额重要的：</w:t>
      </w:r>
    </w:p>
    <w:p>
      <w:pPr>
        <w:pStyle w:val="BodyText"/>
        <w:spacing w:line="274" w:lineRule="exact"/>
        <w:ind w:left="140" w:right="7889"/>
        <w:jc w:val="left"/>
      </w:pPr>
      <w:r>
        <w:rPr/>
        <w:t>□适用 √不适用</w:t>
      </w:r>
    </w:p>
    <w:p>
      <w:pPr>
        <w:spacing w:after="0" w:line="274" w:lineRule="exact"/>
        <w:jc w:val="left"/>
        <w:sectPr>
          <w:pgSz w:w="16840" w:h="11910" w:orient="landscape"/>
          <w:pgMar w:header="882" w:footer="1195" w:top="1120" w:bottom="1380" w:left="1300" w:right="13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53"/>
          <w:footerReference w:type="default" r:id="rId54"/>
          <w:pgSz w:w="11910" w:h="16840"/>
          <w:pgMar w:header="882" w:footer="1195" w:top="1120" w:bottom="1380" w:left="1560" w:right="1120"/>
          <w:pgNumType w:start="107"/>
        </w:sectPr>
      </w:pPr>
    </w:p>
    <w:p>
      <w:pPr>
        <w:pStyle w:val="Heading2"/>
        <w:spacing w:line="240" w:lineRule="auto"/>
        <w:ind w:left="238"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left="23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3554" w:space="2968"/>
            <w:col w:w="270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67"/>
        <w:gridCol w:w="4657"/>
      </w:tblGrid>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15,000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560" w:right="1120"/>
        </w:sectPr>
      </w:pPr>
    </w:p>
    <w:p>
      <w:pPr>
        <w:pStyle w:val="BodyText"/>
        <w:spacing w:line="273" w:lineRule="exact" w:before="36"/>
        <w:ind w:left="238" w:right="0"/>
        <w:jc w:val="left"/>
      </w:pPr>
      <w:r>
        <w:rPr>
          <w:spacing w:val="-2"/>
        </w:rPr>
        <w:t>其中重要的应收账款核销情况</w:t>
      </w:r>
    </w:p>
    <w:p>
      <w:pPr>
        <w:pStyle w:val="BodyText"/>
        <w:spacing w:line="289" w:lineRule="exact"/>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2973" w:space="3549"/>
            <w:col w:w="2708"/>
          </w:cols>
        </w:sectPr>
      </w:pPr>
    </w:p>
    <w:p>
      <w:pPr>
        <w:spacing w:line="240" w:lineRule="auto" w:before="7"/>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3044"/>
        <w:gridCol w:w="994"/>
        <w:gridCol w:w="713"/>
        <w:gridCol w:w="989"/>
        <w:gridCol w:w="1417"/>
        <w:gridCol w:w="1776"/>
      </w:tblGrid>
      <w:tr>
        <w:trPr>
          <w:trHeight w:val="555"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8"/>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71"/>
              <w:jc w:val="center"/>
              <w:rPr>
                <w:rFonts w:ascii="宋体" w:hAnsi="宋体" w:cs="宋体" w:eastAsia="宋体" w:hint="default"/>
                <w:sz w:val="21"/>
                <w:szCs w:val="21"/>
              </w:rPr>
            </w:pPr>
            <w:r>
              <w:rPr>
                <w:rFonts w:ascii="宋体" w:hAnsi="宋体" w:cs="宋体" w:eastAsia="宋体" w:hint="default"/>
                <w:sz w:val="21"/>
                <w:szCs w:val="21"/>
              </w:rPr>
              <w:t>性质</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核销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序</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款项是否由关联交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易产生</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哈尔滨电气国际工程有限公司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15,000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
              <w:jc w:val="center"/>
              <w:rPr>
                <w:rFonts w:ascii="宋体" w:hAnsi="宋体" w:cs="宋体" w:eastAsia="宋体" w:hint="default"/>
                <w:sz w:val="21"/>
                <w:szCs w:val="21"/>
              </w:rPr>
            </w:pPr>
            <w:r>
              <w:rPr>
                <w:rFonts w:ascii="宋体" w:hAnsi="宋体" w:cs="宋体" w:eastAsia="宋体" w:hint="default"/>
                <w:sz w:val="21"/>
                <w:szCs w:val="21"/>
              </w:rPr>
              <w:t>对方拒付</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管理层审批</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6"/>
              <w:jc w:val="right"/>
              <w:rPr>
                <w:rFonts w:ascii="Times New Roman" w:hAnsi="Times New Roman" w:cs="Times New Roman" w:eastAsia="Times New Roman" w:hint="default"/>
                <w:sz w:val="21"/>
                <w:szCs w:val="21"/>
              </w:rPr>
            </w:pPr>
            <w:r>
              <w:rPr>
                <w:rFonts w:ascii="Times New Roman"/>
                <w:w w:val="100"/>
                <w:sz w:val="21"/>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15,000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3"/>
        <w:rPr>
          <w:rFonts w:ascii="宋体" w:hAnsi="宋体" w:cs="宋体" w:eastAsia="宋体" w:hint="default"/>
          <w:sz w:val="12"/>
          <w:szCs w:val="12"/>
        </w:rPr>
      </w:pPr>
    </w:p>
    <w:p>
      <w:pPr>
        <w:pStyle w:val="BodyText"/>
        <w:spacing w:line="274" w:lineRule="exact" w:before="36"/>
        <w:ind w:left="238" w:right="0"/>
        <w:jc w:val="left"/>
      </w:pPr>
      <w:r>
        <w:rPr/>
        <w:t>应收账款核销说明：</w:t>
      </w:r>
    </w:p>
    <w:p>
      <w:pPr>
        <w:pStyle w:val="BodyText"/>
        <w:spacing w:line="274" w:lineRule="exact"/>
        <w:ind w:left="238" w:right="0"/>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left="238" w:right="0"/>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984" w:val="left" w:leader="none"/>
        </w:tabs>
        <w:spacing w:line="240" w:lineRule="auto" w:before="56"/>
        <w:ind w:left="2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385"/>
        <w:gridCol w:w="1702"/>
        <w:gridCol w:w="2269"/>
        <w:gridCol w:w="1380"/>
      </w:tblGrid>
      <w:tr>
        <w:trPr>
          <w:trHeight w:val="487" w:hRule="exact"/>
        </w:trPr>
        <w:tc>
          <w:tcPr>
            <w:tcW w:w="33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34" w:lineRule="exact"/>
              <w:ind w:right="2"/>
              <w:jc w:val="center"/>
              <w:rPr>
                <w:rFonts w:ascii="宋体" w:hAnsi="宋体" w:cs="宋体" w:eastAsia="宋体" w:hint="default"/>
                <w:sz w:val="18"/>
                <w:szCs w:val="18"/>
              </w:rPr>
            </w:pPr>
            <w:r>
              <w:rPr>
                <w:rFonts w:ascii="宋体"/>
                <w:sz w:val="18"/>
              </w:rPr>
              <w:t>(%)</w:t>
            </w:r>
          </w:p>
        </w:tc>
        <w:tc>
          <w:tcPr>
            <w:tcW w:w="13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143"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1"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格赛斯科技（香港）有限公司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378,740,764.84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45" w:right="0"/>
              <w:jc w:val="left"/>
              <w:rPr>
                <w:rFonts w:ascii="宋体" w:hAnsi="宋体" w:cs="宋体" w:eastAsia="宋体" w:hint="default"/>
                <w:sz w:val="18"/>
                <w:szCs w:val="18"/>
              </w:rPr>
            </w:pPr>
            <w:r>
              <w:rPr>
                <w:rFonts w:ascii="宋体"/>
                <w:sz w:val="18"/>
              </w:rPr>
              <w:t>9.64</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87" w:right="0"/>
              <w:jc w:val="left"/>
              <w:rPr>
                <w:rFonts w:ascii="宋体" w:hAnsi="宋体" w:cs="宋体" w:eastAsia="宋体" w:hint="default"/>
                <w:sz w:val="18"/>
                <w:szCs w:val="18"/>
              </w:rPr>
            </w:pPr>
            <w:r>
              <w:rPr>
                <w:rFonts w:ascii="宋体"/>
                <w:sz w:val="18"/>
              </w:rPr>
              <w:t>7,574,815.30</w:t>
            </w:r>
          </w:p>
        </w:tc>
      </w:tr>
      <w:tr>
        <w:trPr>
          <w:trHeight w:val="348"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中资国本能源科技有限公司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126,250,000.00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5" w:right="0"/>
              <w:jc w:val="left"/>
              <w:rPr>
                <w:rFonts w:ascii="宋体" w:hAnsi="宋体" w:cs="宋体" w:eastAsia="宋体" w:hint="default"/>
                <w:sz w:val="18"/>
                <w:szCs w:val="18"/>
              </w:rPr>
            </w:pPr>
            <w:r>
              <w:rPr>
                <w:rFonts w:ascii="宋体"/>
                <w:sz w:val="18"/>
              </w:rPr>
              <w:t>3.21</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87" w:right="0"/>
              <w:jc w:val="left"/>
              <w:rPr>
                <w:rFonts w:ascii="宋体" w:hAnsi="宋体" w:cs="宋体" w:eastAsia="宋体" w:hint="default"/>
                <w:sz w:val="18"/>
                <w:szCs w:val="18"/>
              </w:rPr>
            </w:pPr>
            <w:r>
              <w:rPr>
                <w:rFonts w:ascii="宋体"/>
                <w:sz w:val="18"/>
              </w:rPr>
              <w:t>2,525,000.00</w:t>
            </w:r>
          </w:p>
        </w:tc>
      </w:tr>
      <w:tr>
        <w:trPr>
          <w:trHeight w:val="35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sz w:val="18"/>
              </w:rPr>
              <w:t>AGG POWER SOLUTIONS</w:t>
            </w:r>
            <w:r>
              <w:rPr>
                <w:rFonts w:ascii="宋体"/>
                <w:spacing w:val="-10"/>
                <w:sz w:val="18"/>
              </w:rPr>
              <w:t> </w:t>
            </w:r>
            <w:r>
              <w:rPr>
                <w:rFonts w:ascii="宋体"/>
                <w:sz w:val="18"/>
              </w:rPr>
              <w:t>COMPANY</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110,318,975.40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5" w:right="0"/>
              <w:jc w:val="left"/>
              <w:rPr>
                <w:rFonts w:ascii="宋体" w:hAnsi="宋体" w:cs="宋体" w:eastAsia="宋体" w:hint="default"/>
                <w:sz w:val="18"/>
                <w:szCs w:val="18"/>
              </w:rPr>
            </w:pPr>
            <w:r>
              <w:rPr>
                <w:rFonts w:ascii="宋体"/>
                <w:sz w:val="18"/>
              </w:rPr>
              <w:t>2.81</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87" w:right="0"/>
              <w:jc w:val="left"/>
              <w:rPr>
                <w:rFonts w:ascii="宋体" w:hAnsi="宋体" w:cs="宋体" w:eastAsia="宋体" w:hint="default"/>
                <w:sz w:val="18"/>
                <w:szCs w:val="18"/>
              </w:rPr>
            </w:pPr>
            <w:r>
              <w:rPr>
                <w:rFonts w:ascii="宋体"/>
                <w:sz w:val="18"/>
              </w:rPr>
              <w:t>2,206,379.51</w:t>
            </w:r>
          </w:p>
        </w:tc>
      </w:tr>
      <w:tr>
        <w:trPr>
          <w:trHeight w:val="348"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南京南瑞集团公司信息通信技术分公司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78,096,610.78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5" w:right="0"/>
              <w:jc w:val="left"/>
              <w:rPr>
                <w:rFonts w:ascii="宋体" w:hAnsi="宋体" w:cs="宋体" w:eastAsia="宋体" w:hint="default"/>
                <w:sz w:val="18"/>
                <w:szCs w:val="18"/>
              </w:rPr>
            </w:pPr>
            <w:r>
              <w:rPr>
                <w:rFonts w:ascii="宋体"/>
                <w:sz w:val="18"/>
              </w:rPr>
              <w:t>1.99</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87" w:right="0"/>
              <w:jc w:val="left"/>
              <w:rPr>
                <w:rFonts w:ascii="宋体" w:hAnsi="宋体" w:cs="宋体" w:eastAsia="宋体" w:hint="default"/>
                <w:sz w:val="18"/>
                <w:szCs w:val="18"/>
              </w:rPr>
            </w:pPr>
            <w:r>
              <w:rPr>
                <w:rFonts w:ascii="宋体"/>
                <w:sz w:val="18"/>
              </w:rPr>
              <w:t>4,429,448.74</w:t>
            </w:r>
          </w:p>
        </w:tc>
      </w:tr>
      <w:tr>
        <w:trPr>
          <w:trHeight w:val="350" w:hRule="exact"/>
        </w:trPr>
        <w:tc>
          <w:tcPr>
            <w:tcW w:w="3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54,982,530.00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45" w:right="0"/>
              <w:jc w:val="left"/>
              <w:rPr>
                <w:rFonts w:ascii="宋体" w:hAnsi="宋体" w:cs="宋体" w:eastAsia="宋体" w:hint="default"/>
                <w:sz w:val="18"/>
                <w:szCs w:val="18"/>
              </w:rPr>
            </w:pPr>
            <w:r>
              <w:rPr>
                <w:rFonts w:ascii="宋体"/>
                <w:sz w:val="18"/>
              </w:rPr>
              <w:t>1.40</w:t>
            </w:r>
          </w:p>
        </w:tc>
        <w:tc>
          <w:tcPr>
            <w:tcW w:w="1380" w:type="dxa"/>
            <w:tcBorders>
              <w:top w:val="single" w:sz="4" w:space="0" w:color="000000"/>
              <w:left w:val="single" w:sz="4" w:space="0" w:color="000000"/>
              <w:bottom w:val="single" w:sz="4" w:space="0" w:color="000000"/>
              <w:right w:val="nil" w:sz="6" w:space="0" w:color="auto"/>
            </w:tcBorders>
          </w:tcPr>
          <w:p>
            <w:pPr/>
          </w:p>
        </w:tc>
      </w:tr>
      <w:tr>
        <w:trPr>
          <w:trHeight w:val="487" w:hRule="exact"/>
        </w:trPr>
        <w:tc>
          <w:tcPr>
            <w:tcW w:w="3385"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64"/>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748,388,881.020</w:t>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900" w:right="0"/>
              <w:jc w:val="left"/>
              <w:rPr>
                <w:rFonts w:ascii="宋体" w:hAnsi="宋体" w:cs="宋体" w:eastAsia="宋体" w:hint="default"/>
                <w:sz w:val="18"/>
                <w:szCs w:val="18"/>
              </w:rPr>
            </w:pPr>
            <w:r>
              <w:rPr>
                <w:rFonts w:ascii="宋体"/>
                <w:sz w:val="18"/>
              </w:rPr>
              <w:t>19.05</w:t>
            </w:r>
          </w:p>
        </w:tc>
        <w:tc>
          <w:tcPr>
            <w:tcW w:w="1380"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16,735,643.5</w:t>
            </w:r>
          </w:p>
          <w:p>
            <w:pPr>
              <w:pStyle w:val="TableParagraph"/>
              <w:spacing w:line="240" w:lineRule="auto"/>
              <w:ind w:right="107"/>
              <w:jc w:val="right"/>
              <w:rPr>
                <w:rFonts w:ascii="宋体" w:hAnsi="宋体" w:cs="宋体" w:eastAsia="宋体" w:hint="default"/>
                <w:sz w:val="18"/>
                <w:szCs w:val="18"/>
              </w:rPr>
            </w:pPr>
            <w:r>
              <w:rPr>
                <w:rFonts w:ascii="宋体"/>
                <w:sz w:val="18"/>
              </w:rPr>
              <w:t>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left="238" w:right="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080" w:val="left" w:leader="none"/>
        </w:tabs>
        <w:spacing w:line="240" w:lineRule="auto" w:before="56"/>
        <w:ind w:left="238" w:right="0"/>
        <w:jc w:val="left"/>
      </w:pPr>
      <w:r>
        <w:rPr/>
        <w:t>□适用</w:t>
        <w:tab/>
        <w:t>√不适用</w:t>
      </w:r>
    </w:p>
    <w:p>
      <w:pPr>
        <w:spacing w:line="240" w:lineRule="auto" w:before="12"/>
        <w:rPr>
          <w:rFonts w:ascii="宋体" w:hAnsi="宋体" w:cs="宋体" w:eastAsia="宋体" w:hint="default"/>
          <w:sz w:val="22"/>
          <w:szCs w:val="22"/>
        </w:rPr>
      </w:pPr>
    </w:p>
    <w:p>
      <w:pPr>
        <w:pStyle w:val="Heading2"/>
        <w:spacing w:line="240" w:lineRule="auto" w:before="0"/>
        <w:ind w:left="238" w:right="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1080" w:val="left" w:leader="none"/>
        </w:tabs>
        <w:spacing w:line="240" w:lineRule="auto" w:before="58"/>
        <w:ind w:left="238"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238" w:right="0"/>
        <w:jc w:val="left"/>
      </w:pPr>
      <w:r>
        <w:rPr/>
        <w:t>其他说明：</w:t>
      </w:r>
    </w:p>
    <w:p>
      <w:pPr>
        <w:pStyle w:val="BodyText"/>
        <w:tabs>
          <w:tab w:pos="1080" w:val="left" w:leader="none"/>
        </w:tabs>
        <w:spacing w:line="273" w:lineRule="exact"/>
        <w:ind w:left="23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120"/>
        </w:sectPr>
      </w:pPr>
    </w:p>
    <w:p>
      <w:pPr>
        <w:pStyle w:val="Heading2"/>
        <w:spacing w:line="240" w:lineRule="auto"/>
        <w:ind w:left="2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8"/>
        <w:ind w:left="2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984" w:val="left" w:leader="none"/>
        </w:tabs>
        <w:spacing w:line="240" w:lineRule="auto" w:before="56"/>
        <w:ind w:left="238"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2756" w:space="3766"/>
            <w:col w:w="270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49"/>
        <w:gridCol w:w="1877"/>
        <w:gridCol w:w="1863"/>
        <w:gridCol w:w="1860"/>
        <w:gridCol w:w="1875"/>
      </w:tblGrid>
      <w:tr>
        <w:trPr>
          <w:trHeight w:val="284" w:hRule="exact"/>
        </w:trPr>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49"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6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3" w:right="0"/>
              <w:jc w:val="left"/>
              <w:rPr>
                <w:rFonts w:ascii="Times New Roman" w:hAnsi="Times New Roman" w:cs="Times New Roman" w:eastAsia="Times New Roman" w:hint="default"/>
                <w:sz w:val="21"/>
                <w:szCs w:val="21"/>
              </w:rPr>
            </w:pPr>
            <w:r>
              <w:rPr>
                <w:rFonts w:ascii="Times New Roman"/>
                <w:sz w:val="21"/>
              </w:rPr>
              <w:t>279,230,407.69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87.34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3" w:right="0"/>
              <w:jc w:val="left"/>
              <w:rPr>
                <w:rFonts w:ascii="Times New Roman" w:hAnsi="Times New Roman" w:cs="Times New Roman" w:eastAsia="Times New Roman" w:hint="default"/>
                <w:sz w:val="21"/>
                <w:szCs w:val="21"/>
              </w:rPr>
            </w:pPr>
            <w:r>
              <w:rPr>
                <w:rFonts w:ascii="Times New Roman"/>
                <w:sz w:val="21"/>
              </w:rPr>
              <w:t>172,494,719.82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76.21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2" w:type="dxa"/>
        <w:tblLayout w:type="fixed"/>
        <w:tblCellMar>
          <w:top w:w="0" w:type="dxa"/>
          <w:left w:w="0" w:type="dxa"/>
          <w:bottom w:w="0" w:type="dxa"/>
          <w:right w:w="0" w:type="dxa"/>
        </w:tblCellMar>
        <w:tblLook w:val="01E0"/>
      </w:tblPr>
      <w:tblGrid>
        <w:gridCol w:w="1349"/>
        <w:gridCol w:w="1877"/>
        <w:gridCol w:w="1863"/>
        <w:gridCol w:w="1860"/>
        <w:gridCol w:w="1875"/>
      </w:tblGrid>
      <w:tr>
        <w:trPr>
          <w:trHeight w:val="28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7"/>
              <w:jc w:val="right"/>
              <w:rPr>
                <w:rFonts w:ascii="Times New Roman" w:hAnsi="Times New Roman" w:cs="Times New Roman" w:eastAsia="Times New Roman" w:hint="default"/>
                <w:sz w:val="21"/>
                <w:szCs w:val="21"/>
              </w:rPr>
            </w:pPr>
            <w:r>
              <w:rPr>
                <w:rFonts w:ascii="Times New Roman"/>
                <w:spacing w:val="-1"/>
                <w:sz w:val="21"/>
              </w:rPr>
              <w:t>25,077,899.86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Times New Roman" w:hAnsi="Times New Roman" w:cs="Times New Roman" w:eastAsia="Times New Roman" w:hint="default"/>
                <w:sz w:val="21"/>
                <w:szCs w:val="21"/>
              </w:rPr>
            </w:pPr>
            <w:r>
              <w:rPr>
                <w:rFonts w:ascii="Times New Roman"/>
                <w:sz w:val="21"/>
              </w:rPr>
              <w:t>7.84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9"/>
              <w:jc w:val="right"/>
              <w:rPr>
                <w:rFonts w:ascii="Times New Roman" w:hAnsi="Times New Roman" w:cs="Times New Roman" w:eastAsia="Times New Roman" w:hint="default"/>
                <w:sz w:val="21"/>
                <w:szCs w:val="21"/>
              </w:rPr>
            </w:pPr>
            <w:r>
              <w:rPr>
                <w:rFonts w:ascii="Times New Roman"/>
                <w:spacing w:val="-1"/>
                <w:sz w:val="21"/>
              </w:rPr>
              <w:t>46,102,375.94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Times New Roman" w:hAnsi="Times New Roman" w:cs="Times New Roman" w:eastAsia="Times New Roman" w:hint="default"/>
                <w:sz w:val="21"/>
                <w:szCs w:val="21"/>
              </w:rPr>
            </w:pPr>
            <w:r>
              <w:rPr>
                <w:rFonts w:ascii="Times New Roman"/>
                <w:sz w:val="21"/>
              </w:rPr>
              <w:t>20.37</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15,392,358.65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4.82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7,751,459.95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3.42</w:t>
            </w:r>
          </w:p>
        </w:tc>
      </w:tr>
      <w:tr>
        <w:trPr>
          <w:trHeight w:val="28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spacing w:val="-1"/>
                <w:sz w:val="21"/>
              </w:rPr>
              <w:t>319,700,666.20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z w:val="21"/>
              </w:rPr>
              <w:t>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226,348,555.71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13"/>
          <w:szCs w:val="13"/>
        </w:rPr>
      </w:pPr>
    </w:p>
    <w:p>
      <w:pPr>
        <w:pStyle w:val="BodyText"/>
        <w:spacing w:line="240" w:lineRule="auto" w:before="36"/>
        <w:ind w:left="278" w:right="0"/>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8"/>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696"/>
        <w:gridCol w:w="3224"/>
        <w:gridCol w:w="1104"/>
        <w:gridCol w:w="601"/>
        <w:gridCol w:w="958"/>
      </w:tblGrid>
      <w:tr>
        <w:trPr>
          <w:trHeight w:val="360" w:hRule="exact"/>
        </w:trPr>
        <w:tc>
          <w:tcPr>
            <w:tcW w:w="26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债权单位</w:t>
            </w:r>
          </w:p>
        </w:tc>
        <w:tc>
          <w:tcPr>
            <w:tcW w:w="32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债务单位</w:t>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25"/>
              <w:jc w:val="right"/>
              <w:rPr>
                <w:rFonts w:ascii="宋体" w:hAnsi="宋体" w:cs="宋体" w:eastAsia="宋体" w:hint="default"/>
                <w:sz w:val="18"/>
                <w:szCs w:val="18"/>
              </w:rPr>
            </w:pPr>
            <w:r>
              <w:rPr>
                <w:rFonts w:ascii="宋体" w:hAnsi="宋体" w:cs="宋体" w:eastAsia="宋体" w:hint="default"/>
                <w:sz w:val="18"/>
                <w:szCs w:val="18"/>
              </w:rPr>
              <w:t>账龄</w:t>
            </w:r>
          </w:p>
        </w:tc>
        <w:tc>
          <w:tcPr>
            <w:tcW w:w="9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0"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无锡市群星线缆有限公司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6"/>
              <w:jc w:val="right"/>
              <w:rPr>
                <w:rFonts w:ascii="Arial Narrow" w:hAnsi="Arial Narrow" w:cs="Arial Narrow" w:eastAsia="Arial Narrow" w:hint="default"/>
                <w:sz w:val="18"/>
                <w:szCs w:val="18"/>
              </w:rPr>
            </w:pPr>
            <w:r>
              <w:rPr>
                <w:rFonts w:ascii="Arial Narrow"/>
                <w:spacing w:val="-1"/>
                <w:sz w:val="18"/>
              </w:rPr>
              <w:t>3,513,071.05</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50"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北京方大恩劲柴油机技术服务有限公司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6"/>
              <w:jc w:val="right"/>
              <w:rPr>
                <w:rFonts w:ascii="Arial Narrow" w:hAnsi="Arial Narrow" w:cs="Arial Narrow" w:eastAsia="Arial Narrow" w:hint="default"/>
                <w:sz w:val="18"/>
                <w:szCs w:val="18"/>
              </w:rPr>
            </w:pPr>
            <w:r>
              <w:rPr>
                <w:rFonts w:ascii="Arial Narrow"/>
                <w:spacing w:val="-1"/>
                <w:sz w:val="18"/>
              </w:rPr>
              <w:t>2,634,045.00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50"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部队</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6"/>
              <w:jc w:val="right"/>
              <w:rPr>
                <w:rFonts w:ascii="Arial Narrow" w:hAnsi="Arial Narrow" w:cs="Arial Narrow" w:eastAsia="Arial Narrow" w:hint="default"/>
                <w:sz w:val="18"/>
                <w:szCs w:val="18"/>
              </w:rPr>
            </w:pPr>
            <w:r>
              <w:rPr>
                <w:rFonts w:ascii="Arial Narrow"/>
                <w:spacing w:val="-1"/>
                <w:sz w:val="18"/>
              </w:rPr>
              <w:t>1,818,679.80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49"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4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安徽卓源世创智能技术股份有限公司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26"/>
              <w:jc w:val="right"/>
              <w:rPr>
                <w:rFonts w:ascii="Arial Narrow" w:hAnsi="Arial Narrow" w:cs="Arial Narrow" w:eastAsia="Arial Narrow" w:hint="default"/>
                <w:sz w:val="18"/>
                <w:szCs w:val="18"/>
              </w:rPr>
            </w:pPr>
            <w:r>
              <w:rPr>
                <w:rFonts w:ascii="Arial Narrow"/>
                <w:spacing w:val="-1"/>
                <w:sz w:val="18"/>
              </w:rPr>
              <w:t>1,595,350.00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7"/>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50"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上海达浚智能科技工程有限公司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6"/>
              <w:jc w:val="right"/>
              <w:rPr>
                <w:rFonts w:ascii="Arial Narrow" w:hAnsi="Arial Narrow" w:cs="Arial Narrow" w:eastAsia="Arial Narrow" w:hint="default"/>
                <w:sz w:val="18"/>
                <w:szCs w:val="18"/>
              </w:rPr>
            </w:pPr>
            <w:r>
              <w:rPr>
                <w:rFonts w:ascii="Arial Narrow"/>
                <w:spacing w:val="-1"/>
                <w:sz w:val="18"/>
              </w:rPr>
              <w:t>1,334,023.30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7"/>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50"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厦门建发轻工有限公司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6"/>
              <w:jc w:val="right"/>
              <w:rPr>
                <w:rFonts w:ascii="Arial Narrow" w:hAnsi="Arial Narrow" w:cs="Arial Narrow" w:eastAsia="Arial Narrow" w:hint="default"/>
                <w:sz w:val="18"/>
                <w:szCs w:val="18"/>
              </w:rPr>
            </w:pPr>
            <w:r>
              <w:rPr>
                <w:rFonts w:ascii="Arial Narrow"/>
                <w:spacing w:val="-1"/>
                <w:sz w:val="18"/>
              </w:rPr>
              <w:t>1,288,469.06</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7"/>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50"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伟柏电力系统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6"/>
              <w:jc w:val="right"/>
              <w:rPr>
                <w:rFonts w:ascii="Arial Narrow" w:hAnsi="Arial Narrow" w:cs="Arial Narrow" w:eastAsia="Arial Narrow" w:hint="default"/>
                <w:sz w:val="18"/>
                <w:szCs w:val="18"/>
              </w:rPr>
            </w:pPr>
            <w:r>
              <w:rPr>
                <w:rFonts w:ascii="Arial Narrow"/>
                <w:spacing w:val="-1"/>
                <w:sz w:val="18"/>
              </w:rPr>
              <w:t>1,271,528.20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50" w:hRule="exact"/>
        </w:trPr>
        <w:tc>
          <w:tcPr>
            <w:tcW w:w="2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南京旭捷科技有限公司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26"/>
              <w:jc w:val="right"/>
              <w:rPr>
                <w:rFonts w:ascii="Arial Narrow" w:hAnsi="Arial Narrow" w:cs="Arial Narrow" w:eastAsia="Arial Narrow" w:hint="default"/>
                <w:sz w:val="18"/>
                <w:szCs w:val="18"/>
              </w:rPr>
            </w:pPr>
            <w:r>
              <w:rPr>
                <w:rFonts w:ascii="Arial Narrow"/>
                <w:spacing w:val="-1"/>
                <w:sz w:val="18"/>
              </w:rPr>
              <w:t>1,040,000.00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7"/>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项目待结算</w:t>
            </w:r>
          </w:p>
        </w:tc>
      </w:tr>
      <w:tr>
        <w:trPr>
          <w:trHeight w:val="360" w:hRule="exact"/>
        </w:trPr>
        <w:tc>
          <w:tcPr>
            <w:tcW w:w="2696" w:type="dxa"/>
            <w:tcBorders>
              <w:top w:val="single" w:sz="4" w:space="0" w:color="000000"/>
              <w:left w:val="nil" w:sz="6" w:space="0" w:color="auto"/>
              <w:bottom w:val="single" w:sz="12" w:space="0" w:color="000000"/>
              <w:right w:val="single" w:sz="4" w:space="0" w:color="000000"/>
            </w:tcBorders>
          </w:tcPr>
          <w:p>
            <w:pPr>
              <w:pStyle w:val="TableParagraph"/>
              <w:tabs>
                <w:tab w:pos="565" w:val="left" w:leader="none"/>
              </w:tabs>
              <w:spacing w:line="240" w:lineRule="auto" w:before="22"/>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24" w:type="dxa"/>
            <w:tcBorders>
              <w:top w:val="single" w:sz="4" w:space="0" w:color="000000"/>
              <w:left w:val="single" w:sz="4" w:space="0" w:color="000000"/>
              <w:bottom w:val="single" w:sz="12" w:space="0" w:color="000000"/>
              <w:right w:val="single" w:sz="4" w:space="0" w:color="000000"/>
            </w:tcBorders>
          </w:tcPr>
          <w:p>
            <w:pP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27"/>
              <w:jc w:val="right"/>
              <w:rPr>
                <w:rFonts w:ascii="Arial Narrow" w:hAnsi="Arial Narrow" w:cs="Arial Narrow" w:eastAsia="Arial Narrow" w:hint="default"/>
                <w:sz w:val="18"/>
                <w:szCs w:val="18"/>
              </w:rPr>
            </w:pPr>
            <w:r>
              <w:rPr>
                <w:rFonts w:ascii="Arial Narrow"/>
                <w:spacing w:val="-1"/>
                <w:sz w:val="18"/>
              </w:rPr>
              <w:t>14,495,166.41</w:t>
            </w:r>
          </w:p>
        </w:tc>
        <w:tc>
          <w:tcPr>
            <w:tcW w:w="601" w:type="dxa"/>
            <w:tcBorders>
              <w:top w:val="single" w:sz="4" w:space="0" w:color="000000"/>
              <w:left w:val="single" w:sz="4" w:space="0" w:color="000000"/>
              <w:bottom w:val="single" w:sz="12" w:space="0" w:color="000000"/>
              <w:right w:val="single" w:sz="4" w:space="0" w:color="000000"/>
            </w:tcBorders>
          </w:tcPr>
          <w:p>
            <w:pPr/>
          </w:p>
        </w:tc>
        <w:tc>
          <w:tcPr>
            <w:tcW w:w="95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left="278"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024" w:val="left" w:leader="none"/>
        </w:tabs>
        <w:spacing w:line="240" w:lineRule="auto" w:before="58"/>
        <w:ind w:left="27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19"/>
          <w:szCs w:val="19"/>
        </w:rPr>
      </w:pPr>
    </w:p>
    <w:tbl>
      <w:tblPr>
        <w:tblW w:w="0" w:type="auto"/>
        <w:jc w:val="left"/>
        <w:tblInd w:w="141" w:type="dxa"/>
        <w:tblLayout w:type="fixed"/>
        <w:tblCellMar>
          <w:top w:w="0" w:type="dxa"/>
          <w:left w:w="0" w:type="dxa"/>
          <w:bottom w:w="0" w:type="dxa"/>
          <w:right w:w="0" w:type="dxa"/>
        </w:tblCellMar>
        <w:tblLook w:val="01E0"/>
      </w:tblPr>
      <w:tblGrid>
        <w:gridCol w:w="3809"/>
        <w:gridCol w:w="2127"/>
        <w:gridCol w:w="2799"/>
      </w:tblGrid>
      <w:tr>
        <w:trPr>
          <w:trHeight w:val="360" w:hRule="exact"/>
        </w:trPr>
        <w:tc>
          <w:tcPr>
            <w:tcW w:w="380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9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r>
      <w:tr>
        <w:trPr>
          <w:trHeight w:val="35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深圳前海高维数据科技发展有限公司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39,317,268.99</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12.30</w:t>
            </w:r>
          </w:p>
        </w:tc>
      </w:tr>
      <w:tr>
        <w:trPr>
          <w:trHeight w:val="35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湖南省力宇燃气动力有限公司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14,000,000.00</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4.38</w:t>
            </w:r>
          </w:p>
        </w:tc>
      </w:tr>
      <w:tr>
        <w:trPr>
          <w:trHeight w:val="348"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广东南超电力建设有限公司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13,182,659.36</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9"/>
              <w:jc w:val="center"/>
              <w:rPr>
                <w:rFonts w:ascii="Arial Narrow" w:hAnsi="Arial Narrow" w:cs="Arial Narrow" w:eastAsia="Arial Narrow" w:hint="default"/>
                <w:sz w:val="18"/>
                <w:szCs w:val="18"/>
              </w:rPr>
            </w:pPr>
            <w:r>
              <w:rPr>
                <w:rFonts w:ascii="Arial Narrow"/>
                <w:sz w:val="18"/>
              </w:rPr>
              <w:t>4.12</w:t>
            </w:r>
          </w:p>
        </w:tc>
      </w:tr>
      <w:tr>
        <w:trPr>
          <w:trHeight w:val="35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深圳市奥宇节能技术股份有限公司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2"/>
                <w:sz w:val="18"/>
              </w:rPr>
              <w:t>11,800,785.57</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3.69</w:t>
            </w:r>
          </w:p>
        </w:tc>
      </w:tr>
      <w:tr>
        <w:trPr>
          <w:trHeight w:val="350" w:hRule="exact"/>
        </w:trPr>
        <w:tc>
          <w:tcPr>
            <w:tcW w:w="38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贵安新区徽源科技服务有限公司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8,054,282.89</w:t>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2.52</w:t>
            </w:r>
          </w:p>
        </w:tc>
      </w:tr>
      <w:tr>
        <w:trPr>
          <w:trHeight w:val="360" w:hRule="exact"/>
        </w:trPr>
        <w:tc>
          <w:tcPr>
            <w:tcW w:w="3809"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86,354,996.81</w:t>
            </w:r>
          </w:p>
        </w:tc>
        <w:tc>
          <w:tcPr>
            <w:tcW w:w="27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9"/>
              <w:jc w:val="center"/>
              <w:rPr>
                <w:rFonts w:ascii="Arial Narrow" w:hAnsi="Arial Narrow" w:cs="Arial Narrow" w:eastAsia="Arial Narrow" w:hint="default"/>
                <w:sz w:val="18"/>
                <w:szCs w:val="18"/>
              </w:rPr>
            </w:pPr>
            <w:r>
              <w:rPr>
                <w:rFonts w:ascii="Arial Narrow"/>
                <w:sz w:val="18"/>
              </w:rPr>
              <w:t>27.01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73" w:lineRule="exact"/>
        <w:ind w:left="278" w:right="0"/>
        <w:jc w:val="left"/>
      </w:pPr>
      <w:r>
        <w:rPr/>
        <w:t>其他说明</w:t>
      </w:r>
    </w:p>
    <w:p>
      <w:pPr>
        <w:pStyle w:val="BodyText"/>
        <w:tabs>
          <w:tab w:pos="1120" w:val="left" w:leader="none"/>
        </w:tabs>
        <w:spacing w:line="273" w:lineRule="exact"/>
        <w:ind w:left="278"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left="278" w:right="0"/>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2"/>
        <w:spacing w:line="240" w:lineRule="auto" w:before="58"/>
        <w:ind w:left="278" w:right="0"/>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spacing w:line="290" w:lineRule="auto" w:before="56"/>
        <w:ind w:left="278" w:right="71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2"/>
        <w:ind w:left="278" w:right="7373"/>
        <w:jc w:val="left"/>
      </w:pPr>
      <w:r>
        <w:rPr/>
        <w:t>□适用 √不适用</w:t>
      </w:r>
      <w:r>
        <w:rPr>
          <w:w w:val="100"/>
        </w:rPr>
        <w:t> </w:t>
      </w:r>
      <w:r>
        <w:rPr/>
        <w:t>其他说明：</w:t>
      </w:r>
    </w:p>
    <w:p>
      <w:pPr>
        <w:pStyle w:val="BodyText"/>
        <w:tabs>
          <w:tab w:pos="1120" w:val="left" w:leader="none"/>
        </w:tabs>
        <w:spacing w:line="271" w:lineRule="exact"/>
        <w:ind w:left="278" w:right="0"/>
        <w:jc w:val="left"/>
      </w:pPr>
      <w:r>
        <w:rPr/>
        <w:t>□适用</w:t>
        <w:tab/>
        <w:t>√不适用</w:t>
      </w:r>
    </w:p>
    <w:p>
      <w:pPr>
        <w:spacing w:after="0" w:line="271" w:lineRule="exact"/>
        <w:jc w:val="left"/>
        <w:sectPr>
          <w:pgSz w:w="11910" w:h="16840"/>
          <w:pgMar w:header="882" w:footer="1195" w:top="1120" w:bottom="1380" w:left="1520" w:right="1140"/>
        </w:sectPr>
      </w:pPr>
    </w:p>
    <w:p>
      <w:pPr>
        <w:spacing w:line="240" w:lineRule="auto" w:before="1"/>
        <w:rPr>
          <w:rFonts w:ascii="宋体" w:hAnsi="宋体" w:cs="宋体" w:eastAsia="宋体" w:hint="default"/>
          <w:sz w:val="25"/>
          <w:szCs w:val="25"/>
        </w:rPr>
      </w:pPr>
    </w:p>
    <w:p>
      <w:pPr>
        <w:pStyle w:val="Heading2"/>
        <w:spacing w:line="290" w:lineRule="auto"/>
        <w:ind w:right="7546"/>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2"/>
        <w:ind w:right="0"/>
        <w:jc w:val="left"/>
      </w:pPr>
      <w:r>
        <w:rPr/>
        <w:t>□适用 √不适用</w:t>
      </w:r>
    </w:p>
    <w:p>
      <w:pPr>
        <w:pStyle w:val="Heading2"/>
        <w:spacing w:line="240" w:lineRule="auto" w:before="58"/>
        <w:ind w:right="0"/>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39"/>
        <w:ind w:right="7373"/>
        <w:jc w:val="left"/>
      </w:pPr>
      <w:r>
        <w:rPr/>
        <w:t>□适用 √不适用</w:t>
      </w:r>
      <w:r>
        <w:rPr>
          <w:w w:val="100"/>
        </w:rPr>
        <w:t> </w:t>
      </w:r>
      <w:r>
        <w:rPr/>
        <w:t>其他说明：</w:t>
      </w:r>
    </w:p>
    <w:p>
      <w:pPr>
        <w:pStyle w:val="BodyText"/>
        <w:spacing w:line="271" w:lineRule="exact"/>
        <w:ind w:right="0"/>
        <w:jc w:val="left"/>
      </w:pPr>
      <w:r>
        <w:rPr/>
        <w:t>□适用 √不适用</w:t>
      </w:r>
    </w:p>
    <w:p>
      <w:pPr>
        <w:spacing w:after="0" w:line="271" w:lineRule="exact"/>
        <w:jc w:val="left"/>
        <w:sectPr>
          <w:pgSz w:w="11910" w:h="16840"/>
          <w:pgMar w:header="882" w:footer="1195" w:top="1120" w:bottom="1380" w:left="1660" w:right="11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5"/>
          <w:footerReference w:type="default" r:id="rId56"/>
          <w:pgSz w:w="16840" w:h="11910" w:orient="landscape"/>
          <w:pgMar w:header="0" w:footer="0" w:top="800" w:bottom="280" w:left="1300" w:right="1380"/>
        </w:sectPr>
      </w:pPr>
    </w:p>
    <w:p>
      <w:pPr>
        <w:pStyle w:val="Heading2"/>
        <w:spacing w:line="240" w:lineRule="auto" w:before="169"/>
        <w:ind w:left="140" w:right="-20"/>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6"/>
        <w:ind w:left="140" w:right="-20"/>
        <w:jc w:val="left"/>
        <w:rPr>
          <w:b w:val="0"/>
          <w:bCs w:val="0"/>
        </w:rPr>
      </w:pPr>
      <w:r>
        <w:rPr>
          <w:rFonts w:ascii="宋体" w:hAnsi="宋体" w:cs="宋体" w:eastAsia="宋体" w:hint="default"/>
        </w:rPr>
        <w:t>(1).</w:t>
      </w:r>
      <w:r>
        <w:rPr>
          <w:rFonts w:ascii="宋体" w:hAnsi="宋体" w:cs="宋体" w:eastAsia="宋体" w:hint="default"/>
          <w:spacing w:val="62"/>
        </w:rPr>
        <w:t> </w:t>
      </w:r>
      <w:r>
        <w:rPr/>
        <w:t>其他应收款分类披露</w:t>
      </w:r>
      <w:r>
        <w:rPr>
          <w:b w:val="0"/>
          <w:bCs w:val="0"/>
        </w:rPr>
      </w:r>
    </w:p>
    <w:p>
      <w:pPr>
        <w:pStyle w:val="BodyText"/>
        <w:spacing w:line="240" w:lineRule="auto" w:before="58"/>
        <w:ind w:left="140" w:right="-2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630" w:space="8830"/>
            <w:col w:w="270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38"/>
        <w:gridCol w:w="1188"/>
        <w:gridCol w:w="614"/>
        <w:gridCol w:w="1097"/>
        <w:gridCol w:w="847"/>
        <w:gridCol w:w="1188"/>
        <w:gridCol w:w="1186"/>
        <w:gridCol w:w="614"/>
        <w:gridCol w:w="1097"/>
        <w:gridCol w:w="881"/>
        <w:gridCol w:w="1186"/>
      </w:tblGrid>
      <w:tr>
        <w:trPr>
          <w:trHeight w:val="293" w:hRule="exact"/>
        </w:trPr>
        <w:tc>
          <w:tcPr>
            <w:tcW w:w="403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9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4038" w:type="dxa"/>
            <w:vMerge/>
            <w:tcBorders>
              <w:left w:val="single" w:sz="4" w:space="0" w:color="000000"/>
              <w:right w:val="single" w:sz="4" w:space="0" w:color="000000"/>
            </w:tcBorders>
          </w:tcPr>
          <w:p>
            <w:pPr/>
          </w:p>
        </w:tc>
        <w:tc>
          <w:tcPr>
            <w:tcW w:w="18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8" w:type="dxa"/>
            <w:vMerge w:val="restart"/>
            <w:tcBorders>
              <w:top w:val="single" w:sz="4" w:space="0" w:color="000000"/>
              <w:left w:val="single" w:sz="4" w:space="0" w:color="000000"/>
              <w:right w:val="single" w:sz="4" w:space="0" w:color="000000"/>
            </w:tcBorders>
          </w:tcPr>
          <w:p>
            <w:pPr>
              <w:pStyle w:val="TableParagraph"/>
              <w:spacing w:line="234" w:lineRule="exact" w:before="100"/>
              <w:ind w:left="407" w:right="408"/>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6" w:type="dxa"/>
            <w:vMerge w:val="restart"/>
            <w:tcBorders>
              <w:top w:val="single" w:sz="4" w:space="0" w:color="000000"/>
              <w:left w:val="single" w:sz="4" w:space="0" w:color="000000"/>
              <w:right w:val="single" w:sz="4" w:space="0" w:color="000000"/>
            </w:tcBorders>
          </w:tcPr>
          <w:p>
            <w:pPr>
              <w:pStyle w:val="TableParagraph"/>
              <w:spacing w:line="234" w:lineRule="exact" w:before="100"/>
              <w:ind w:left="408" w:right="406"/>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52" w:hRule="exact"/>
        </w:trPr>
        <w:tc>
          <w:tcPr>
            <w:tcW w:w="4038" w:type="dxa"/>
            <w:vMerge/>
            <w:tcBorders>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167" w:right="0"/>
              <w:jc w:val="lef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5"/>
              <w:ind w:left="2" w:right="0"/>
              <w:jc w:val="center"/>
              <w:rPr>
                <w:rFonts w:ascii="Times New Roman" w:hAnsi="Times New Roman" w:cs="Times New Roman" w:eastAsia="Times New Roman" w:hint="default"/>
                <w:sz w:val="18"/>
                <w:szCs w:val="18"/>
              </w:rPr>
            </w:pPr>
            <w:r>
              <w:rPr>
                <w:rFonts w:ascii="Times New Roman"/>
                <w:sz w:val="18"/>
              </w:rPr>
              <w:t>(%)</w:t>
            </w:r>
          </w:p>
        </w:tc>
        <w:tc>
          <w:tcPr>
            <w:tcW w:w="1188" w:type="dxa"/>
            <w:vMerge/>
            <w:tcBorders>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167" w:right="0"/>
              <w:jc w:val="lef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1186" w:type="dxa"/>
            <w:vMerge/>
            <w:tcBorders>
              <w:left w:val="single" w:sz="4" w:space="0" w:color="000000"/>
              <w:bottom w:val="single" w:sz="4" w:space="0" w:color="000000"/>
              <w:right w:val="single" w:sz="4" w:space="0" w:color="000000"/>
            </w:tcBorders>
          </w:tcPr>
          <w:p>
            <w:pPr/>
          </w:p>
        </w:tc>
      </w:tr>
      <w:tr>
        <w:trPr>
          <w:trHeight w:val="24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18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490,381,325.15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98.21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65,664,238.54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13.39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424,717,086.61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366,388,443.98</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97.62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42,024,660.08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2"/>
                <w:sz w:val="18"/>
              </w:rPr>
              <w:t>11.47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324,363,783.90</w:t>
            </w:r>
          </w:p>
        </w:tc>
      </w:tr>
      <w:tr>
        <w:trPr>
          <w:trHeight w:val="242"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8,934,198.94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1.79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8,934,198.94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z w:val="18"/>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8,934,198.94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2.38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8,934,198.94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499,315,524.09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74,598,437.48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14.94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424,717,086.61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375,322,642.92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50,958,859.02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324,363,783.90</w:t>
            </w:r>
          </w:p>
        </w:tc>
      </w:tr>
    </w:tbl>
    <w:p>
      <w:pPr>
        <w:spacing w:line="240" w:lineRule="auto" w:before="13"/>
        <w:rPr>
          <w:rFonts w:ascii="宋体" w:hAnsi="宋体" w:cs="宋体" w:eastAsia="宋体" w:hint="default"/>
          <w:sz w:val="12"/>
          <w:szCs w:val="12"/>
        </w:rPr>
      </w:pPr>
    </w:p>
    <w:p>
      <w:pPr>
        <w:pStyle w:val="BodyText"/>
        <w:spacing w:line="274" w:lineRule="exact" w:before="36"/>
        <w:ind w:left="140" w:right="7889"/>
        <w:jc w:val="left"/>
      </w:pPr>
      <w:r>
        <w:rPr/>
        <w:t>期末单项金额重大并单项计提坏帐准备的其他应收款</w:t>
      </w:r>
    </w:p>
    <w:p>
      <w:pPr>
        <w:pStyle w:val="BodyText"/>
        <w:spacing w:line="274" w:lineRule="exact"/>
        <w:ind w:left="140" w:right="7889"/>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0"/>
        <w:ind w:left="6395" w:right="6399" w:firstLine="0"/>
        <w:jc w:val="center"/>
        <w:rPr>
          <w:rFonts w:ascii="Calibri" w:hAnsi="Calibri" w:cs="Calibri" w:eastAsia="Calibri" w:hint="default"/>
          <w:sz w:val="18"/>
          <w:szCs w:val="18"/>
        </w:rPr>
      </w:pPr>
      <w:r>
        <w:rPr>
          <w:rFonts w:ascii="Calibri"/>
          <w:b/>
          <w:sz w:val="18"/>
        </w:rPr>
        <w:t>110</w:t>
      </w:r>
      <w:r>
        <w:rPr>
          <w:rFonts w:ascii="Calibri"/>
          <w:sz w:val="18"/>
        </w:rPr>
        <w:t>/</w:t>
      </w:r>
      <w:r>
        <w:rPr>
          <w:rFonts w:ascii="Calibri"/>
          <w:b/>
          <w:sz w:val="18"/>
        </w:rPr>
        <w:t>180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57"/>
          <w:pgSz w:w="11910" w:h="16840"/>
          <w:pgMar w:footer="1195" w:header="0" w:top="1120" w:bottom="1380" w:left="1560" w:right="1120"/>
          <w:pgNumType w:start="111"/>
        </w:sectPr>
      </w:pPr>
    </w:p>
    <w:p>
      <w:pPr>
        <w:pStyle w:val="BodyText"/>
        <w:spacing w:line="274" w:lineRule="exact" w:before="36"/>
        <w:ind w:left="238" w:right="0"/>
        <w:jc w:val="left"/>
      </w:pPr>
      <w:r>
        <w:rPr>
          <w:spacing w:val="-2"/>
        </w:rPr>
        <w:t>组合中，按账龄分析法计提坏账准备的其他应收款：</w:t>
      </w:r>
    </w:p>
    <w:p>
      <w:pPr>
        <w:pStyle w:val="BodyText"/>
        <w:tabs>
          <w:tab w:pos="1080" w:val="left" w:leader="none"/>
        </w:tabs>
        <w:spacing w:line="274" w:lineRule="exact"/>
        <w:ind w:left="2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5073" w:space="1449"/>
            <w:col w:w="270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241,277,843.30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4,825,556.84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2</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241,277,843.30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4,825,556.84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2</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168,421,506.92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16,842,150.68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39,269,258.60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7,853,851.71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4,935,753.13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1,974,301.25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11,542,925.70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9,234,340.56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24,934,037.50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24,934,037.50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490,381,325.15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65,664,238.54</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238" w:right="0"/>
        <w:jc w:val="left"/>
      </w:pPr>
      <w:r>
        <w:rPr/>
        <w:t>组合中，采用余额百分比法计提坏账准备的其他应收款：</w:t>
      </w:r>
    </w:p>
    <w:p>
      <w:pPr>
        <w:pStyle w:val="BodyText"/>
        <w:spacing w:line="274" w:lineRule="exact"/>
        <w:ind w:left="238" w:right="0"/>
        <w:jc w:val="left"/>
      </w:pPr>
      <w:r>
        <w:rPr/>
        <w:t>□适用 √不适用</w:t>
      </w:r>
    </w:p>
    <w:p>
      <w:pPr>
        <w:spacing w:line="240" w:lineRule="auto" w:before="3"/>
        <w:rPr>
          <w:rFonts w:ascii="宋体" w:hAnsi="宋体" w:cs="宋体" w:eastAsia="宋体" w:hint="default"/>
          <w:sz w:val="18"/>
          <w:szCs w:val="18"/>
        </w:rPr>
      </w:pPr>
    </w:p>
    <w:p>
      <w:pPr>
        <w:pStyle w:val="BodyText"/>
        <w:spacing w:line="273" w:lineRule="exact"/>
        <w:ind w:left="238" w:right="0"/>
        <w:jc w:val="left"/>
      </w:pPr>
      <w:r>
        <w:rPr/>
        <w:t>组合中，采用其他方法计提坏账准备的其他应收款：</w:t>
      </w:r>
    </w:p>
    <w:p>
      <w:pPr>
        <w:pStyle w:val="BodyText"/>
        <w:spacing w:line="289" w:lineRule="exact"/>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948"/>
        <w:gridCol w:w="1272"/>
        <w:gridCol w:w="1272"/>
        <w:gridCol w:w="989"/>
        <w:gridCol w:w="1270"/>
        <w:gridCol w:w="1097"/>
      </w:tblGrid>
      <w:tr>
        <w:trPr>
          <w:trHeight w:val="367" w:hRule="exact"/>
        </w:trPr>
        <w:tc>
          <w:tcPr>
            <w:tcW w:w="2948" w:type="dxa"/>
            <w:tcBorders>
              <w:top w:val="single" w:sz="12" w:space="0" w:color="000000"/>
              <w:left w:val="nil" w:sz="6" w:space="0" w:color="auto"/>
              <w:bottom w:val="single" w:sz="8" w:space="0" w:color="000000"/>
              <w:right w:val="single" w:sz="8" w:space="0" w:color="000000"/>
            </w:tcBorders>
          </w:tcPr>
          <w:p>
            <w:pPr>
              <w:pStyle w:val="TableParagraph"/>
              <w:spacing w:line="208" w:lineRule="exact"/>
              <w:ind w:left="20"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272"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2"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left="26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989" w:type="dxa"/>
            <w:tcBorders>
              <w:top w:val="single" w:sz="12" w:space="0" w:color="000000"/>
              <w:left w:val="single" w:sz="8" w:space="0" w:color="000000"/>
              <w:bottom w:val="single" w:sz="8" w:space="0" w:color="000000"/>
              <w:right w:val="single" w:sz="8" w:space="0" w:color="000000"/>
            </w:tcBorders>
          </w:tcPr>
          <w:p>
            <w:pPr>
              <w:pStyle w:val="TableParagraph"/>
              <w:spacing w:line="208" w:lineRule="exact"/>
              <w:ind w:right="302"/>
              <w:jc w:val="right"/>
              <w:rPr>
                <w:rFonts w:ascii="宋体" w:hAnsi="宋体" w:cs="宋体" w:eastAsia="宋体" w:hint="default"/>
                <w:sz w:val="18"/>
                <w:szCs w:val="18"/>
              </w:rPr>
            </w:pPr>
            <w:r>
              <w:rPr>
                <w:rFonts w:ascii="宋体" w:hAnsi="宋体" w:cs="宋体" w:eastAsia="宋体" w:hint="default"/>
                <w:sz w:val="18"/>
                <w:szCs w:val="18"/>
              </w:rPr>
              <w:t>账龄</w:t>
            </w:r>
          </w:p>
        </w:tc>
        <w:tc>
          <w:tcPr>
            <w:tcW w:w="1270"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097" w:type="dxa"/>
            <w:tcBorders>
              <w:top w:val="single" w:sz="12" w:space="0" w:color="000000"/>
              <w:left w:val="single" w:sz="8" w:space="0" w:color="000000"/>
              <w:bottom w:val="single" w:sz="8" w:space="0" w:color="000000"/>
              <w:right w:val="nil" w:sz="6" w:space="0" w:color="auto"/>
            </w:tcBorders>
          </w:tcPr>
          <w:p>
            <w:pPr>
              <w:pStyle w:val="TableParagraph"/>
              <w:spacing w:line="208" w:lineRule="exact"/>
              <w:ind w:left="177"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29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龙岩市建隆金属材料有限公司</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92" w:right="0"/>
              <w:jc w:val="left"/>
              <w:rPr>
                <w:rFonts w:ascii="Arial Narrow" w:hAnsi="Arial Narrow" w:cs="Arial Narrow" w:eastAsia="Arial Narrow" w:hint="default"/>
                <w:sz w:val="18"/>
                <w:szCs w:val="18"/>
              </w:rPr>
            </w:pPr>
            <w:r>
              <w:rPr>
                <w:rFonts w:ascii="Arial Narrow"/>
                <w:sz w:val="18"/>
              </w:rPr>
              <w:t>8,934,198.94</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92" w:right="0"/>
              <w:jc w:val="left"/>
              <w:rPr>
                <w:rFonts w:ascii="Arial Narrow" w:hAnsi="Arial Narrow" w:cs="Arial Narrow" w:eastAsia="Arial Narrow" w:hint="default"/>
                <w:sz w:val="18"/>
                <w:szCs w:val="18"/>
              </w:rPr>
            </w:pPr>
            <w:r>
              <w:rPr>
                <w:rFonts w:ascii="Arial Narrow"/>
                <w:sz w:val="18"/>
              </w:rPr>
              <w:t>8,934,198.94</w:t>
            </w:r>
          </w:p>
        </w:tc>
        <w:tc>
          <w:tcPr>
            <w:tcW w:w="9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311"/>
              <w:jc w:val="righ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410" w:right="0"/>
              <w:jc w:val="left"/>
              <w:rPr>
                <w:rFonts w:ascii="Arial Narrow" w:hAnsi="Arial Narrow" w:cs="Arial Narrow" w:eastAsia="Arial Narrow" w:hint="default"/>
                <w:sz w:val="18"/>
                <w:szCs w:val="18"/>
              </w:rPr>
            </w:pPr>
            <w:r>
              <w:rPr>
                <w:rFonts w:ascii="Arial Narrow"/>
                <w:sz w:val="18"/>
              </w:rPr>
              <w:t>100</w:t>
            </w:r>
          </w:p>
        </w:tc>
        <w:tc>
          <w:tcPr>
            <w:tcW w:w="1097"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见注释</w:t>
            </w:r>
          </w:p>
        </w:tc>
      </w:tr>
      <w:tr>
        <w:trPr>
          <w:trHeight w:val="365" w:hRule="exact"/>
        </w:trPr>
        <w:tc>
          <w:tcPr>
            <w:tcW w:w="2948" w:type="dxa"/>
            <w:tcBorders>
              <w:top w:val="single" w:sz="8" w:space="0" w:color="000000"/>
              <w:left w:val="nil" w:sz="6" w:space="0" w:color="auto"/>
              <w:bottom w:val="single" w:sz="12" w:space="0" w:color="000000"/>
              <w:right w:val="single" w:sz="8" w:space="0" w:color="000000"/>
            </w:tcBorders>
          </w:tcPr>
          <w:p>
            <w:pPr>
              <w:pStyle w:val="TableParagraph"/>
              <w:tabs>
                <w:tab w:pos="568" w:val="left" w:leader="none"/>
              </w:tabs>
              <w:spacing w:line="205" w:lineRule="exact"/>
              <w:ind w:left="2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7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292" w:right="0"/>
              <w:jc w:val="left"/>
              <w:rPr>
                <w:rFonts w:ascii="Arial Narrow" w:hAnsi="Arial Narrow" w:cs="Arial Narrow" w:eastAsia="Arial Narrow" w:hint="default"/>
                <w:sz w:val="18"/>
                <w:szCs w:val="18"/>
              </w:rPr>
            </w:pPr>
            <w:r>
              <w:rPr>
                <w:rFonts w:ascii="Arial Narrow"/>
                <w:sz w:val="18"/>
              </w:rPr>
              <w:t>8,934,198.94</w:t>
            </w:r>
          </w:p>
        </w:tc>
        <w:tc>
          <w:tcPr>
            <w:tcW w:w="127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6"/>
              <w:ind w:left="292" w:right="0"/>
              <w:jc w:val="left"/>
              <w:rPr>
                <w:rFonts w:ascii="Arial Narrow" w:hAnsi="Arial Narrow" w:cs="Arial Narrow" w:eastAsia="Arial Narrow" w:hint="default"/>
                <w:sz w:val="18"/>
                <w:szCs w:val="18"/>
              </w:rPr>
            </w:pPr>
            <w:r>
              <w:rPr>
                <w:rFonts w:ascii="Arial Narrow"/>
                <w:sz w:val="18"/>
              </w:rPr>
              <w:t>8,934,198.94</w:t>
            </w:r>
          </w:p>
        </w:tc>
        <w:tc>
          <w:tcPr>
            <w:tcW w:w="989" w:type="dxa"/>
            <w:tcBorders>
              <w:top w:val="single" w:sz="8" w:space="0" w:color="000000"/>
              <w:left w:val="single" w:sz="8" w:space="0" w:color="000000"/>
              <w:bottom w:val="single" w:sz="12" w:space="0" w:color="000000"/>
              <w:right w:val="single" w:sz="8" w:space="0" w:color="000000"/>
            </w:tcBorders>
          </w:tcPr>
          <w:p>
            <w:pPr/>
          </w:p>
        </w:tc>
        <w:tc>
          <w:tcPr>
            <w:tcW w:w="1270" w:type="dxa"/>
            <w:tcBorders>
              <w:top w:val="single" w:sz="8" w:space="0" w:color="000000"/>
              <w:left w:val="single" w:sz="8" w:space="0" w:color="000000"/>
              <w:bottom w:val="single" w:sz="12" w:space="0" w:color="000000"/>
              <w:right w:val="single" w:sz="8" w:space="0" w:color="000000"/>
            </w:tcBorders>
          </w:tcPr>
          <w:p>
            <w:pPr/>
          </w:p>
        </w:tc>
        <w:tc>
          <w:tcPr>
            <w:tcW w:w="1097" w:type="dxa"/>
            <w:tcBorders>
              <w:top w:val="single" w:sz="8" w:space="0" w:color="000000"/>
              <w:left w:val="single" w:sz="8" w:space="0" w:color="000000"/>
              <w:bottom w:val="single" w:sz="12" w:space="0" w:color="000000"/>
              <w:right w:val="nil" w:sz="6" w:space="0" w:color="auto"/>
            </w:tcBorders>
          </w:tcPr>
          <w:p>
            <w:pPr/>
          </w:p>
        </w:tc>
      </w:tr>
    </w:tbl>
    <w:p>
      <w:pPr>
        <w:spacing w:line="203" w:lineRule="exact" w:before="0"/>
        <w:ind w:left="238" w:right="0" w:firstLine="359"/>
        <w:jc w:val="left"/>
        <w:rPr>
          <w:rFonts w:ascii="宋体" w:hAnsi="宋体" w:cs="宋体" w:eastAsia="宋体" w:hint="default"/>
          <w:sz w:val="18"/>
          <w:szCs w:val="18"/>
        </w:rPr>
      </w:pPr>
      <w:r>
        <w:rPr>
          <w:rFonts w:ascii="宋体" w:hAnsi="宋体" w:cs="宋体" w:eastAsia="宋体" w:hint="default"/>
          <w:sz w:val="18"/>
          <w:szCs w:val="18"/>
        </w:rPr>
        <w:t>注：控股子公司龙岩市海德馨汽车有限公司为债务人龙岩市建隆金属材料有限公司银行贷款提供连带责任担</w:t>
      </w:r>
    </w:p>
    <w:p>
      <w:pPr>
        <w:spacing w:before="33"/>
        <w:ind w:left="238" w:right="0" w:firstLine="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保，于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月履行代偿义务归还银行到期贷款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万元。履行代偿义务后债务人拒绝还款，</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spacing w:before="19"/>
        <w:ind w:left="23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日经福建省龙岩市新罗区人民法院民事判决书</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2012</w:t>
      </w:r>
      <w:r>
        <w:rPr>
          <w:rFonts w:ascii="宋体" w:hAnsi="宋体" w:cs="宋体" w:eastAsia="宋体" w:hint="default"/>
          <w:sz w:val="18"/>
          <w:szCs w:val="18"/>
        </w:rPr>
        <w:t>）龙</w:t>
      </w:r>
      <w:r>
        <w:rPr>
          <w:rFonts w:ascii="宋体" w:hAnsi="宋体" w:cs="宋体" w:eastAsia="宋体" w:hint="default"/>
          <w:spacing w:val="-3"/>
          <w:sz w:val="18"/>
          <w:szCs w:val="18"/>
        </w:rPr>
        <w:t>新</w:t>
      </w:r>
      <w:r>
        <w:rPr>
          <w:rFonts w:ascii="宋体" w:hAnsi="宋体" w:cs="宋体" w:eastAsia="宋体" w:hint="default"/>
          <w:sz w:val="18"/>
          <w:szCs w:val="18"/>
        </w:rPr>
        <w:t>民初字第</w:t>
      </w:r>
      <w:r>
        <w:rPr>
          <w:rFonts w:ascii="宋体" w:hAnsi="宋体" w:cs="宋体" w:eastAsia="宋体" w:hint="default"/>
          <w:spacing w:val="-2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，判决债</w:t>
      </w:r>
      <w:r>
        <w:rPr>
          <w:rFonts w:ascii="宋体" w:hAnsi="宋体" w:cs="宋体" w:eastAsia="宋体" w:hint="default"/>
          <w:spacing w:val="-3"/>
          <w:sz w:val="18"/>
          <w:szCs w:val="18"/>
        </w:rPr>
        <w:t>务</w:t>
      </w:r>
      <w:r>
        <w:rPr>
          <w:rFonts w:ascii="宋体" w:hAnsi="宋体" w:cs="宋体" w:eastAsia="宋体" w:hint="default"/>
          <w:sz w:val="18"/>
          <w:szCs w:val="18"/>
        </w:rPr>
        <w:t>人判决生效之日起</w:t>
      </w:r>
      <w:r>
        <w:rPr>
          <w:rFonts w:ascii="宋体" w:hAnsi="宋体" w:cs="宋体" w:eastAsia="宋体" w:hint="default"/>
          <w:spacing w:val="-25"/>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spacing w:before="19"/>
        <w:ind w:left="238" w:right="0" w:firstLine="0"/>
        <w:jc w:val="left"/>
        <w:rPr>
          <w:rFonts w:ascii="宋体" w:hAnsi="宋体" w:cs="宋体" w:eastAsia="宋体" w:hint="default"/>
          <w:sz w:val="18"/>
          <w:szCs w:val="18"/>
        </w:rPr>
      </w:pPr>
      <w:r>
        <w:rPr>
          <w:rFonts w:ascii="宋体" w:hAnsi="宋体" w:cs="宋体" w:eastAsia="宋体" w:hint="default"/>
          <w:sz w:val="18"/>
          <w:szCs w:val="18"/>
        </w:rPr>
        <w:t>日内归还款项，至今未能收回，公司预计款项无法收回，计提全额坏账准备。</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2"/>
        <w:spacing w:line="240" w:lineRule="auto" w:before="0"/>
        <w:ind w:left="238" w:right="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4" w:lineRule="exact" w:before="83"/>
        <w:ind w:left="238" w:right="1788"/>
        <w:jc w:val="left"/>
      </w:pPr>
      <w:r>
        <w:rPr/>
        <w:t>本期计提坏账准备金额</w:t>
      </w:r>
      <w:r>
        <w:rPr>
          <w:spacing w:val="-53"/>
        </w:rPr>
        <w:t> </w:t>
      </w:r>
      <w:r>
        <w:rPr>
          <w:rFonts w:ascii="Times New Roman" w:hAnsi="Times New Roman" w:cs="Times New Roman" w:eastAsia="Times New Roman" w:hint="default"/>
        </w:rPr>
        <w:t>25,790,956.30</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spacing w:val="-3"/>
          <w:w w:val="100"/>
        </w:rPr>
        <w:t> </w:t>
      </w:r>
      <w:r>
        <w:rPr/>
        <w:t>其中本期坏账准备转回或收回金额重要的：</w:t>
      </w:r>
    </w:p>
    <w:p>
      <w:pPr>
        <w:pStyle w:val="BodyText"/>
        <w:spacing w:line="246" w:lineRule="exact"/>
        <w:ind w:left="238" w:right="0"/>
        <w:jc w:val="left"/>
      </w:pPr>
      <w:r>
        <w:rPr/>
        <w:t>□适用 √不适用</w:t>
      </w:r>
    </w:p>
    <w:p>
      <w:pPr>
        <w:pStyle w:val="Heading2"/>
        <w:spacing w:line="240" w:lineRule="auto" w:before="58"/>
        <w:ind w:left="238" w:right="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238" w:right="5355"/>
        <w:jc w:val="left"/>
      </w:pPr>
      <w:r>
        <w:rPr/>
        <w:t>□适用</w:t>
      </w:r>
      <w:r>
        <w:rPr>
          <w:spacing w:val="-2"/>
        </w:rPr>
        <w:t> </w:t>
      </w:r>
      <w:r>
        <w:rPr/>
        <w:t>√不适用</w:t>
      </w:r>
      <w:r>
        <w:rPr>
          <w:spacing w:val="-103"/>
        </w:rPr>
        <w:t> </w:t>
      </w:r>
      <w:r>
        <w:rPr>
          <w:spacing w:val="-103"/>
        </w:rPr>
      </w:r>
      <w:r>
        <w:rPr>
          <w:spacing w:val="-2"/>
        </w:rPr>
        <w:t>其中重要的其他应收款核销情况：</w:t>
      </w:r>
    </w:p>
    <w:p>
      <w:pPr>
        <w:pStyle w:val="BodyText"/>
        <w:spacing w:line="274" w:lineRule="exact" w:before="22"/>
        <w:ind w:left="238" w:right="5355"/>
        <w:jc w:val="left"/>
      </w:pPr>
      <w:r>
        <w:rPr/>
        <w:t>□适用</w:t>
      </w:r>
      <w:r>
        <w:rPr>
          <w:spacing w:val="-2"/>
        </w:rPr>
        <w:t> </w:t>
      </w:r>
      <w:r>
        <w:rPr/>
        <w:t>√不适用</w:t>
      </w:r>
      <w:r>
        <w:rPr>
          <w:spacing w:val="-103"/>
        </w:rPr>
        <w:t> </w:t>
      </w:r>
      <w:r>
        <w:rPr>
          <w:spacing w:val="-103"/>
        </w:rPr>
      </w:r>
      <w:r>
        <w:rPr>
          <w:spacing w:val="-2"/>
        </w:rPr>
        <w:t>其他应收款核销说明：</w:t>
      </w:r>
    </w:p>
    <w:p>
      <w:pPr>
        <w:pStyle w:val="BodyText"/>
        <w:spacing w:line="246" w:lineRule="exact"/>
        <w:ind w:left="23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120"/>
        </w:sectPr>
      </w:pPr>
    </w:p>
    <w:p>
      <w:pPr>
        <w:pStyle w:val="Heading2"/>
        <w:spacing w:line="240" w:lineRule="auto"/>
        <w:ind w:left="238"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9"/>
        <w:ind w:left="2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3779" w:space="2733"/>
            <w:col w:w="271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7"/>
        <w:gridCol w:w="1971"/>
        <w:gridCol w:w="2917"/>
      </w:tblGrid>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应收股权处置款</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81,500,000.00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55,522,550.00</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97,976,416.61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95,487,312.30</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员工往来及备用金</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64,914,928.83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38,253,749.35</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龙岩海德馨代偿款</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8,934,198.94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8,934,198.94</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江西希望科技有限公司资金往来款</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70,394,119.35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吉林博泰节能技术有限公司资金往来款</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70,183,859.76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87,117,723.26</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105,412,000.60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90,007,109.07</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499,315,524.09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375,322,642.92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120"/>
        </w:sectPr>
      </w:pPr>
    </w:p>
    <w:p>
      <w:pPr>
        <w:pStyle w:val="Heading2"/>
        <w:spacing w:line="240" w:lineRule="auto"/>
        <w:ind w:left="218"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9"/>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5655" w:space="867"/>
            <w:col w:w="2688"/>
          </w:cols>
        </w:sectPr>
      </w:pP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236"/>
        <w:gridCol w:w="1383"/>
        <w:gridCol w:w="1277"/>
        <w:gridCol w:w="2127"/>
        <w:gridCol w:w="1813"/>
        <w:gridCol w:w="1097"/>
      </w:tblGrid>
      <w:tr>
        <w:trPr>
          <w:trHeight w:val="478"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9"/>
              <w:jc w:val="center"/>
              <w:rPr>
                <w:rFonts w:ascii="宋体" w:hAnsi="宋体" w:cs="宋体" w:eastAsia="宋体" w:hint="default"/>
                <w:sz w:val="18"/>
                <w:szCs w:val="18"/>
              </w:rPr>
            </w:pPr>
            <w:r>
              <w:rPr>
                <w:rFonts w:ascii="宋体" w:hAnsi="宋体" w:cs="宋体" w:eastAsia="宋体" w:hint="default"/>
                <w:sz w:val="18"/>
                <w:szCs w:val="18"/>
              </w:rPr>
              <w:t>账龄</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hanging="46"/>
              <w:jc w:val="left"/>
              <w:rPr>
                <w:rFonts w:ascii="宋体" w:hAnsi="宋体" w:cs="宋体" w:eastAsia="宋体" w:hint="default"/>
                <w:sz w:val="18"/>
                <w:szCs w:val="18"/>
              </w:rPr>
            </w:pPr>
            <w:r>
              <w:rPr>
                <w:rFonts w:ascii="宋体" w:hAnsi="宋体" w:cs="宋体" w:eastAsia="宋体" w:hint="default"/>
                <w:sz w:val="18"/>
                <w:szCs w:val="18"/>
              </w:rPr>
              <w:t>占其他应收款期末余</w:t>
            </w:r>
          </w:p>
          <w:p>
            <w:pPr>
              <w:pStyle w:val="TableParagraph"/>
              <w:spacing w:line="248" w:lineRule="exact"/>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额合计数的比例</w:t>
            </w:r>
            <w:r>
              <w:rPr>
                <w:rFonts w:ascii="Times New Roman" w:hAnsi="Times New Roman" w:cs="Times New Roman" w:eastAsia="Times New Roman" w:hint="default"/>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泰</w:t>
            </w:r>
            <w:r>
              <w:rPr>
                <w:rFonts w:ascii="宋体" w:hAnsi="宋体" w:cs="宋体" w:eastAsia="宋体" w:hint="default"/>
                <w:spacing w:val="-47"/>
                <w:sz w:val="18"/>
                <w:szCs w:val="18"/>
              </w:rPr>
              <w:t> </w:t>
            </w:r>
            <w:r>
              <w:rPr>
                <w:rFonts w:ascii="宋体" w:hAnsi="宋体" w:cs="宋体" w:eastAsia="宋体" w:hint="default"/>
                <w:sz w:val="18"/>
                <w:szCs w:val="18"/>
              </w:rPr>
              <w:t>豪</w:t>
            </w:r>
            <w:r>
              <w:rPr>
                <w:rFonts w:ascii="宋体" w:hAnsi="宋体" w:cs="宋体" w:eastAsia="宋体" w:hint="default"/>
                <w:spacing w:val="-47"/>
                <w:sz w:val="18"/>
                <w:szCs w:val="18"/>
              </w:rPr>
              <w:t> </w:t>
            </w:r>
            <w:r>
              <w:rPr>
                <w:rFonts w:ascii="宋体" w:hAnsi="宋体" w:cs="宋体" w:eastAsia="宋体" w:hint="default"/>
                <w:sz w:val="18"/>
                <w:szCs w:val="18"/>
              </w:rPr>
              <w:t>园</w:t>
            </w:r>
            <w:r>
              <w:rPr>
                <w:rFonts w:ascii="宋体" w:hAnsi="宋体" w:cs="宋体" w:eastAsia="宋体" w:hint="default"/>
                <w:spacing w:val="-50"/>
                <w:sz w:val="18"/>
                <w:szCs w:val="18"/>
              </w:rPr>
              <w:t> </w:t>
            </w:r>
            <w:r>
              <w:rPr>
                <w:rFonts w:ascii="宋体" w:hAnsi="宋体" w:cs="宋体" w:eastAsia="宋体" w:hint="default"/>
                <w:sz w:val="18"/>
                <w:szCs w:val="18"/>
              </w:rPr>
              <w:t>区</w:t>
            </w:r>
            <w:r>
              <w:rPr>
                <w:rFonts w:ascii="宋体" w:hAnsi="宋体" w:cs="宋体" w:eastAsia="宋体" w:hint="default"/>
                <w:spacing w:val="-47"/>
                <w:sz w:val="18"/>
                <w:szCs w:val="18"/>
              </w:rPr>
              <w:t> </w:t>
            </w:r>
            <w:r>
              <w:rPr>
                <w:rFonts w:ascii="宋体" w:hAnsi="宋体" w:cs="宋体" w:eastAsia="宋体" w:hint="default"/>
                <w:sz w:val="18"/>
                <w:szCs w:val="18"/>
              </w:rPr>
              <w:t>投</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27"/>
                <w:sz w:val="18"/>
                <w:szCs w:val="18"/>
              </w:rPr>
              <w:t>应收股权处置</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81,500,000.00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98" w:right="0"/>
              <w:jc w:val="left"/>
              <w:rPr>
                <w:rFonts w:ascii="Times New Roman" w:hAnsi="Times New Roman" w:cs="Times New Roman" w:eastAsia="Times New Roman" w:hint="default"/>
                <w:sz w:val="18"/>
                <w:szCs w:val="18"/>
              </w:rPr>
            </w:pPr>
            <w:r>
              <w:rPr>
                <w:rFonts w:ascii="Times New Roman"/>
                <w:sz w:val="18"/>
              </w:rPr>
              <w:t>16.32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1,630,000.00</w:t>
            </w:r>
          </w:p>
        </w:tc>
      </w:tr>
      <w:tr>
        <w:trPr>
          <w:trHeight w:val="478"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47"/>
                <w:sz w:val="18"/>
                <w:szCs w:val="18"/>
              </w:rPr>
              <w:t> </w:t>
            </w:r>
            <w:r>
              <w:rPr>
                <w:rFonts w:ascii="宋体" w:hAnsi="宋体" w:cs="宋体" w:eastAsia="宋体" w:hint="default"/>
                <w:sz w:val="18"/>
                <w:szCs w:val="18"/>
              </w:rPr>
              <w:t>西</w:t>
            </w:r>
            <w:r>
              <w:rPr>
                <w:rFonts w:ascii="宋体" w:hAnsi="宋体" w:cs="宋体" w:eastAsia="宋体" w:hint="default"/>
                <w:spacing w:val="-47"/>
                <w:sz w:val="18"/>
                <w:szCs w:val="18"/>
              </w:rPr>
              <w:t> </w:t>
            </w:r>
            <w:r>
              <w:rPr>
                <w:rFonts w:ascii="宋体" w:hAnsi="宋体" w:cs="宋体" w:eastAsia="宋体" w:hint="default"/>
                <w:sz w:val="18"/>
                <w:szCs w:val="18"/>
              </w:rPr>
              <w:t>希</w:t>
            </w:r>
            <w:r>
              <w:rPr>
                <w:rFonts w:ascii="宋体" w:hAnsi="宋体" w:cs="宋体" w:eastAsia="宋体" w:hint="default"/>
                <w:spacing w:val="-50"/>
                <w:sz w:val="18"/>
                <w:szCs w:val="18"/>
              </w:rPr>
              <w:t> </w:t>
            </w:r>
            <w:r>
              <w:rPr>
                <w:rFonts w:ascii="宋体" w:hAnsi="宋体" w:cs="宋体" w:eastAsia="宋体" w:hint="default"/>
                <w:sz w:val="18"/>
                <w:szCs w:val="18"/>
              </w:rPr>
              <w:t>望</w:t>
            </w:r>
            <w:r>
              <w:rPr>
                <w:rFonts w:ascii="宋体" w:hAnsi="宋体" w:cs="宋体" w:eastAsia="宋体" w:hint="default"/>
                <w:spacing w:val="-47"/>
                <w:sz w:val="18"/>
                <w:szCs w:val="18"/>
              </w:rPr>
              <w:t> </w:t>
            </w:r>
            <w:r>
              <w:rPr>
                <w:rFonts w:ascii="宋体" w:hAnsi="宋体" w:cs="宋体" w:eastAsia="宋体" w:hint="default"/>
                <w:sz w:val="18"/>
                <w:szCs w:val="18"/>
              </w:rPr>
              <w:t>科</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70,394,119.35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1,383,984.63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69,010,134.72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98" w:right="0"/>
              <w:jc w:val="left"/>
              <w:rPr>
                <w:rFonts w:ascii="Times New Roman" w:hAnsi="Times New Roman" w:cs="Times New Roman" w:eastAsia="Times New Roman" w:hint="default"/>
                <w:sz w:val="18"/>
                <w:szCs w:val="18"/>
              </w:rPr>
            </w:pPr>
            <w:r>
              <w:rPr>
                <w:rFonts w:ascii="Times New Roman"/>
                <w:sz w:val="18"/>
              </w:rPr>
              <w:t>14.10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6,928,693.16</w:t>
            </w:r>
          </w:p>
        </w:tc>
      </w:tr>
      <w:tr>
        <w:trPr>
          <w:trHeight w:val="71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吉</w:t>
            </w:r>
            <w:r>
              <w:rPr>
                <w:rFonts w:ascii="宋体" w:hAnsi="宋体" w:cs="宋体" w:eastAsia="宋体" w:hint="default"/>
                <w:spacing w:val="-47"/>
                <w:sz w:val="18"/>
                <w:szCs w:val="18"/>
              </w:rPr>
              <w:t> </w:t>
            </w:r>
            <w:r>
              <w:rPr>
                <w:rFonts w:ascii="宋体" w:hAnsi="宋体" w:cs="宋体" w:eastAsia="宋体" w:hint="default"/>
                <w:sz w:val="18"/>
                <w:szCs w:val="18"/>
              </w:rPr>
              <w:t>林</w:t>
            </w:r>
            <w:r>
              <w:rPr>
                <w:rFonts w:ascii="宋体" w:hAnsi="宋体" w:cs="宋体" w:eastAsia="宋体" w:hint="default"/>
                <w:spacing w:val="-47"/>
                <w:sz w:val="18"/>
                <w:szCs w:val="18"/>
              </w:rPr>
              <w:t> </w:t>
            </w:r>
            <w:r>
              <w:rPr>
                <w:rFonts w:ascii="宋体" w:hAnsi="宋体" w:cs="宋体" w:eastAsia="宋体" w:hint="default"/>
                <w:sz w:val="18"/>
                <w:szCs w:val="18"/>
              </w:rPr>
              <w:t>博</w:t>
            </w:r>
            <w:r>
              <w:rPr>
                <w:rFonts w:ascii="宋体" w:hAnsi="宋体" w:cs="宋体" w:eastAsia="宋体" w:hint="default"/>
                <w:spacing w:val="-50"/>
                <w:sz w:val="18"/>
                <w:szCs w:val="18"/>
              </w:rPr>
              <w:t> </w:t>
            </w:r>
            <w:r>
              <w:rPr>
                <w:rFonts w:ascii="宋体" w:hAnsi="宋体" w:cs="宋体" w:eastAsia="宋体" w:hint="default"/>
                <w:sz w:val="18"/>
                <w:szCs w:val="18"/>
              </w:rPr>
              <w:t>泰</w:t>
            </w:r>
            <w:r>
              <w:rPr>
                <w:rFonts w:ascii="宋体" w:hAnsi="宋体" w:cs="宋体" w:eastAsia="宋体" w:hint="default"/>
                <w:spacing w:val="-47"/>
                <w:sz w:val="18"/>
                <w:szCs w:val="18"/>
              </w:rPr>
              <w:t> </w:t>
            </w:r>
            <w:r>
              <w:rPr>
                <w:rFonts w:ascii="宋体" w:hAnsi="宋体" w:cs="宋体" w:eastAsia="宋体" w:hint="default"/>
                <w:sz w:val="18"/>
                <w:szCs w:val="18"/>
              </w:rPr>
              <w:t>节</w:t>
            </w:r>
          </w:p>
          <w:p>
            <w:pPr>
              <w:pStyle w:val="TableParagraph"/>
              <w:spacing w:line="240" w:lineRule="auto"/>
              <w:ind w:left="26" w:right="128"/>
              <w:jc w:val="left"/>
              <w:rPr>
                <w:rFonts w:ascii="宋体" w:hAnsi="宋体" w:cs="宋体" w:eastAsia="宋体" w:hint="default"/>
                <w:sz w:val="18"/>
                <w:szCs w:val="18"/>
              </w:rPr>
            </w:pPr>
            <w:r>
              <w:rPr>
                <w:rFonts w:ascii="宋体" w:hAnsi="宋体" w:cs="宋体" w:eastAsia="宋体" w:hint="default"/>
                <w:sz w:val="18"/>
                <w:szCs w:val="18"/>
              </w:rPr>
              <w:t>能</w:t>
            </w:r>
            <w:r>
              <w:rPr>
                <w:rFonts w:ascii="宋体" w:hAnsi="宋体" w:cs="宋体" w:eastAsia="宋体" w:hint="default"/>
                <w:spacing w:val="-47"/>
                <w:sz w:val="18"/>
                <w:szCs w:val="18"/>
              </w:rPr>
              <w:t> </w:t>
            </w:r>
            <w:r>
              <w:rPr>
                <w:rFonts w:ascii="宋体" w:hAnsi="宋体" w:cs="宋体" w:eastAsia="宋体" w:hint="default"/>
                <w:sz w:val="18"/>
                <w:szCs w:val="18"/>
              </w:rPr>
              <w:t>技</w:t>
            </w:r>
            <w:r>
              <w:rPr>
                <w:rFonts w:ascii="宋体" w:hAnsi="宋体" w:cs="宋体" w:eastAsia="宋体" w:hint="default"/>
                <w:spacing w:val="-47"/>
                <w:sz w:val="18"/>
                <w:szCs w:val="18"/>
              </w:rPr>
              <w:t> </w:t>
            </w:r>
            <w:r>
              <w:rPr>
                <w:rFonts w:ascii="宋体" w:hAnsi="宋体" w:cs="宋体" w:eastAsia="宋体" w:hint="default"/>
                <w:sz w:val="18"/>
                <w:szCs w:val="18"/>
              </w:rPr>
              <w:t>术</w:t>
            </w:r>
            <w:r>
              <w:rPr>
                <w:rFonts w:ascii="宋体" w:hAnsi="宋体" w:cs="宋体" w:eastAsia="宋体" w:hint="default"/>
                <w:spacing w:val="-50"/>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70,183,859.76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7,456,853.50 </w:t>
            </w:r>
            <w:r>
              <w:rPr>
                <w:rFonts w:ascii="宋体" w:hAnsi="宋体" w:cs="宋体" w:eastAsia="宋体" w:hint="default"/>
                <w:sz w:val="18"/>
                <w:szCs w:val="18"/>
              </w:rPr>
              <w:t>元</w:t>
            </w:r>
          </w:p>
          <w:p>
            <w:pPr>
              <w:pStyle w:val="TableParagraph"/>
              <w:spacing w:line="234"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60,161,843.46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2"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2,565,162.80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98" w:right="0"/>
              <w:jc w:val="left"/>
              <w:rPr>
                <w:rFonts w:ascii="Times New Roman" w:hAnsi="Times New Roman" w:cs="Times New Roman" w:eastAsia="Times New Roman" w:hint="default"/>
                <w:sz w:val="18"/>
                <w:szCs w:val="18"/>
              </w:rPr>
            </w:pPr>
            <w:r>
              <w:rPr>
                <w:rFonts w:ascii="Times New Roman"/>
                <w:sz w:val="18"/>
              </w:rPr>
              <w:t>14.06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6,678,353.98</w:t>
            </w:r>
          </w:p>
        </w:tc>
      </w:tr>
      <w:tr>
        <w:trPr>
          <w:trHeight w:val="478"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贵</w:t>
            </w:r>
            <w:r>
              <w:rPr>
                <w:rFonts w:ascii="宋体" w:hAnsi="宋体" w:cs="宋体" w:eastAsia="宋体" w:hint="default"/>
                <w:spacing w:val="-47"/>
                <w:sz w:val="18"/>
                <w:szCs w:val="18"/>
              </w:rPr>
              <w:t> </w:t>
            </w:r>
            <w:r>
              <w:rPr>
                <w:rFonts w:ascii="宋体" w:hAnsi="宋体" w:cs="宋体" w:eastAsia="宋体" w:hint="default"/>
                <w:sz w:val="18"/>
                <w:szCs w:val="18"/>
              </w:rPr>
              <w:t>州</w:t>
            </w:r>
            <w:r>
              <w:rPr>
                <w:rFonts w:ascii="宋体" w:hAnsi="宋体" w:cs="宋体" w:eastAsia="宋体" w:hint="default"/>
                <w:spacing w:val="-47"/>
                <w:sz w:val="18"/>
                <w:szCs w:val="18"/>
              </w:rPr>
              <w:t> </w:t>
            </w:r>
            <w:r>
              <w:rPr>
                <w:rFonts w:ascii="宋体" w:hAnsi="宋体" w:cs="宋体" w:eastAsia="宋体" w:hint="default"/>
                <w:sz w:val="18"/>
                <w:szCs w:val="18"/>
              </w:rPr>
              <w:t>大</w:t>
            </w:r>
            <w:r>
              <w:rPr>
                <w:rFonts w:ascii="宋体" w:hAnsi="宋体" w:cs="宋体" w:eastAsia="宋体" w:hint="default"/>
                <w:spacing w:val="-50"/>
                <w:sz w:val="18"/>
                <w:szCs w:val="18"/>
              </w:rPr>
              <w:t> </w:t>
            </w:r>
            <w:r>
              <w:rPr>
                <w:rFonts w:ascii="宋体" w:hAnsi="宋体" w:cs="宋体" w:eastAsia="宋体" w:hint="default"/>
                <w:sz w:val="18"/>
                <w:szCs w:val="18"/>
              </w:rPr>
              <w:t>学</w:t>
            </w:r>
            <w:r>
              <w:rPr>
                <w:rFonts w:ascii="宋体" w:hAnsi="宋体" w:cs="宋体" w:eastAsia="宋体" w:hint="default"/>
                <w:spacing w:val="-47"/>
                <w:sz w:val="18"/>
                <w:szCs w:val="18"/>
              </w:rPr>
              <w:t> </w:t>
            </w:r>
            <w:r>
              <w:rPr>
                <w:rFonts w:ascii="宋体" w:hAnsi="宋体" w:cs="宋体" w:eastAsia="宋体" w:hint="default"/>
                <w:sz w:val="18"/>
                <w:szCs w:val="18"/>
              </w:rPr>
              <w:t>明</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德学院</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43" w:right="0"/>
              <w:jc w:val="left"/>
              <w:rPr>
                <w:rFonts w:ascii="Times New Roman" w:hAnsi="Times New Roman" w:cs="Times New Roman" w:eastAsia="Times New Roman" w:hint="default"/>
                <w:sz w:val="18"/>
                <w:szCs w:val="18"/>
              </w:rPr>
            </w:pPr>
            <w:r>
              <w:rPr>
                <w:rFonts w:ascii="Times New Roman"/>
                <w:sz w:val="18"/>
              </w:rPr>
              <w:t>4.01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4,000,000.00</w:t>
            </w:r>
          </w:p>
        </w:tc>
      </w:tr>
      <w:tr>
        <w:trPr>
          <w:trHeight w:val="71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龙</w:t>
            </w:r>
            <w:r>
              <w:rPr>
                <w:rFonts w:ascii="宋体" w:hAnsi="宋体" w:cs="宋体" w:eastAsia="宋体" w:hint="default"/>
                <w:spacing w:val="-47"/>
                <w:sz w:val="18"/>
                <w:szCs w:val="18"/>
              </w:rPr>
              <w:t> </w:t>
            </w:r>
            <w:r>
              <w:rPr>
                <w:rFonts w:ascii="宋体" w:hAnsi="宋体" w:cs="宋体" w:eastAsia="宋体" w:hint="default"/>
                <w:sz w:val="18"/>
                <w:szCs w:val="18"/>
              </w:rPr>
              <w:t>岩</w:t>
            </w:r>
            <w:r>
              <w:rPr>
                <w:rFonts w:ascii="宋体" w:hAnsi="宋体" w:cs="宋体" w:eastAsia="宋体" w:hint="default"/>
                <w:spacing w:val="-47"/>
                <w:sz w:val="18"/>
                <w:szCs w:val="18"/>
              </w:rPr>
              <w:t> </w:t>
            </w:r>
            <w:r>
              <w:rPr>
                <w:rFonts w:ascii="宋体" w:hAnsi="宋体" w:cs="宋体" w:eastAsia="宋体" w:hint="default"/>
                <w:sz w:val="18"/>
                <w:szCs w:val="18"/>
              </w:rPr>
              <w:t>市</w:t>
            </w:r>
            <w:r>
              <w:rPr>
                <w:rFonts w:ascii="宋体" w:hAnsi="宋体" w:cs="宋体" w:eastAsia="宋体" w:hint="default"/>
                <w:spacing w:val="-50"/>
                <w:sz w:val="18"/>
                <w:szCs w:val="18"/>
              </w:rPr>
              <w:t> </w:t>
            </w:r>
            <w:r>
              <w:rPr>
                <w:rFonts w:ascii="宋体" w:hAnsi="宋体" w:cs="宋体" w:eastAsia="宋体" w:hint="default"/>
                <w:sz w:val="18"/>
                <w:szCs w:val="18"/>
              </w:rPr>
              <w:t>建</w:t>
            </w:r>
            <w:r>
              <w:rPr>
                <w:rFonts w:ascii="宋体" w:hAnsi="宋体" w:cs="宋体" w:eastAsia="宋体" w:hint="default"/>
                <w:spacing w:val="-47"/>
                <w:sz w:val="18"/>
                <w:szCs w:val="18"/>
              </w:rPr>
              <w:t> </w:t>
            </w:r>
            <w:r>
              <w:rPr>
                <w:rFonts w:ascii="宋体" w:hAnsi="宋体" w:cs="宋体" w:eastAsia="宋体" w:hint="default"/>
                <w:sz w:val="18"/>
                <w:szCs w:val="18"/>
              </w:rPr>
              <w:t>隆</w:t>
            </w:r>
          </w:p>
          <w:p>
            <w:pPr>
              <w:pStyle w:val="TableParagraph"/>
              <w:spacing w:line="232" w:lineRule="exact" w:before="23"/>
              <w:ind w:left="26" w:right="128"/>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宋体" w:hAnsi="宋体" w:cs="宋体" w:eastAsia="宋体" w:hint="default"/>
                <w:sz w:val="18"/>
                <w:szCs w:val="18"/>
              </w:rPr>
              <w:t>属</w:t>
            </w:r>
            <w:r>
              <w:rPr>
                <w:rFonts w:ascii="宋体" w:hAnsi="宋体" w:cs="宋体" w:eastAsia="宋体" w:hint="default"/>
                <w:spacing w:val="-47"/>
                <w:sz w:val="18"/>
                <w:szCs w:val="18"/>
              </w:rPr>
              <w:t> </w:t>
            </w:r>
            <w:r>
              <w:rPr>
                <w:rFonts w:ascii="宋体" w:hAnsi="宋体" w:cs="宋体" w:eastAsia="宋体" w:hint="default"/>
                <w:sz w:val="18"/>
                <w:szCs w:val="18"/>
              </w:rPr>
              <w:t>材</w:t>
            </w:r>
            <w:r>
              <w:rPr>
                <w:rFonts w:ascii="宋体" w:hAnsi="宋体" w:cs="宋体" w:eastAsia="宋体" w:hint="default"/>
                <w:spacing w:val="-50"/>
                <w:sz w:val="18"/>
                <w:szCs w:val="18"/>
              </w:rPr>
              <w:t> </w:t>
            </w:r>
            <w:r>
              <w:rPr>
                <w:rFonts w:ascii="宋体" w:hAnsi="宋体" w:cs="宋体" w:eastAsia="宋体" w:hint="default"/>
                <w:sz w:val="18"/>
                <w:szCs w:val="18"/>
              </w:rPr>
              <w:t>料</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代偿款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8,934,198.94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4-5</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43" w:right="0"/>
              <w:jc w:val="left"/>
              <w:rPr>
                <w:rFonts w:ascii="Times New Roman" w:hAnsi="Times New Roman" w:cs="Times New Roman" w:eastAsia="Times New Roman" w:hint="default"/>
                <w:sz w:val="18"/>
                <w:szCs w:val="18"/>
              </w:rPr>
            </w:pPr>
            <w:r>
              <w:rPr>
                <w:rFonts w:ascii="Times New Roman"/>
                <w:sz w:val="18"/>
              </w:rPr>
              <w:t>1.79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8,934,198.94</w:t>
            </w:r>
          </w:p>
        </w:tc>
      </w:tr>
      <w:tr>
        <w:trPr>
          <w:trHeight w:val="24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3"/>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251,012,178.05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2"/>
              <w:jc w:val="center"/>
              <w:rPr>
                <w:rFonts w:ascii="Times New Roman" w:hAnsi="Times New Roman" w:cs="Times New Roman" w:eastAsia="Times New Roman" w:hint="default"/>
                <w:sz w:val="18"/>
                <w:szCs w:val="18"/>
              </w:rPr>
            </w:pPr>
            <w:r>
              <w:rPr>
                <w:rFonts w:ascii="Times New Roman"/>
                <w:sz w:val="18"/>
              </w:rPr>
              <w:t>/</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98" w:right="0"/>
              <w:jc w:val="left"/>
              <w:rPr>
                <w:rFonts w:ascii="Times New Roman" w:hAnsi="Times New Roman" w:cs="Times New Roman" w:eastAsia="Times New Roman" w:hint="default"/>
                <w:sz w:val="18"/>
                <w:szCs w:val="18"/>
              </w:rPr>
            </w:pPr>
            <w:r>
              <w:rPr>
                <w:rFonts w:ascii="Times New Roman"/>
                <w:sz w:val="18"/>
              </w:rPr>
              <w:t>50.28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28,171,246.08</w:t>
            </w:r>
          </w:p>
        </w:tc>
      </w:tr>
    </w:tbl>
    <w:p>
      <w:pPr>
        <w:spacing w:line="240" w:lineRule="auto" w:before="10"/>
        <w:rPr>
          <w:rFonts w:ascii="宋体" w:hAnsi="宋体" w:cs="宋体" w:eastAsia="宋体" w:hint="default"/>
          <w:sz w:val="17"/>
          <w:szCs w:val="17"/>
        </w:rPr>
      </w:pPr>
    </w:p>
    <w:p>
      <w:pPr>
        <w:pStyle w:val="Heading2"/>
        <w:spacing w:line="240" w:lineRule="auto"/>
        <w:ind w:left="218" w:right="331"/>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218" w:right="331"/>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left="218" w:right="331"/>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060" w:val="left" w:leader="none"/>
        </w:tabs>
        <w:spacing w:line="240" w:lineRule="auto" w:before="58"/>
        <w:ind w:left="218" w:right="331"/>
        <w:jc w:val="left"/>
      </w:pPr>
      <w:r>
        <w:rPr/>
        <w:t>□适用</w:t>
        <w:tab/>
        <w:t>√不适用</w:t>
      </w:r>
    </w:p>
    <w:p>
      <w:pPr>
        <w:spacing w:line="240" w:lineRule="auto" w:before="12"/>
        <w:rPr>
          <w:rFonts w:ascii="宋体" w:hAnsi="宋体" w:cs="宋体" w:eastAsia="宋体" w:hint="default"/>
          <w:sz w:val="22"/>
          <w:szCs w:val="22"/>
        </w:rPr>
      </w:pPr>
    </w:p>
    <w:p>
      <w:pPr>
        <w:pStyle w:val="Heading2"/>
        <w:spacing w:line="240" w:lineRule="auto" w:before="0"/>
        <w:ind w:left="218" w:right="331"/>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060" w:val="left" w:leader="none"/>
        </w:tabs>
        <w:spacing w:line="240" w:lineRule="auto" w:before="56"/>
        <w:ind w:left="218" w:right="331"/>
        <w:jc w:val="left"/>
      </w:pPr>
      <w:r>
        <w:rPr/>
        <w:t>□适用</w:t>
        <w:tab/>
        <w:t>√不适用</w:t>
      </w:r>
    </w:p>
    <w:p>
      <w:pPr>
        <w:spacing w:line="240" w:lineRule="auto" w:before="6"/>
        <w:rPr>
          <w:rFonts w:ascii="宋体" w:hAnsi="宋体" w:cs="宋体" w:eastAsia="宋体" w:hint="default"/>
          <w:sz w:val="18"/>
          <w:szCs w:val="18"/>
        </w:rPr>
      </w:pPr>
    </w:p>
    <w:p>
      <w:pPr>
        <w:pStyle w:val="BodyText"/>
        <w:spacing w:line="273" w:lineRule="exact"/>
        <w:ind w:left="218" w:right="331"/>
        <w:jc w:val="left"/>
      </w:pPr>
      <w:r>
        <w:rPr/>
        <w:t>其他说明：</w:t>
      </w:r>
    </w:p>
    <w:p>
      <w:pPr>
        <w:pStyle w:val="BodyText"/>
        <w:tabs>
          <w:tab w:pos="1060" w:val="left" w:leader="none"/>
        </w:tabs>
        <w:spacing w:line="273" w:lineRule="exact"/>
        <w:ind w:left="218" w:right="331"/>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120"/>
        </w:sectPr>
      </w:pPr>
    </w:p>
    <w:p>
      <w:pPr>
        <w:pStyle w:val="Heading2"/>
        <w:tabs>
          <w:tab w:pos="849" w:val="left" w:leader="none"/>
          <w:tab w:pos="1057" w:val="left" w:leader="none"/>
        </w:tabs>
        <w:spacing w:line="290" w:lineRule="auto"/>
        <w:ind w:left="218"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2"/>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1695" w:space="4827"/>
            <w:col w:w="268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72"/>
        <w:gridCol w:w="1381"/>
        <w:gridCol w:w="1022"/>
        <w:gridCol w:w="1380"/>
        <w:gridCol w:w="1380"/>
        <w:gridCol w:w="1009"/>
        <w:gridCol w:w="1380"/>
      </w:tblGrid>
      <w:tr>
        <w:trPr>
          <w:trHeight w:val="283"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07"/>
              <w:ind w:left="41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272" w:type="dxa"/>
            <w:vMerge/>
            <w:tcBorders>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242,281,035.91</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242,281,035.91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214,648,407.80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214,648,407.80</w:t>
            </w: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204,861,973.72</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204,861,973.72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236,452,068.33</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236,452,068.33</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272"/>
        <w:gridCol w:w="1381"/>
        <w:gridCol w:w="1022"/>
        <w:gridCol w:w="1380"/>
        <w:gridCol w:w="1380"/>
        <w:gridCol w:w="1009"/>
        <w:gridCol w:w="1380"/>
      </w:tblGrid>
      <w:tr>
        <w:trPr>
          <w:trHeight w:val="28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91"/>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21"/>
                <w:szCs w:val="21"/>
              </w:rPr>
            </w:pPr>
            <w:r>
              <w:rPr>
                <w:rFonts w:ascii="Times New Roman"/>
                <w:sz w:val="21"/>
              </w:rPr>
              <w:t>320,909,178.02</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5"/>
              <w:jc w:val="center"/>
              <w:rPr>
                <w:rFonts w:ascii="Times New Roman" w:hAnsi="Times New Roman" w:cs="Times New Roman" w:eastAsia="Times New Roman" w:hint="default"/>
                <w:sz w:val="21"/>
                <w:szCs w:val="21"/>
              </w:rPr>
            </w:pPr>
            <w:r>
              <w:rPr>
                <w:rFonts w:ascii="Times New Roman"/>
                <w:sz w:val="21"/>
              </w:rPr>
              <w:t>320,909,178.02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9"/>
              <w:jc w:val="right"/>
              <w:rPr>
                <w:rFonts w:ascii="Times New Roman" w:hAnsi="Times New Roman" w:cs="Times New Roman" w:eastAsia="Times New Roman" w:hint="default"/>
                <w:sz w:val="21"/>
                <w:szCs w:val="21"/>
              </w:rPr>
            </w:pPr>
            <w:r>
              <w:rPr>
                <w:rFonts w:ascii="Times New Roman"/>
                <w:spacing w:val="-1"/>
                <w:sz w:val="21"/>
              </w:rPr>
              <w:t>267,632,635.00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Times New Roman" w:hAnsi="Times New Roman" w:cs="Times New Roman" w:eastAsia="Times New Roman" w:hint="default"/>
                <w:sz w:val="21"/>
                <w:szCs w:val="21"/>
              </w:rPr>
            </w:pPr>
            <w:r>
              <w:rPr>
                <w:rFonts w:ascii="Times New Roman"/>
                <w:spacing w:val="-1"/>
                <w:sz w:val="21"/>
              </w:rPr>
              <w:t>267,632,635.00</w:t>
            </w: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1"/>
              <w:jc w:val="right"/>
              <w:rPr>
                <w:rFonts w:ascii="宋体" w:hAnsi="宋体" w:cs="宋体" w:eastAsia="宋体" w:hint="default"/>
                <w:sz w:val="21"/>
                <w:szCs w:val="21"/>
              </w:rPr>
            </w:pPr>
            <w:r>
              <w:rPr>
                <w:rFonts w:ascii="宋体" w:hAnsi="宋体" w:cs="宋体" w:eastAsia="宋体" w:hint="default"/>
                <w:spacing w:val="-1"/>
                <w:sz w:val="21"/>
                <w:szCs w:val="21"/>
              </w:rPr>
              <w:t>周转材料</w:t>
            </w:r>
          </w:p>
        </w:tc>
        <w:tc>
          <w:tcPr>
            <w:tcW w:w="138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消</w:t>
            </w:r>
            <w:r>
              <w:rPr>
                <w:rFonts w:ascii="宋体" w:hAnsi="宋体" w:cs="宋体" w:eastAsia="宋体" w:hint="default"/>
                <w:spacing w:val="-66"/>
                <w:sz w:val="21"/>
                <w:szCs w:val="21"/>
              </w:rPr>
              <w:t> </w:t>
            </w:r>
            <w:r>
              <w:rPr>
                <w:rFonts w:ascii="宋体" w:hAnsi="宋体" w:cs="宋体" w:eastAsia="宋体" w:hint="default"/>
                <w:sz w:val="21"/>
                <w:szCs w:val="21"/>
              </w:rPr>
              <w:t>耗</w:t>
            </w:r>
            <w:r>
              <w:rPr>
                <w:rFonts w:ascii="宋体" w:hAnsi="宋体" w:cs="宋体" w:eastAsia="宋体" w:hint="default"/>
                <w:spacing w:val="-64"/>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38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66"/>
                <w:sz w:val="21"/>
                <w:szCs w:val="21"/>
              </w:rPr>
              <w:t> </w:t>
            </w:r>
            <w:r>
              <w:rPr>
                <w:rFonts w:ascii="宋体" w:hAnsi="宋体" w:cs="宋体" w:eastAsia="宋体" w:hint="default"/>
                <w:sz w:val="21"/>
                <w:szCs w:val="21"/>
              </w:rPr>
              <w:t>造</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形</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已</w:t>
            </w:r>
            <w:r>
              <w:rPr>
                <w:rFonts w:ascii="宋体" w:hAnsi="宋体" w:cs="宋体" w:eastAsia="宋体" w:hint="default"/>
                <w:spacing w:val="-66"/>
                <w:sz w:val="21"/>
                <w:szCs w:val="21"/>
              </w:rPr>
              <w:t> </w:t>
            </w:r>
            <w:r>
              <w:rPr>
                <w:rFonts w:ascii="宋体" w:hAnsi="宋体" w:cs="宋体" w:eastAsia="宋体" w:hint="default"/>
                <w:sz w:val="21"/>
                <w:szCs w:val="21"/>
              </w:rPr>
              <w:t>完</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未结算资产</w:t>
            </w:r>
          </w:p>
        </w:tc>
        <w:tc>
          <w:tcPr>
            <w:tcW w:w="138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1"/>
              <w:jc w:val="right"/>
              <w:rPr>
                <w:rFonts w:ascii="宋体" w:hAnsi="宋体" w:cs="宋体" w:eastAsia="宋体" w:hint="default"/>
                <w:sz w:val="21"/>
                <w:szCs w:val="21"/>
              </w:rPr>
            </w:pPr>
            <w:r>
              <w:rPr>
                <w:rFonts w:ascii="宋体" w:hAnsi="宋体" w:cs="宋体" w:eastAsia="宋体" w:hint="default"/>
                <w:spacing w:val="-1"/>
                <w:sz w:val="21"/>
                <w:szCs w:val="21"/>
              </w:rPr>
              <w:t>工程施工</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center"/>
              <w:rPr>
                <w:rFonts w:ascii="Times New Roman" w:hAnsi="Times New Roman" w:cs="Times New Roman" w:eastAsia="Times New Roman" w:hint="default"/>
                <w:sz w:val="21"/>
                <w:szCs w:val="21"/>
              </w:rPr>
            </w:pPr>
            <w:r>
              <w:rPr>
                <w:rFonts w:ascii="Times New Roman"/>
                <w:sz w:val="21"/>
              </w:rPr>
              <w:t>52,690,014.20</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8" w:right="0"/>
              <w:jc w:val="center"/>
              <w:rPr>
                <w:rFonts w:ascii="Times New Roman" w:hAnsi="Times New Roman" w:cs="Times New Roman" w:eastAsia="Times New Roman" w:hint="default"/>
                <w:sz w:val="21"/>
                <w:szCs w:val="21"/>
              </w:rPr>
            </w:pPr>
            <w:r>
              <w:rPr>
                <w:rFonts w:ascii="Times New Roman"/>
                <w:sz w:val="21"/>
              </w:rPr>
              <w:t>52,690,014.20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91,339,002.86</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91,339,002.86</w:t>
            </w: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1"/>
              <w:jc w:val="right"/>
              <w:rPr>
                <w:rFonts w:ascii="宋体" w:hAnsi="宋体" w:cs="宋体" w:eastAsia="宋体" w:hint="default"/>
                <w:sz w:val="21"/>
                <w:szCs w:val="21"/>
              </w:rPr>
            </w:pPr>
            <w:r>
              <w:rPr>
                <w:rFonts w:ascii="宋体" w:hAnsi="宋体" w:cs="宋体" w:eastAsia="宋体" w:hint="default"/>
                <w:spacing w:val="-1"/>
                <w:sz w:val="21"/>
                <w:szCs w:val="21"/>
              </w:rPr>
              <w:t>发出商品</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109,504,391.67</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109,504,391.67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49,509,881.02</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49,509,881.02</w:t>
            </w:r>
          </w:p>
        </w:tc>
      </w:tr>
      <w:tr>
        <w:trPr>
          <w:trHeight w:val="28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0"/>
              <w:jc w:val="right"/>
              <w:rPr>
                <w:rFonts w:ascii="宋体" w:hAnsi="宋体" w:cs="宋体" w:eastAsia="宋体" w:hint="default"/>
                <w:sz w:val="21"/>
                <w:szCs w:val="21"/>
              </w:rPr>
            </w:pPr>
            <w:r>
              <w:rPr>
                <w:rFonts w:ascii="宋体" w:hAnsi="宋体" w:cs="宋体" w:eastAsia="宋体" w:hint="default"/>
                <w:sz w:val="21"/>
                <w:szCs w:val="21"/>
              </w:rPr>
              <w:t>合计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930,246,593.52</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930,246,593.52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859,581,995.01</w:t>
            </w:r>
          </w:p>
        </w:tc>
        <w:tc>
          <w:tcPr>
            <w:tcW w:w="100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859,581,995.01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2"/>
        <w:tabs>
          <w:tab w:pos="849" w:val="left" w:leader="none"/>
        </w:tabs>
        <w:spacing w:line="240" w:lineRule="auto"/>
        <w:ind w:left="218" w:right="100"/>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6"/>
        <w:ind w:left="218" w:right="100"/>
        <w:jc w:val="left"/>
      </w:pPr>
      <w:r>
        <w:rPr/>
        <w:t>□适用 √不适用</w:t>
      </w:r>
    </w:p>
    <w:p>
      <w:pPr>
        <w:pStyle w:val="Heading2"/>
        <w:tabs>
          <w:tab w:pos="849" w:val="left" w:leader="none"/>
        </w:tabs>
        <w:spacing w:line="240" w:lineRule="auto" w:before="58"/>
        <w:ind w:left="218" w:right="10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060" w:val="left" w:leader="none"/>
        </w:tabs>
        <w:spacing w:line="240" w:lineRule="auto" w:before="56"/>
        <w:ind w:left="218" w:right="100"/>
        <w:jc w:val="left"/>
      </w:pPr>
      <w:r>
        <w:rPr/>
        <w:t>□适用</w:t>
        <w:tab/>
        <w:t>√不适用</w:t>
      </w:r>
    </w:p>
    <w:p>
      <w:pPr>
        <w:spacing w:line="240" w:lineRule="auto" w:before="11"/>
        <w:rPr>
          <w:rFonts w:ascii="宋体" w:hAnsi="宋体" w:cs="宋体" w:eastAsia="宋体" w:hint="default"/>
          <w:sz w:val="22"/>
          <w:szCs w:val="22"/>
        </w:rPr>
      </w:pPr>
    </w:p>
    <w:p>
      <w:pPr>
        <w:pStyle w:val="Heading2"/>
        <w:tabs>
          <w:tab w:pos="849" w:val="left" w:leader="none"/>
        </w:tabs>
        <w:spacing w:line="240" w:lineRule="auto" w:before="0"/>
        <w:ind w:left="218" w:right="10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6"/>
        <w:ind w:left="218" w:right="7373"/>
        <w:jc w:val="left"/>
      </w:pPr>
      <w:r>
        <w:rPr/>
        <w:t>□适用 √不适用</w:t>
      </w:r>
      <w:r>
        <w:rPr>
          <w:w w:val="100"/>
        </w:rPr>
        <w:t> </w:t>
      </w:r>
      <w:r>
        <w:rPr/>
        <w:t>其他说明</w:t>
      </w:r>
    </w:p>
    <w:p>
      <w:pPr>
        <w:pStyle w:val="BodyText"/>
        <w:tabs>
          <w:tab w:pos="1060" w:val="left" w:leader="none"/>
        </w:tabs>
        <w:spacing w:line="249" w:lineRule="exact"/>
        <w:ind w:left="218" w:right="10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6"/>
        <w:ind w:left="218" w:right="100"/>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140"/>
        </w:sectPr>
      </w:pPr>
    </w:p>
    <w:p>
      <w:pPr>
        <w:pStyle w:val="Heading2"/>
        <w:spacing w:line="240" w:lineRule="auto"/>
        <w:ind w:left="218"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3043" w:space="3270"/>
            <w:col w:w="28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14"/>
        <w:gridCol w:w="2213"/>
        <w:gridCol w:w="2497"/>
      </w:tblGrid>
      <w:tr>
        <w:trPr>
          <w:trHeight w:val="283" w:hRule="exact"/>
        </w:trPr>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宋体" w:hAnsi="宋体" w:cs="宋体" w:eastAsia="宋体" w:hint="default"/>
                <w:sz w:val="21"/>
                <w:szCs w:val="21"/>
              </w:rPr>
            </w:pPr>
            <w:r>
              <w:rPr>
                <w:rFonts w:ascii="宋体" w:hAnsi="宋体" w:cs="宋体" w:eastAsia="宋体" w:hint="default"/>
                <w:sz w:val="21"/>
                <w:szCs w:val="21"/>
              </w:rPr>
              <w:t>遵义新浦新区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号路道路工程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27,931,540.42</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28,121,192.01</w:t>
            </w:r>
          </w:p>
        </w:tc>
      </w:tr>
      <w:tr>
        <w:trPr>
          <w:trHeight w:val="281" w:hRule="exact"/>
        </w:trPr>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宋体" w:hAnsi="宋体" w:cs="宋体" w:eastAsia="宋体" w:hint="default"/>
                <w:sz w:val="21"/>
                <w:szCs w:val="21"/>
              </w:rPr>
            </w:pPr>
            <w:r>
              <w:rPr>
                <w:rFonts w:ascii="宋体" w:hAnsi="宋体" w:cs="宋体" w:eastAsia="宋体" w:hint="default"/>
                <w:sz w:val="21"/>
                <w:szCs w:val="21"/>
              </w:rPr>
              <w:t>遵义高新快线</w:t>
            </w:r>
            <w:r>
              <w:rPr>
                <w:rFonts w:ascii="Times New Roman" w:hAnsi="Times New Roman" w:cs="Times New Roman" w:eastAsia="Times New Roman" w:hint="default"/>
                <w:sz w:val="21"/>
                <w:szCs w:val="21"/>
              </w:rPr>
              <w:t>(</w:t>
            </w:r>
            <w:r>
              <w:rPr>
                <w:rFonts w:ascii="宋体" w:hAnsi="宋体" w:cs="宋体" w:eastAsia="宋体" w:hint="default"/>
                <w:sz w:val="21"/>
                <w:szCs w:val="21"/>
              </w:rPr>
              <w:t>汇川段</w:t>
            </w:r>
            <w:r>
              <w:rPr>
                <w:rFonts w:ascii="Times New Roman" w:hAnsi="Times New Roman" w:cs="Times New Roman" w:eastAsia="Times New Roman" w:hint="default"/>
                <w:sz w:val="21"/>
                <w:szCs w:val="21"/>
              </w:rPr>
              <w:t>)</w:t>
            </w:r>
            <w:r>
              <w:rPr>
                <w:rFonts w:ascii="宋体" w:hAnsi="宋体" w:cs="宋体" w:eastAsia="宋体" w:hint="default"/>
                <w:sz w:val="21"/>
                <w:szCs w:val="21"/>
              </w:rPr>
              <w:t>道路工程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项目</w:t>
            </w:r>
          </w:p>
        </w:tc>
        <w:tc>
          <w:tcPr>
            <w:tcW w:w="2213" w:type="dxa"/>
            <w:tcBorders>
              <w:top w:val="single" w:sz="4" w:space="0" w:color="000000"/>
              <w:left w:val="single" w:sz="4" w:space="0" w:color="000000"/>
              <w:bottom w:val="single" w:sz="4" w:space="0" w:color="000000"/>
              <w:right w:val="single" w:sz="4" w:space="0" w:color="000000"/>
            </w:tcBorders>
          </w:tcPr>
          <w:p>
            <w:pP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19,974,032.08</w:t>
            </w:r>
          </w:p>
        </w:tc>
      </w:tr>
      <w:tr>
        <w:trPr>
          <w:trHeight w:val="283" w:hRule="exact"/>
        </w:trPr>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 w:right="0"/>
              <w:jc w:val="left"/>
              <w:rPr>
                <w:rFonts w:ascii="宋体" w:hAnsi="宋体" w:cs="宋体" w:eastAsia="宋体" w:hint="default"/>
                <w:sz w:val="21"/>
                <w:szCs w:val="21"/>
              </w:rPr>
            </w:pPr>
            <w:r>
              <w:rPr>
                <w:rFonts w:ascii="宋体" w:hAnsi="宋体" w:cs="宋体" w:eastAsia="宋体" w:hint="default"/>
                <w:sz w:val="21"/>
                <w:szCs w:val="21"/>
              </w:rPr>
              <w:t>分期收款</w:t>
            </w:r>
            <w:r>
              <w:rPr>
                <w:rFonts w:ascii="Times New Roman" w:hAnsi="Times New Roman" w:cs="Times New Roman" w:eastAsia="Times New Roman" w:hint="default"/>
                <w:sz w:val="21"/>
                <w:szCs w:val="21"/>
              </w:rPr>
              <w:t>—</w:t>
            </w:r>
            <w:r>
              <w:rPr>
                <w:rFonts w:ascii="宋体" w:hAnsi="宋体" w:cs="宋体" w:eastAsia="宋体" w:hint="default"/>
                <w:sz w:val="21"/>
                <w:szCs w:val="21"/>
              </w:rPr>
              <w:t>股权处置款</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20,977,032.82</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17,717,044.27</w:t>
            </w:r>
          </w:p>
        </w:tc>
      </w:tr>
      <w:tr>
        <w:trPr>
          <w:trHeight w:val="283" w:hRule="exact"/>
        </w:trPr>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48,908,573.24</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65,812,268.36</w:t>
            </w:r>
          </w:p>
        </w:tc>
      </w:tr>
    </w:tbl>
    <w:p>
      <w:pPr>
        <w:spacing w:line="240" w:lineRule="auto" w:before="0"/>
        <w:rPr>
          <w:rFonts w:ascii="宋体" w:hAnsi="宋体" w:cs="宋体" w:eastAsia="宋体" w:hint="default"/>
          <w:sz w:val="13"/>
          <w:szCs w:val="13"/>
        </w:rPr>
      </w:pPr>
    </w:p>
    <w:p>
      <w:pPr>
        <w:pStyle w:val="BodyText"/>
        <w:spacing w:line="274" w:lineRule="exact" w:before="36"/>
        <w:ind w:left="218" w:right="100"/>
        <w:jc w:val="left"/>
      </w:pPr>
      <w:r>
        <w:rPr/>
        <w:t>其他说明</w:t>
      </w:r>
    </w:p>
    <w:p>
      <w:pPr>
        <w:pStyle w:val="BodyText"/>
        <w:spacing w:line="225" w:lineRule="auto" w:before="14"/>
        <w:ind w:left="218" w:right="100"/>
        <w:jc w:val="left"/>
      </w:pPr>
      <w:r>
        <w:rPr>
          <w:spacing w:val="-6"/>
          <w:w w:val="100"/>
        </w:rPr>
        <w:t>注：本公司与遵义市新区开发投资有限责任公司签订新浦新区</w:t>
      </w:r>
      <w:r>
        <w:rPr>
          <w:spacing w:val="-46"/>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4"/>
          <w:w w:val="100"/>
        </w:rPr>
        <w:t> </w:t>
      </w:r>
      <w:r>
        <w:rPr>
          <w:spacing w:val="-2"/>
          <w:w w:val="100"/>
        </w:rPr>
        <w:t>号路</w:t>
      </w:r>
      <w:r>
        <w:rPr>
          <w:spacing w:val="-46"/>
          <w:w w:val="100"/>
        </w:rPr>
        <w:t> </w:t>
      </w:r>
      <w:r>
        <w:rPr>
          <w:rFonts w:ascii="Times New Roman" w:hAnsi="Times New Roman" w:cs="Times New Roman" w:eastAsia="Times New Roman" w:hint="default"/>
          <w:spacing w:val="-9"/>
          <w:w w:val="100"/>
        </w:rPr>
        <w:t>BT</w:t>
      </w:r>
      <w:r>
        <w:rPr>
          <w:spacing w:val="-9"/>
          <w:w w:val="100"/>
        </w:rPr>
        <w:t>（投资建设与移交回购）</w:t>
      </w:r>
      <w:r>
        <w:rPr>
          <w:spacing w:val="-103"/>
          <w:w w:val="100"/>
        </w:rPr>
        <w:t> </w:t>
      </w:r>
      <w:r>
        <w:rPr>
          <w:spacing w:val="-103"/>
          <w:w w:val="100"/>
        </w:rPr>
      </w:r>
      <w:r>
        <w:rPr/>
        <w:t>合同，采用</w:t>
      </w:r>
      <w:r>
        <w:rPr>
          <w:spacing w:val="-41"/>
        </w:rPr>
        <w:t> </w:t>
      </w:r>
      <w:r>
        <w:rPr>
          <w:rFonts w:ascii="Times New Roman" w:hAnsi="Times New Roman" w:cs="Times New Roman" w:eastAsia="Times New Roman" w:hint="default"/>
        </w:rPr>
        <w:t>BT</w:t>
      </w:r>
      <w:r>
        <w:rPr>
          <w:rFonts w:ascii="Times New Roman" w:hAnsi="Times New Roman" w:cs="Times New Roman" w:eastAsia="Times New Roman" w:hint="default"/>
          <w:spacing w:val="12"/>
        </w:rPr>
        <w:t> </w:t>
      </w:r>
      <w:r>
        <w:rPr/>
        <w:t>模式建设，项目投资额约</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亿元，本公司将建筑工程分包给江西中恒建设集团</w:t>
      </w:r>
      <w:r>
        <w:rPr>
          <w:w w:val="100"/>
        </w:rPr>
        <w:t> </w:t>
      </w:r>
      <w:r>
        <w:rPr/>
        <w:t>有限公司，该项目</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年已建成通车。</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140"/>
        </w:sectPr>
      </w:pPr>
    </w:p>
    <w:p>
      <w:pPr>
        <w:pStyle w:val="Heading2"/>
        <w:spacing w:line="240" w:lineRule="auto"/>
        <w:ind w:left="218"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990" w:space="4532"/>
            <w:col w:w="26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5"/>
        <w:gridCol w:w="2844"/>
        <w:gridCol w:w="2775"/>
      </w:tblGrid>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预交所得税</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2,174,334.92</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1,681,905.19</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16,106,855.15</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15,249,476.64</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844" w:type="dxa"/>
            <w:tcBorders>
              <w:top w:val="single" w:sz="4" w:space="0" w:color="000000"/>
              <w:left w:val="single" w:sz="4" w:space="0" w:color="000000"/>
              <w:bottom w:val="single" w:sz="4" w:space="0" w:color="000000"/>
              <w:right w:val="single" w:sz="4" w:space="0" w:color="000000"/>
            </w:tcBorders>
          </w:tcPr>
          <w:p>
            <w:pP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35,864.08</w:t>
            </w:r>
          </w:p>
        </w:tc>
        <w:tc>
          <w:tcPr>
            <w:tcW w:w="27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05"/>
        <w:gridCol w:w="2844"/>
        <w:gridCol w:w="2775"/>
      </w:tblGrid>
      <w:tr>
        <w:trPr>
          <w:trHeight w:val="28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24" w:right="0"/>
              <w:jc w:val="left"/>
              <w:rPr>
                <w:rFonts w:ascii="Times New Roman" w:hAnsi="Times New Roman" w:cs="Times New Roman" w:eastAsia="Times New Roman" w:hint="default"/>
                <w:sz w:val="21"/>
                <w:szCs w:val="21"/>
              </w:rPr>
            </w:pPr>
            <w:r>
              <w:rPr>
                <w:rFonts w:ascii="Times New Roman"/>
                <w:sz w:val="21"/>
              </w:rPr>
              <w:t>18,317,054.15</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4" w:right="0"/>
              <w:jc w:val="left"/>
              <w:rPr>
                <w:rFonts w:ascii="Times New Roman" w:hAnsi="Times New Roman" w:cs="Times New Roman" w:eastAsia="Times New Roman" w:hint="default"/>
                <w:sz w:val="21"/>
                <w:szCs w:val="21"/>
              </w:rPr>
            </w:pPr>
            <w:r>
              <w:rPr>
                <w:rFonts w:ascii="Times New Roman"/>
                <w:sz w:val="21"/>
              </w:rPr>
              <w:t>66,931,381.83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120"/>
        </w:sectPr>
      </w:pPr>
    </w:p>
    <w:p>
      <w:pPr>
        <w:pStyle w:val="Heading2"/>
        <w:spacing w:line="240" w:lineRule="auto"/>
        <w:ind w:left="21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2"/>
        <w:tabs>
          <w:tab w:pos="861" w:val="left" w:leader="none"/>
        </w:tabs>
        <w:spacing w:line="240" w:lineRule="auto" w:before="56"/>
        <w:ind w:left="21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8"/>
        <w:ind w:left="218" w:right="-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971" w:space="3550"/>
            <w:col w:w="268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37"/>
        <w:gridCol w:w="1414"/>
        <w:gridCol w:w="648"/>
        <w:gridCol w:w="1376"/>
        <w:gridCol w:w="1375"/>
        <w:gridCol w:w="533"/>
        <w:gridCol w:w="1414"/>
      </w:tblGrid>
      <w:tr>
        <w:trPr>
          <w:trHeight w:val="281" w:hRule="exact"/>
        </w:trPr>
        <w:tc>
          <w:tcPr>
            <w:tcW w:w="21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137"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41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703,343,362.81</w:t>
            </w:r>
          </w:p>
        </w:tc>
        <w:tc>
          <w:tcPr>
            <w:tcW w:w="64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703,343,362.81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436,360,333.08</w:t>
            </w:r>
          </w:p>
        </w:tc>
        <w:tc>
          <w:tcPr>
            <w:tcW w:w="53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436,360,333.08</w:t>
            </w:r>
          </w:p>
        </w:tc>
      </w:tr>
      <w:tr>
        <w:trPr>
          <w:trHeight w:val="281"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41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 w:right="0"/>
              <w:jc w:val="center"/>
              <w:rPr>
                <w:rFonts w:ascii="Times New Roman" w:hAnsi="Times New Roman" w:cs="Times New Roman" w:eastAsia="Times New Roman" w:hint="default"/>
                <w:sz w:val="21"/>
                <w:szCs w:val="21"/>
              </w:rPr>
            </w:pPr>
            <w:r>
              <w:rPr>
                <w:rFonts w:ascii="Times New Roman"/>
                <w:sz w:val="21"/>
              </w:rPr>
              <w:t>703,343,362.81</w:t>
            </w:r>
          </w:p>
        </w:tc>
        <w:tc>
          <w:tcPr>
            <w:tcW w:w="64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703,343,362.81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436,360,333.08</w:t>
            </w:r>
          </w:p>
        </w:tc>
        <w:tc>
          <w:tcPr>
            <w:tcW w:w="53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 w:right="0"/>
              <w:jc w:val="center"/>
              <w:rPr>
                <w:rFonts w:ascii="Times New Roman" w:hAnsi="Times New Roman" w:cs="Times New Roman" w:eastAsia="Times New Roman" w:hint="default"/>
                <w:sz w:val="21"/>
                <w:szCs w:val="21"/>
              </w:rPr>
            </w:pPr>
            <w:r>
              <w:rPr>
                <w:rFonts w:ascii="Times New Roman"/>
                <w:sz w:val="21"/>
              </w:rPr>
              <w:t>436,360,333.08</w:t>
            </w:r>
          </w:p>
        </w:tc>
      </w:tr>
      <w:tr>
        <w:trPr>
          <w:trHeight w:val="283"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703,343,362.81</w:t>
            </w:r>
          </w:p>
        </w:tc>
        <w:tc>
          <w:tcPr>
            <w:tcW w:w="64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703,343,362.81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436,360,333.08</w:t>
            </w:r>
          </w:p>
        </w:tc>
        <w:tc>
          <w:tcPr>
            <w:tcW w:w="53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436,360,333.08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861" w:val="left" w:leader="none"/>
        </w:tabs>
        <w:spacing w:line="240" w:lineRule="auto"/>
        <w:ind w:left="218" w:right="331"/>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spacing w:line="240" w:lineRule="auto" w:before="58"/>
        <w:ind w:left="218" w:right="331"/>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120"/>
        </w:sectPr>
      </w:pPr>
    </w:p>
    <w:p>
      <w:pPr>
        <w:pStyle w:val="Heading2"/>
        <w:tabs>
          <w:tab w:pos="861" w:val="left" w:leader="none"/>
        </w:tabs>
        <w:spacing w:line="240" w:lineRule="auto"/>
        <w:ind w:left="218"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6"/>
        <w:ind w:left="218"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4236" w:space="2285"/>
            <w:col w:w="2689"/>
          </w:cols>
        </w:sectPr>
      </w:pPr>
    </w:p>
    <w:p>
      <w:pPr>
        <w:spacing w:line="240" w:lineRule="auto" w:before="4"/>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1582"/>
        <w:gridCol w:w="1181"/>
        <w:gridCol w:w="1181"/>
        <w:gridCol w:w="1092"/>
        <w:gridCol w:w="1181"/>
        <w:gridCol w:w="295"/>
        <w:gridCol w:w="293"/>
        <w:gridCol w:w="295"/>
        <w:gridCol w:w="293"/>
        <w:gridCol w:w="1001"/>
        <w:gridCol w:w="528"/>
      </w:tblGrid>
      <w:tr>
        <w:trPr>
          <w:trHeight w:val="718" w:hRule="exact"/>
        </w:trPr>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604" w:right="516"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46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52" w:lineRule="auto"/>
              <w:ind w:left="43"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位持股比例 </w:t>
            </w:r>
            <w:r>
              <w:rPr>
                <w:rFonts w:ascii="Times New Roman" w:hAnsi="Times New Roman" w:cs="Times New Roman" w:eastAsia="Times New Roman" w:hint="default"/>
                <w:sz w:val="18"/>
                <w:szCs w:val="18"/>
              </w:rPr>
              <w:t>(%)</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76" w:right="79"/>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946" w:hRule="exact"/>
        </w:trPr>
        <w:tc>
          <w:tcPr>
            <w:tcW w:w="1582"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05" w:right="403"/>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59" w:right="36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0" w:right="53"/>
              <w:jc w:val="left"/>
              <w:rPr>
                <w:rFonts w:ascii="宋体" w:hAnsi="宋体" w:cs="宋体" w:eastAsia="宋体" w:hint="default"/>
                <w:sz w:val="18"/>
                <w:szCs w:val="18"/>
              </w:rPr>
            </w:pPr>
            <w:r>
              <w:rPr>
                <w:rFonts w:ascii="宋体" w:hAnsi="宋体" w:cs="宋体" w:eastAsia="宋体" w:hint="default"/>
                <w:sz w:val="18"/>
                <w:szCs w:val="18"/>
              </w:rPr>
              <w:t>期 初</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2" w:lineRule="exact" w:before="24"/>
              <w:ind w:left="50" w:right="50"/>
              <w:jc w:val="both"/>
              <w:rPr>
                <w:rFonts w:ascii="宋体" w:hAnsi="宋体" w:cs="宋体" w:eastAsia="宋体" w:hint="default"/>
                <w:sz w:val="18"/>
                <w:szCs w:val="18"/>
              </w:rPr>
            </w:pPr>
            <w:r>
              <w:rPr>
                <w:rFonts w:ascii="宋体" w:hAnsi="宋体" w:cs="宋体" w:eastAsia="宋体" w:hint="default"/>
                <w:sz w:val="18"/>
                <w:szCs w:val="18"/>
              </w:rPr>
              <w:t>期 增 加</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2" w:lineRule="exact" w:before="24"/>
              <w:ind w:left="50" w:right="53"/>
              <w:jc w:val="both"/>
              <w:rPr>
                <w:rFonts w:ascii="宋体" w:hAnsi="宋体" w:cs="宋体" w:eastAsia="宋体" w:hint="default"/>
                <w:sz w:val="18"/>
                <w:szCs w:val="18"/>
              </w:rPr>
            </w:pPr>
            <w:r>
              <w:rPr>
                <w:rFonts w:ascii="宋体" w:hAnsi="宋体" w:cs="宋体" w:eastAsia="宋体" w:hint="default"/>
                <w:sz w:val="18"/>
                <w:szCs w:val="18"/>
              </w:rPr>
              <w:t>期 减 少</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0" w:right="50"/>
              <w:jc w:val="left"/>
              <w:rPr>
                <w:rFonts w:ascii="宋体" w:hAnsi="宋体" w:cs="宋体" w:eastAsia="宋体" w:hint="default"/>
                <w:sz w:val="18"/>
                <w:szCs w:val="18"/>
              </w:rPr>
            </w:pPr>
            <w:r>
              <w:rPr>
                <w:rFonts w:ascii="宋体" w:hAnsi="宋体" w:cs="宋体" w:eastAsia="宋体" w:hint="default"/>
                <w:sz w:val="18"/>
                <w:szCs w:val="18"/>
              </w:rPr>
              <w:t>期 末</w:t>
            </w:r>
          </w:p>
        </w:tc>
        <w:tc>
          <w:tcPr>
            <w:tcW w:w="1001"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r>
      <w:tr>
        <w:trPr>
          <w:trHeight w:val="47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 w:right="0"/>
              <w:jc w:val="left"/>
              <w:rPr>
                <w:rFonts w:ascii="宋体" w:hAnsi="宋体" w:cs="宋体" w:eastAsia="宋体" w:hint="default"/>
                <w:sz w:val="18"/>
                <w:szCs w:val="18"/>
              </w:rPr>
            </w:pPr>
            <w:r>
              <w:rPr>
                <w:rFonts w:ascii="宋体" w:hAnsi="宋体" w:cs="宋体" w:eastAsia="宋体" w:hint="default"/>
                <w:spacing w:val="14"/>
                <w:sz w:val="18"/>
                <w:szCs w:val="18"/>
              </w:rPr>
              <w:t>芯通科技</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1"/>
                <w:sz w:val="18"/>
                <w:szCs w:val="18"/>
              </w:rPr>
              <w:t>成都</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有</w:t>
            </w:r>
          </w:p>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34,000,000.00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34,000,000.00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7.78</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随锐科技股份有限</w:t>
            </w:r>
            <w:r>
              <w:rPr>
                <w:rFonts w:ascii="宋体" w:hAnsi="宋体" w:cs="宋体" w:eastAsia="宋体" w:hint="default"/>
                <w:sz w:val="18"/>
                <w:szCs w:val="18"/>
              </w:rPr>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49,999,986.00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49,999,986.00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1.69</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西安开天铁路电气</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13,739,184.00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13,739,184.00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2.93</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江西大麦互娱科技</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14.13</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上海电科诚鼎智能</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产业投资合伙企业</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8,285,714.00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571,429.00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7,714,285.00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2.86</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江西省创东方科技</w:t>
            </w:r>
            <w:r>
              <w:rPr>
                <w:rFonts w:ascii="宋体" w:hAnsi="宋体" w:cs="宋体" w:eastAsia="宋体" w:hint="default"/>
                <w:sz w:val="18"/>
                <w:szCs w:val="18"/>
              </w:rPr>
            </w:r>
          </w:p>
          <w:p>
            <w:pPr>
              <w:pStyle w:val="TableParagraph"/>
              <w:spacing w:line="232" w:lineRule="exact" w:before="24"/>
              <w:ind w:left="21" w:right="12"/>
              <w:jc w:val="left"/>
              <w:rPr>
                <w:rFonts w:ascii="宋体" w:hAnsi="宋体" w:cs="宋体" w:eastAsia="宋体" w:hint="default"/>
                <w:sz w:val="18"/>
                <w:szCs w:val="18"/>
              </w:rPr>
            </w:pPr>
            <w:r>
              <w:rPr>
                <w:rFonts w:ascii="宋体" w:hAnsi="宋体" w:cs="宋体" w:eastAsia="宋体" w:hint="default"/>
                <w:spacing w:val="12"/>
                <w:sz w:val="18"/>
                <w:szCs w:val="18"/>
              </w:rPr>
              <w:t>创业投资中心（有 </w:t>
            </w:r>
            <w:r>
              <w:rPr>
                <w:rFonts w:ascii="宋体" w:hAnsi="宋体" w:cs="宋体" w:eastAsia="宋体" w:hint="default"/>
                <w:sz w:val="18"/>
                <w:szCs w:val="18"/>
              </w:rPr>
              <w:t>限合伙）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19,116,449.08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4,100,798.70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15,015,650.38</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10.34</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深圳平安天成股权</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投资基金合伙企业</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7,425,742.57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7,574,257.43</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14.85</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深圳天泰成长投资</w:t>
            </w:r>
            <w:r>
              <w:rPr>
                <w:rFonts w:ascii="宋体" w:hAnsi="宋体" w:cs="宋体" w:eastAsia="宋体" w:hint="default"/>
                <w:sz w:val="18"/>
                <w:szCs w:val="18"/>
              </w:rPr>
            </w:r>
          </w:p>
          <w:p>
            <w:pPr>
              <w:pStyle w:val="TableParagraph"/>
              <w:spacing w:line="232" w:lineRule="exact" w:before="24"/>
              <w:ind w:left="21" w:right="12"/>
              <w:jc w:val="left"/>
              <w:rPr>
                <w:rFonts w:ascii="宋体" w:hAnsi="宋体" w:cs="宋体" w:eastAsia="宋体" w:hint="default"/>
                <w:sz w:val="18"/>
                <w:szCs w:val="18"/>
              </w:rPr>
            </w:pPr>
            <w:r>
              <w:rPr>
                <w:rFonts w:ascii="宋体" w:hAnsi="宋体" w:cs="宋体" w:eastAsia="宋体" w:hint="default"/>
                <w:spacing w:val="12"/>
                <w:sz w:val="18"/>
                <w:szCs w:val="18"/>
              </w:rPr>
              <w:t>合伙企业（有限合 </w:t>
            </w:r>
            <w:r>
              <w:rPr>
                <w:rFonts w:ascii="宋体" w:hAnsi="宋体" w:cs="宋体" w:eastAsia="宋体" w:hint="default"/>
                <w:sz w:val="18"/>
                <w:szCs w:val="18"/>
              </w:rPr>
              <w:t>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14,500,000.00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14,500,000.00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54.72</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上海星浩股权投资</w:t>
            </w:r>
            <w:r>
              <w:rPr>
                <w:rFonts w:ascii="宋体" w:hAnsi="宋体" w:cs="宋体" w:eastAsia="宋体" w:hint="default"/>
                <w:sz w:val="18"/>
                <w:szCs w:val="18"/>
              </w:rPr>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中心（有限合伙）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湖州星耀股权投资</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合伙企业（有限合</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0.89</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3" w:type="dxa"/>
        <w:tblLayout w:type="fixed"/>
        <w:tblCellMar>
          <w:top w:w="0" w:type="dxa"/>
          <w:left w:w="0" w:type="dxa"/>
          <w:bottom w:w="0" w:type="dxa"/>
          <w:right w:w="0" w:type="dxa"/>
        </w:tblCellMar>
        <w:tblLook w:val="01E0"/>
      </w:tblPr>
      <w:tblGrid>
        <w:gridCol w:w="1582"/>
        <w:gridCol w:w="1181"/>
        <w:gridCol w:w="1181"/>
        <w:gridCol w:w="1092"/>
        <w:gridCol w:w="1181"/>
        <w:gridCol w:w="295"/>
        <w:gridCol w:w="293"/>
        <w:gridCol w:w="295"/>
        <w:gridCol w:w="293"/>
        <w:gridCol w:w="1001"/>
        <w:gridCol w:w="528"/>
      </w:tblGrid>
      <w:tr>
        <w:trPr>
          <w:trHeight w:val="24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北京中关村九鼎军</w:t>
            </w:r>
            <w:r>
              <w:rPr>
                <w:rFonts w:ascii="宋体" w:hAnsi="宋体" w:cs="宋体" w:eastAsia="宋体" w:hint="default"/>
                <w:sz w:val="18"/>
                <w:szCs w:val="18"/>
              </w:rPr>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民</w:t>
            </w:r>
            <w:r>
              <w:rPr>
                <w:rFonts w:ascii="宋体" w:hAnsi="宋体" w:cs="宋体" w:eastAsia="宋体" w:hint="default"/>
                <w:spacing w:val="-45"/>
                <w:sz w:val="18"/>
                <w:szCs w:val="18"/>
              </w:rPr>
              <w:t> </w:t>
            </w:r>
            <w:r>
              <w:rPr>
                <w:rFonts w:ascii="宋体" w:hAnsi="宋体" w:cs="宋体" w:eastAsia="宋体" w:hint="default"/>
                <w:sz w:val="18"/>
                <w:szCs w:val="18"/>
              </w:rPr>
              <w:t>融</w:t>
            </w:r>
            <w:r>
              <w:rPr>
                <w:rFonts w:ascii="宋体" w:hAnsi="宋体" w:cs="宋体" w:eastAsia="宋体" w:hint="default"/>
                <w:spacing w:val="-45"/>
                <w:sz w:val="18"/>
                <w:szCs w:val="18"/>
              </w:rPr>
              <w:t> </w:t>
            </w:r>
            <w:r>
              <w:rPr>
                <w:rFonts w:ascii="宋体" w:hAnsi="宋体" w:cs="宋体" w:eastAsia="宋体" w:hint="default"/>
                <w:sz w:val="18"/>
                <w:szCs w:val="18"/>
              </w:rPr>
              <w:t>合</w:t>
            </w:r>
            <w:r>
              <w:rPr>
                <w:rFonts w:ascii="宋体" w:hAnsi="宋体" w:cs="宋体" w:eastAsia="宋体" w:hint="default"/>
                <w:spacing w:val="-47"/>
                <w:sz w:val="18"/>
                <w:szCs w:val="18"/>
              </w:rPr>
              <w:t> </w:t>
            </w:r>
            <w:r>
              <w:rPr>
                <w:rFonts w:ascii="宋体" w:hAnsi="宋体" w:cs="宋体" w:eastAsia="宋体" w:hint="default"/>
                <w:sz w:val="18"/>
                <w:szCs w:val="18"/>
              </w:rPr>
              <w:t>投</w:t>
            </w:r>
            <w:r>
              <w:rPr>
                <w:rFonts w:ascii="宋体" w:hAnsi="宋体" w:cs="宋体" w:eastAsia="宋体" w:hint="default"/>
                <w:spacing w:val="-45"/>
                <w:sz w:val="18"/>
                <w:szCs w:val="18"/>
              </w:rPr>
              <w:t> </w:t>
            </w:r>
            <w:r>
              <w:rPr>
                <w:rFonts w:ascii="宋体" w:hAnsi="宋体" w:cs="宋体" w:eastAsia="宋体" w:hint="default"/>
                <w:sz w:val="18"/>
                <w:szCs w:val="18"/>
              </w:rPr>
              <w:t>资</w:t>
            </w:r>
            <w:r>
              <w:rPr>
                <w:rFonts w:ascii="宋体" w:hAnsi="宋体" w:cs="宋体" w:eastAsia="宋体" w:hint="default"/>
                <w:spacing w:val="-47"/>
                <w:sz w:val="18"/>
                <w:szCs w:val="18"/>
              </w:rPr>
              <w:t> </w:t>
            </w:r>
            <w:r>
              <w:rPr>
                <w:rFonts w:ascii="宋体" w:hAnsi="宋体" w:cs="宋体" w:eastAsia="宋体" w:hint="default"/>
                <w:sz w:val="18"/>
                <w:szCs w:val="18"/>
              </w:rPr>
              <w:t>中</w:t>
            </w:r>
            <w:r>
              <w:rPr>
                <w:rFonts w:ascii="宋体" w:hAnsi="宋体" w:cs="宋体" w:eastAsia="宋体" w:hint="default"/>
                <w:spacing w:val="-45"/>
                <w:sz w:val="18"/>
                <w:szCs w:val="18"/>
              </w:rPr>
              <w:t> </w:t>
            </w:r>
            <w:r>
              <w:rPr>
                <w:rFonts w:ascii="宋体" w:hAnsi="宋体" w:cs="宋体" w:eastAsia="宋体" w:hint="default"/>
                <w:sz w:val="18"/>
                <w:szCs w:val="18"/>
              </w:rPr>
              <w:t>心</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8.04</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深圳中航福田智能</w:t>
            </w:r>
            <w:r>
              <w:rPr>
                <w:rFonts w:ascii="宋体" w:hAnsi="宋体" w:cs="宋体" w:eastAsia="宋体" w:hint="default"/>
                <w:sz w:val="18"/>
                <w:szCs w:val="18"/>
              </w:rPr>
            </w:r>
          </w:p>
          <w:p>
            <w:pPr>
              <w:pStyle w:val="TableParagraph"/>
              <w:spacing w:line="232" w:lineRule="exact" w:before="24"/>
              <w:ind w:left="21" w:right="12"/>
              <w:jc w:val="left"/>
              <w:rPr>
                <w:rFonts w:ascii="宋体" w:hAnsi="宋体" w:cs="宋体" w:eastAsia="宋体" w:hint="default"/>
                <w:sz w:val="18"/>
                <w:szCs w:val="18"/>
              </w:rPr>
            </w:pPr>
            <w:r>
              <w:rPr>
                <w:rFonts w:ascii="宋体" w:hAnsi="宋体" w:cs="宋体" w:eastAsia="宋体" w:hint="default"/>
                <w:spacing w:val="12"/>
                <w:sz w:val="18"/>
                <w:szCs w:val="18"/>
              </w:rPr>
              <w:t>装备股权投资基金 </w:t>
            </w:r>
            <w:r>
              <w:rPr>
                <w:rFonts w:ascii="宋体" w:hAnsi="宋体" w:cs="宋体" w:eastAsia="宋体" w:hint="default"/>
                <w:sz w:val="18"/>
                <w:szCs w:val="18"/>
              </w:rPr>
              <w:t>合伙企业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126,000,000.00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252,000,000.00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21.00</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嘉兴邦赋投资合伙</w:t>
            </w:r>
            <w:r>
              <w:rPr>
                <w:rFonts w:ascii="宋体" w:hAnsi="宋体" w:cs="宋体" w:eastAsia="宋体" w:hint="default"/>
                <w:sz w:val="18"/>
                <w:szCs w:val="18"/>
              </w:rPr>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企业（有限合伙）</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10.00</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贵安新区配售电有</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7.00</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上海山姆文化传播</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1,919,000.00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1,919,000.00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pacing w:val="12"/>
                <w:sz w:val="18"/>
                <w:szCs w:val="18"/>
              </w:rPr>
              <w:t>华东江苏大数据交</w:t>
            </w:r>
            <w:r>
              <w:rPr>
                <w:rFonts w:ascii="宋体" w:hAnsi="宋体" w:cs="宋体" w:eastAsia="宋体" w:hint="default"/>
                <w:sz w:val="18"/>
                <w:szCs w:val="18"/>
              </w:rPr>
            </w:r>
          </w:p>
          <w:p>
            <w:pPr>
              <w:pStyle w:val="TableParagraph"/>
              <w:spacing w:line="232" w:lineRule="exact" w:before="23"/>
              <w:ind w:left="21" w:right="12"/>
              <w:jc w:val="left"/>
              <w:rPr>
                <w:rFonts w:ascii="宋体" w:hAnsi="宋体" w:cs="宋体" w:eastAsia="宋体" w:hint="default"/>
                <w:sz w:val="18"/>
                <w:szCs w:val="18"/>
              </w:rPr>
            </w:pPr>
            <w:r>
              <w:rPr>
                <w:rFonts w:ascii="宋体" w:hAnsi="宋体" w:cs="宋体" w:eastAsia="宋体" w:hint="default"/>
                <w:spacing w:val="12"/>
                <w:sz w:val="18"/>
                <w:szCs w:val="18"/>
              </w:rPr>
              <w:t>易中心股份有限公 </w:t>
            </w:r>
            <w:r>
              <w:rPr>
                <w:rFonts w:ascii="宋体" w:hAnsi="宋体" w:cs="宋体" w:eastAsia="宋体" w:hint="default"/>
                <w:sz w:val="18"/>
                <w:szCs w:val="18"/>
              </w:rPr>
              <w:t>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8.00</w:t>
            </w: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436,360,333.08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326,000,000.00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59,016,970.27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703,343,362.81</w:t>
            </w: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center"/>
              <w:rPr>
                <w:rFonts w:ascii="Times New Roman" w:hAnsi="Times New Roman" w:cs="Times New Roman" w:eastAsia="Times New Roman" w:hint="default"/>
                <w:sz w:val="18"/>
                <w:szCs w:val="18"/>
              </w:rPr>
            </w:pPr>
            <w:r>
              <w:rPr>
                <w:rFonts w:ascii="Times New Roman"/>
                <w:sz w:val="18"/>
              </w:rPr>
              <w:t>/</w:t>
            </w: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tabs>
          <w:tab w:pos="901" w:val="left" w:leader="none"/>
        </w:tabs>
        <w:spacing w:line="240" w:lineRule="auto"/>
        <w:ind w:left="258" w:right="0"/>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6"/>
        <w:ind w:left="258" w:right="0"/>
        <w:jc w:val="left"/>
      </w:pPr>
      <w:r>
        <w:rPr/>
        <w:t>□适用 √不适用</w:t>
      </w:r>
    </w:p>
    <w:p>
      <w:pPr>
        <w:pStyle w:val="Heading2"/>
        <w:tabs>
          <w:tab w:pos="901" w:val="left" w:leader="none"/>
        </w:tabs>
        <w:spacing w:line="240" w:lineRule="auto" w:before="56"/>
        <w:ind w:left="258"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6"/>
        <w:ind w:left="258" w:right="7453"/>
        <w:jc w:val="left"/>
      </w:pPr>
      <w:r>
        <w:rPr/>
        <w:t>□适用 √不适用</w:t>
      </w:r>
      <w:r>
        <w:rPr>
          <w:w w:val="100"/>
        </w:rPr>
        <w:t> </w:t>
      </w:r>
      <w:r>
        <w:rPr/>
        <w:t>其他说明</w:t>
      </w:r>
    </w:p>
    <w:p>
      <w:pPr>
        <w:pStyle w:val="BodyText"/>
        <w:spacing w:line="249" w:lineRule="exact"/>
        <w:ind w:left="258" w:right="0"/>
        <w:jc w:val="left"/>
      </w:pPr>
      <w:r>
        <w:rPr/>
        <w:t>□适用 √不适用</w:t>
      </w:r>
    </w:p>
    <w:p>
      <w:pPr>
        <w:spacing w:line="240" w:lineRule="auto" w:before="11"/>
        <w:rPr>
          <w:rFonts w:ascii="宋体" w:hAnsi="宋体" w:cs="宋体" w:eastAsia="宋体" w:hint="default"/>
          <w:sz w:val="22"/>
          <w:szCs w:val="22"/>
        </w:rPr>
      </w:pPr>
    </w:p>
    <w:p>
      <w:pPr>
        <w:pStyle w:val="Heading2"/>
        <w:spacing w:line="290" w:lineRule="auto" w:before="0"/>
        <w:ind w:left="258" w:right="649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8" w:lineRule="exact"/>
        <w:ind w:left="258" w:right="0"/>
        <w:jc w:val="left"/>
      </w:pPr>
      <w:r>
        <w:rPr/>
        <w:t>□适用 √不适用</w:t>
      </w:r>
    </w:p>
    <w:p>
      <w:pPr>
        <w:pStyle w:val="Heading2"/>
        <w:spacing w:line="272" w:lineRule="exact" w:before="0"/>
        <w:ind w:left="258" w:right="0"/>
        <w:jc w:val="left"/>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258" w:right="56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100" w:val="left" w:leader="none"/>
        </w:tabs>
        <w:spacing w:line="249" w:lineRule="exact"/>
        <w:ind w:left="258"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258" w:right="0"/>
        <w:jc w:val="left"/>
      </w:pPr>
      <w:r>
        <w:rPr/>
        <w:t>其他说明：</w:t>
      </w:r>
    </w:p>
    <w:p>
      <w:pPr>
        <w:pStyle w:val="BodyText"/>
        <w:spacing w:line="273" w:lineRule="exact"/>
        <w:ind w:left="258" w:right="0"/>
        <w:jc w:val="left"/>
      </w:pPr>
      <w:r>
        <w:rPr/>
        <w:t>□适用 √不适用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40" w:right="1060"/>
        </w:sectPr>
      </w:pPr>
    </w:p>
    <w:p>
      <w:pPr>
        <w:pStyle w:val="Heading2"/>
        <w:spacing w:line="240" w:lineRule="auto"/>
        <w:ind w:left="258" w:right="-2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2"/>
        <w:spacing w:line="240" w:lineRule="auto" w:before="57"/>
        <w:ind w:left="25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left="25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60"/>
          <w:cols w:num="2" w:equalWidth="0">
            <w:col w:w="2373" w:space="4149"/>
            <w:col w:w="2788"/>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441"/>
        <w:gridCol w:w="1469"/>
        <w:gridCol w:w="384"/>
        <w:gridCol w:w="1368"/>
        <w:gridCol w:w="1370"/>
        <w:gridCol w:w="267"/>
        <w:gridCol w:w="1368"/>
        <w:gridCol w:w="336"/>
      </w:tblGrid>
      <w:tr>
        <w:trPr>
          <w:trHeight w:val="286" w:hRule="exact"/>
        </w:trPr>
        <w:tc>
          <w:tcPr>
            <w:tcW w:w="24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5" w:type="dxa"/>
            <w:gridSpan w:val="3"/>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336" w:type="dxa"/>
            <w:vMerge w:val="restart"/>
            <w:tcBorders>
              <w:top w:val="single" w:sz="4" w:space="0" w:color="000000"/>
              <w:left w:val="single" w:sz="4" w:space="0" w:color="000000"/>
              <w:right w:val="single" w:sz="4" w:space="0" w:color="000000"/>
            </w:tcBorders>
          </w:tcPr>
          <w:p>
            <w:pPr>
              <w:pStyle w:val="TableParagraph"/>
              <w:spacing w:line="272" w:lineRule="exact" w:before="3"/>
              <w:ind w:left="57" w:right="55"/>
              <w:jc w:val="left"/>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现</w:t>
            </w:r>
          </w:p>
          <w:p>
            <w:pPr>
              <w:pStyle w:val="TableParagraph"/>
              <w:spacing w:line="272" w:lineRule="exact" w:before="1"/>
              <w:ind w:left="57" w:right="55"/>
              <w:jc w:val="left"/>
              <w:rPr>
                <w:rFonts w:ascii="宋体" w:hAnsi="宋体" w:cs="宋体" w:eastAsia="宋体" w:hint="default"/>
                <w:sz w:val="21"/>
                <w:szCs w:val="21"/>
              </w:rPr>
            </w:pP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p>
          <w:p>
            <w:pPr>
              <w:pStyle w:val="TableParagraph"/>
              <w:spacing w:line="249" w:lineRule="exact"/>
              <w:ind w:left="57" w:right="0"/>
              <w:jc w:val="left"/>
              <w:rPr>
                <w:rFonts w:ascii="宋体" w:hAnsi="宋体" w:cs="宋体" w:eastAsia="宋体" w:hint="default"/>
                <w:sz w:val="21"/>
                <w:szCs w:val="21"/>
              </w:rPr>
            </w:pPr>
            <w:r>
              <w:rPr>
                <w:rFonts w:ascii="宋体" w:hAnsi="宋体" w:cs="宋体" w:eastAsia="宋体" w:hint="default"/>
                <w:w w:val="100"/>
                <w:sz w:val="21"/>
                <w:szCs w:val="21"/>
              </w:rPr>
              <w:t>间</w:t>
            </w:r>
          </w:p>
        </w:tc>
      </w:tr>
      <w:tr>
        <w:trPr>
          <w:trHeight w:val="1104" w:hRule="exact"/>
        </w:trPr>
        <w:tc>
          <w:tcPr>
            <w:tcW w:w="2441" w:type="dxa"/>
            <w:vMerge/>
            <w:tcBorders>
              <w:left w:val="single" w:sz="4" w:space="0" w:color="000000"/>
              <w:bottom w:val="single" w:sz="6" w:space="0" w:color="000000"/>
              <w:right w:val="single" w:sz="4" w:space="0" w:color="000000"/>
            </w:tcBorders>
          </w:tcPr>
          <w:p>
            <w:pPr/>
          </w:p>
        </w:tc>
        <w:tc>
          <w:tcPr>
            <w:tcW w:w="146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before="2"/>
              <w:ind w:left="79" w:right="77"/>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 w:right="0"/>
              <w:jc w:val="both"/>
              <w:rPr>
                <w:rFonts w:ascii="宋体" w:hAnsi="宋体" w:cs="宋体" w:eastAsia="宋体" w:hint="default"/>
                <w:sz w:val="21"/>
                <w:szCs w:val="21"/>
              </w:rPr>
            </w:pPr>
            <w:r>
              <w:rPr>
                <w:rFonts w:ascii="宋体" w:hAnsi="宋体" w:cs="宋体" w:eastAsia="宋体" w:hint="default"/>
                <w:w w:val="100"/>
                <w:sz w:val="21"/>
                <w:szCs w:val="21"/>
              </w:rPr>
              <w:t>坏</w:t>
            </w:r>
          </w:p>
          <w:p>
            <w:pPr>
              <w:pStyle w:val="TableParagraph"/>
              <w:spacing w:line="237" w:lineRule="auto" w:before="2"/>
              <w:ind w:left="19" w:right="20"/>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36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36" w:type="dxa"/>
            <w:vMerge/>
            <w:tcBorders>
              <w:left w:val="single" w:sz="4" w:space="0" w:color="000000"/>
              <w:bottom w:val="single" w:sz="6" w:space="0" w:color="000000"/>
              <w:right w:val="single" w:sz="4" w:space="0" w:color="000000"/>
            </w:tcBorders>
          </w:tcPr>
          <w:p>
            <w:pPr/>
          </w:p>
        </w:tc>
      </w:tr>
      <w:tr>
        <w:trPr>
          <w:trHeight w:val="288"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469"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4" w:space="0" w:color="000000"/>
            </w:tcBorders>
          </w:tcPr>
          <w:p>
            <w:pPr/>
          </w:p>
        </w:tc>
        <w:tc>
          <w:tcPr>
            <w:tcW w:w="336"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1" w:right="0"/>
              <w:jc w:val="left"/>
              <w:rPr>
                <w:rFonts w:ascii="宋体" w:hAnsi="宋体" w:cs="宋体" w:eastAsia="宋体" w:hint="default"/>
                <w:sz w:val="21"/>
                <w:szCs w:val="21"/>
              </w:rPr>
            </w:pPr>
            <w:r>
              <w:rPr>
                <w:rFonts w:ascii="宋体" w:hAnsi="宋体" w:cs="宋体" w:eastAsia="宋体" w:hint="default"/>
                <w:spacing w:val="5"/>
                <w:sz w:val="21"/>
                <w:szCs w:val="21"/>
              </w:rPr>
              <w:t>其中：未实现融资收</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469"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4" w:space="0" w:color="000000"/>
            </w:tcBorders>
          </w:tcPr>
          <w:p>
            <w:pPr/>
          </w:p>
        </w:tc>
        <w:tc>
          <w:tcPr>
            <w:tcW w:w="33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469"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4" w:space="0" w:color="000000"/>
            </w:tcBorders>
          </w:tcPr>
          <w:p>
            <w:pPr/>
          </w:p>
        </w:tc>
        <w:tc>
          <w:tcPr>
            <w:tcW w:w="33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469"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4" w:space="0" w:color="000000"/>
            </w:tcBorders>
          </w:tcPr>
          <w:p>
            <w:pPr/>
          </w:p>
        </w:tc>
        <w:tc>
          <w:tcPr>
            <w:tcW w:w="336" w:type="dxa"/>
            <w:tcBorders>
              <w:top w:val="single" w:sz="6" w:space="0" w:color="000000"/>
              <w:left w:val="single" w:sz="4" w:space="0" w:color="000000"/>
              <w:bottom w:val="single" w:sz="6" w:space="0" w:color="000000"/>
              <w:right w:val="single" w:sz="6" w:space="0" w:color="000000"/>
            </w:tcBorders>
          </w:tcPr>
          <w:p>
            <w:pPr/>
          </w:p>
        </w:tc>
      </w:tr>
      <w:tr>
        <w:trPr>
          <w:trHeight w:val="257"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贵州大学明德学院项目代建款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180,000,000.00</w:t>
            </w:r>
          </w:p>
        </w:tc>
        <w:tc>
          <w:tcPr>
            <w:tcW w:w="3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180,000,000.00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180,000,000.00</w:t>
            </w:r>
          </w:p>
        </w:tc>
        <w:tc>
          <w:tcPr>
            <w:tcW w:w="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180,000,000.00</w:t>
            </w:r>
          </w:p>
        </w:tc>
        <w:tc>
          <w:tcPr>
            <w:tcW w:w="336" w:type="dxa"/>
            <w:tcBorders>
              <w:top w:val="single" w:sz="6" w:space="0" w:color="000000"/>
              <w:left w:val="single" w:sz="4" w:space="0" w:color="000000"/>
              <w:bottom w:val="single" w:sz="6" w:space="0" w:color="000000"/>
              <w:right w:val="single" w:sz="6" w:space="0" w:color="000000"/>
            </w:tcBorders>
          </w:tcPr>
          <w:p>
            <w:pPr/>
          </w:p>
        </w:tc>
      </w:tr>
    </w:tbl>
    <w:p>
      <w:pPr>
        <w:spacing w:after="0"/>
        <w:sectPr>
          <w:type w:val="continuous"/>
          <w:pgSz w:w="11910" w:h="16840"/>
          <w:pgMar w:top="1120" w:bottom="1380" w:left="154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441"/>
        <w:gridCol w:w="1469"/>
        <w:gridCol w:w="384"/>
        <w:gridCol w:w="1368"/>
        <w:gridCol w:w="1370"/>
        <w:gridCol w:w="267"/>
        <w:gridCol w:w="1368"/>
        <w:gridCol w:w="336"/>
      </w:tblGrid>
      <w:tr>
        <w:trPr>
          <w:trHeight w:val="288"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分期收款</w:t>
            </w:r>
            <w:r>
              <w:rPr>
                <w:rFonts w:ascii="Times New Roman" w:hAnsi="Times New Roman" w:cs="Times New Roman" w:eastAsia="Times New Roman" w:hint="default"/>
                <w:sz w:val="21"/>
                <w:szCs w:val="21"/>
              </w:rPr>
              <w:t>—</w:t>
            </w:r>
            <w:r>
              <w:rPr>
                <w:rFonts w:ascii="宋体" w:hAnsi="宋体" w:cs="宋体" w:eastAsia="宋体" w:hint="default"/>
                <w:sz w:val="21"/>
                <w:szCs w:val="21"/>
              </w:rPr>
              <w:t>股权处置款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4"/>
              <w:jc w:val="right"/>
              <w:rPr>
                <w:rFonts w:ascii="Times New Roman" w:hAnsi="Times New Roman" w:cs="Times New Roman" w:eastAsia="Times New Roman" w:hint="default"/>
                <w:sz w:val="21"/>
                <w:szCs w:val="21"/>
              </w:rPr>
            </w:pPr>
            <w:r>
              <w:rPr>
                <w:rFonts w:ascii="Times New Roman"/>
                <w:spacing w:val="-1"/>
                <w:sz w:val="21"/>
              </w:rPr>
              <w:t>29,062,844.96</w:t>
            </w:r>
          </w:p>
        </w:tc>
        <w:tc>
          <w:tcPr>
            <w:tcW w:w="3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1"/>
                <w:sz w:val="21"/>
              </w:rPr>
              <w:t>29,062,844.96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8" w:right="0"/>
              <w:jc w:val="center"/>
              <w:rPr>
                <w:rFonts w:ascii="Times New Roman" w:hAnsi="Times New Roman" w:cs="Times New Roman" w:eastAsia="Times New Roman" w:hint="default"/>
                <w:sz w:val="21"/>
                <w:szCs w:val="21"/>
              </w:rPr>
            </w:pPr>
            <w:r>
              <w:rPr>
                <w:rFonts w:ascii="Times New Roman"/>
                <w:sz w:val="21"/>
              </w:rPr>
              <w:t>39,570,199.20</w:t>
            </w:r>
          </w:p>
        </w:tc>
        <w:tc>
          <w:tcPr>
            <w:tcW w:w="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103" w:right="0"/>
              <w:jc w:val="center"/>
              <w:rPr>
                <w:rFonts w:ascii="Times New Roman" w:hAnsi="Times New Roman" w:cs="Times New Roman" w:eastAsia="Times New Roman" w:hint="default"/>
                <w:sz w:val="21"/>
                <w:szCs w:val="21"/>
              </w:rPr>
            </w:pPr>
            <w:r>
              <w:rPr>
                <w:rFonts w:ascii="Times New Roman"/>
                <w:sz w:val="21"/>
              </w:rPr>
              <w:t>39,570,199.20</w:t>
            </w:r>
          </w:p>
        </w:tc>
        <w:tc>
          <w:tcPr>
            <w:tcW w:w="336"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5" w:right="0"/>
              <w:jc w:val="center"/>
              <w:rPr>
                <w:rFonts w:ascii="Times New Roman" w:hAnsi="Times New Roman" w:cs="Times New Roman" w:eastAsia="Times New Roman" w:hint="default"/>
                <w:sz w:val="21"/>
                <w:szCs w:val="21"/>
              </w:rPr>
            </w:pPr>
            <w:r>
              <w:rPr>
                <w:rFonts w:ascii="Times New Roman"/>
                <w:sz w:val="21"/>
              </w:rPr>
              <w:t>6%</w:t>
            </w:r>
          </w:p>
        </w:tc>
      </w:tr>
      <w:tr>
        <w:trPr>
          <w:trHeight w:val="559"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泰豪沈阳电机有限公司发</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电机厂房代建款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Times New Roman" w:hAnsi="Times New Roman" w:cs="Times New Roman" w:eastAsia="Times New Roman" w:hint="default"/>
                <w:sz w:val="21"/>
                <w:szCs w:val="21"/>
              </w:rPr>
            </w:pPr>
            <w:r>
              <w:rPr>
                <w:rFonts w:ascii="Times New Roman"/>
                <w:spacing w:val="-1"/>
                <w:sz w:val="21"/>
              </w:rPr>
              <w:t>51,300,000.00</w:t>
            </w:r>
          </w:p>
        </w:tc>
        <w:tc>
          <w:tcPr>
            <w:tcW w:w="3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51,300,000.00</w:t>
            </w:r>
          </w:p>
        </w:tc>
        <w:tc>
          <w:tcPr>
            <w:tcW w:w="1370" w:type="dxa"/>
            <w:tcBorders>
              <w:top w:val="single" w:sz="6" w:space="0" w:color="000000"/>
              <w:left w:val="single" w:sz="6" w:space="0" w:color="000000"/>
              <w:bottom w:val="single" w:sz="6" w:space="0" w:color="000000"/>
              <w:right w:val="single" w:sz="6" w:space="0" w:color="000000"/>
            </w:tcBorders>
          </w:tcPr>
          <w:p>
            <w:pPr/>
          </w:p>
        </w:tc>
        <w:tc>
          <w:tcPr>
            <w:tcW w:w="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4" w:space="0" w:color="000000"/>
            </w:tcBorders>
          </w:tcPr>
          <w:p>
            <w:pPr/>
          </w:p>
        </w:tc>
        <w:tc>
          <w:tcPr>
            <w:tcW w:w="33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4"/>
              <w:jc w:val="right"/>
              <w:rPr>
                <w:rFonts w:ascii="Times New Roman" w:hAnsi="Times New Roman" w:cs="Times New Roman" w:eastAsia="Times New Roman" w:hint="default"/>
                <w:sz w:val="21"/>
                <w:szCs w:val="21"/>
              </w:rPr>
            </w:pPr>
            <w:r>
              <w:rPr>
                <w:rFonts w:ascii="Times New Roman"/>
                <w:spacing w:val="-1"/>
                <w:sz w:val="21"/>
              </w:rPr>
              <w:t>260,362,844.96</w:t>
            </w:r>
          </w:p>
        </w:tc>
        <w:tc>
          <w:tcPr>
            <w:tcW w:w="384"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260,362,844.96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219,570,199.20</w:t>
            </w:r>
          </w:p>
        </w:tc>
        <w:tc>
          <w:tcPr>
            <w:tcW w:w="26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219,570,199.20</w:t>
            </w:r>
          </w:p>
        </w:tc>
        <w:tc>
          <w:tcPr>
            <w:tcW w:w="336"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57" w:lineRule="exact"/>
        <w:ind w:left="678" w:right="0"/>
        <w:jc w:val="left"/>
      </w:pPr>
      <w:r>
        <w:rPr>
          <w:w w:val="100"/>
        </w:rPr>
        <w:t>注</w:t>
      </w:r>
      <w:r>
        <w:rPr>
          <w:spacing w:val="-53"/>
        </w:rPr>
        <w:t> </w:t>
      </w:r>
      <w:r>
        <w:rPr>
          <w:rFonts w:ascii="Times New Roman" w:hAnsi="Times New Roman" w:cs="Times New Roman" w:eastAsia="Times New Roman" w:hint="default"/>
          <w:w w:val="100"/>
        </w:rPr>
        <w:t>1</w:t>
      </w:r>
      <w:r>
        <w:rPr>
          <w:spacing w:val="-3"/>
          <w:w w:val="100"/>
        </w:rPr>
        <w:t>：</w:t>
      </w:r>
      <w:r>
        <w:rPr>
          <w:w w:val="100"/>
        </w:rPr>
        <w:t>贵</w:t>
      </w:r>
      <w:r>
        <w:rPr>
          <w:spacing w:val="-3"/>
          <w:w w:val="100"/>
        </w:rPr>
        <w:t>州</w:t>
      </w:r>
      <w:r>
        <w:rPr>
          <w:w w:val="100"/>
        </w:rPr>
        <w:t>大</w:t>
      </w:r>
      <w:r>
        <w:rPr>
          <w:spacing w:val="-3"/>
          <w:w w:val="100"/>
        </w:rPr>
        <w:t>学</w:t>
      </w:r>
      <w:r>
        <w:rPr>
          <w:w w:val="100"/>
        </w:rPr>
        <w:t>明</w:t>
      </w:r>
      <w:r>
        <w:rPr>
          <w:spacing w:val="-3"/>
          <w:w w:val="100"/>
        </w:rPr>
        <w:t>德</w:t>
      </w:r>
      <w:r>
        <w:rPr>
          <w:w w:val="100"/>
        </w:rPr>
        <w:t>学</w:t>
      </w:r>
      <w:r>
        <w:rPr>
          <w:spacing w:val="-3"/>
          <w:w w:val="100"/>
        </w:rPr>
        <w:t>院</w:t>
      </w:r>
      <w:r>
        <w:rPr>
          <w:w w:val="100"/>
        </w:rPr>
        <w:t>代建</w:t>
      </w:r>
      <w:r>
        <w:rPr>
          <w:spacing w:val="-3"/>
          <w:w w:val="100"/>
        </w:rPr>
        <w:t>款</w:t>
      </w:r>
      <w:r>
        <w:rPr>
          <w:w w:val="100"/>
        </w:rPr>
        <w:t>说</w:t>
      </w:r>
      <w:r>
        <w:rPr>
          <w:spacing w:val="-3"/>
          <w:w w:val="100"/>
        </w:rPr>
        <w:t>明</w:t>
      </w:r>
      <w:r>
        <w:rPr>
          <w:w w:val="100"/>
        </w:rPr>
        <w:t>详</w:t>
      </w:r>
      <w:r>
        <w:rPr>
          <w:spacing w:val="-3"/>
          <w:w w:val="100"/>
        </w:rPr>
        <w:t>见</w:t>
      </w:r>
      <w:r>
        <w:rPr>
          <w:w w:val="100"/>
        </w:rPr>
        <w:t>“</w:t>
      </w:r>
      <w:r>
        <w:rPr>
          <w:spacing w:val="-3"/>
          <w:w w:val="100"/>
        </w:rPr>
        <w:t>附</w:t>
      </w:r>
      <w:r>
        <w:rPr>
          <w:w w:val="100"/>
        </w:rPr>
        <w:t>注</w:t>
      </w:r>
      <w:r>
        <w:rPr>
          <w:spacing w:val="-3"/>
          <w:w w:val="100"/>
        </w:rPr>
        <w:t>八</w:t>
      </w:r>
      <w:r>
        <w:rPr>
          <w:spacing w:val="-108"/>
          <w:w w:val="100"/>
        </w:rPr>
        <w:t>、</w:t>
      </w:r>
      <w:r>
        <w:rPr>
          <w:w w:val="100"/>
        </w:rPr>
        <w:t>（五</w:t>
      </w:r>
      <w:r>
        <w:rPr>
          <w:spacing w:val="-108"/>
          <w:w w:val="100"/>
        </w:rPr>
        <w:t>）</w:t>
      </w:r>
      <w:r>
        <w:rPr>
          <w:w w:val="100"/>
        </w:rPr>
        <w:t>、</w:t>
      </w:r>
      <w:r>
        <w:rPr>
          <w:rFonts w:ascii="Times New Roman" w:hAnsi="Times New Roman" w:cs="Times New Roman" w:eastAsia="Times New Roman" w:hint="default"/>
          <w:w w:val="100"/>
        </w:rPr>
        <w:t>5</w:t>
      </w:r>
      <w:r>
        <w:rPr>
          <w:spacing w:val="-108"/>
          <w:w w:val="100"/>
        </w:rPr>
        <w:t>”</w:t>
      </w:r>
      <w:r>
        <w:rPr>
          <w:w w:val="100"/>
        </w:rPr>
        <w:t>，</w:t>
      </w:r>
      <w:r>
        <w:rPr>
          <w:spacing w:val="-3"/>
          <w:w w:val="100"/>
        </w:rPr>
        <w:t>代</w:t>
      </w:r>
      <w:r>
        <w:rPr>
          <w:w w:val="100"/>
        </w:rPr>
        <w:t>建</w:t>
      </w:r>
      <w:r>
        <w:rPr>
          <w:spacing w:val="-3"/>
          <w:w w:val="100"/>
        </w:rPr>
        <w:t>款</w:t>
      </w:r>
      <w:r>
        <w:rPr>
          <w:w w:val="100"/>
        </w:rPr>
        <w:t>项</w:t>
      </w:r>
      <w:r>
        <w:rPr>
          <w:spacing w:val="-3"/>
          <w:w w:val="100"/>
        </w:rPr>
        <w:t>分三</w:t>
      </w:r>
      <w:r>
        <w:rPr>
          <w:w w:val="100"/>
        </w:rPr>
        <w:t>期收</w:t>
      </w:r>
      <w:r>
        <w:rPr>
          <w:spacing w:val="-3"/>
          <w:w w:val="100"/>
        </w:rPr>
        <w:t>回</w:t>
      </w:r>
      <w:r>
        <w:rPr>
          <w:w w:val="100"/>
        </w:rPr>
        <w:t>。</w:t>
      </w:r>
    </w:p>
    <w:p>
      <w:pPr>
        <w:pStyle w:val="BodyText"/>
        <w:spacing w:line="256" w:lineRule="auto" w:before="23"/>
        <w:ind w:left="258" w:right="150" w:firstLine="419"/>
        <w:jc w:val="both"/>
      </w:pPr>
      <w:r>
        <w:rPr>
          <w:w w:val="100"/>
        </w:rPr>
        <w:t>注</w:t>
      </w:r>
      <w:r>
        <w:rPr>
          <w:spacing w:val="19"/>
          <w:w w:val="100"/>
        </w:rPr>
        <w:t> </w:t>
      </w:r>
      <w:r>
        <w:rPr>
          <w:rFonts w:ascii="Times New Roman" w:hAnsi="Times New Roman" w:cs="Times New Roman" w:eastAsia="Times New Roman" w:hint="default"/>
          <w:spacing w:val="-9"/>
          <w:w w:val="100"/>
        </w:rPr>
        <w:t>2</w:t>
      </w:r>
      <w:r>
        <w:rPr>
          <w:spacing w:val="-9"/>
          <w:w w:val="100"/>
        </w:rPr>
        <w:t>：泰豪沈阳电机有限公司发电机厂房代建款说明详见“附注八、（五）、</w:t>
      </w:r>
      <w:r>
        <w:rPr>
          <w:rFonts w:ascii="Arial Narrow" w:hAnsi="Arial Narrow" w:cs="Arial Narrow" w:eastAsia="Arial Narrow" w:hint="default"/>
          <w:spacing w:val="-9"/>
          <w:w w:val="100"/>
        </w:rPr>
        <w:t>5</w:t>
      </w:r>
      <w:r>
        <w:rPr>
          <w:spacing w:val="-9"/>
          <w:w w:val="100"/>
        </w:rPr>
        <w:t>”，代建款项分</w:t>
      </w:r>
      <w:r>
        <w:rPr>
          <w:w w:val="100"/>
        </w:rPr>
        <w:t> </w:t>
      </w:r>
      <w:r>
        <w:rPr/>
        <w:t>五期收回。</w:t>
      </w:r>
    </w:p>
    <w:p>
      <w:pPr>
        <w:pStyle w:val="BodyText"/>
        <w:spacing w:line="261" w:lineRule="auto" w:before="25"/>
        <w:ind w:left="258" w:right="147" w:firstLine="424"/>
        <w:jc w:val="both"/>
      </w:pPr>
      <w:r>
        <w:rPr/>
        <w:t>注</w:t>
      </w:r>
      <w:r>
        <w:rPr>
          <w:spacing w:val="-47"/>
        </w:rPr>
        <w:t> </w:t>
      </w:r>
      <w:r>
        <w:rPr>
          <w:rFonts w:ascii="Times New Roman" w:hAnsi="Times New Roman" w:cs="Times New Roman" w:eastAsia="Times New Roman" w:hint="default"/>
        </w:rPr>
        <w:t>3</w:t>
      </w:r>
      <w:r>
        <w:rPr/>
        <w:t>：</w:t>
      </w:r>
      <w:r>
        <w:rPr>
          <w:spacing w:val="-1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spacing w:val="-4"/>
        </w:rPr>
        <w:t>日，公司与上海赟和实业有限公司签订了《江西铂砾耐科技有限公司</w:t>
      </w:r>
      <w:r>
        <w:rPr>
          <w:w w:val="100"/>
        </w:rPr>
        <w:t> </w:t>
      </w:r>
      <w:r>
        <w:rPr>
          <w:spacing w:val="-6"/>
          <w:w w:val="100"/>
        </w:rPr>
        <w:t>股权转让协议》。将持有参股子公司江西铂砾耐科技有限公司</w:t>
      </w:r>
      <w:r>
        <w:rPr>
          <w:spacing w:val="23"/>
          <w:w w:val="100"/>
        </w:rPr>
        <w:t> </w:t>
      </w:r>
      <w:r>
        <w:rPr>
          <w:rFonts w:ascii="Times New Roman" w:hAnsi="Times New Roman" w:cs="Times New Roman" w:eastAsia="Times New Roman" w:hint="default"/>
          <w:spacing w:val="-2"/>
          <w:w w:val="100"/>
        </w:rPr>
        <w:t>25.93%</w:t>
      </w:r>
      <w:r>
        <w:rPr>
          <w:spacing w:val="-2"/>
          <w:w w:val="100"/>
        </w:rPr>
        <w:t>股权，以不低于本公司持有</w:t>
      </w:r>
      <w:r>
        <w:rPr>
          <w:spacing w:val="-100"/>
          <w:w w:val="100"/>
        </w:rPr>
        <w:t> </w:t>
      </w:r>
      <w:r>
        <w:rPr>
          <w:spacing w:val="-100"/>
          <w:w w:val="100"/>
        </w:rPr>
      </w:r>
      <w:r>
        <w:rPr>
          <w:spacing w:val="-1"/>
        </w:rPr>
        <w:t>股权所对应净资产的价格作价，经股权转让双方协商，最终确认本次股权转让所对应转让股权部</w:t>
      </w:r>
      <w:r>
        <w:rPr>
          <w:spacing w:val="-55"/>
        </w:rPr>
        <w:t> </w:t>
      </w:r>
      <w:r>
        <w:rPr>
          <w:spacing w:val="-55"/>
        </w:rPr>
      </w:r>
      <w:r>
        <w:rPr/>
        <w:t>分的价格为</w:t>
      </w:r>
      <w:r>
        <w:rPr>
          <w:spacing w:val="-52"/>
        </w:rPr>
        <w:t> </w:t>
      </w:r>
      <w:r>
        <w:rPr>
          <w:rFonts w:ascii="Times New Roman" w:hAnsi="Times New Roman" w:cs="Times New Roman" w:eastAsia="Times New Roman" w:hint="default"/>
        </w:rPr>
        <w:t>83,000,000.00</w:t>
      </w:r>
      <w:r>
        <w:rPr>
          <w:rFonts w:ascii="Times New Roman" w:hAnsi="Times New Roman" w:cs="Times New Roman" w:eastAsia="Times New Roman" w:hint="default"/>
          <w:spacing w:val="-1"/>
        </w:rPr>
        <w:t> </w:t>
      </w:r>
      <w:r>
        <w:rPr>
          <w:spacing w:val="-9"/>
        </w:rPr>
        <w:t>元，</w:t>
      </w:r>
      <w:r>
        <w:rPr>
          <w:rFonts w:ascii="Times New Roman" w:hAnsi="Times New Roman" w:cs="Times New Roman" w:eastAsia="Times New Roman" w:hint="default"/>
          <w:spacing w:val="-9"/>
        </w:rPr>
        <w:t>2015</w:t>
      </w:r>
      <w:r>
        <w:rPr>
          <w:rFonts w:ascii="Times New Roman" w:hAnsi="Times New Roman" w:cs="Times New Roman" w:eastAsia="Times New Roman" w:hint="default"/>
          <w:spacing w:val="-2"/>
        </w:rPr>
        <w:t> </w:t>
      </w:r>
      <w:r>
        <w:rPr/>
        <w:t>年度已收回股权转让款</w:t>
      </w:r>
      <w:r>
        <w:rPr>
          <w:spacing w:val="-52"/>
        </w:rPr>
        <w:t> </w:t>
      </w:r>
      <w:r>
        <w:rPr>
          <w:rFonts w:ascii="Times New Roman" w:hAnsi="Times New Roman" w:cs="Times New Roman" w:eastAsia="Times New Roman" w:hint="default"/>
        </w:rPr>
        <w:t>6,000,000.00</w:t>
      </w:r>
      <w:r>
        <w:rPr>
          <w:rFonts w:ascii="Times New Roman" w:hAnsi="Times New Roman" w:cs="Times New Roman" w:eastAsia="Times New Roman" w:hint="default"/>
          <w:spacing w:val="-2"/>
        </w:rPr>
        <w:t> </w:t>
      </w:r>
      <w:r>
        <w:rPr>
          <w:spacing w:val="-9"/>
        </w:rPr>
        <w:t>元，</w:t>
      </w:r>
      <w:r>
        <w:rPr>
          <w:rFonts w:ascii="Times New Roman" w:hAnsi="Times New Roman" w:cs="Times New Roman" w:eastAsia="Times New Roman" w:hint="default"/>
          <w:spacing w:val="-9"/>
        </w:rPr>
        <w:t>2016</w:t>
      </w:r>
      <w:r>
        <w:rPr>
          <w:rFonts w:ascii="Times New Roman" w:hAnsi="Times New Roman" w:cs="Times New Roman" w:eastAsia="Times New Roman" w:hint="default"/>
          <w:spacing w:val="1"/>
        </w:rPr>
        <w:t> </w:t>
      </w:r>
      <w:r>
        <w:rPr/>
        <w:t>年度已收回股权</w:t>
      </w:r>
      <w:r>
        <w:rPr>
          <w:w w:val="100"/>
        </w:rPr>
        <w:t> </w:t>
      </w:r>
      <w:r>
        <w:rPr/>
        <w:t>转让款</w:t>
      </w:r>
      <w:r>
        <w:rPr>
          <w:spacing w:val="-41"/>
        </w:rPr>
        <w:t> </w:t>
      </w:r>
      <w:r>
        <w:rPr>
          <w:rFonts w:ascii="Times New Roman" w:hAnsi="Times New Roman" w:cs="Times New Roman" w:eastAsia="Times New Roman" w:hint="default"/>
        </w:rPr>
        <w:t>7,429,000.00</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年度已收回股权转让款</w:t>
      </w:r>
      <w:r>
        <w:rPr>
          <w:spacing w:val="-41"/>
        </w:rPr>
        <w:t> </w:t>
      </w:r>
      <w:r>
        <w:rPr>
          <w:rFonts w:ascii="Times New Roman" w:hAnsi="Times New Roman" w:cs="Times New Roman" w:eastAsia="Times New Roman" w:hint="default"/>
        </w:rPr>
        <w:t>8,471,000.00</w:t>
      </w:r>
      <w:r>
        <w:rPr>
          <w:rFonts w:ascii="Times New Roman" w:hAnsi="Times New Roman" w:cs="Times New Roman" w:eastAsia="Times New Roman" w:hint="default"/>
          <w:spacing w:val="9"/>
        </w:rPr>
        <w:t> </w:t>
      </w:r>
      <w:r>
        <w:rPr/>
        <w:t>元。剩余股权转让款将于以下</w:t>
      </w:r>
      <w:r>
        <w:rPr>
          <w:w w:val="100"/>
        </w:rPr>
        <w:t> </w:t>
      </w:r>
      <w:r>
        <w:rPr/>
        <w:t>年度分期收回：</w:t>
      </w:r>
    </w:p>
    <w:p>
      <w:pPr>
        <w:spacing w:line="240" w:lineRule="auto" w:before="5"/>
        <w:rPr>
          <w:rFonts w:ascii="宋体" w:hAnsi="宋体" w:cs="宋体" w:eastAsia="宋体" w:hint="default"/>
          <w:sz w:val="13"/>
          <w:szCs w:val="13"/>
        </w:rPr>
      </w:pPr>
    </w:p>
    <w:tbl>
      <w:tblPr>
        <w:tblW w:w="0" w:type="auto"/>
        <w:jc w:val="left"/>
        <w:tblInd w:w="224" w:type="dxa"/>
        <w:tblLayout w:type="fixed"/>
        <w:tblCellMar>
          <w:top w:w="0" w:type="dxa"/>
          <w:left w:w="0" w:type="dxa"/>
          <w:bottom w:w="0" w:type="dxa"/>
          <w:right w:w="0" w:type="dxa"/>
        </w:tblCellMar>
        <w:tblLook w:val="01E0"/>
      </w:tblPr>
      <w:tblGrid>
        <w:gridCol w:w="4273"/>
        <w:gridCol w:w="4537"/>
      </w:tblGrid>
      <w:tr>
        <w:trPr>
          <w:trHeight w:val="360" w:hRule="exact"/>
        </w:trPr>
        <w:tc>
          <w:tcPr>
            <w:tcW w:w="427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款项回收时间</w:t>
            </w:r>
          </w:p>
        </w:tc>
        <w:tc>
          <w:tcPr>
            <w:tcW w:w="45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0"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日前</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24,000,000.00</w:t>
            </w:r>
          </w:p>
        </w:tc>
      </w:tr>
      <w:tr>
        <w:trPr>
          <w:trHeight w:val="350"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2019</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Narrow" w:hAnsi="Arial Narrow" w:cs="Arial Narrow" w:eastAsia="Arial Narrow" w:hint="default"/>
                <w:sz w:val="18"/>
                <w:szCs w:val="18"/>
              </w:rPr>
              <w:t>28</w:t>
            </w:r>
            <w:r>
              <w:rPr>
                <w:rFonts w:ascii="Arial Narrow" w:hAnsi="Arial Narrow" w:cs="Arial Narrow" w:eastAsia="Arial Narrow" w:hint="default"/>
                <w:spacing w:val="3"/>
                <w:sz w:val="18"/>
                <w:szCs w:val="18"/>
              </w:rPr>
              <w:t> </w:t>
            </w:r>
            <w:r>
              <w:rPr>
                <w:rFonts w:ascii="宋体" w:hAnsi="宋体" w:cs="宋体" w:eastAsia="宋体" w:hint="default"/>
                <w:sz w:val="18"/>
                <w:szCs w:val="18"/>
              </w:rPr>
              <w:t>日前</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37,100,000.00</w:t>
            </w:r>
          </w:p>
        </w:tc>
      </w:tr>
      <w:tr>
        <w:trPr>
          <w:trHeight w:val="360" w:hRule="exact"/>
        </w:trPr>
        <w:tc>
          <w:tcPr>
            <w:tcW w:w="4273" w:type="dxa"/>
            <w:tcBorders>
              <w:top w:val="single" w:sz="4" w:space="0" w:color="000000"/>
              <w:left w:val="nil" w:sz="6" w:space="0" w:color="auto"/>
              <w:bottom w:val="single" w:sz="12" w:space="0" w:color="000000"/>
              <w:right w:val="single" w:sz="4" w:space="0" w:color="000000"/>
            </w:tcBorders>
          </w:tcPr>
          <w:p>
            <w:pPr>
              <w:pStyle w:val="TableParagraph"/>
              <w:tabs>
                <w:tab w:pos="521" w:val="left" w:leader="none"/>
              </w:tabs>
              <w:spacing w:line="240" w:lineRule="auto" w:before="9"/>
              <w:ind w:left="19"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45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61,100,000.00</w:t>
            </w:r>
          </w:p>
        </w:tc>
      </w:tr>
    </w:tbl>
    <w:p>
      <w:pPr>
        <w:spacing w:line="240" w:lineRule="auto" w:before="10"/>
        <w:rPr>
          <w:rFonts w:ascii="宋体" w:hAnsi="宋体" w:cs="宋体" w:eastAsia="宋体" w:hint="default"/>
          <w:sz w:val="17"/>
          <w:szCs w:val="17"/>
        </w:rPr>
      </w:pPr>
    </w:p>
    <w:p>
      <w:pPr>
        <w:pStyle w:val="Heading2"/>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1100" w:val="left" w:leader="none"/>
        </w:tabs>
        <w:spacing w:line="240" w:lineRule="auto" w:before="56"/>
        <w:ind w:left="258"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left="258"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1100" w:val="left" w:leader="none"/>
        </w:tabs>
        <w:spacing w:line="240" w:lineRule="auto" w:before="58"/>
        <w:ind w:left="258"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258" w:right="0"/>
        <w:jc w:val="left"/>
      </w:pPr>
      <w:r>
        <w:rPr/>
        <w:t>其他说明</w:t>
      </w:r>
    </w:p>
    <w:p>
      <w:pPr>
        <w:pStyle w:val="BodyText"/>
        <w:spacing w:line="273" w:lineRule="exact"/>
        <w:ind w:left="258" w:right="0"/>
        <w:jc w:val="left"/>
      </w:pPr>
      <w:r>
        <w:rPr/>
        <w:t>□适用 √不适用</w:t>
      </w:r>
    </w:p>
    <w:p>
      <w:pPr>
        <w:spacing w:after="0" w:line="273" w:lineRule="exact"/>
        <w:jc w:val="left"/>
        <w:sectPr>
          <w:pgSz w:w="11910" w:h="16840"/>
          <w:pgMar w:header="0" w:footer="1195" w:top="1120" w:bottom="1380" w:left="1540" w:right="1120"/>
        </w:sectPr>
      </w:pPr>
    </w:p>
    <w:p>
      <w:pPr>
        <w:spacing w:before="20"/>
        <w:ind w:left="6395" w:right="639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58"/>
          <w:footerReference w:type="default" r:id="rId59"/>
          <w:pgSz w:w="16840" w:h="11910" w:orient="landscape"/>
          <w:pgMar w:header="0" w:footer="0" w:top="800" w:bottom="280" w:left="1300" w:right="1400"/>
        </w:sectPr>
      </w:pPr>
    </w:p>
    <w:p>
      <w:pPr>
        <w:pStyle w:val="Heading2"/>
        <w:spacing w:line="240" w:lineRule="auto"/>
        <w:ind w:left="140"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8"/>
        <w:ind w:left="140" w:right="-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400"/>
          <w:cols w:num="2" w:equalWidth="0">
            <w:col w:w="1912" w:space="9651"/>
            <w:col w:w="2577"/>
          </w:cols>
        </w:sectPr>
      </w:pP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2408"/>
        <w:gridCol w:w="1369"/>
        <w:gridCol w:w="1265"/>
        <w:gridCol w:w="1255"/>
        <w:gridCol w:w="1352"/>
        <w:gridCol w:w="578"/>
        <w:gridCol w:w="1277"/>
        <w:gridCol w:w="1417"/>
        <w:gridCol w:w="566"/>
        <w:gridCol w:w="286"/>
        <w:gridCol w:w="1416"/>
        <w:gridCol w:w="566"/>
      </w:tblGrid>
      <w:tr>
        <w:trPr>
          <w:trHeight w:val="281" w:hRule="exact"/>
        </w:trPr>
        <w:tc>
          <w:tcPr>
            <w:tcW w:w="24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70" w:right="464"/>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9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92" w:right="49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66" w:type="dxa"/>
            <w:vMerge w:val="restart"/>
            <w:tcBorders>
              <w:top w:val="single" w:sz="4" w:space="0" w:color="000000"/>
              <w:left w:val="single" w:sz="4" w:space="0" w:color="000000"/>
              <w:right w:val="single" w:sz="4" w:space="0" w:color="000000"/>
            </w:tcBorders>
          </w:tcPr>
          <w:p>
            <w:pPr>
              <w:pStyle w:val="TableParagraph"/>
              <w:spacing w:line="237" w:lineRule="auto" w:before="110"/>
              <w:ind w:left="69" w:right="62"/>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102" w:hRule="exact"/>
        </w:trPr>
        <w:tc>
          <w:tcPr>
            <w:tcW w:w="240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减少投资</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3" w:right="36" w:hanging="104"/>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71" w:right="72"/>
              <w:jc w:val="both"/>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7" w:right="103" w:hanging="420"/>
              <w:jc w:val="left"/>
              <w:rPr>
                <w:rFonts w:ascii="宋体" w:hAnsi="宋体" w:cs="宋体" w:eastAsia="宋体" w:hint="default"/>
                <w:sz w:val="21"/>
                <w:szCs w:val="21"/>
              </w:rPr>
            </w:pPr>
            <w:r>
              <w:rPr>
                <w:rFonts w:ascii="宋体" w:hAnsi="宋体" w:cs="宋体" w:eastAsia="宋体" w:hint="default"/>
                <w:sz w:val="21"/>
                <w:szCs w:val="21"/>
              </w:rPr>
              <w:t>其他权益变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5" w:right="70" w:hanging="104"/>
              <w:jc w:val="left"/>
              <w:rPr>
                <w:rFonts w:ascii="宋体" w:hAnsi="宋体" w:cs="宋体" w:eastAsia="宋体" w:hint="default"/>
                <w:sz w:val="21"/>
                <w:szCs w:val="21"/>
              </w:rPr>
            </w:pPr>
            <w:r>
              <w:rPr>
                <w:rFonts w:ascii="宋体" w:hAnsi="宋体" w:cs="宋体" w:eastAsia="宋体" w:hint="default"/>
                <w:sz w:val="21"/>
                <w:szCs w:val="21"/>
              </w:rPr>
              <w:t>宣告发放现金</w:t>
            </w:r>
            <w:r>
              <w:rPr>
                <w:rFonts w:ascii="宋体" w:hAnsi="宋体" w:cs="宋体" w:eastAsia="宋体" w:hint="default"/>
                <w:w w:val="100"/>
                <w:sz w:val="21"/>
                <w:szCs w:val="21"/>
              </w:rPr>
              <w:t> </w:t>
            </w:r>
            <w:r>
              <w:rPr>
                <w:rFonts w:ascii="宋体" w:hAnsi="宋体" w:cs="宋体" w:eastAsia="宋体" w:hint="default"/>
                <w:sz w:val="21"/>
                <w:szCs w:val="21"/>
              </w:rPr>
              <w:t>股利或利润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9" w:right="62"/>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3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41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r>
        <w:trPr>
          <w:trHeight w:val="281" w:hRule="exact"/>
        </w:trPr>
        <w:tc>
          <w:tcPr>
            <w:tcW w:w="137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52" w:hRule="exact"/>
        </w:trPr>
        <w:tc>
          <w:tcPr>
            <w:tcW w:w="240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75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江西国科军工集团有限公</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115,943,253.66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23,935,117.09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14,512,029.08</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0" w:right="0"/>
              <w:jc w:val="center"/>
              <w:rPr>
                <w:rFonts w:ascii="Times New Roman" w:hAnsi="Times New Roman" w:cs="Times New Roman" w:eastAsia="Times New Roman" w:hint="default"/>
                <w:sz w:val="21"/>
                <w:szCs w:val="21"/>
              </w:rPr>
            </w:pPr>
            <w:r>
              <w:rPr>
                <w:rFonts w:ascii="Times New Roman"/>
                <w:sz w:val="21"/>
              </w:rPr>
              <w:t>1,513,026.51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14,599,269.51</w:t>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93,433,922.65</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北京泰豪装备科技有限公</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21,052,679.10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3,312,958.43</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24,365,637.53</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61,519,904.03</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1,762,835.83</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63,282,739.86</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成都华太航空科技有限公</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40,324,923.02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5,227,168.93</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45,552,091.95</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tabs>
                <w:tab w:pos="976" w:val="left" w:leader="none"/>
              </w:tabs>
              <w:spacing w:line="240" w:lineRule="auto"/>
              <w:ind w:left="21" w:right="20"/>
              <w:jc w:val="left"/>
              <w:rPr>
                <w:rFonts w:ascii="Times New Roman" w:hAnsi="Times New Roman" w:cs="Times New Roman" w:eastAsia="Times New Roman" w:hint="default"/>
                <w:sz w:val="21"/>
                <w:szCs w:val="21"/>
              </w:rPr>
            </w:pPr>
            <w:r>
              <w:rPr>
                <w:rFonts w:ascii="Times New Roman"/>
                <w:spacing w:val="-3"/>
                <w:sz w:val="21"/>
              </w:rPr>
              <w:t>3Tech</w:t>
              <w:tab/>
            </w:r>
            <w:r>
              <w:rPr>
                <w:rFonts w:ascii="Times New Roman"/>
                <w:sz w:val="21"/>
              </w:rPr>
              <w:t>Power </w:t>
            </w:r>
            <w:r>
              <w:rPr>
                <w:rFonts w:ascii="Times New Roman"/>
                <w:spacing w:val="42"/>
                <w:sz w:val="21"/>
              </w:rPr>
              <w:t> </w:t>
            </w:r>
            <w:r>
              <w:rPr>
                <w:rFonts w:ascii="Times New Roman"/>
                <w:sz w:val="21"/>
              </w:rPr>
              <w:t>Solution</w:t>
            </w:r>
            <w:r>
              <w:rPr>
                <w:rFonts w:ascii="Times New Roman"/>
                <w:w w:val="100"/>
                <w:sz w:val="21"/>
              </w:rPr>
              <w:t> </w:t>
            </w:r>
            <w:r>
              <w:rPr>
                <w:rFonts w:ascii="Times New Roman"/>
                <w:sz w:val="21"/>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35,408,649.37</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3,077,166.36</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38,485,815.73</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南昌小蓝创新创业基地管</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3,437,140.59</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577,840.10</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4,014,980.69</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重庆园业售电有限公司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14,000,000.00</w:t>
            </w: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2,049.87</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14,002,049.87</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江西泰豪配售电有限公司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-52,991.88</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447,008.12</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上海朋迈能源科技有限公</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125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-4,367,849.19</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5,632,150.81</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277,686,549.77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24,500,000.00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23,935,117.09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24,051,207.53</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0" w:right="0"/>
              <w:jc w:val="center"/>
              <w:rPr>
                <w:rFonts w:ascii="Times New Roman" w:hAnsi="Times New Roman" w:cs="Times New Roman" w:eastAsia="Times New Roman" w:hint="default"/>
                <w:sz w:val="21"/>
                <w:szCs w:val="21"/>
              </w:rPr>
            </w:pPr>
            <w:r>
              <w:rPr>
                <w:rFonts w:ascii="Times New Roman"/>
                <w:sz w:val="21"/>
              </w:rPr>
              <w:t>1,513,026.51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14,599,269.51</w:t>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289,216,397.21</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277,686,549.77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24,500,000.00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23,935,117.09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24,051,207.53</w:t>
            </w:r>
          </w:p>
        </w:tc>
        <w:tc>
          <w:tcPr>
            <w:tcW w:w="5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0" w:right="0"/>
              <w:jc w:val="center"/>
              <w:rPr>
                <w:rFonts w:ascii="Times New Roman" w:hAnsi="Times New Roman" w:cs="Times New Roman" w:eastAsia="Times New Roman" w:hint="default"/>
                <w:sz w:val="21"/>
                <w:szCs w:val="21"/>
              </w:rPr>
            </w:pPr>
            <w:r>
              <w:rPr>
                <w:rFonts w:ascii="Times New Roman"/>
                <w:sz w:val="21"/>
              </w:rPr>
              <w:t>1,513,026.51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14,599,269.51</w:t>
            </w: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289,216,397.21</w:t>
            </w:r>
          </w:p>
        </w:tc>
        <w:tc>
          <w:tcPr>
            <w:tcW w:w="5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before="63"/>
        <w:ind w:left="6395" w:right="6382" w:firstLine="0"/>
        <w:jc w:val="center"/>
        <w:rPr>
          <w:rFonts w:ascii="Calibri" w:hAnsi="Calibri" w:cs="Calibri" w:eastAsia="Calibri" w:hint="default"/>
          <w:sz w:val="18"/>
          <w:szCs w:val="18"/>
        </w:rPr>
      </w:pPr>
      <w:r>
        <w:rPr>
          <w:rFonts w:ascii="Calibri"/>
          <w:b/>
          <w:sz w:val="18"/>
        </w:rPr>
        <w:t>117</w:t>
      </w:r>
      <w:r>
        <w:rPr>
          <w:rFonts w:ascii="Calibri"/>
          <w:sz w:val="18"/>
        </w:rPr>
        <w:t>/</w:t>
      </w:r>
      <w:r>
        <w:rPr>
          <w:rFonts w:ascii="Calibri"/>
          <w:b/>
          <w:sz w:val="18"/>
        </w:rPr>
        <w:t>180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4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60"/>
          <w:pgSz w:w="11910" w:h="16840"/>
          <w:pgMar w:footer="1195" w:header="0" w:top="1120" w:bottom="1380" w:left="1580" w:right="1140"/>
          <w:pgNumType w:start="118"/>
        </w:sectPr>
      </w:pPr>
    </w:p>
    <w:p>
      <w:pPr>
        <w:spacing w:line="290" w:lineRule="auto" w:before="179"/>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2"/>
        <w:spacing w:line="240" w:lineRule="auto" w:before="12"/>
        <w:ind w:left="218"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3999" w:space="2523"/>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7"/>
        <w:gridCol w:w="1534"/>
        <w:gridCol w:w="1532"/>
        <w:gridCol w:w="1503"/>
        <w:gridCol w:w="1529"/>
      </w:tblGrid>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126,232,714.08</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126,232,714.08</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17"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）存货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固定资产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在</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126,232,714.08</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126,232,714.08</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45,728,835.55</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45,728,835.55</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4,532,253.30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4,532,253.30</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4,532,253.30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4,532,253.30</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50,261,088.85</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50,261,088.85</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75,971,625.23</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75,971,625.23</w:t>
            </w:r>
          </w:p>
        </w:tc>
      </w:tr>
      <w:tr>
        <w:trPr>
          <w:trHeight w:val="300"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80,503,878.53</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80,503,878.53</w:t>
            </w:r>
          </w:p>
        </w:tc>
      </w:tr>
    </w:tbl>
    <w:p>
      <w:pPr>
        <w:spacing w:line="240" w:lineRule="auto" w:before="10"/>
        <w:rPr>
          <w:rFonts w:ascii="宋体" w:hAnsi="宋体" w:cs="宋体" w:eastAsia="宋体" w:hint="default"/>
          <w:sz w:val="17"/>
          <w:szCs w:val="17"/>
        </w:rPr>
      </w:pPr>
    </w:p>
    <w:p>
      <w:pPr>
        <w:pStyle w:val="Heading2"/>
        <w:spacing w:line="240" w:lineRule="auto"/>
        <w:ind w:left="218" w:right="100"/>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6"/>
        <w:ind w:left="174" w:right="7374" w:firstLine="43"/>
        <w:jc w:val="left"/>
      </w:pPr>
      <w:r>
        <w:rPr/>
        <w:t>□适用 √不适用</w:t>
      </w:r>
      <w:r>
        <w:rPr>
          <w:w w:val="100"/>
        </w:rPr>
        <w:t> </w:t>
      </w:r>
      <w:r>
        <w:rPr/>
        <w:t>其他说明</w:t>
      </w:r>
    </w:p>
    <w:p>
      <w:pPr>
        <w:pStyle w:val="BodyText"/>
        <w:spacing w:line="271" w:lineRule="exact"/>
        <w:ind w:left="174" w:right="10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140"/>
        </w:sectPr>
      </w:pPr>
    </w:p>
    <w:p>
      <w:pPr>
        <w:pStyle w:val="Heading2"/>
        <w:spacing w:line="240" w:lineRule="auto"/>
        <w:ind w:left="21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2"/>
        <w:spacing w:line="240" w:lineRule="auto" w:before="58"/>
        <w:ind w:left="21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6"/>
        <w:ind w:left="21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2074" w:space="4448"/>
            <w:col w:w="2668"/>
          </w:cols>
        </w:sectPr>
      </w:pPr>
    </w:p>
    <w:p>
      <w:pPr>
        <w:spacing w:line="240" w:lineRule="auto" w:before="4"/>
        <w:rPr>
          <w:rFonts w:ascii="宋体" w:hAnsi="宋体" w:cs="宋体" w:eastAsia="宋体" w:hint="default"/>
          <w:sz w:val="2"/>
          <w:szCs w:val="2"/>
        </w:rPr>
      </w:pPr>
    </w:p>
    <w:tbl>
      <w:tblPr>
        <w:tblW w:w="0" w:type="auto"/>
        <w:jc w:val="left"/>
        <w:tblInd w:w="256" w:type="dxa"/>
        <w:tblLayout w:type="fixed"/>
        <w:tblCellMar>
          <w:top w:w="0" w:type="dxa"/>
          <w:left w:w="0" w:type="dxa"/>
          <w:bottom w:w="0" w:type="dxa"/>
          <w:right w:w="0" w:type="dxa"/>
        </w:tblCellMar>
        <w:tblLook w:val="01E0"/>
      </w:tblPr>
      <w:tblGrid>
        <w:gridCol w:w="1934"/>
        <w:gridCol w:w="1373"/>
        <w:gridCol w:w="1373"/>
        <w:gridCol w:w="1267"/>
        <w:gridCol w:w="1270"/>
        <w:gridCol w:w="1529"/>
      </w:tblGrid>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6" w:type="dxa"/>
        <w:tblLayout w:type="fixed"/>
        <w:tblCellMar>
          <w:top w:w="0" w:type="dxa"/>
          <w:left w:w="0" w:type="dxa"/>
          <w:bottom w:w="0" w:type="dxa"/>
          <w:right w:w="0" w:type="dxa"/>
        </w:tblCellMar>
        <w:tblLook w:val="01E0"/>
      </w:tblPr>
      <w:tblGrid>
        <w:gridCol w:w="1934"/>
        <w:gridCol w:w="1373"/>
        <w:gridCol w:w="1373"/>
        <w:gridCol w:w="1267"/>
        <w:gridCol w:w="1270"/>
        <w:gridCol w:w="1529"/>
      </w:tblGrid>
      <w:tr>
        <w:trPr>
          <w:trHeight w:val="284"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793,276,352.97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305,832,577.81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27,990,559.35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73,051,747.73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1,200,151,237.86</w:t>
            </w: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14,023,906.92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31,244,624.83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1,824,819.65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7,044,101.48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54,137,452.88</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2"/>
                <w:sz w:val="21"/>
              </w:rPr>
              <w:t>10,307,211.30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28,398,676.53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903,329.47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4,282,819.61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43,892,036.91</w:t>
            </w:r>
          </w:p>
        </w:tc>
      </w:tr>
      <w:tr>
        <w:trPr>
          <w:trHeight w:val="554"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7" w:right="0"/>
              <w:jc w:val="left"/>
              <w:rPr>
                <w:rFonts w:ascii="宋体" w:hAnsi="宋体" w:cs="宋体" w:eastAsia="宋体" w:hint="default"/>
                <w:sz w:val="21"/>
                <w:szCs w:val="21"/>
              </w:rPr>
            </w:pPr>
            <w:r>
              <w:rPr>
                <w:rFonts w:ascii="宋体" w:hAnsi="宋体" w:cs="宋体" w:eastAsia="宋体" w:hint="default"/>
                <w:spacing w:val="15"/>
                <w:sz w:val="21"/>
                <w:szCs w:val="21"/>
              </w:rPr>
              <w:t>（</w:t>
            </w:r>
            <w:r>
              <w:rPr>
                <w:rFonts w:ascii="Times New Roman" w:hAnsi="Times New Roman" w:cs="Times New Roman" w:eastAsia="Times New Roman" w:hint="default"/>
                <w:spacing w:val="15"/>
                <w:sz w:val="21"/>
                <w:szCs w:val="21"/>
              </w:rPr>
              <w:t>2</w:t>
            </w:r>
            <w:r>
              <w:rPr>
                <w:rFonts w:ascii="宋体" w:hAnsi="宋体" w:cs="宋体" w:eastAsia="宋体" w:hint="default"/>
                <w:spacing w:val="15"/>
                <w:sz w:val="21"/>
                <w:szCs w:val="21"/>
              </w:rPr>
              <w:t>）在建工</w:t>
            </w:r>
            <w:r>
              <w:rPr>
                <w:rFonts w:ascii="宋体" w:hAnsi="宋体" w:cs="宋体" w:eastAsia="宋体" w:hint="default"/>
                <w:sz w:val="21"/>
                <w:szCs w:val="21"/>
              </w:rPr>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程转入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3,716,695.62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179,487.18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2,240,083.45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6,136,266.25</w:t>
            </w:r>
          </w:p>
        </w:tc>
      </w:tr>
      <w:tr>
        <w:trPr>
          <w:trHeight w:val="554"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7" w:right="0"/>
              <w:jc w:val="left"/>
              <w:rPr>
                <w:rFonts w:ascii="宋体" w:hAnsi="宋体" w:cs="宋体" w:eastAsia="宋体" w:hint="default"/>
                <w:sz w:val="21"/>
                <w:szCs w:val="21"/>
              </w:rPr>
            </w:pPr>
            <w:r>
              <w:rPr>
                <w:rFonts w:ascii="宋体" w:hAnsi="宋体" w:cs="宋体" w:eastAsia="宋体" w:hint="default"/>
                <w:spacing w:val="15"/>
                <w:sz w:val="21"/>
                <w:szCs w:val="21"/>
              </w:rPr>
              <w:t>（</w:t>
            </w:r>
            <w:r>
              <w:rPr>
                <w:rFonts w:ascii="Times New Roman" w:hAnsi="Times New Roman" w:cs="Times New Roman" w:eastAsia="Times New Roman" w:hint="default"/>
                <w:spacing w:val="15"/>
                <w:sz w:val="21"/>
                <w:szCs w:val="21"/>
              </w:rPr>
              <w:t>3</w:t>
            </w:r>
            <w:r>
              <w:rPr>
                <w:rFonts w:ascii="宋体" w:hAnsi="宋体" w:cs="宋体" w:eastAsia="宋体" w:hint="default"/>
                <w:spacing w:val="15"/>
                <w:sz w:val="21"/>
                <w:szCs w:val="21"/>
              </w:rPr>
              <w:t>）企业合</w:t>
            </w:r>
            <w:r>
              <w:rPr>
                <w:rFonts w:ascii="宋体" w:hAnsi="宋体" w:cs="宋体" w:eastAsia="宋体" w:hint="default"/>
                <w:sz w:val="21"/>
                <w:szCs w:val="21"/>
              </w:rPr>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2,666,461.12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921,490.18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521,198.42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4,109,149.72</w:t>
            </w:r>
          </w:p>
        </w:tc>
      </w:tr>
      <w:tr>
        <w:trPr>
          <w:trHeight w:val="252" w:hRule="exact"/>
        </w:trPr>
        <w:tc>
          <w:tcPr>
            <w:tcW w:w="193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减</w:t>
            </w:r>
            <w:r>
              <w:rPr>
                <w:rFonts w:ascii="宋体" w:hAnsi="宋体" w:cs="宋体" w:eastAsia="宋体" w:hint="default"/>
                <w:spacing w:val="-78"/>
                <w:sz w:val="21"/>
                <w:szCs w:val="21"/>
              </w:rPr>
              <w:t> </w:t>
            </w:r>
            <w:r>
              <w:rPr>
                <w:rFonts w:ascii="宋体" w:hAnsi="宋体" w:cs="宋体" w:eastAsia="宋体" w:hint="default"/>
                <w:sz w:val="21"/>
                <w:szCs w:val="21"/>
              </w:rPr>
              <w:t>少</w:t>
            </w:r>
            <w:r>
              <w:rPr>
                <w:rFonts w:ascii="宋体" w:hAnsi="宋体" w:cs="宋体" w:eastAsia="宋体" w:hint="default"/>
                <w:spacing w:val="-76"/>
                <w:sz w:val="21"/>
                <w:szCs w:val="21"/>
              </w:rPr>
              <w:t> </w:t>
            </w:r>
            <w:r>
              <w:rPr>
                <w:rFonts w:ascii="宋体" w:hAnsi="宋体" w:cs="宋体" w:eastAsia="宋体" w:hint="default"/>
                <w:sz w:val="21"/>
                <w:szCs w:val="21"/>
              </w:rPr>
              <w:t>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148,461,058.33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48,514,776.74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3,227,710.05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8,624,644.92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208,828,190.04</w:t>
            </w:r>
          </w:p>
        </w:tc>
      </w:tr>
      <w:tr>
        <w:trPr>
          <w:trHeight w:val="555"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7" w:right="0"/>
              <w:jc w:val="left"/>
              <w:rPr>
                <w:rFonts w:ascii="宋体" w:hAnsi="宋体" w:cs="宋体" w:eastAsia="宋体" w:hint="default"/>
                <w:sz w:val="21"/>
                <w:szCs w:val="21"/>
              </w:rPr>
            </w:pPr>
            <w:r>
              <w:rPr>
                <w:rFonts w:ascii="宋体" w:hAnsi="宋体" w:cs="宋体" w:eastAsia="宋体" w:hint="default"/>
                <w:spacing w:val="15"/>
                <w:sz w:val="21"/>
                <w:szCs w:val="21"/>
              </w:rPr>
              <w:t>（</w:t>
            </w:r>
            <w:r>
              <w:rPr>
                <w:rFonts w:ascii="Times New Roman" w:hAnsi="Times New Roman" w:cs="Times New Roman" w:eastAsia="Times New Roman" w:hint="default"/>
                <w:spacing w:val="15"/>
                <w:sz w:val="21"/>
                <w:szCs w:val="21"/>
              </w:rPr>
              <w:t>1</w:t>
            </w:r>
            <w:r>
              <w:rPr>
                <w:rFonts w:ascii="宋体" w:hAnsi="宋体" w:cs="宋体" w:eastAsia="宋体" w:hint="default"/>
                <w:spacing w:val="15"/>
                <w:sz w:val="21"/>
                <w:szCs w:val="21"/>
              </w:rPr>
              <w:t>）处置或</w:t>
            </w:r>
            <w:r>
              <w:rPr>
                <w:rFonts w:ascii="宋体" w:hAnsi="宋体" w:cs="宋体" w:eastAsia="宋体" w:hint="default"/>
                <w:sz w:val="21"/>
                <w:szCs w:val="21"/>
              </w:rPr>
            </w:r>
          </w:p>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7,804,573.05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spacing w:val="-1"/>
                <w:sz w:val="21"/>
              </w:rPr>
              <w:t>33,453,430.42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2,233,839.31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spacing w:val="-2"/>
                <w:sz w:val="21"/>
              </w:rPr>
              <w:t>7,257,111.38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50,748,954.16</w:t>
            </w:r>
          </w:p>
        </w:tc>
      </w:tr>
      <w:tr>
        <w:trPr>
          <w:trHeight w:val="554"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7" w:right="0"/>
              <w:jc w:val="left"/>
              <w:rPr>
                <w:rFonts w:ascii="宋体" w:hAnsi="宋体" w:cs="宋体" w:eastAsia="宋体" w:hint="default"/>
                <w:sz w:val="21"/>
                <w:szCs w:val="21"/>
              </w:rPr>
            </w:pPr>
            <w:r>
              <w:rPr>
                <w:rFonts w:ascii="宋体" w:hAnsi="宋体" w:cs="宋体" w:eastAsia="宋体" w:hint="default"/>
                <w:spacing w:val="15"/>
                <w:sz w:val="21"/>
                <w:szCs w:val="21"/>
              </w:rPr>
              <w:t>（</w:t>
            </w:r>
            <w:r>
              <w:rPr>
                <w:rFonts w:ascii="Times New Roman" w:hAnsi="Times New Roman" w:cs="Times New Roman" w:eastAsia="Times New Roman" w:hint="default"/>
                <w:spacing w:val="15"/>
                <w:sz w:val="21"/>
                <w:szCs w:val="21"/>
              </w:rPr>
              <w:t>2</w:t>
            </w:r>
            <w:r>
              <w:rPr>
                <w:rFonts w:ascii="宋体" w:hAnsi="宋体" w:cs="宋体" w:eastAsia="宋体" w:hint="default"/>
                <w:spacing w:val="15"/>
                <w:sz w:val="21"/>
                <w:szCs w:val="21"/>
              </w:rPr>
              <w:t>）企业合</w:t>
            </w:r>
            <w:r>
              <w:rPr>
                <w:rFonts w:ascii="宋体" w:hAnsi="宋体" w:cs="宋体" w:eastAsia="宋体" w:hint="default"/>
                <w:sz w:val="21"/>
                <w:szCs w:val="21"/>
              </w:rPr>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并减少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140,656,485.28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15,061,346.32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993,870.74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1,367,533.54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158,079,235.88</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658,839,201.56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288,562,425.90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26,587,668.95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71,471,204.29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1,045,460,500.70</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207,868,168.28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198,636,404.16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14,828,864.44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54,218,454.53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475,551,891.41</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23,193,308.05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18,291,975.30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2,421,685.29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5,803,737.33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49,710,705.97</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23,193,308.05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17,643,846.93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2,021,952.71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5,494,148.00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48,353,255.69</w:t>
            </w:r>
          </w:p>
        </w:tc>
      </w:tr>
      <w:tr>
        <w:trPr>
          <w:trHeight w:val="554"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57" w:right="0"/>
              <w:jc w:val="left"/>
              <w:rPr>
                <w:rFonts w:ascii="宋体" w:hAnsi="宋体" w:cs="宋体" w:eastAsia="宋体" w:hint="default"/>
                <w:sz w:val="21"/>
                <w:szCs w:val="21"/>
              </w:rPr>
            </w:pPr>
            <w:r>
              <w:rPr>
                <w:rFonts w:ascii="宋体" w:hAnsi="宋体" w:cs="宋体" w:eastAsia="宋体" w:hint="default"/>
                <w:spacing w:val="15"/>
                <w:sz w:val="21"/>
                <w:szCs w:val="21"/>
              </w:rPr>
              <w:t>（</w:t>
            </w:r>
            <w:r>
              <w:rPr>
                <w:rFonts w:ascii="Times New Roman" w:hAnsi="Times New Roman" w:cs="Times New Roman" w:eastAsia="Times New Roman" w:hint="default"/>
                <w:spacing w:val="15"/>
                <w:sz w:val="21"/>
                <w:szCs w:val="21"/>
              </w:rPr>
              <w:t>2</w:t>
            </w:r>
            <w:r>
              <w:rPr>
                <w:rFonts w:ascii="宋体" w:hAnsi="宋体" w:cs="宋体" w:eastAsia="宋体" w:hint="default"/>
                <w:spacing w:val="15"/>
                <w:sz w:val="21"/>
                <w:szCs w:val="21"/>
              </w:rPr>
              <w:t>）企业合</w:t>
            </w:r>
            <w:r>
              <w:rPr>
                <w:rFonts w:ascii="宋体" w:hAnsi="宋体" w:cs="宋体" w:eastAsia="宋体" w:hint="default"/>
                <w:sz w:val="21"/>
                <w:szCs w:val="21"/>
              </w:rPr>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648,128.37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399,732.58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309,589.33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1,357,450.28</w:t>
            </w: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47,004,244.00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2"/>
                <w:sz w:val="21"/>
              </w:rPr>
              <w:t>34,736,171.11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1,767,914.99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8,086,374.39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91,594,704.49</w:t>
            </w:r>
          </w:p>
        </w:tc>
      </w:tr>
      <w:tr>
        <w:trPr>
          <w:trHeight w:val="555"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57" w:right="0"/>
              <w:jc w:val="left"/>
              <w:rPr>
                <w:rFonts w:ascii="宋体" w:hAnsi="宋体" w:cs="宋体" w:eastAsia="宋体" w:hint="default"/>
                <w:sz w:val="21"/>
                <w:szCs w:val="21"/>
              </w:rPr>
            </w:pPr>
            <w:r>
              <w:rPr>
                <w:rFonts w:ascii="宋体" w:hAnsi="宋体" w:cs="宋体" w:eastAsia="宋体" w:hint="default"/>
                <w:spacing w:val="15"/>
                <w:sz w:val="21"/>
                <w:szCs w:val="21"/>
              </w:rPr>
              <w:t>（</w:t>
            </w:r>
            <w:r>
              <w:rPr>
                <w:rFonts w:ascii="Times New Roman" w:hAnsi="Times New Roman" w:cs="Times New Roman" w:eastAsia="Times New Roman" w:hint="default"/>
                <w:spacing w:val="15"/>
                <w:sz w:val="21"/>
                <w:szCs w:val="21"/>
              </w:rPr>
              <w:t>1</w:t>
            </w:r>
            <w:r>
              <w:rPr>
                <w:rFonts w:ascii="宋体" w:hAnsi="宋体" w:cs="宋体" w:eastAsia="宋体" w:hint="default"/>
                <w:spacing w:val="15"/>
                <w:sz w:val="21"/>
                <w:szCs w:val="21"/>
              </w:rPr>
              <w:t>）处置或</w:t>
            </w:r>
            <w:r>
              <w:rPr>
                <w:rFonts w:ascii="宋体" w:hAnsi="宋体" w:cs="宋体" w:eastAsia="宋体" w:hint="default"/>
                <w:sz w:val="21"/>
                <w:szCs w:val="21"/>
              </w:rPr>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3,277,819.76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1,299,724.90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1,327,142.91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6,777,398.90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12,682,086.47</w:t>
            </w:r>
          </w:p>
        </w:tc>
      </w:tr>
      <w:tr>
        <w:trPr>
          <w:trHeight w:val="557"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57" w:right="0"/>
              <w:jc w:val="left"/>
              <w:rPr>
                <w:rFonts w:ascii="宋体" w:hAnsi="宋体" w:cs="宋体" w:eastAsia="宋体" w:hint="default"/>
                <w:sz w:val="21"/>
                <w:szCs w:val="21"/>
              </w:rPr>
            </w:pPr>
            <w:r>
              <w:rPr>
                <w:rFonts w:ascii="宋体" w:hAnsi="宋体" w:cs="宋体" w:eastAsia="宋体" w:hint="default"/>
                <w:spacing w:val="15"/>
                <w:sz w:val="21"/>
                <w:szCs w:val="21"/>
              </w:rPr>
              <w:t>（</w:t>
            </w:r>
            <w:r>
              <w:rPr>
                <w:rFonts w:ascii="Times New Roman" w:hAnsi="Times New Roman" w:cs="Times New Roman" w:eastAsia="Times New Roman" w:hint="default"/>
                <w:spacing w:val="15"/>
                <w:sz w:val="21"/>
                <w:szCs w:val="21"/>
              </w:rPr>
              <w:t>2</w:t>
            </w:r>
            <w:r>
              <w:rPr>
                <w:rFonts w:ascii="宋体" w:hAnsi="宋体" w:cs="宋体" w:eastAsia="宋体" w:hint="default"/>
                <w:spacing w:val="15"/>
                <w:sz w:val="21"/>
                <w:szCs w:val="21"/>
              </w:rPr>
              <w:t>）企业合</w:t>
            </w:r>
            <w:r>
              <w:rPr>
                <w:rFonts w:ascii="宋体" w:hAnsi="宋体" w:cs="宋体" w:eastAsia="宋体" w:hint="default"/>
                <w:sz w:val="21"/>
                <w:szCs w:val="21"/>
              </w:rPr>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并减少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43,726,424.24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33,436,446.21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440,772.08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1,308,975.49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78,912,618.02</w:t>
            </w: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184,057,232.33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182,192,208.35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15,482,634.74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51,935,817.47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433,667,892.89</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93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7" w:right="0"/>
              <w:jc w:val="left"/>
              <w:rPr>
                <w:rFonts w:ascii="宋体" w:hAnsi="宋体" w:cs="宋体" w:eastAsia="宋体" w:hint="default"/>
                <w:sz w:val="21"/>
                <w:szCs w:val="21"/>
              </w:rPr>
            </w:pPr>
            <w:r>
              <w:rPr>
                <w:rFonts w:ascii="宋体" w:hAnsi="宋体" w:cs="宋体" w:eastAsia="宋体" w:hint="default"/>
                <w:spacing w:val="15"/>
                <w:sz w:val="21"/>
                <w:szCs w:val="21"/>
              </w:rPr>
              <w:t>（</w:t>
            </w:r>
            <w:r>
              <w:rPr>
                <w:rFonts w:ascii="Times New Roman" w:hAnsi="Times New Roman" w:cs="Times New Roman" w:eastAsia="Times New Roman" w:hint="default"/>
                <w:spacing w:val="15"/>
                <w:sz w:val="21"/>
                <w:szCs w:val="21"/>
              </w:rPr>
              <w:t>1</w:t>
            </w:r>
            <w:r>
              <w:rPr>
                <w:rFonts w:ascii="宋体" w:hAnsi="宋体" w:cs="宋体" w:eastAsia="宋体" w:hint="default"/>
                <w:spacing w:val="15"/>
                <w:sz w:val="21"/>
                <w:szCs w:val="21"/>
              </w:rPr>
              <w:t>）处置或</w:t>
            </w:r>
            <w:r>
              <w:rPr>
                <w:rFonts w:ascii="宋体" w:hAnsi="宋体" w:cs="宋体" w:eastAsia="宋体" w:hint="default"/>
                <w:sz w:val="21"/>
                <w:szCs w:val="21"/>
              </w:rPr>
            </w:r>
          </w:p>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期末账面价值</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474,781,969.23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106,370,217.55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2"/>
                <w:sz w:val="21"/>
              </w:rPr>
              <w:t>11,105,034.21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19,535,386.82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611,792,607.81</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期初账面价值</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585,408,184.69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107,196,173.65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13,161,694.91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18,833,293.20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724,599,346.45</w:t>
            </w:r>
          </w:p>
        </w:tc>
      </w:tr>
    </w:tbl>
    <w:p>
      <w:pPr>
        <w:pStyle w:val="BodyText"/>
        <w:spacing w:line="248" w:lineRule="exact"/>
        <w:ind w:left="558" w:right="0"/>
        <w:jc w:val="left"/>
      </w:pPr>
      <w:r>
        <w:rPr/>
        <w:t>注</w:t>
      </w:r>
      <w:r>
        <w:rPr>
          <w:spacing w:val="5"/>
        </w:rPr>
        <w:t> </w:t>
      </w:r>
      <w:r>
        <w:rPr>
          <w:rFonts w:ascii="Times New Roman" w:hAnsi="Times New Roman" w:cs="Times New Roman" w:eastAsia="Times New Roman" w:hint="default"/>
        </w:rPr>
        <w:t>1</w:t>
      </w:r>
      <w:r>
        <w:rPr/>
        <w:t>：本期企业合并减少系江西希望科技有限公司、江西泰豪科技进出口有限公司本期不纳</w:t>
      </w:r>
    </w:p>
    <w:p>
      <w:pPr>
        <w:pStyle w:val="BodyText"/>
        <w:spacing w:line="264" w:lineRule="exact"/>
        <w:ind w:right="0"/>
        <w:jc w:val="left"/>
      </w:pPr>
      <w:r>
        <w:rPr/>
        <w:t>入合并报表范围减少。</w:t>
      </w:r>
    </w:p>
    <w:p>
      <w:pPr>
        <w:pStyle w:val="BodyText"/>
        <w:spacing w:line="289" w:lineRule="exact"/>
        <w:ind w:left="558" w:right="0"/>
        <w:jc w:val="left"/>
      </w:pPr>
      <w:r>
        <w:rPr/>
        <w:t>注</w:t>
      </w:r>
      <w:r>
        <w:rPr>
          <w:spacing w:val="16"/>
        </w:rPr>
        <w:t> </w:t>
      </w:r>
      <w:r>
        <w:rPr>
          <w:rFonts w:ascii="Times New Roman" w:hAnsi="Times New Roman" w:cs="Times New Roman" w:eastAsia="Times New Roman" w:hint="default"/>
          <w:spacing w:val="-2"/>
        </w:rPr>
        <w:t>2</w:t>
      </w:r>
      <w:r>
        <w:rPr>
          <w:spacing w:val="-2"/>
        </w:rPr>
        <w:t>：本期企业合并增加系上海红生系统工程有限公司本期纳入合并报表范围增加。</w:t>
      </w:r>
    </w:p>
    <w:p>
      <w:pPr>
        <w:spacing w:line="240" w:lineRule="auto" w:before="8"/>
        <w:rPr>
          <w:rFonts w:ascii="宋体" w:hAnsi="宋体" w:cs="宋体" w:eastAsia="宋体" w:hint="default"/>
          <w:sz w:val="21"/>
          <w:szCs w:val="21"/>
        </w:rPr>
      </w:pPr>
    </w:p>
    <w:p>
      <w:pPr>
        <w:pStyle w:val="Heading2"/>
        <w:spacing w:line="240" w:lineRule="auto" w:before="0"/>
        <w:ind w:right="0"/>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right="0"/>
        <w:jc w:val="left"/>
      </w:pPr>
      <w:r>
        <w:rPr/>
        <w:t>□适用 √不适用</w:t>
      </w:r>
    </w:p>
    <w:p>
      <w:pPr>
        <w:pStyle w:val="Heading2"/>
        <w:spacing w:line="240" w:lineRule="auto" w:before="56"/>
        <w:ind w:right="0"/>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right="0"/>
        <w:jc w:val="left"/>
      </w:pPr>
      <w:r>
        <w:rPr/>
        <w:t>□适用 √不适用</w:t>
      </w:r>
    </w:p>
    <w:p>
      <w:pPr>
        <w:spacing w:after="0" w:line="240" w:lineRule="auto"/>
        <w:jc w:val="left"/>
        <w:sectPr>
          <w:pgSz w:w="11910" w:h="16840"/>
          <w:pgMar w:header="0"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right="0"/>
        <w:jc w:val="left"/>
      </w:pPr>
      <w:r>
        <w:rPr/>
        <w:t>□适用 √不适用</w:t>
      </w:r>
    </w:p>
    <w:p>
      <w:pPr>
        <w:pStyle w:val="Heading2"/>
        <w:spacing w:line="240" w:lineRule="auto" w:before="56"/>
        <w:ind w:right="0"/>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72" w:lineRule="exact" w:before="86"/>
        <w:ind w:right="7393"/>
        <w:jc w:val="left"/>
      </w:pPr>
      <w:r>
        <w:rPr/>
        <w:t>□适用 √不适用</w:t>
      </w:r>
      <w:r>
        <w:rPr>
          <w:w w:val="100"/>
        </w:rPr>
        <w:t> </w:t>
      </w:r>
      <w:r>
        <w:rPr/>
        <w:t>其他说明：</w:t>
      </w:r>
    </w:p>
    <w:p>
      <w:pPr>
        <w:pStyle w:val="BodyText"/>
        <w:spacing w:line="249" w:lineRule="exact"/>
        <w:ind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1"/>
          <w:pgSz w:w="11910" w:h="16840"/>
          <w:pgMar w:footer="1195" w:header="0" w:top="1120" w:bottom="1380" w:left="1660" w:right="1120"/>
        </w:sectPr>
      </w:pPr>
    </w:p>
    <w:p>
      <w:pPr>
        <w:pStyle w:val="Heading2"/>
        <w:spacing w:line="240" w:lineRule="auto"/>
        <w:ind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8"/>
        <w:ind w:right="-19"/>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994" w:space="452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42"/>
        <w:gridCol w:w="1416"/>
        <w:gridCol w:w="514"/>
        <w:gridCol w:w="1344"/>
        <w:gridCol w:w="1270"/>
        <w:gridCol w:w="536"/>
        <w:gridCol w:w="1274"/>
      </w:tblGrid>
      <w:tr>
        <w:trPr>
          <w:trHeight w:val="281" w:hRule="exact"/>
        </w:trPr>
        <w:tc>
          <w:tcPr>
            <w:tcW w:w="25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542"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园区智能化项目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2,485,959.40</w:t>
            </w:r>
          </w:p>
        </w:tc>
        <w:tc>
          <w:tcPr>
            <w:tcW w:w="5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2,485,959.40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2,360,909.40</w:t>
            </w:r>
          </w:p>
        </w:tc>
        <w:tc>
          <w:tcPr>
            <w:tcW w:w="5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2,360,909.40</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新能源产业化建设项目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10,270,558.60</w:t>
            </w:r>
          </w:p>
        </w:tc>
        <w:tc>
          <w:tcPr>
            <w:tcW w:w="5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10,270,558.60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10,268,493.58</w:t>
            </w:r>
          </w:p>
        </w:tc>
        <w:tc>
          <w:tcPr>
            <w:tcW w:w="5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10,268,493.58</w:t>
            </w:r>
          </w:p>
        </w:tc>
      </w:tr>
      <w:tr>
        <w:trPr>
          <w:trHeight w:val="554"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军民融合应急装备生产项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9,716,877.20</w:t>
            </w:r>
          </w:p>
        </w:tc>
        <w:tc>
          <w:tcPr>
            <w:tcW w:w="5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9,716,877.20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7,364,583.51</w:t>
            </w:r>
          </w:p>
        </w:tc>
        <w:tc>
          <w:tcPr>
            <w:tcW w:w="5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7,364,583.51</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ERP </w:t>
            </w:r>
            <w:r>
              <w:rPr>
                <w:rFonts w:ascii="宋体" w:hAnsi="宋体" w:cs="宋体" w:eastAsia="宋体" w:hint="default"/>
                <w:sz w:val="21"/>
                <w:szCs w:val="21"/>
              </w:rPr>
              <w:t>信息化项目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7,460,726.91</w:t>
            </w:r>
          </w:p>
        </w:tc>
        <w:tc>
          <w:tcPr>
            <w:tcW w:w="5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7,460,726.91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5,594,455.96</w:t>
            </w:r>
          </w:p>
        </w:tc>
        <w:tc>
          <w:tcPr>
            <w:tcW w:w="5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5,594,455.96</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创意园区装修工程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7,443,907.39</w:t>
            </w:r>
          </w:p>
        </w:tc>
        <w:tc>
          <w:tcPr>
            <w:tcW w:w="5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7,443,907.39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6,781,138.28</w:t>
            </w:r>
          </w:p>
        </w:tc>
        <w:tc>
          <w:tcPr>
            <w:tcW w:w="5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6,781,138.28</w:t>
            </w: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通信车喷漆废气治理工程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2,080,666.67</w:t>
            </w:r>
          </w:p>
        </w:tc>
        <w:tc>
          <w:tcPr>
            <w:tcW w:w="5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2,080,666.67</w:t>
            </w:r>
          </w:p>
        </w:tc>
        <w:tc>
          <w:tcPr>
            <w:tcW w:w="1270"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4,657,697.96</w:t>
            </w:r>
          </w:p>
        </w:tc>
        <w:tc>
          <w:tcPr>
            <w:tcW w:w="5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4,657,697.96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3,729,022.35</w:t>
            </w:r>
          </w:p>
        </w:tc>
        <w:tc>
          <w:tcPr>
            <w:tcW w:w="5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3,729,022.35</w:t>
            </w:r>
          </w:p>
        </w:tc>
      </w:tr>
      <w:tr>
        <w:trPr>
          <w:trHeight w:val="281"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2"/>
                <w:sz w:val="21"/>
              </w:rPr>
              <w:t>44,116,394.13</w:t>
            </w:r>
          </w:p>
        </w:tc>
        <w:tc>
          <w:tcPr>
            <w:tcW w:w="51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44,116,394.13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36,098,603.08</w:t>
            </w:r>
          </w:p>
        </w:tc>
        <w:tc>
          <w:tcPr>
            <w:tcW w:w="5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36,098,603.08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60" w:right="1120"/>
        </w:sectPr>
      </w:pPr>
    </w:p>
    <w:p>
      <w:pPr>
        <w:spacing w:before="20"/>
        <w:ind w:left="6473" w:right="6417"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62"/>
          <w:footerReference w:type="default" r:id="rId63"/>
          <w:pgSz w:w="16840" w:h="11910" w:orient="landscape"/>
          <w:pgMar w:header="0" w:footer="0" w:top="800" w:bottom="280" w:left="1220" w:right="1380"/>
        </w:sectPr>
      </w:pPr>
    </w:p>
    <w:p>
      <w:pPr>
        <w:pStyle w:val="Heading2"/>
        <w:spacing w:line="240" w:lineRule="auto"/>
        <w:ind w:left="220" w:right="-19"/>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58"/>
        <w:ind w:left="220" w:right="-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80"/>
          <w:cols w:num="2" w:equalWidth="0">
            <w:col w:w="3761" w:space="7802"/>
            <w:col w:w="267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65"/>
        <w:gridCol w:w="1202"/>
        <w:gridCol w:w="1097"/>
        <w:gridCol w:w="1202"/>
        <w:gridCol w:w="1438"/>
        <w:gridCol w:w="1239"/>
        <w:gridCol w:w="1097"/>
        <w:gridCol w:w="1327"/>
        <w:gridCol w:w="687"/>
        <w:gridCol w:w="847"/>
        <w:gridCol w:w="1176"/>
        <w:gridCol w:w="936"/>
        <w:gridCol w:w="494"/>
      </w:tblGrid>
      <w:tr>
        <w:trPr>
          <w:trHeight w:val="71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9" w:right="41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53" w:right="197"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05" w:right="120"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98" w:right="108"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2" w:right="362"/>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5" w:right="26"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工程累计投入占 预算比例</w:t>
            </w:r>
            <w:r>
              <w:rPr>
                <w:rFonts w:ascii="Times New Roman" w:hAnsi="Times New Roman" w:cs="Times New Roman" w:eastAsia="Times New Roman" w:hint="default"/>
                <w:sz w:val="18"/>
                <w:szCs w:val="18"/>
              </w:rPr>
              <w:t>(%)</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7" w:right="68" w:hanging="181"/>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left"/>
              <w:rPr>
                <w:rFonts w:ascii="宋体" w:hAnsi="宋体" w:cs="宋体" w:eastAsia="宋体" w:hint="default"/>
                <w:sz w:val="18"/>
                <w:szCs w:val="18"/>
              </w:rPr>
            </w:pPr>
            <w:r>
              <w:rPr>
                <w:rFonts w:ascii="宋体" w:hAnsi="宋体" w:cs="宋体" w:eastAsia="宋体" w:hint="default"/>
                <w:sz w:val="18"/>
                <w:szCs w:val="18"/>
              </w:rPr>
              <w:t>利息资本</w:t>
            </w:r>
          </w:p>
          <w:p>
            <w:pPr>
              <w:pStyle w:val="TableParagraph"/>
              <w:spacing w:line="232" w:lineRule="exact" w:before="23"/>
              <w:ind w:left="328" w:right="59" w:hanging="272"/>
              <w:jc w:val="left"/>
              <w:rPr>
                <w:rFonts w:ascii="宋体" w:hAnsi="宋体" w:cs="宋体" w:eastAsia="宋体" w:hint="default"/>
                <w:sz w:val="18"/>
                <w:szCs w:val="18"/>
              </w:rPr>
            </w:pPr>
            <w:r>
              <w:rPr>
                <w:rFonts w:ascii="宋体" w:hAnsi="宋体" w:cs="宋体" w:eastAsia="宋体" w:hint="default"/>
                <w:sz w:val="18"/>
                <w:szCs w:val="18"/>
              </w:rPr>
              <w:t>化累计金 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3" w:right="41"/>
              <w:jc w:val="left"/>
              <w:rPr>
                <w:rFonts w:ascii="宋体" w:hAnsi="宋体" w:cs="宋体" w:eastAsia="宋体" w:hint="default"/>
                <w:sz w:val="18"/>
                <w:szCs w:val="18"/>
              </w:rPr>
            </w:pPr>
            <w:r>
              <w:rPr>
                <w:rFonts w:ascii="宋体" w:hAnsi="宋体" w:cs="宋体" w:eastAsia="宋体" w:hint="default"/>
                <w:sz w:val="18"/>
                <w:szCs w:val="18"/>
              </w:rPr>
              <w:t>其中：本期利 息资本化金额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3"/>
              <w:ind w:left="103" w:right="101"/>
              <w:jc w:val="center"/>
              <w:rPr>
                <w:rFonts w:ascii="宋体" w:hAnsi="宋体" w:cs="宋体" w:eastAsia="宋体" w:hint="default"/>
                <w:sz w:val="18"/>
                <w:szCs w:val="18"/>
              </w:rPr>
            </w:pPr>
            <w:r>
              <w:rPr>
                <w:rFonts w:ascii="宋体" w:hAnsi="宋体" w:cs="宋体" w:eastAsia="宋体" w:hint="default"/>
                <w:sz w:val="18"/>
                <w:szCs w:val="18"/>
              </w:rPr>
              <w:t>本期利息 资本化率</w:t>
            </w: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2" w:right="60"/>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76"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2"/>
                <w:sz w:val="18"/>
                <w:szCs w:val="18"/>
              </w:rPr>
              <w:t>园区智能化项</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29"/>
              <w:jc w:val="right"/>
              <w:rPr>
                <w:rFonts w:ascii="Times New Roman" w:hAnsi="Times New Roman" w:cs="Times New Roman" w:eastAsia="Times New Roman" w:hint="default"/>
                <w:sz w:val="18"/>
                <w:szCs w:val="18"/>
              </w:rPr>
            </w:pPr>
            <w:r>
              <w:rPr>
                <w:rFonts w:ascii="Times New Roman"/>
                <w:spacing w:val="-1"/>
                <w:sz w:val="18"/>
              </w:rPr>
              <w:t>9,000,000.00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3" w:right="0"/>
              <w:jc w:val="center"/>
              <w:rPr>
                <w:rFonts w:ascii="Times New Roman" w:hAnsi="Times New Roman" w:cs="Times New Roman" w:eastAsia="Times New Roman" w:hint="default"/>
                <w:sz w:val="18"/>
                <w:szCs w:val="18"/>
              </w:rPr>
            </w:pPr>
            <w:r>
              <w:rPr>
                <w:rFonts w:ascii="Times New Roman"/>
                <w:sz w:val="18"/>
              </w:rPr>
              <w:t>2,360,909.40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125,050.00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8" w:right="0"/>
              <w:jc w:val="center"/>
              <w:rPr>
                <w:rFonts w:ascii="Times New Roman" w:hAnsi="Times New Roman" w:cs="Times New Roman" w:eastAsia="Times New Roman" w:hint="default"/>
                <w:sz w:val="18"/>
                <w:szCs w:val="18"/>
              </w:rPr>
            </w:pPr>
            <w:r>
              <w:rPr>
                <w:rFonts w:ascii="Times New Roman"/>
                <w:sz w:val="18"/>
              </w:rPr>
              <w:t>2,485,959.40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8"/>
              <w:jc w:val="right"/>
              <w:rPr>
                <w:rFonts w:ascii="Times New Roman" w:hAnsi="Times New Roman" w:cs="Times New Roman" w:eastAsia="Times New Roman" w:hint="default"/>
                <w:sz w:val="18"/>
                <w:szCs w:val="18"/>
              </w:rPr>
            </w:pPr>
            <w:r>
              <w:rPr>
                <w:rFonts w:ascii="Times New Roman"/>
                <w:sz w:val="18"/>
              </w:rPr>
              <w:t>98.59%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 w:right="0"/>
              <w:jc w:val="left"/>
              <w:rPr>
                <w:rFonts w:ascii="Times New Roman" w:hAnsi="Times New Roman" w:cs="Times New Roman" w:eastAsia="Times New Roman" w:hint="default"/>
                <w:sz w:val="18"/>
                <w:szCs w:val="18"/>
              </w:rPr>
            </w:pPr>
            <w:r>
              <w:rPr>
                <w:rFonts w:ascii="Times New Roman"/>
                <w:sz w:val="18"/>
              </w:rPr>
              <w:t>98%</w:t>
            </w:r>
          </w:p>
        </w:tc>
        <w:tc>
          <w:tcPr>
            <w:tcW w:w="8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pacing w:val="2"/>
                <w:sz w:val="18"/>
                <w:szCs w:val="18"/>
              </w:rPr>
              <w:t>新能源产业化</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1"/>
              <w:jc w:val="right"/>
              <w:rPr>
                <w:rFonts w:ascii="Times New Roman" w:hAnsi="Times New Roman" w:cs="Times New Roman" w:eastAsia="Times New Roman" w:hint="default"/>
                <w:sz w:val="18"/>
                <w:szCs w:val="18"/>
              </w:rPr>
            </w:pPr>
            <w:r>
              <w:rPr>
                <w:rFonts w:ascii="Times New Roman"/>
                <w:spacing w:val="-1"/>
                <w:sz w:val="18"/>
              </w:rPr>
              <w:t>11,000,000.00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Times New Roman" w:hAnsi="Times New Roman" w:cs="Times New Roman" w:eastAsia="Times New Roman" w:hint="default"/>
                <w:sz w:val="18"/>
                <w:szCs w:val="18"/>
              </w:rPr>
            </w:pPr>
            <w:r>
              <w:rPr>
                <w:rFonts w:ascii="Times New Roman"/>
                <w:sz w:val="18"/>
              </w:rPr>
              <w:t>10,268,493.58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Times New Roman" w:hAnsi="Times New Roman" w:cs="Times New Roman" w:eastAsia="Times New Roman" w:hint="default"/>
                <w:sz w:val="18"/>
                <w:szCs w:val="18"/>
              </w:rPr>
            </w:pPr>
            <w:r>
              <w:rPr>
                <w:rFonts w:ascii="Times New Roman"/>
                <w:w w:val="95"/>
                <w:sz w:val="18"/>
              </w:rPr>
              <w:t>2,065.02</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10,270,558.60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93.50%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Times New Roman" w:hAnsi="Times New Roman" w:cs="Times New Roman" w:eastAsia="Times New Roman" w:hint="default"/>
                <w:sz w:val="18"/>
                <w:szCs w:val="18"/>
              </w:rPr>
            </w:pPr>
            <w:r>
              <w:rPr>
                <w:rFonts w:ascii="Times New Roman"/>
                <w:sz w:val="18"/>
              </w:rPr>
              <w:t>93%</w:t>
            </w:r>
          </w:p>
        </w:tc>
        <w:tc>
          <w:tcPr>
            <w:tcW w:w="8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2"/>
                <w:sz w:val="18"/>
                <w:szCs w:val="18"/>
              </w:rPr>
              <w:t>军民融合应急</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装备生产项目</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9"/>
              <w:jc w:val="right"/>
              <w:rPr>
                <w:rFonts w:ascii="Times New Roman" w:hAnsi="Times New Roman" w:cs="Times New Roman" w:eastAsia="Times New Roman" w:hint="default"/>
                <w:sz w:val="18"/>
                <w:szCs w:val="18"/>
              </w:rPr>
            </w:pPr>
            <w:r>
              <w:rPr>
                <w:rFonts w:ascii="Times New Roman"/>
                <w:spacing w:val="-1"/>
                <w:sz w:val="18"/>
              </w:rPr>
              <w:t>95,366,500.00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3" w:right="0"/>
              <w:jc w:val="center"/>
              <w:rPr>
                <w:rFonts w:ascii="Times New Roman" w:hAnsi="Times New Roman" w:cs="Times New Roman" w:eastAsia="Times New Roman" w:hint="default"/>
                <w:sz w:val="18"/>
                <w:szCs w:val="18"/>
              </w:rPr>
            </w:pPr>
            <w:r>
              <w:rPr>
                <w:rFonts w:ascii="Times New Roman"/>
                <w:sz w:val="18"/>
              </w:rPr>
              <w:t>7,364,583.51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2,352,293.69</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9,716,877.20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8"/>
              <w:jc w:val="right"/>
              <w:rPr>
                <w:rFonts w:ascii="Times New Roman" w:hAnsi="Times New Roman" w:cs="Times New Roman" w:eastAsia="Times New Roman" w:hint="default"/>
                <w:sz w:val="18"/>
                <w:szCs w:val="18"/>
              </w:rPr>
            </w:pPr>
            <w:r>
              <w:rPr>
                <w:rFonts w:ascii="Times New Roman"/>
                <w:sz w:val="18"/>
              </w:rPr>
              <w:t>10.19%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9%</w:t>
            </w:r>
          </w:p>
        </w:tc>
        <w:tc>
          <w:tcPr>
            <w:tcW w:w="8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信息化项</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30"/>
              <w:jc w:val="right"/>
              <w:rPr>
                <w:rFonts w:ascii="Times New Roman" w:hAnsi="Times New Roman" w:cs="Times New Roman" w:eastAsia="Times New Roman" w:hint="default"/>
                <w:sz w:val="18"/>
                <w:szCs w:val="18"/>
              </w:rPr>
            </w:pPr>
            <w:r>
              <w:rPr>
                <w:rFonts w:ascii="Times New Roman"/>
                <w:spacing w:val="-1"/>
                <w:sz w:val="18"/>
              </w:rPr>
              <w:t>15,000,000.00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3" w:right="0"/>
              <w:jc w:val="center"/>
              <w:rPr>
                <w:rFonts w:ascii="Times New Roman" w:hAnsi="Times New Roman" w:cs="Times New Roman" w:eastAsia="Times New Roman" w:hint="default"/>
                <w:sz w:val="18"/>
                <w:szCs w:val="18"/>
              </w:rPr>
            </w:pPr>
            <w:r>
              <w:rPr>
                <w:rFonts w:ascii="Times New Roman"/>
                <w:sz w:val="18"/>
              </w:rPr>
              <w:t>5,594,455.96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4,167,382.93</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2"/>
                <w:sz w:val="18"/>
              </w:rPr>
              <w:t>2,301,111.98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7,460,726.91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8"/>
              <w:jc w:val="right"/>
              <w:rPr>
                <w:rFonts w:ascii="Times New Roman" w:hAnsi="Times New Roman" w:cs="Times New Roman" w:eastAsia="Times New Roman" w:hint="default"/>
                <w:sz w:val="18"/>
                <w:szCs w:val="18"/>
              </w:rPr>
            </w:pPr>
            <w:r>
              <w:rPr>
                <w:rFonts w:ascii="Times New Roman"/>
                <w:sz w:val="18"/>
              </w:rPr>
              <w:t>65.67%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62.1%</w:t>
            </w:r>
          </w:p>
        </w:tc>
        <w:tc>
          <w:tcPr>
            <w:tcW w:w="8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590 </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创意园区</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9"/>
              <w:jc w:val="right"/>
              <w:rPr>
                <w:rFonts w:ascii="Times New Roman" w:hAnsi="Times New Roman" w:cs="Times New Roman" w:eastAsia="Times New Roman" w:hint="default"/>
                <w:sz w:val="18"/>
                <w:szCs w:val="18"/>
              </w:rPr>
            </w:pPr>
            <w:r>
              <w:rPr>
                <w:rFonts w:ascii="Times New Roman"/>
                <w:spacing w:val="-1"/>
                <w:sz w:val="18"/>
              </w:rPr>
              <w:t>9,500,000.00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3" w:right="0"/>
              <w:jc w:val="center"/>
              <w:rPr>
                <w:rFonts w:ascii="Times New Roman" w:hAnsi="Times New Roman" w:cs="Times New Roman" w:eastAsia="Times New Roman" w:hint="default"/>
                <w:sz w:val="18"/>
                <w:szCs w:val="18"/>
              </w:rPr>
            </w:pPr>
            <w:r>
              <w:rPr>
                <w:rFonts w:ascii="Times New Roman"/>
                <w:sz w:val="18"/>
              </w:rPr>
              <w:t>6,781,138.28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1,675,933.77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1,013,164.66</w:t>
            </w:r>
          </w:p>
        </w:tc>
        <w:tc>
          <w:tcPr>
            <w:tcW w:w="123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7,443,907.39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8"/>
              <w:jc w:val="right"/>
              <w:rPr>
                <w:rFonts w:ascii="Times New Roman" w:hAnsi="Times New Roman" w:cs="Times New Roman" w:eastAsia="Times New Roman" w:hint="default"/>
                <w:sz w:val="18"/>
                <w:szCs w:val="18"/>
              </w:rPr>
            </w:pPr>
            <w:r>
              <w:rPr>
                <w:rFonts w:ascii="Times New Roman"/>
                <w:sz w:val="18"/>
              </w:rPr>
              <w:t>89.02%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82.64%</w:t>
            </w:r>
          </w:p>
        </w:tc>
        <w:tc>
          <w:tcPr>
            <w:tcW w:w="8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2"/>
                <w:sz w:val="18"/>
                <w:szCs w:val="18"/>
              </w:rPr>
              <w:t>通信车喷漆废</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气治理工程</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9"/>
              <w:jc w:val="right"/>
              <w:rPr>
                <w:rFonts w:ascii="Times New Roman" w:hAnsi="Times New Roman" w:cs="Times New Roman" w:eastAsia="Times New Roman" w:hint="default"/>
                <w:sz w:val="18"/>
                <w:szCs w:val="18"/>
              </w:rPr>
            </w:pPr>
            <w:r>
              <w:rPr>
                <w:rFonts w:ascii="Times New Roman"/>
                <w:spacing w:val="-1"/>
                <w:sz w:val="18"/>
              </w:rPr>
              <w:t>4,100,000.00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2,080,666.67</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2,080,666.67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8"/>
              <w:jc w:val="right"/>
              <w:rPr>
                <w:rFonts w:ascii="Times New Roman" w:hAnsi="Times New Roman" w:cs="Times New Roman" w:eastAsia="Times New Roman" w:hint="default"/>
                <w:sz w:val="18"/>
                <w:szCs w:val="18"/>
              </w:rPr>
            </w:pPr>
            <w:r>
              <w:rPr>
                <w:rFonts w:ascii="Times New Roman"/>
                <w:sz w:val="18"/>
              </w:rPr>
              <w:t>50.75%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50%</w:t>
            </w:r>
          </w:p>
        </w:tc>
        <w:tc>
          <w:tcPr>
            <w:tcW w:w="8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center"/>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29"/>
              <w:jc w:val="right"/>
              <w:rPr>
                <w:rFonts w:ascii="Times New Roman" w:hAnsi="Times New Roman" w:cs="Times New Roman" w:eastAsia="Times New Roman" w:hint="default"/>
                <w:sz w:val="18"/>
                <w:szCs w:val="18"/>
              </w:rPr>
            </w:pPr>
            <w:r>
              <w:rPr>
                <w:rFonts w:ascii="Times New Roman"/>
                <w:spacing w:val="-1"/>
                <w:sz w:val="18"/>
              </w:rPr>
              <w:t>143,966,500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center"/>
              <w:rPr>
                <w:rFonts w:ascii="Times New Roman" w:hAnsi="Times New Roman" w:cs="Times New Roman" w:eastAsia="Times New Roman" w:hint="default"/>
                <w:sz w:val="18"/>
                <w:szCs w:val="18"/>
              </w:rPr>
            </w:pPr>
            <w:r>
              <w:rPr>
                <w:rFonts w:ascii="Times New Roman"/>
                <w:sz w:val="18"/>
              </w:rPr>
              <w:t>32,369,580.73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10,403,392.08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1,013,164.66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2"/>
                <w:sz w:val="18"/>
              </w:rPr>
              <w:t>2,301,111.98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39,458,696.17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1"/>
              <w:jc w:val="center"/>
              <w:rPr>
                <w:rFonts w:ascii="Times New Roman" w:hAnsi="Times New Roman" w:cs="Times New Roman" w:eastAsia="Times New Roman" w:hint="default"/>
                <w:sz w:val="18"/>
                <w:szCs w:val="18"/>
              </w:rPr>
            </w:pPr>
            <w:r>
              <w:rPr>
                <w:rFonts w:ascii="Times New Roman"/>
                <w:sz w:val="18"/>
              </w:rPr>
              <w:t>/</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4"/>
              <w:jc w:val="center"/>
              <w:rPr>
                <w:rFonts w:ascii="Times New Roman" w:hAnsi="Times New Roman" w:cs="Times New Roman" w:eastAsia="Times New Roman" w:hint="default"/>
                <w:sz w:val="18"/>
                <w:szCs w:val="18"/>
              </w:rPr>
            </w:pPr>
            <w:r>
              <w:rPr>
                <w:rFonts w:ascii="Times New Roman"/>
                <w:sz w:val="18"/>
              </w:rPr>
              <w:t>/</w:t>
            </w:r>
          </w:p>
        </w:tc>
        <w:tc>
          <w:tcPr>
            <w:tcW w:w="84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5"/>
              <w:jc w:val="center"/>
              <w:rPr>
                <w:rFonts w:ascii="Times New Roman" w:hAnsi="Times New Roman" w:cs="Times New Roman" w:eastAsia="Times New Roman" w:hint="default"/>
                <w:sz w:val="18"/>
                <w:szCs w:val="18"/>
              </w:rPr>
            </w:pPr>
            <w:r>
              <w:rPr>
                <w:rFonts w:ascii="Times New Roman"/>
                <w:sz w:val="18"/>
              </w:rPr>
              <w:t>/</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9"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3"/>
        <w:rPr>
          <w:rFonts w:ascii="宋体" w:hAnsi="宋体" w:cs="宋体" w:eastAsia="宋体" w:hint="default"/>
          <w:sz w:val="12"/>
          <w:szCs w:val="12"/>
        </w:rPr>
      </w:pPr>
    </w:p>
    <w:p>
      <w:pPr>
        <w:pStyle w:val="BodyText"/>
        <w:spacing w:line="240" w:lineRule="auto" w:before="36"/>
        <w:ind w:left="220" w:right="0"/>
        <w:jc w:val="left"/>
      </w:pPr>
      <w:r>
        <w:rPr/>
        <w:t>注：在建工程本期其他减少系转入无形资产</w:t>
      </w:r>
      <w:r>
        <w:rPr>
          <w:spacing w:val="-61"/>
        </w:rPr>
        <w:t> </w:t>
      </w:r>
      <w:r>
        <w:rPr>
          <w:rFonts w:ascii="Times New Roman" w:hAnsi="Times New Roman" w:cs="Times New Roman" w:eastAsia="Times New Roman" w:hint="default"/>
        </w:rPr>
        <w:t>2,301,111.98</w:t>
      </w:r>
      <w:r>
        <w:rPr>
          <w:rFonts w:ascii="Times New Roman" w:hAnsi="Times New Roman" w:cs="Times New Roman" w:eastAsia="Times New Roman" w:hint="default"/>
          <w:spacing w:val="-9"/>
        </w:rPr>
        <w:t> </w:t>
      </w:r>
      <w:r>
        <w:rPr>
          <w:spacing w:val="-3"/>
        </w:rPr>
        <w:t>元。</w:t>
      </w:r>
      <w:r>
        <w:rPr/>
      </w:r>
    </w:p>
    <w:p>
      <w:pPr>
        <w:pStyle w:val="Heading2"/>
        <w:spacing w:line="240" w:lineRule="auto" w:before="43"/>
        <w:ind w:left="220" w:right="0"/>
        <w:jc w:val="left"/>
        <w:rPr>
          <w:b w:val="0"/>
          <w:bCs w:val="0"/>
        </w:rPr>
      </w:pPr>
      <w:r>
        <w:rPr>
          <w:rFonts w:ascii="宋体" w:hAnsi="宋体" w:cs="宋体" w:eastAsia="宋体" w:hint="default"/>
        </w:rPr>
        <w:t>(3).</w:t>
      </w:r>
      <w:r>
        <w:rPr>
          <w:rFonts w:ascii="宋体" w:hAnsi="宋体" w:cs="宋体" w:eastAsia="宋体" w:hint="default"/>
          <w:spacing w:val="58"/>
        </w:rPr>
        <w:t> </w:t>
      </w:r>
      <w:r>
        <w:rPr/>
        <w:t>本期计提在建工程减值准备情况：</w:t>
      </w:r>
      <w:r>
        <w:rPr>
          <w:b w:val="0"/>
          <w:bCs w:val="0"/>
        </w:rPr>
      </w:r>
    </w:p>
    <w:p>
      <w:pPr>
        <w:pStyle w:val="BodyText"/>
        <w:spacing w:line="240" w:lineRule="auto" w:before="56"/>
        <w:ind w:left="220" w:right="12423"/>
        <w:jc w:val="left"/>
      </w:pPr>
      <w:r>
        <w:rPr/>
        <w:t>□适用 √不适用</w:t>
      </w:r>
      <w:r>
        <w:rPr>
          <w:w w:val="100"/>
        </w:rPr>
        <w:t> </w:t>
      </w:r>
      <w:r>
        <w:rPr/>
        <w:t>其他说明</w:t>
      </w:r>
    </w:p>
    <w:p>
      <w:pPr>
        <w:pStyle w:val="BodyText"/>
        <w:spacing w:line="271" w:lineRule="exact"/>
        <w:ind w:left="220" w:right="0"/>
        <w:jc w:val="left"/>
      </w:pPr>
      <w:r>
        <w:rPr/>
        <w:t>□适用 √不适用</w:t>
      </w:r>
    </w:p>
    <w:p>
      <w:pPr>
        <w:spacing w:line="240" w:lineRule="auto" w:before="12"/>
        <w:rPr>
          <w:rFonts w:ascii="宋体" w:hAnsi="宋体" w:cs="宋体" w:eastAsia="宋体" w:hint="default"/>
          <w:sz w:val="22"/>
          <w:szCs w:val="22"/>
        </w:rPr>
      </w:pPr>
    </w:p>
    <w:p>
      <w:pPr>
        <w:pStyle w:val="Heading2"/>
        <w:spacing w:line="240" w:lineRule="auto" w:before="0"/>
        <w:ind w:left="220" w:right="0"/>
        <w:jc w:val="left"/>
        <w:rPr>
          <w:b w:val="0"/>
          <w:bCs w:val="0"/>
        </w:rPr>
      </w:pPr>
      <w:r>
        <w:rPr>
          <w:rFonts w:ascii="宋体" w:hAnsi="宋体" w:cs="宋体" w:eastAsia="宋体" w:hint="default"/>
        </w:rPr>
        <w:t>21</w:t>
      </w:r>
      <w:r>
        <w:rPr/>
        <w:t>、</w:t>
      </w:r>
      <w:r>
        <w:rPr>
          <w:spacing w:val="-24"/>
        </w:rPr>
        <w:t> </w:t>
      </w:r>
      <w:r>
        <w:rPr/>
        <w:t>工程物资</w:t>
      </w:r>
      <w:r>
        <w:rPr>
          <w:b w:val="0"/>
          <w:bCs w:val="0"/>
        </w:rPr>
      </w:r>
    </w:p>
    <w:p>
      <w:pPr>
        <w:pStyle w:val="BodyText"/>
        <w:spacing w:line="240" w:lineRule="auto" w:before="58"/>
        <w:ind w:left="22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63"/>
        <w:ind w:left="6473" w:right="6400" w:firstLine="0"/>
        <w:jc w:val="center"/>
        <w:rPr>
          <w:rFonts w:ascii="Calibri" w:hAnsi="Calibri" w:cs="Calibri" w:eastAsia="Calibri" w:hint="default"/>
          <w:sz w:val="18"/>
          <w:szCs w:val="18"/>
        </w:rPr>
      </w:pPr>
      <w:r>
        <w:rPr>
          <w:rFonts w:ascii="Calibri"/>
          <w:b/>
          <w:sz w:val="18"/>
        </w:rPr>
        <w:t>121</w:t>
      </w:r>
      <w:r>
        <w:rPr>
          <w:rFonts w:ascii="Calibri"/>
          <w:sz w:val="18"/>
        </w:rPr>
        <w:t>/</w:t>
      </w:r>
      <w:r>
        <w:rPr>
          <w:rFonts w:ascii="Calibri"/>
          <w:b/>
          <w:sz w:val="18"/>
        </w:rPr>
        <w:t>180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8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spacing w:line="240" w:lineRule="auto" w:before="0"/>
        <w:ind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2"/>
        <w:spacing w:line="240" w:lineRule="auto" w:before="0"/>
        <w:ind w:right="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2"/>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right="0"/>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72" w:lineRule="exact" w:before="86"/>
        <w:ind w:right="75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6" w:lineRule="exact"/>
        <w:ind w:right="0"/>
        <w:jc w:val="left"/>
      </w:pPr>
      <w:r>
        <w:rPr/>
        <w:t>□适用 √不适用</w:t>
      </w:r>
    </w:p>
    <w:p>
      <w:pPr>
        <w:spacing w:line="240" w:lineRule="auto" w:before="1"/>
        <w:rPr>
          <w:rFonts w:ascii="宋体" w:hAnsi="宋体" w:cs="宋体" w:eastAsia="宋体" w:hint="default"/>
          <w:sz w:val="23"/>
          <w:szCs w:val="23"/>
        </w:rPr>
      </w:pPr>
    </w:p>
    <w:p>
      <w:pPr>
        <w:pStyle w:val="Heading2"/>
        <w:spacing w:line="240" w:lineRule="auto" w:before="0"/>
        <w:ind w:right="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4"/>
          <w:pgSz w:w="11910" w:h="16840"/>
          <w:pgMar w:footer="1195" w:header="0" w:top="1120" w:bottom="1380" w:left="1660" w:right="1140"/>
          <w:pgNumType w:start="122"/>
        </w:sectPr>
      </w:pPr>
    </w:p>
    <w:p>
      <w:pPr>
        <w:pStyle w:val="Heading2"/>
        <w:spacing w:line="240" w:lineRule="auto"/>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884" w:val="left" w:leader="none"/>
        </w:tabs>
        <w:spacing w:line="240" w:lineRule="auto" w:before="56"/>
        <w:ind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2008" w:space="4514"/>
            <w:col w:w="2588"/>
          </w:cols>
        </w:sectPr>
      </w:pPr>
    </w:p>
    <w:p>
      <w:pPr>
        <w:spacing w:line="240" w:lineRule="auto" w:before="4"/>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1678"/>
        <w:gridCol w:w="1337"/>
        <w:gridCol w:w="1805"/>
        <w:gridCol w:w="1358"/>
        <w:gridCol w:w="1232"/>
        <w:gridCol w:w="1306"/>
      </w:tblGrid>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left"/>
              <w:rPr>
                <w:rFonts w:ascii="宋体" w:hAnsi="宋体" w:cs="宋体" w:eastAsia="宋体" w:hint="default"/>
                <w:sz w:val="18"/>
                <w:szCs w:val="18"/>
              </w:rPr>
            </w:pPr>
            <w:r>
              <w:rPr>
                <w:rFonts w:ascii="宋体" w:hAnsi="宋体" w:cs="宋体" w:eastAsia="宋体" w:hint="default"/>
                <w:sz w:val="18"/>
                <w:szCs w:val="18"/>
              </w:rPr>
              <w:t>专利权及非专利技术</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1"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8"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160,755,027.88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192,965,887.89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1"/>
              <w:jc w:val="right"/>
              <w:rPr>
                <w:rFonts w:ascii="Times New Roman" w:hAnsi="Times New Roman" w:cs="Times New Roman" w:eastAsia="Times New Roman" w:hint="default"/>
                <w:sz w:val="18"/>
                <w:szCs w:val="18"/>
              </w:rPr>
            </w:pPr>
            <w:r>
              <w:rPr>
                <w:rFonts w:ascii="Times New Roman"/>
                <w:spacing w:val="-1"/>
                <w:sz w:val="18"/>
              </w:rPr>
              <w:t>8,498,191.80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99,633,373.68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461,852,481.25</w:t>
            </w:r>
          </w:p>
        </w:tc>
      </w:tr>
      <w:tr>
        <w:trPr>
          <w:trHeight w:val="34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30,472,051.50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7,106,422.60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13,780,200.41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51,358,674.51</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12,848,987.27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705,310.62</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13,554,297.89</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17,623,064.23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4,100,000.00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13,780,200.41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35,503,264.64</w:t>
            </w:r>
          </w:p>
        </w:tc>
      </w:tr>
      <w:tr>
        <w:trPr>
          <w:trHeight w:val="47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6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企</w:t>
            </w:r>
            <w:r>
              <w:rPr>
                <w:rFonts w:ascii="宋体" w:hAnsi="宋体" w:cs="宋体" w:eastAsia="宋体" w:hint="default"/>
                <w:spacing w:val="-58"/>
                <w:sz w:val="18"/>
                <w:szCs w:val="18"/>
              </w:rPr>
              <w:t> </w:t>
            </w:r>
            <w:r>
              <w:rPr>
                <w:rFonts w:ascii="宋体" w:hAnsi="宋体" w:cs="宋体" w:eastAsia="宋体" w:hint="default"/>
                <w:spacing w:val="25"/>
                <w:sz w:val="18"/>
                <w:szCs w:val="18"/>
              </w:rPr>
              <w:t>业合并</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）在建工程转入</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2"/>
                <w:sz w:val="18"/>
              </w:rPr>
              <w:t>2,301,111.98</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2"/>
                <w:sz w:val="18"/>
              </w:rPr>
              <w:t>2,301,111.98</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27,673,577.30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20,340,991.94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712,931.64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757,000.00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49,484,500.88</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8,105,554.26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683,931.64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757,000.00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9,546,485.90</w:t>
            </w:r>
          </w:p>
        </w:tc>
      </w:tr>
      <w:tr>
        <w:trPr>
          <w:trHeight w:val="242"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27,673,577.30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12,235,437.68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29,000.00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39,938,014.98</w:t>
            </w:r>
          </w:p>
        </w:tc>
      </w:tr>
      <w:tr>
        <w:trPr>
          <w:trHeight w:val="35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133,081,450.58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203,096,947.45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14,891,682.76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112,656,574.09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463,726,654.88</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32,151,550.66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73,202,668.08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5,462,286.65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34,039,731.44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144,856,236.83</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3,007,782.92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18,659,125.84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827,944.04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13,420,218.09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35,915,070.89</w:t>
            </w:r>
          </w:p>
        </w:tc>
      </w:tr>
      <w:tr>
        <w:trPr>
          <w:trHeight w:val="34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3,007,782.92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18,659,125.84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827,944.04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13,420,218.09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35,915,070.89</w:t>
            </w:r>
          </w:p>
        </w:tc>
      </w:tr>
      <w:tr>
        <w:trPr>
          <w:trHeight w:val="218" w:hRule="exact"/>
        </w:trPr>
        <w:tc>
          <w:tcPr>
            <w:tcW w:w="167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13,317,691.31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5,843,485.68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319,262.36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378,499.80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19,858,939.15</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6,345,965.53</w:t>
            </w: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290,262.36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378,499.80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7,014,727.69</w:t>
            </w:r>
          </w:p>
        </w:tc>
      </w:tr>
      <w:tr>
        <w:trPr>
          <w:trHeight w:val="242"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6,971,725.78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5,843,485.68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29,000.00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12,844,211.46</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21,841,642.27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86,018,308.24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5,970,968.33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47,081,449.73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160,912,368.57</w:t>
            </w:r>
          </w:p>
        </w:tc>
      </w:tr>
      <w:tr>
        <w:trPr>
          <w:trHeight w:val="35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33" w:type="dxa"/>
        <w:tblLayout w:type="fixed"/>
        <w:tblCellMar>
          <w:top w:w="0" w:type="dxa"/>
          <w:left w:w="0" w:type="dxa"/>
          <w:bottom w:w="0" w:type="dxa"/>
          <w:right w:w="0" w:type="dxa"/>
        </w:tblCellMar>
        <w:tblLook w:val="01E0"/>
      </w:tblPr>
      <w:tblGrid>
        <w:gridCol w:w="1678"/>
        <w:gridCol w:w="1337"/>
        <w:gridCol w:w="1805"/>
        <w:gridCol w:w="1358"/>
        <w:gridCol w:w="1232"/>
        <w:gridCol w:w="1306"/>
      </w:tblGrid>
      <w:tr>
        <w:trPr>
          <w:trHeight w:val="35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67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678"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3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2"/>
                <w:sz w:val="18"/>
              </w:rPr>
              <w:t>111,239,808.31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117,078,639.21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8,920,714.43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65,575,124.36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302,814,286.31</w:t>
            </w:r>
          </w:p>
        </w:tc>
      </w:tr>
      <w:tr>
        <w:trPr>
          <w:trHeight w:val="350"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128,603,477.22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120,119,041.02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2,680,083.94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65,593,642.24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316,996,244.42</w:t>
            </w:r>
          </w:p>
        </w:tc>
      </w:tr>
    </w:tbl>
    <w:p>
      <w:pPr>
        <w:spacing w:line="240" w:lineRule="auto" w:before="8"/>
        <w:rPr>
          <w:rFonts w:ascii="宋体" w:hAnsi="宋体" w:cs="宋体" w:eastAsia="宋体" w:hint="default"/>
          <w:sz w:val="15"/>
          <w:szCs w:val="15"/>
        </w:rPr>
      </w:pPr>
    </w:p>
    <w:p>
      <w:pPr>
        <w:pStyle w:val="BodyText"/>
        <w:spacing w:line="281" w:lineRule="exact" w:before="36"/>
        <w:ind w:left="178" w:right="142"/>
        <w:jc w:val="left"/>
        <w:rPr>
          <w:rFonts w:ascii="Times New Roman" w:hAnsi="Times New Roman" w:cs="Times New Roman" w:eastAsia="Times New Roman" w:hint="default"/>
        </w:rPr>
      </w:pPr>
      <w:r>
        <w:rPr>
          <w:spacing w:val="-2"/>
        </w:rPr>
        <w:t>本期末通过公司内部研发形成的无形资产占无形资产余额的比例</w:t>
      </w:r>
      <w:r>
        <w:rPr>
          <w:spacing w:val="5"/>
        </w:rPr>
        <w:t> </w:t>
      </w:r>
      <w:r>
        <w:rPr>
          <w:rFonts w:ascii="Times New Roman" w:hAnsi="Times New Roman" w:cs="Times New Roman" w:eastAsia="Times New Roman" w:hint="default"/>
          <w:spacing w:val="-1"/>
        </w:rPr>
        <w:t>7.66%</w:t>
      </w:r>
    </w:p>
    <w:p>
      <w:pPr>
        <w:pStyle w:val="BodyText"/>
        <w:spacing w:line="274" w:lineRule="exact" w:before="16"/>
        <w:ind w:left="178" w:right="142"/>
        <w:jc w:val="left"/>
      </w:pPr>
      <w:r>
        <w:rPr/>
        <w:t>注</w:t>
      </w:r>
      <w:r>
        <w:rPr>
          <w:spacing w:val="6"/>
        </w:rPr>
        <w:t> </w:t>
      </w:r>
      <w:r>
        <w:rPr>
          <w:rFonts w:ascii="Times New Roman" w:hAnsi="Times New Roman" w:cs="Times New Roman" w:eastAsia="Times New Roman" w:hint="default"/>
        </w:rPr>
        <w:t>1</w:t>
      </w:r>
      <w:r>
        <w:rPr/>
        <w:t>：本期企业合并减少系江西希望科技有限公司、江西泰豪科技进出口有限公司本期不纳入合</w:t>
      </w:r>
      <w:r>
        <w:rPr>
          <w:w w:val="100"/>
        </w:rPr>
        <w:t> </w:t>
      </w:r>
      <w:r>
        <w:rPr/>
        <w:t>并报表范围减少。</w:t>
      </w:r>
    </w:p>
    <w:p>
      <w:pPr>
        <w:spacing w:line="240" w:lineRule="auto" w:before="12"/>
        <w:rPr>
          <w:rFonts w:ascii="宋体" w:hAnsi="宋体" w:cs="宋体" w:eastAsia="宋体" w:hint="default"/>
          <w:sz w:val="20"/>
          <w:szCs w:val="20"/>
        </w:rPr>
      </w:pPr>
    </w:p>
    <w:p>
      <w:pPr>
        <w:pStyle w:val="Heading2"/>
        <w:spacing w:line="240" w:lineRule="auto" w:before="0"/>
        <w:ind w:left="178" w:right="142"/>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178" w:right="7393"/>
        <w:jc w:val="left"/>
      </w:pPr>
      <w:r>
        <w:rPr/>
        <w:t>□适用 √不适用</w:t>
      </w:r>
      <w:r>
        <w:rPr>
          <w:w w:val="100"/>
        </w:rPr>
        <w:t> </w:t>
      </w:r>
      <w:r>
        <w:rPr/>
        <w:t>其他说明：</w:t>
      </w:r>
    </w:p>
    <w:p>
      <w:pPr>
        <w:pStyle w:val="BodyText"/>
        <w:spacing w:line="271" w:lineRule="exact"/>
        <w:ind w:left="178" w:right="142"/>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20" w:right="1120"/>
        </w:sectPr>
      </w:pPr>
    </w:p>
    <w:p>
      <w:pPr>
        <w:pStyle w:val="Heading2"/>
        <w:spacing w:line="240" w:lineRule="auto"/>
        <w:ind w:left="178" w:right="-1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left="17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29" w:val="left" w:leader="none"/>
        </w:tabs>
        <w:spacing w:line="240" w:lineRule="auto"/>
        <w:ind w:left="178" w:right="0"/>
        <w:jc w:val="left"/>
      </w:pPr>
      <w:r>
        <w:rPr>
          <w:spacing w:val="-1"/>
        </w:rPr>
        <w:t>单位：元</w:t>
        <w:tab/>
      </w:r>
      <w:r>
        <w:rPr>
          <w:spacing w:val="-2"/>
        </w:rPr>
        <w:t>币种：人民币</w:t>
      </w:r>
    </w:p>
    <w:p>
      <w:pPr>
        <w:spacing w:after="0" w:line="240" w:lineRule="auto"/>
        <w:jc w:val="left"/>
        <w:sectPr>
          <w:type w:val="continuous"/>
          <w:pgSz w:w="11910" w:h="16840"/>
          <w:pgMar w:top="1120" w:bottom="1380" w:left="1620" w:right="1120"/>
          <w:cols w:num="2" w:equalWidth="0">
            <w:col w:w="1578" w:space="4944"/>
            <w:col w:w="2648"/>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618"/>
        <w:gridCol w:w="1090"/>
        <w:gridCol w:w="1178"/>
        <w:gridCol w:w="401"/>
        <w:gridCol w:w="1284"/>
        <w:gridCol w:w="1178"/>
        <w:gridCol w:w="999"/>
        <w:gridCol w:w="1174"/>
      </w:tblGrid>
      <w:tr>
        <w:trPr>
          <w:trHeight w:val="243" w:hRule="exact"/>
        </w:trPr>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90" w:type="dxa"/>
            <w:vMerge w:val="restart"/>
            <w:tcBorders>
              <w:top w:val="single" w:sz="4" w:space="0" w:color="000000"/>
              <w:left w:val="single" w:sz="4" w:space="0" w:color="000000"/>
              <w:right w:val="single" w:sz="4" w:space="0" w:color="000000"/>
            </w:tcBorders>
          </w:tcPr>
          <w:p>
            <w:pPr>
              <w:pStyle w:val="TableParagraph"/>
              <w:spacing w:line="232" w:lineRule="exact" w:before="117"/>
              <w:ind w:left="360" w:right="358"/>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4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74" w:type="dxa"/>
            <w:vMerge w:val="restart"/>
            <w:tcBorders>
              <w:top w:val="single" w:sz="4" w:space="0" w:color="000000"/>
              <w:left w:val="single" w:sz="4" w:space="0" w:color="000000"/>
              <w:right w:val="single" w:sz="4" w:space="0" w:color="000000"/>
            </w:tcBorders>
          </w:tcPr>
          <w:p>
            <w:pPr>
              <w:pStyle w:val="TableParagraph"/>
              <w:spacing w:line="232" w:lineRule="exact" w:before="117"/>
              <w:ind w:left="400" w:right="401"/>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78" w:hRule="exact"/>
        </w:trPr>
        <w:tc>
          <w:tcPr>
            <w:tcW w:w="1618"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401" w:type="dxa"/>
            <w:tcBorders>
              <w:top w:val="single" w:sz="4" w:space="0" w:color="000000"/>
              <w:left w:val="single" w:sz="4" w:space="0" w:color="000000"/>
              <w:bottom w:val="single" w:sz="4" w:space="0" w:color="000000"/>
              <w:right w:val="single" w:sz="35"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84" w:type="dxa"/>
            <w:tcBorders>
              <w:top w:val="single" w:sz="4" w:space="0" w:color="000000"/>
              <w:left w:val="single" w:sz="35"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确认为无形资</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产</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转入当期损益</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174" w:type="dxa"/>
            <w:vMerge/>
            <w:tcBorders>
              <w:left w:val="single" w:sz="4" w:space="0" w:color="000000"/>
              <w:bottom w:val="single" w:sz="4" w:space="0" w:color="000000"/>
              <w:right w:val="single" w:sz="4" w:space="0" w:color="000000"/>
            </w:tcBorders>
          </w:tcPr>
          <w:p>
            <w:pPr/>
          </w:p>
        </w:tc>
      </w:tr>
      <w:tr>
        <w:trPr>
          <w:trHeight w:val="47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4"/>
                <w:sz w:val="18"/>
                <w:szCs w:val="18"/>
              </w:rPr>
              <w:t>智慧能源产品系列</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研发项目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24,007,661.1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241,660,795.6</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w:t>
            </w:r>
          </w:p>
        </w:tc>
        <w:tc>
          <w:tcPr>
            <w:tcW w:w="401" w:type="dxa"/>
            <w:tcBorders>
              <w:top w:val="single" w:sz="4" w:space="0" w:color="000000"/>
              <w:left w:val="single" w:sz="4" w:space="0" w:color="000000"/>
              <w:bottom w:val="single" w:sz="4" w:space="0" w:color="000000"/>
              <w:right w:val="single" w:sz="35" w:space="0" w:color="000000"/>
            </w:tcBorders>
          </w:tcPr>
          <w:p>
            <w:pPr/>
          </w:p>
        </w:tc>
        <w:tc>
          <w:tcPr>
            <w:tcW w:w="1284" w:type="dxa"/>
            <w:tcBorders>
              <w:top w:val="single" w:sz="4" w:space="0" w:color="000000"/>
              <w:left w:val="single" w:sz="35"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22,866,854.39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185,381,188.9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3" w:right="0"/>
              <w:jc w:val="left"/>
              <w:rPr>
                <w:rFonts w:ascii="Times New Roman" w:hAnsi="Times New Roman" w:cs="Times New Roman" w:eastAsia="Times New Roman" w:hint="default"/>
                <w:sz w:val="18"/>
                <w:szCs w:val="18"/>
              </w:rPr>
            </w:pPr>
            <w:r>
              <w:rPr>
                <w:rFonts w:ascii="Times New Roman"/>
                <w:sz w:val="18"/>
              </w:rPr>
              <w:t>780,000.00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56,640,413.49</w:t>
            </w:r>
          </w:p>
        </w:tc>
      </w:tr>
      <w:tr>
        <w:trPr>
          <w:trHeight w:val="475"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14"/>
                <w:sz w:val="18"/>
                <w:szCs w:val="18"/>
              </w:rPr>
              <w:t>军工装备产品系列</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研发项目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55,544,517.0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6" w:right="0"/>
              <w:jc w:val="center"/>
              <w:rPr>
                <w:rFonts w:ascii="Times New Roman" w:hAnsi="Times New Roman" w:cs="Times New Roman" w:eastAsia="Times New Roman" w:hint="default"/>
                <w:sz w:val="18"/>
                <w:szCs w:val="18"/>
              </w:rPr>
            </w:pPr>
            <w:r>
              <w:rPr>
                <w:rFonts w:ascii="Times New Roman"/>
                <w:sz w:val="18"/>
              </w:rPr>
              <w:t>51,597,128.55</w:t>
            </w:r>
          </w:p>
        </w:tc>
        <w:tc>
          <w:tcPr>
            <w:tcW w:w="401" w:type="dxa"/>
            <w:tcBorders>
              <w:top w:val="single" w:sz="4" w:space="0" w:color="000000"/>
              <w:left w:val="single" w:sz="4" w:space="0" w:color="000000"/>
              <w:bottom w:val="single" w:sz="4" w:space="0" w:color="000000"/>
              <w:right w:val="single" w:sz="35" w:space="0" w:color="000000"/>
            </w:tcBorders>
          </w:tcPr>
          <w:p>
            <w:pPr/>
          </w:p>
        </w:tc>
        <w:tc>
          <w:tcPr>
            <w:tcW w:w="1284" w:type="dxa"/>
            <w:tcBorders>
              <w:top w:val="single" w:sz="4" w:space="0" w:color="000000"/>
              <w:left w:val="single" w:sz="35"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12,636,410.25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6" w:right="0"/>
              <w:jc w:val="center"/>
              <w:rPr>
                <w:rFonts w:ascii="Times New Roman" w:hAnsi="Times New Roman" w:cs="Times New Roman" w:eastAsia="Times New Roman" w:hint="default"/>
                <w:sz w:val="18"/>
                <w:szCs w:val="18"/>
              </w:rPr>
            </w:pPr>
            <w:r>
              <w:rPr>
                <w:rFonts w:ascii="Times New Roman"/>
                <w:sz w:val="18"/>
              </w:rPr>
              <w:t>45,251,528.78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5,182,299.5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44,071,407.06</w:t>
            </w:r>
          </w:p>
        </w:tc>
      </w:tr>
      <w:tr>
        <w:trPr>
          <w:trHeight w:val="425"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79,552,178.2</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293,257,924.1</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7</w:t>
            </w:r>
          </w:p>
        </w:tc>
        <w:tc>
          <w:tcPr>
            <w:tcW w:w="401" w:type="dxa"/>
            <w:tcBorders>
              <w:top w:val="single" w:sz="4" w:space="0" w:color="000000"/>
              <w:left w:val="single" w:sz="4" w:space="0" w:color="000000"/>
              <w:bottom w:val="single" w:sz="4" w:space="0" w:color="000000"/>
              <w:right w:val="single" w:sz="35" w:space="0" w:color="000000"/>
            </w:tcBorders>
          </w:tcPr>
          <w:p>
            <w:pPr/>
          </w:p>
        </w:tc>
        <w:tc>
          <w:tcPr>
            <w:tcW w:w="1284" w:type="dxa"/>
            <w:tcBorders>
              <w:top w:val="single" w:sz="4" w:space="0" w:color="000000"/>
              <w:left w:val="single" w:sz="35"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35,503,264.64</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230,632,717.6</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5,962,299.5</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100,711,820.5</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2"/>
        <w:rPr>
          <w:rFonts w:ascii="宋体" w:hAnsi="宋体" w:cs="宋体" w:eastAsia="宋体" w:hint="default"/>
          <w:sz w:val="13"/>
          <w:szCs w:val="13"/>
        </w:rPr>
      </w:pPr>
    </w:p>
    <w:p>
      <w:pPr>
        <w:pStyle w:val="BodyText"/>
        <w:spacing w:line="273" w:lineRule="exact" w:before="36"/>
        <w:ind w:left="178" w:right="142"/>
        <w:jc w:val="left"/>
      </w:pPr>
      <w:r>
        <w:rPr/>
        <w:t>其他说明</w:t>
      </w:r>
    </w:p>
    <w:p>
      <w:pPr>
        <w:pStyle w:val="BodyText"/>
        <w:spacing w:line="280" w:lineRule="exact"/>
        <w:ind w:left="178" w:right="142"/>
        <w:jc w:val="left"/>
      </w:pPr>
      <w:r>
        <w:rPr/>
        <w:t>注</w:t>
      </w:r>
      <w:r>
        <w:rPr>
          <w:spacing w:val="1"/>
        </w:rPr>
        <w:t> </w:t>
      </w:r>
      <w:r>
        <w:rPr>
          <w:rFonts w:ascii="Times New Roman" w:hAnsi="Times New Roman" w:cs="Times New Roman" w:eastAsia="Times New Roman" w:hint="default"/>
          <w:spacing w:val="-2"/>
        </w:rPr>
        <w:t>1</w:t>
      </w:r>
      <w:r>
        <w:rPr>
          <w:spacing w:val="-2"/>
        </w:rPr>
        <w:t>：考虑行业保密需要，本公司研发支出项目按业务类别披露。</w:t>
      </w:r>
    </w:p>
    <w:p>
      <w:pPr>
        <w:pStyle w:val="BodyText"/>
        <w:spacing w:line="282" w:lineRule="exact"/>
        <w:ind w:left="178" w:right="142"/>
        <w:jc w:val="left"/>
      </w:pPr>
      <w:r>
        <w:rPr/>
        <w:t>注</w:t>
      </w:r>
      <w:r>
        <w:rPr>
          <w:spacing w:val="-53"/>
        </w:rPr>
        <w:t> </w:t>
      </w:r>
      <w:r>
        <w:rPr>
          <w:rFonts w:ascii="Times New Roman" w:hAnsi="Times New Roman" w:cs="Times New Roman" w:eastAsia="Times New Roman" w:hint="default"/>
        </w:rPr>
        <w:t>2</w:t>
      </w:r>
      <w:r>
        <w:rPr/>
        <w:t>：本期其他减少</w:t>
      </w:r>
      <w:r>
        <w:rPr>
          <w:spacing w:val="-55"/>
        </w:rPr>
        <w:t> </w:t>
      </w:r>
      <w:r>
        <w:rPr>
          <w:rFonts w:ascii="Times New Roman" w:hAnsi="Times New Roman" w:cs="Times New Roman" w:eastAsia="Times New Roman" w:hint="default"/>
        </w:rPr>
        <w:t>5,962,299.50</w:t>
      </w:r>
      <w:r>
        <w:rPr>
          <w:rFonts w:ascii="Times New Roman" w:hAnsi="Times New Roman" w:cs="Times New Roman" w:eastAsia="Times New Roman" w:hint="default"/>
          <w:spacing w:val="-2"/>
        </w:rPr>
        <w:t> </w:t>
      </w:r>
      <w:r>
        <w:rPr/>
        <w:t>元，系研发项目转入库存商品</w:t>
      </w:r>
      <w:r>
        <w:rPr>
          <w:spacing w:val="-53"/>
        </w:rPr>
        <w:t> </w:t>
      </w:r>
      <w:r>
        <w:rPr>
          <w:rFonts w:ascii="Times New Roman" w:hAnsi="Times New Roman" w:cs="Times New Roman" w:eastAsia="Times New Roman" w:hint="default"/>
        </w:rPr>
        <w:t>5,962,299.50</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620" w:right="1120"/>
        </w:sectPr>
      </w:pPr>
    </w:p>
    <w:p>
      <w:pPr>
        <w:pStyle w:val="Heading2"/>
        <w:spacing w:line="240" w:lineRule="auto"/>
        <w:ind w:left="178"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2"/>
        <w:spacing w:line="240" w:lineRule="auto" w:before="58"/>
        <w:ind w:left="178"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6"/>
        <w:ind w:left="17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29" w:val="left" w:leader="none"/>
        </w:tabs>
        <w:spacing w:line="240" w:lineRule="auto"/>
        <w:ind w:left="178" w:right="0"/>
        <w:jc w:val="left"/>
      </w:pPr>
      <w:r>
        <w:rPr>
          <w:spacing w:val="-1"/>
        </w:rPr>
        <w:t>单位：元</w:t>
        <w:tab/>
      </w:r>
      <w:r>
        <w:rPr>
          <w:spacing w:val="-2"/>
        </w:rPr>
        <w:t>币种：人民币</w:t>
      </w:r>
    </w:p>
    <w:p>
      <w:pPr>
        <w:spacing w:after="0" w:line="240" w:lineRule="auto"/>
        <w:jc w:val="left"/>
        <w:sectPr>
          <w:type w:val="continuous"/>
          <w:pgSz w:w="11910" w:h="16840"/>
          <w:pgMar w:top="1120" w:bottom="1380" w:left="1620" w:right="1120"/>
          <w:cols w:num="2" w:equalWidth="0">
            <w:col w:w="2034" w:space="4488"/>
            <w:col w:w="2648"/>
          </w:cols>
        </w:sectPr>
      </w:pPr>
    </w:p>
    <w:p>
      <w:pPr>
        <w:spacing w:line="240" w:lineRule="auto" w:before="4"/>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3457"/>
        <w:gridCol w:w="1371"/>
        <w:gridCol w:w="1548"/>
        <w:gridCol w:w="958"/>
        <w:gridCol w:w="1558"/>
      </w:tblGrid>
      <w:tr>
        <w:trPr>
          <w:trHeight w:val="295" w:hRule="exact"/>
        </w:trPr>
        <w:tc>
          <w:tcPr>
            <w:tcW w:w="34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6"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457"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29"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的</w:t>
            </w:r>
          </w:p>
        </w:tc>
        <w:tc>
          <w:tcPr>
            <w:tcW w:w="958" w:type="dxa"/>
            <w:tcBorders>
              <w:top w:val="single" w:sz="4" w:space="0" w:color="000000"/>
              <w:left w:val="single" w:sz="29" w:space="0" w:color="000000"/>
              <w:bottom w:val="single" w:sz="4" w:space="0" w:color="000000"/>
              <w:right w:val="single" w:sz="29"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558" w:type="dxa"/>
            <w:vMerge/>
            <w:tcBorders>
              <w:left w:val="single" w:sz="4" w:space="0" w:color="000000"/>
              <w:bottom w:val="single" w:sz="4" w:space="0" w:color="000000"/>
              <w:right w:val="single" w:sz="4" w:space="0" w:color="000000"/>
            </w:tcBorders>
          </w:tcPr>
          <w:p>
            <w:pPr/>
          </w:p>
        </w:tc>
      </w:tr>
      <w:tr>
        <w:trPr>
          <w:trHeight w:val="28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158,457,437.48</w:t>
            </w:r>
          </w:p>
        </w:tc>
        <w:tc>
          <w:tcPr>
            <w:tcW w:w="1548" w:type="dxa"/>
            <w:tcBorders>
              <w:top w:val="single" w:sz="4" w:space="0" w:color="000000"/>
              <w:left w:val="single" w:sz="4" w:space="0" w:color="000000"/>
              <w:bottom w:val="single" w:sz="4" w:space="0" w:color="000000"/>
              <w:right w:val="single" w:sz="29" w:space="0" w:color="000000"/>
            </w:tcBorders>
          </w:tcPr>
          <w:p>
            <w:pPr/>
          </w:p>
        </w:tc>
        <w:tc>
          <w:tcPr>
            <w:tcW w:w="958" w:type="dxa"/>
            <w:tcBorders>
              <w:top w:val="single" w:sz="4" w:space="0" w:color="000000"/>
              <w:left w:val="single" w:sz="29" w:space="0" w:color="000000"/>
              <w:bottom w:val="single" w:sz="4" w:space="0" w:color="000000"/>
              <w:right w:val="single" w:sz="29" w:space="0" w:color="000000"/>
            </w:tcBorders>
          </w:tcPr>
          <w:p>
            <w:pPr/>
          </w:p>
        </w:tc>
        <w:tc>
          <w:tcPr>
            <w:tcW w:w="1558" w:type="dxa"/>
            <w:tcBorders>
              <w:top w:val="single" w:sz="4" w:space="0" w:color="000000"/>
              <w:left w:val="single" w:sz="29"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158,457,437.48</w:t>
            </w:r>
          </w:p>
        </w:tc>
      </w:tr>
      <w:tr>
        <w:trPr>
          <w:trHeight w:val="28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97,343,881.58</w:t>
            </w:r>
          </w:p>
        </w:tc>
        <w:tc>
          <w:tcPr>
            <w:tcW w:w="1548" w:type="dxa"/>
            <w:tcBorders>
              <w:top w:val="single" w:sz="4" w:space="0" w:color="000000"/>
              <w:left w:val="single" w:sz="4" w:space="0" w:color="000000"/>
              <w:bottom w:val="single" w:sz="4" w:space="0" w:color="000000"/>
              <w:right w:val="single" w:sz="29" w:space="0" w:color="000000"/>
            </w:tcBorders>
          </w:tcPr>
          <w:p>
            <w:pPr/>
          </w:p>
        </w:tc>
        <w:tc>
          <w:tcPr>
            <w:tcW w:w="958" w:type="dxa"/>
            <w:tcBorders>
              <w:top w:val="single" w:sz="4" w:space="0" w:color="000000"/>
              <w:left w:val="single" w:sz="29" w:space="0" w:color="000000"/>
              <w:bottom w:val="single" w:sz="4" w:space="0" w:color="000000"/>
              <w:right w:val="single" w:sz="29" w:space="0" w:color="000000"/>
            </w:tcBorders>
          </w:tcPr>
          <w:p>
            <w:pPr/>
          </w:p>
        </w:tc>
        <w:tc>
          <w:tcPr>
            <w:tcW w:w="1558" w:type="dxa"/>
            <w:tcBorders>
              <w:top w:val="single" w:sz="4" w:space="0" w:color="000000"/>
              <w:left w:val="single" w:sz="29"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97,343,881.58</w:t>
            </w:r>
          </w:p>
        </w:tc>
      </w:tr>
      <w:tr>
        <w:trPr>
          <w:trHeight w:val="555"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莱福士电力电子设备（深圳）有限公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34,449,904.70</w:t>
            </w:r>
          </w:p>
        </w:tc>
        <w:tc>
          <w:tcPr>
            <w:tcW w:w="1548" w:type="dxa"/>
            <w:tcBorders>
              <w:top w:val="single" w:sz="4" w:space="0" w:color="000000"/>
              <w:left w:val="single" w:sz="4" w:space="0" w:color="000000"/>
              <w:bottom w:val="single" w:sz="4" w:space="0" w:color="000000"/>
              <w:right w:val="single" w:sz="29" w:space="0" w:color="000000"/>
            </w:tcBorders>
          </w:tcPr>
          <w:p>
            <w:pPr/>
          </w:p>
        </w:tc>
        <w:tc>
          <w:tcPr>
            <w:tcW w:w="958" w:type="dxa"/>
            <w:tcBorders>
              <w:top w:val="single" w:sz="4" w:space="0" w:color="000000"/>
              <w:left w:val="single" w:sz="29" w:space="0" w:color="000000"/>
              <w:bottom w:val="single" w:sz="4" w:space="0" w:color="000000"/>
              <w:right w:val="single" w:sz="29" w:space="0" w:color="000000"/>
            </w:tcBorders>
          </w:tcPr>
          <w:p>
            <w:pPr/>
          </w:p>
        </w:tc>
        <w:tc>
          <w:tcPr>
            <w:tcW w:w="1558" w:type="dxa"/>
            <w:tcBorders>
              <w:top w:val="single" w:sz="4" w:space="0" w:color="000000"/>
              <w:left w:val="single" w:sz="29"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34,449,904.70</w:t>
            </w:r>
          </w:p>
        </w:tc>
      </w:tr>
      <w:tr>
        <w:trPr>
          <w:trHeight w:val="28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507,798,178.95</w:t>
            </w:r>
          </w:p>
        </w:tc>
        <w:tc>
          <w:tcPr>
            <w:tcW w:w="1548" w:type="dxa"/>
            <w:tcBorders>
              <w:top w:val="single" w:sz="4" w:space="0" w:color="000000"/>
              <w:left w:val="single" w:sz="4" w:space="0" w:color="000000"/>
              <w:bottom w:val="single" w:sz="4" w:space="0" w:color="000000"/>
              <w:right w:val="single" w:sz="29" w:space="0" w:color="000000"/>
            </w:tcBorders>
          </w:tcPr>
          <w:p>
            <w:pPr/>
          </w:p>
        </w:tc>
        <w:tc>
          <w:tcPr>
            <w:tcW w:w="958" w:type="dxa"/>
            <w:tcBorders>
              <w:top w:val="single" w:sz="4" w:space="0" w:color="000000"/>
              <w:left w:val="single" w:sz="29" w:space="0" w:color="000000"/>
              <w:bottom w:val="single" w:sz="4" w:space="0" w:color="000000"/>
              <w:right w:val="single" w:sz="29"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72,744.02</w:t>
            </w:r>
          </w:p>
        </w:tc>
        <w:tc>
          <w:tcPr>
            <w:tcW w:w="1558" w:type="dxa"/>
            <w:tcBorders>
              <w:top w:val="single" w:sz="4" w:space="0" w:color="000000"/>
              <w:left w:val="single" w:sz="29"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507,725,434.93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3457"/>
        <w:gridCol w:w="1371"/>
        <w:gridCol w:w="1548"/>
        <w:gridCol w:w="958"/>
        <w:gridCol w:w="1558"/>
      </w:tblGrid>
      <w:tr>
        <w:trPr>
          <w:trHeight w:val="28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上海红生信息系统工程有限公司</w:t>
            </w:r>
          </w:p>
        </w:tc>
        <w:tc>
          <w:tcPr>
            <w:tcW w:w="1371"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29"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442,240,177.95</w:t>
            </w:r>
          </w:p>
        </w:tc>
        <w:tc>
          <w:tcPr>
            <w:tcW w:w="958" w:type="dxa"/>
            <w:tcBorders>
              <w:top w:val="single" w:sz="4" w:space="0" w:color="000000"/>
              <w:left w:val="single" w:sz="29" w:space="0" w:color="000000"/>
              <w:bottom w:val="single" w:sz="4" w:space="0" w:color="000000"/>
              <w:right w:val="single" w:sz="29" w:space="0" w:color="000000"/>
            </w:tcBorders>
          </w:tcPr>
          <w:p>
            <w:pPr/>
          </w:p>
        </w:tc>
        <w:tc>
          <w:tcPr>
            <w:tcW w:w="1558" w:type="dxa"/>
            <w:tcBorders>
              <w:top w:val="single" w:sz="4" w:space="0" w:color="000000"/>
              <w:left w:val="single" w:sz="29" w:space="0" w:color="000000"/>
              <w:bottom w:val="single" w:sz="4" w:space="0" w:color="000000"/>
              <w:right w:val="single" w:sz="4"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1"/>
                <w:sz w:val="21"/>
              </w:rPr>
              <w:t>442,240,177.95</w:t>
            </w:r>
          </w:p>
        </w:tc>
      </w:tr>
      <w:tr>
        <w:trPr>
          <w:trHeight w:val="307"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798,049,402.71</w:t>
            </w:r>
          </w:p>
        </w:tc>
        <w:tc>
          <w:tcPr>
            <w:tcW w:w="1548" w:type="dxa"/>
            <w:tcBorders>
              <w:top w:val="single" w:sz="4" w:space="0" w:color="000000"/>
              <w:left w:val="single" w:sz="4" w:space="0" w:color="000000"/>
              <w:bottom w:val="single" w:sz="4" w:space="0" w:color="000000"/>
              <w:right w:val="single" w:sz="29"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442,240,177.95</w:t>
            </w:r>
          </w:p>
        </w:tc>
        <w:tc>
          <w:tcPr>
            <w:tcW w:w="958" w:type="dxa"/>
            <w:tcBorders>
              <w:top w:val="single" w:sz="4" w:space="0" w:color="000000"/>
              <w:left w:val="single" w:sz="29" w:space="0" w:color="000000"/>
              <w:bottom w:val="single" w:sz="4" w:space="0" w:color="000000"/>
              <w:right w:val="single" w:sz="29"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72,744.02</w:t>
            </w:r>
          </w:p>
        </w:tc>
        <w:tc>
          <w:tcPr>
            <w:tcW w:w="1558" w:type="dxa"/>
            <w:tcBorders>
              <w:top w:val="single" w:sz="4" w:space="0" w:color="000000"/>
              <w:left w:val="single" w:sz="29"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1,240,216,836.64</w:t>
            </w:r>
          </w:p>
        </w:tc>
      </w:tr>
    </w:tbl>
    <w:p>
      <w:pPr>
        <w:pStyle w:val="BodyText"/>
        <w:spacing w:line="257" w:lineRule="exact"/>
        <w:ind w:left="218" w:right="0"/>
        <w:jc w:val="left"/>
      </w:pPr>
      <w:r>
        <w:rPr>
          <w:spacing w:val="-6"/>
        </w:rPr>
        <w:t>注：本公司以 </w:t>
      </w:r>
      <w:r>
        <w:rPr>
          <w:rFonts w:ascii="Times New Roman" w:hAnsi="Times New Roman" w:cs="Times New Roman" w:eastAsia="Times New Roman" w:hint="default"/>
        </w:rPr>
        <w:t>490,000,000.00 </w:t>
      </w:r>
      <w:r>
        <w:rPr/>
        <w:t>元取得上海红生信息系统工程有限公司</w:t>
      </w:r>
      <w:r>
        <w:rPr>
          <w:spacing w:val="-77"/>
        </w:rPr>
        <w:t> </w:t>
      </w:r>
      <w:r>
        <w:rPr>
          <w:rFonts w:ascii="Times New Roman" w:hAnsi="Times New Roman" w:cs="Times New Roman" w:eastAsia="Times New Roman" w:hint="default"/>
          <w:spacing w:val="-4"/>
        </w:rPr>
        <w:t>100%</w:t>
      </w:r>
      <w:r>
        <w:rPr>
          <w:spacing w:val="-4"/>
        </w:rPr>
        <w:t>股权，取得被收购单位</w:t>
      </w:r>
    </w:p>
    <w:p>
      <w:pPr>
        <w:pStyle w:val="BodyText"/>
        <w:spacing w:line="240" w:lineRule="auto" w:before="21"/>
        <w:ind w:left="218" w:right="0"/>
        <w:jc w:val="left"/>
      </w:pPr>
      <w:r>
        <w:rPr/>
        <w:t>合并日可辨认净资产公允价值份额为 </w:t>
      </w:r>
      <w:r>
        <w:rPr>
          <w:rFonts w:ascii="Times New Roman" w:hAnsi="Times New Roman" w:cs="Times New Roman" w:eastAsia="Times New Roman" w:hint="default"/>
        </w:rPr>
        <w:t>47,759,822.05</w:t>
      </w:r>
      <w:r>
        <w:rPr>
          <w:rFonts w:ascii="Times New Roman" w:hAnsi="Times New Roman" w:cs="Times New Roman" w:eastAsia="Times New Roman" w:hint="default"/>
          <w:spacing w:val="-20"/>
        </w:rPr>
        <w:t> </w:t>
      </w:r>
      <w:r>
        <w:rPr>
          <w:spacing w:val="-4"/>
        </w:rPr>
        <w:t>元，上述事项支付的转让价款超过其收购基准</w:t>
      </w:r>
    </w:p>
    <w:p>
      <w:pPr>
        <w:pStyle w:val="BodyText"/>
        <w:spacing w:line="240" w:lineRule="auto" w:before="23"/>
        <w:ind w:left="218" w:right="331"/>
        <w:jc w:val="left"/>
      </w:pPr>
      <w:r>
        <w:rPr/>
        <w:t>日净资产公允价值的差额形成商誉共计</w:t>
      </w:r>
      <w:r>
        <w:rPr>
          <w:spacing w:val="-55"/>
        </w:rPr>
        <w:t> </w:t>
      </w:r>
      <w:r>
        <w:rPr>
          <w:rFonts w:ascii="Times New Roman" w:hAnsi="Times New Roman" w:cs="Times New Roman" w:eastAsia="Times New Roman" w:hint="default"/>
        </w:rPr>
        <w:t>442,240,177.95</w:t>
      </w:r>
      <w:r>
        <w:rPr>
          <w:rFonts w:ascii="Times New Roman" w:hAnsi="Times New Roman" w:cs="Times New Roman" w:eastAsia="Times New Roman" w:hint="default"/>
          <w:spacing w:val="-2"/>
        </w:rPr>
        <w:t> </w:t>
      </w:r>
      <w:r>
        <w:rPr>
          <w:spacing w:val="-3"/>
        </w:rPr>
        <w:t>元。</w:t>
      </w:r>
      <w:r>
        <w:rPr/>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580" w:right="1120"/>
        </w:sectPr>
      </w:pPr>
    </w:p>
    <w:p>
      <w:pPr>
        <w:pStyle w:val="Heading2"/>
        <w:spacing w:line="240" w:lineRule="auto"/>
        <w:ind w:left="218" w:right="-19"/>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6"/>
        <w:ind w:left="21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074" w:space="4448"/>
            <w:col w:w="2688"/>
          </w:cols>
        </w:sectPr>
      </w:pPr>
    </w:p>
    <w:p>
      <w:pPr>
        <w:spacing w:line="240" w:lineRule="auto" w:before="4"/>
        <w:rPr>
          <w:rFonts w:ascii="宋体" w:hAnsi="宋体" w:cs="宋体" w:eastAsia="宋体" w:hint="default"/>
          <w:sz w:val="2"/>
          <w:szCs w:val="2"/>
        </w:rPr>
      </w:pPr>
    </w:p>
    <w:tbl>
      <w:tblPr>
        <w:tblW w:w="0" w:type="auto"/>
        <w:jc w:val="left"/>
        <w:tblInd w:w="172" w:type="dxa"/>
        <w:tblLayout w:type="fixed"/>
        <w:tblCellMar>
          <w:top w:w="0" w:type="dxa"/>
          <w:left w:w="0" w:type="dxa"/>
          <w:bottom w:w="0" w:type="dxa"/>
          <w:right w:w="0" w:type="dxa"/>
        </w:tblCellMar>
        <w:tblLook w:val="01E0"/>
      </w:tblPr>
      <w:tblGrid>
        <w:gridCol w:w="3445"/>
        <w:gridCol w:w="1416"/>
        <w:gridCol w:w="797"/>
        <w:gridCol w:w="480"/>
        <w:gridCol w:w="850"/>
        <w:gridCol w:w="514"/>
        <w:gridCol w:w="1416"/>
      </w:tblGrid>
      <w:tr>
        <w:trPr>
          <w:trHeight w:val="283" w:hRule="exact"/>
        </w:trPr>
        <w:tc>
          <w:tcPr>
            <w:tcW w:w="3445" w:type="dxa"/>
            <w:vMerge w:val="restart"/>
            <w:tcBorders>
              <w:top w:val="single" w:sz="4" w:space="0" w:color="000000"/>
              <w:left w:val="single" w:sz="4" w:space="0" w:color="000000"/>
              <w:right w:val="single" w:sz="4" w:space="0" w:color="000000"/>
            </w:tcBorders>
          </w:tcPr>
          <w:p>
            <w:pPr>
              <w:pStyle w:val="TableParagraph"/>
              <w:spacing w:line="240" w:lineRule="auto" w:before="119"/>
              <w:ind w:left="141"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19"/>
              <w:ind w:left="2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19"/>
              <w:ind w:left="28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5" w:hRule="exact"/>
        </w:trPr>
        <w:tc>
          <w:tcPr>
            <w:tcW w:w="344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8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48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8"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284"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sz w:val="21"/>
              </w:rPr>
              <w:t>11,000,000.00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21"/>
                <w:szCs w:val="21"/>
              </w:rPr>
            </w:pPr>
            <w:r>
              <w:rPr>
                <w:rFonts w:ascii="Times New Roman"/>
                <w:sz w:val="21"/>
              </w:rPr>
              <w:t>11,000,000.00</w:t>
            </w:r>
          </w:p>
        </w:tc>
      </w:tr>
      <w:tr>
        <w:trPr>
          <w:trHeight w:val="29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11,000,000.00</w:t>
            </w:r>
          </w:p>
        </w:tc>
      </w:tr>
    </w:tbl>
    <w:p>
      <w:pPr>
        <w:spacing w:line="240" w:lineRule="auto" w:before="2"/>
        <w:rPr>
          <w:rFonts w:ascii="宋体" w:hAnsi="宋体" w:cs="宋体" w:eastAsia="宋体" w:hint="default"/>
          <w:sz w:val="13"/>
          <w:szCs w:val="13"/>
        </w:rPr>
      </w:pPr>
    </w:p>
    <w:p>
      <w:pPr>
        <w:pStyle w:val="BodyText"/>
        <w:spacing w:line="273" w:lineRule="exact" w:before="36"/>
        <w:ind w:left="218" w:right="331"/>
        <w:jc w:val="left"/>
      </w:pPr>
      <w:r>
        <w:rPr/>
        <w:t>说明商誉减值测试过程、参数及商誉减值损失的确认方法</w:t>
      </w:r>
    </w:p>
    <w:p>
      <w:pPr>
        <w:pStyle w:val="BodyText"/>
        <w:spacing w:line="273" w:lineRule="exact"/>
        <w:ind w:left="218" w:right="331"/>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left="218" w:right="331"/>
        <w:jc w:val="left"/>
      </w:pPr>
      <w:r>
        <w:rPr/>
        <w:t>其他说明</w:t>
      </w:r>
    </w:p>
    <w:p>
      <w:pPr>
        <w:pStyle w:val="BodyText"/>
        <w:spacing w:line="280" w:lineRule="exact"/>
        <w:ind w:left="218" w:right="33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59" w:lineRule="auto"/>
        <w:ind w:left="218" w:right="143"/>
        <w:jc w:val="left"/>
      </w:pPr>
      <w:r>
        <w:rPr/>
        <w:t>注：根据《企业会计准则第</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号——资产减值》的规定，公司采用收益现值法评估企业合并形成</w:t>
      </w:r>
      <w:r>
        <w:rPr>
          <w:w w:val="100"/>
        </w:rPr>
        <w:t> </w:t>
      </w:r>
      <w:r>
        <w:rPr/>
        <w:t>的商誉的账面价值，并对包含商誉的相关资产组进行减值测试，以确定是否发生减值。</w:t>
      </w:r>
    </w:p>
    <w:p>
      <w:pPr>
        <w:pStyle w:val="Heading2"/>
        <w:spacing w:line="240" w:lineRule="auto" w:before="80"/>
        <w:ind w:left="218" w:right="331"/>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left="218" w:right="33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8"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14"/>
        <w:gridCol w:w="1460"/>
        <w:gridCol w:w="1459"/>
        <w:gridCol w:w="1460"/>
        <w:gridCol w:w="1481"/>
        <w:gridCol w:w="1550"/>
      </w:tblGrid>
      <w:tr>
        <w:trPr>
          <w:trHeight w:val="55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4,676,360.00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12,316,398.64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3,021,821.26</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13,970,937.38</w:t>
            </w: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1,283,018.87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1,283,018.87</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8,698,053.58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7,451,614.84</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1,246,438.74</w:t>
            </w: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147,627.62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8,544.60</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139,083.02</w:t>
            </w: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5,959,378.87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21,162,079.84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11,764,999.57</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15,356,459.14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120"/>
        </w:sectPr>
      </w:pPr>
    </w:p>
    <w:p>
      <w:pPr>
        <w:pStyle w:val="Heading2"/>
        <w:spacing w:line="290" w:lineRule="auto"/>
        <w:ind w:left="218"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5"/>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3889" w:space="2633"/>
            <w:col w:w="2688"/>
          </w:cols>
        </w:sectPr>
      </w:pPr>
    </w:p>
    <w:p>
      <w:pPr>
        <w:spacing w:line="240" w:lineRule="auto" w:before="4"/>
        <w:rPr>
          <w:rFonts w:ascii="宋体" w:hAnsi="宋体" w:cs="宋体" w:eastAsia="宋体" w:hint="default"/>
          <w:sz w:val="2"/>
          <w:szCs w:val="2"/>
        </w:rPr>
      </w:pPr>
    </w:p>
    <w:tbl>
      <w:tblPr>
        <w:tblW w:w="0" w:type="auto"/>
        <w:jc w:val="left"/>
        <w:tblInd w:w="258" w:type="dxa"/>
        <w:tblLayout w:type="fixed"/>
        <w:tblCellMar>
          <w:top w:w="0" w:type="dxa"/>
          <w:left w:w="0" w:type="dxa"/>
          <w:bottom w:w="0" w:type="dxa"/>
          <w:right w:w="0" w:type="dxa"/>
        </w:tblCellMar>
        <w:tblLook w:val="01E0"/>
      </w:tblPr>
      <w:tblGrid>
        <w:gridCol w:w="2741"/>
        <w:gridCol w:w="1738"/>
        <w:gridCol w:w="1263"/>
        <w:gridCol w:w="1738"/>
        <w:gridCol w:w="1262"/>
      </w:tblGrid>
      <w:tr>
        <w:trPr>
          <w:trHeight w:val="295" w:hRule="exact"/>
        </w:trPr>
        <w:tc>
          <w:tcPr>
            <w:tcW w:w="274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741" w:type="dxa"/>
            <w:vMerge/>
            <w:tcBorders>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103,372,146.11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16,269,034.38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61,196,432.71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9,696,249.21</w:t>
            </w: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5"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301,249.87</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45,187.48</w:t>
            </w:r>
          </w:p>
        </w:tc>
        <w:tc>
          <w:tcPr>
            <w:tcW w:w="1738"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5"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20,970,707.1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4,559,508.68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21,765,426.71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4,012,379.24</w:t>
            </w: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27,403,707.60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4,110,556.13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24,030,376.04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3,604,556.41</w:t>
            </w:r>
          </w:p>
        </w:tc>
      </w:tr>
      <w:tr>
        <w:trPr>
          <w:trHeight w:val="295"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5" w:right="0"/>
              <w:jc w:val="left"/>
              <w:rPr>
                <w:rFonts w:ascii="宋体" w:hAnsi="宋体" w:cs="宋体" w:eastAsia="宋体" w:hint="default"/>
                <w:sz w:val="21"/>
                <w:szCs w:val="21"/>
              </w:rPr>
            </w:pPr>
            <w:r>
              <w:rPr>
                <w:rFonts w:ascii="宋体" w:hAnsi="宋体" w:cs="宋体" w:eastAsia="宋体" w:hint="default"/>
                <w:sz w:val="21"/>
                <w:szCs w:val="21"/>
              </w:rPr>
              <w:t>公允价值与计税基础差异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2,218,874.88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388,056.22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2,429,238.60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440,647.15</w:t>
            </w:r>
          </w:p>
        </w:tc>
      </w:tr>
      <w:tr>
        <w:trPr>
          <w:trHeight w:val="296"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154,266,685.56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25,372,342.89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109,421,474.06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17,753,832.01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120"/>
        </w:sectPr>
      </w:pPr>
    </w:p>
    <w:p>
      <w:pPr>
        <w:pStyle w:val="Heading2"/>
        <w:spacing w:line="240" w:lineRule="auto"/>
        <w:ind w:left="218"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3336" w:space="3185"/>
            <w:col w:w="2689"/>
          </w:cols>
        </w:sectPr>
      </w:pPr>
    </w:p>
    <w:p>
      <w:pPr>
        <w:spacing w:line="240" w:lineRule="auto" w:before="7"/>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3322"/>
        <w:gridCol w:w="1556"/>
        <w:gridCol w:w="1159"/>
        <w:gridCol w:w="1726"/>
        <w:gridCol w:w="1159"/>
      </w:tblGrid>
      <w:tr>
        <w:trPr>
          <w:trHeight w:val="295" w:hRule="exact"/>
        </w:trPr>
        <w:tc>
          <w:tcPr>
            <w:tcW w:w="3322" w:type="dxa"/>
            <w:vMerge w:val="restart"/>
            <w:tcBorders>
              <w:top w:val="single" w:sz="4" w:space="0" w:color="000000"/>
              <w:left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322" w:type="dxa"/>
            <w:vMerge/>
            <w:tcBorders>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295"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非同一控制企业合并资产评估增值</w:t>
            </w:r>
          </w:p>
        </w:tc>
        <w:tc>
          <w:tcPr>
            <w:tcW w:w="155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w:t>
            </w:r>
          </w:p>
        </w:tc>
        <w:tc>
          <w:tcPr>
            <w:tcW w:w="155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公允价值与计税基础差异</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27,051,429.12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6,762,857.28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49,747,081.30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7,462,062.23</w:t>
            </w:r>
          </w:p>
        </w:tc>
      </w:tr>
      <w:tr>
        <w:trPr>
          <w:trHeight w:val="295"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27,051,429.12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6,762,857.28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49,747,081.30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7,462,062.23</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120"/>
        </w:sectPr>
      </w:pPr>
    </w:p>
    <w:p>
      <w:pPr>
        <w:pStyle w:val="Heading2"/>
        <w:spacing w:line="240" w:lineRule="auto"/>
        <w:ind w:left="218"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left="218" w:right="-18"/>
        <w:jc w:val="left"/>
      </w:pPr>
      <w:r>
        <w:rPr/>
        <w:t>□适用 √不适用</w:t>
      </w:r>
    </w:p>
    <w:p>
      <w:pPr>
        <w:pStyle w:val="Heading2"/>
        <w:spacing w:line="240" w:lineRule="auto" w:before="56"/>
        <w:ind w:left="218"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5026" w:space="1496"/>
            <w:col w:w="26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16"/>
        <w:gridCol w:w="3005"/>
        <w:gridCol w:w="3003"/>
      </w:tblGrid>
      <w:tr>
        <w:trPr>
          <w:trHeight w:val="29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216,118,223.38</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195,658,484.07</w:t>
            </w:r>
          </w:p>
        </w:tc>
      </w:tr>
      <w:tr>
        <w:trPr>
          <w:trHeight w:val="29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242,619,071.33</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349,935,123.69</w:t>
            </w:r>
          </w:p>
        </w:tc>
      </w:tr>
      <w:tr>
        <w:trPr>
          <w:trHeight w:val="298"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458,737,294.71</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545,593,607.76</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120"/>
        </w:sectPr>
      </w:pPr>
    </w:p>
    <w:p>
      <w:pPr>
        <w:pStyle w:val="Heading2"/>
        <w:spacing w:line="240" w:lineRule="auto"/>
        <w:ind w:left="218"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9"/>
        <w:ind w:left="21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5866" w:space="601"/>
            <w:col w:w="274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33"/>
        <w:gridCol w:w="2228"/>
        <w:gridCol w:w="2268"/>
        <w:gridCol w:w="2295"/>
      </w:tblGrid>
      <w:tr>
        <w:trPr>
          <w:trHeight w:val="295"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797"/>
              <w:jc w:val="right"/>
              <w:rPr>
                <w:rFonts w:ascii="宋体" w:hAnsi="宋体" w:cs="宋体" w:eastAsia="宋体" w:hint="default"/>
                <w:sz w:val="21"/>
                <w:szCs w:val="21"/>
              </w:rPr>
            </w:pPr>
            <w:r>
              <w:rPr>
                <w:rFonts w:ascii="宋体" w:hAnsi="宋体" w:cs="宋体" w:eastAsia="宋体" w:hint="default"/>
                <w:sz w:val="21"/>
                <w:szCs w:val="21"/>
              </w:rPr>
              <w:t>年份</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8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6,509,312.03</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33,396,329.83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19,775,701.09</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164,421,709.21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154,927,946.61</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2,040,038.62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17,842,320.53</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15,495,128.45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150,879,843.43</w:t>
            </w: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27,265,865.22</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97"/>
              <w:jc w:val="right"/>
              <w:rPr>
                <w:rFonts w:ascii="宋体" w:hAnsi="宋体" w:cs="宋体" w:eastAsia="宋体" w:hint="default"/>
                <w:sz w:val="21"/>
                <w:szCs w:val="21"/>
              </w:rPr>
            </w:pPr>
            <w:r>
              <w:rPr>
                <w:rFonts w:ascii="宋体" w:hAnsi="宋体" w:cs="宋体" w:eastAsia="宋体" w:hint="default"/>
                <w:sz w:val="21"/>
                <w:szCs w:val="21"/>
              </w:rPr>
              <w:t>合计</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242,619,071.33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349,935,123.69</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3"/>
        <w:rPr>
          <w:rFonts w:ascii="宋体" w:hAnsi="宋体" w:cs="宋体" w:eastAsia="宋体" w:hint="default"/>
          <w:sz w:val="13"/>
          <w:szCs w:val="13"/>
        </w:rPr>
      </w:pPr>
    </w:p>
    <w:p>
      <w:pPr>
        <w:pStyle w:val="BodyText"/>
        <w:spacing w:line="274" w:lineRule="exact" w:before="36"/>
        <w:ind w:left="218" w:right="331"/>
        <w:jc w:val="left"/>
      </w:pPr>
      <w:r>
        <w:rPr/>
        <w:t>其他说明：</w:t>
      </w:r>
    </w:p>
    <w:p>
      <w:pPr>
        <w:pStyle w:val="BodyText"/>
        <w:spacing w:line="274" w:lineRule="exact"/>
        <w:ind w:left="218" w:right="331"/>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120"/>
        </w:sectPr>
      </w:pPr>
    </w:p>
    <w:p>
      <w:pPr>
        <w:pStyle w:val="Heading2"/>
        <w:spacing w:line="240" w:lineRule="auto"/>
        <w:ind w:left="218"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201" w:space="4321"/>
            <w:col w:w="268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94"/>
        <w:gridCol w:w="3056"/>
        <w:gridCol w:w="2977"/>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8"/>
              <w:jc w:val="right"/>
              <w:rPr>
                <w:rFonts w:ascii="宋体" w:hAnsi="宋体" w:cs="宋体" w:eastAsia="宋体" w:hint="default"/>
                <w:sz w:val="21"/>
                <w:szCs w:val="21"/>
              </w:rPr>
            </w:pPr>
            <w:r>
              <w:rPr>
                <w:rFonts w:ascii="宋体" w:hAnsi="宋体" w:cs="宋体" w:eastAsia="宋体" w:hint="default"/>
                <w:sz w:val="21"/>
                <w:szCs w:val="21"/>
              </w:rPr>
              <w:t>项目</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170,000,000.00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170,000,000.00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8"/>
              <w:jc w:val="right"/>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170,000,000.00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170,000,000.00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218" w:right="331"/>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2"/>
        <w:tabs>
          <w:tab w:pos="849" w:val="left" w:leader="none"/>
        </w:tabs>
        <w:spacing w:line="240" w:lineRule="auto" w:before="59"/>
        <w:ind w:left="218" w:right="331"/>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6"/>
        <w:ind w:left="218" w:right="33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49"/>
        <w:gridCol w:w="2979"/>
        <w:gridCol w:w="2998"/>
      </w:tblGrid>
      <w:tr>
        <w:trPr>
          <w:trHeight w:val="283"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41,600,000.00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3"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120,000,000.00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34,000,000.00</w:t>
            </w:r>
          </w:p>
        </w:tc>
      </w:tr>
      <w:tr>
        <w:trPr>
          <w:trHeight w:val="281"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237,000,000.00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390,000,000.00</w:t>
            </w:r>
          </w:p>
        </w:tc>
      </w:tr>
      <w:tr>
        <w:trPr>
          <w:trHeight w:val="283"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9"/>
              <w:jc w:val="right"/>
              <w:rPr>
                <w:rFonts w:ascii="Times New Roman" w:hAnsi="Times New Roman" w:cs="Times New Roman" w:eastAsia="Times New Roman" w:hint="default"/>
                <w:sz w:val="21"/>
                <w:szCs w:val="21"/>
              </w:rPr>
            </w:pPr>
            <w:r>
              <w:rPr>
                <w:rFonts w:ascii="Times New Roman"/>
                <w:spacing w:val="-1"/>
                <w:sz w:val="21"/>
              </w:rPr>
              <w:t>786,022,138.00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1"/>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3" w:hRule="exact"/>
        </w:trPr>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1,184,622,138.00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484,000,000.00</w:t>
            </w:r>
          </w:p>
        </w:tc>
      </w:tr>
    </w:tbl>
    <w:p>
      <w:pPr>
        <w:spacing w:line="240" w:lineRule="auto" w:before="10"/>
        <w:rPr>
          <w:rFonts w:ascii="宋体" w:hAnsi="宋体" w:cs="宋体" w:eastAsia="宋体" w:hint="default"/>
          <w:sz w:val="17"/>
          <w:szCs w:val="17"/>
        </w:rPr>
      </w:pPr>
    </w:p>
    <w:p>
      <w:pPr>
        <w:pStyle w:val="Heading2"/>
        <w:tabs>
          <w:tab w:pos="849" w:val="left" w:leader="none"/>
        </w:tabs>
        <w:spacing w:line="240" w:lineRule="auto"/>
        <w:ind w:left="218" w:right="10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left="218" w:right="100"/>
        <w:jc w:val="left"/>
      </w:pPr>
      <w:r>
        <w:rPr/>
        <w:t>□适用 √不适用</w:t>
      </w:r>
    </w:p>
    <w:p>
      <w:pPr>
        <w:spacing w:line="240" w:lineRule="auto" w:before="3"/>
        <w:rPr>
          <w:rFonts w:ascii="宋体" w:hAnsi="宋体" w:cs="宋体" w:eastAsia="宋体" w:hint="default"/>
          <w:sz w:val="18"/>
          <w:szCs w:val="18"/>
        </w:rPr>
      </w:pPr>
    </w:p>
    <w:p>
      <w:pPr>
        <w:pStyle w:val="BodyText"/>
        <w:spacing w:line="275" w:lineRule="exact"/>
        <w:ind w:left="218" w:right="100"/>
        <w:jc w:val="left"/>
      </w:pPr>
      <w:r>
        <w:rPr/>
        <w:t>其中重要的已逾期未偿还的短期借款情况如下：</w:t>
      </w:r>
    </w:p>
    <w:p>
      <w:pPr>
        <w:pStyle w:val="BodyText"/>
        <w:spacing w:line="272" w:lineRule="exact" w:before="27"/>
        <w:ind w:left="218" w:right="7373"/>
        <w:jc w:val="left"/>
      </w:pPr>
      <w:r>
        <w:rPr/>
        <w:t>□适用 √不适用</w:t>
      </w:r>
      <w:r>
        <w:rPr>
          <w:w w:val="100"/>
        </w:rPr>
        <w:t> </w:t>
      </w:r>
      <w:r>
        <w:rPr/>
        <w:t>其他说明</w:t>
      </w:r>
    </w:p>
    <w:p>
      <w:pPr>
        <w:pStyle w:val="BodyText"/>
        <w:spacing w:line="249" w:lineRule="exact"/>
        <w:ind w:left="218" w:right="100"/>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6"/>
        <w:ind w:left="218" w:right="100"/>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left="218" w:right="100"/>
        <w:jc w:val="left"/>
      </w:pPr>
      <w:r>
        <w:rPr/>
        <w:t>□适用 √不适用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140"/>
        </w:sectPr>
      </w:pPr>
    </w:p>
    <w:p>
      <w:pPr>
        <w:pStyle w:val="Heading2"/>
        <w:spacing w:line="240" w:lineRule="auto"/>
        <w:ind w:left="218"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618" w:space="4904"/>
            <w:col w:w="26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95"/>
        <w:gridCol w:w="3312"/>
        <w:gridCol w:w="3219"/>
      </w:tblGrid>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9"/>
              <w:jc w:val="right"/>
              <w:rPr>
                <w:rFonts w:ascii="宋体" w:hAnsi="宋体" w:cs="宋体" w:eastAsia="宋体" w:hint="default"/>
                <w:sz w:val="21"/>
                <w:szCs w:val="21"/>
              </w:rPr>
            </w:pPr>
            <w:r>
              <w:rPr>
                <w:rFonts w:ascii="宋体" w:hAnsi="宋体" w:cs="宋体" w:eastAsia="宋体" w:hint="default"/>
                <w:sz w:val="21"/>
                <w:szCs w:val="21"/>
              </w:rPr>
              <w:t>种类</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16,825,000.00</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995,000.00</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1,022,107,537.22</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892,238,768.18</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9"/>
              <w:jc w:val="right"/>
              <w:rPr>
                <w:rFonts w:ascii="宋体" w:hAnsi="宋体" w:cs="宋体" w:eastAsia="宋体" w:hint="default"/>
                <w:sz w:val="21"/>
                <w:szCs w:val="21"/>
              </w:rPr>
            </w:pPr>
            <w:r>
              <w:rPr>
                <w:rFonts w:ascii="宋体" w:hAnsi="宋体" w:cs="宋体" w:eastAsia="宋体" w:hint="default"/>
                <w:sz w:val="21"/>
                <w:szCs w:val="21"/>
              </w:rPr>
              <w:t>合计</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1,038,932,537.22</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893,233,768.18</w:t>
            </w:r>
          </w:p>
        </w:tc>
      </w:tr>
    </w:tbl>
    <w:p>
      <w:pPr>
        <w:pStyle w:val="BodyText"/>
        <w:spacing w:line="257" w:lineRule="exact"/>
        <w:ind w:left="218" w:right="100"/>
        <w:jc w:val="left"/>
      </w:pPr>
      <w:r>
        <w:rPr/>
        <w:t>本期末已到期未支付的应付票据总额为 </w:t>
      </w:r>
      <w:r>
        <w:rPr>
          <w:rFonts w:ascii="Times New Roman" w:hAnsi="Times New Roman" w:cs="Times New Roman" w:eastAsia="Times New Roman" w:hint="default"/>
        </w:rPr>
        <w:t>0 </w:t>
      </w:r>
      <w:r>
        <w:rPr>
          <w:spacing w:val="-3"/>
        </w:rPr>
        <w:t>元。</w:t>
      </w:r>
      <w:r>
        <w:rPr/>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140"/>
        </w:sectPr>
      </w:pPr>
    </w:p>
    <w:p>
      <w:pPr>
        <w:pStyle w:val="Heading2"/>
        <w:spacing w:line="240" w:lineRule="auto"/>
        <w:ind w:left="218"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56"/>
        <w:ind w:left="218"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9"/>
        <w:ind w:left="21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2074" w:space="4448"/>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73"/>
        <w:gridCol w:w="2794"/>
        <w:gridCol w:w="3257"/>
      </w:tblGrid>
      <w:tr>
        <w:trPr>
          <w:trHeight w:val="28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1,561,331,509.78</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1,120,606,249.55</w:t>
            </w:r>
          </w:p>
        </w:tc>
      </w:tr>
      <w:tr>
        <w:trPr>
          <w:trHeight w:val="28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345,523,739.13</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246,964,475.49</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1,906,855,248.91</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1,367,570,725.04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140"/>
        </w:sectPr>
      </w:pPr>
    </w:p>
    <w:p>
      <w:pPr>
        <w:pStyle w:val="Heading2"/>
        <w:spacing w:line="240" w:lineRule="auto"/>
        <w:ind w:left="218"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21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3567" w:space="2955"/>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1880"/>
        <w:gridCol w:w="2866"/>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维佳动力系统有限公司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18,671,456.87</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厂</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7,046,054.68</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1880"/>
        <w:gridCol w:w="2866"/>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tabs>
                <w:tab w:pos="1083" w:val="left" w:leader="none"/>
              </w:tabs>
              <w:spacing w:line="238" w:lineRule="exact"/>
              <w:ind w:left="103" w:right="0"/>
              <w:jc w:val="left"/>
              <w:rPr>
                <w:rFonts w:ascii="Times New Roman" w:hAnsi="Times New Roman" w:cs="Times New Roman" w:eastAsia="Times New Roman" w:hint="default"/>
                <w:sz w:val="21"/>
                <w:szCs w:val="21"/>
              </w:rPr>
            </w:pPr>
            <w:r>
              <w:rPr>
                <w:rFonts w:ascii="Times New Roman"/>
                <w:spacing w:val="-1"/>
                <w:sz w:val="21"/>
              </w:rPr>
              <w:t>Oxygen</w:t>
              <w:tab/>
            </w:r>
            <w:r>
              <w:rPr>
                <w:rFonts w:ascii="Times New Roman"/>
                <w:spacing w:val="-2"/>
                <w:sz w:val="21"/>
              </w:rPr>
              <w:t>Trading</w:t>
            </w:r>
            <w:r>
              <w:rPr>
                <w:rFonts w:ascii="Times New Roman"/>
                <w:spacing w:val="6"/>
                <w:sz w:val="21"/>
              </w:rPr>
              <w:t> </w:t>
            </w:r>
            <w:r>
              <w:rPr>
                <w:rFonts w:ascii="Times New Roman"/>
                <w:spacing w:val="-1"/>
                <w:sz w:val="21"/>
              </w:rPr>
              <w:t>Co.,Ltd.</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7,706,336.00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北京中航华通科技有限公司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4,464,772.80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海南宝通实业公司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4,358,149.95</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山西新华化工有限责任公司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4,030,000.00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北京机械设备研究所</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4,017,094.02</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北京达明平安科技有限公司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4,320,000.00</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深圳电器公司通创通信有限公司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3,107,130.45</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厂</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3,606,971.84</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无锡市群星线缆有限公司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3,613,071.16</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64,941,037.77</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73" w:lineRule="exact" w:before="36"/>
        <w:ind w:left="218" w:right="100"/>
        <w:jc w:val="left"/>
      </w:pPr>
      <w:r>
        <w:rPr/>
        <w:t>其他说明</w:t>
      </w:r>
    </w:p>
    <w:p>
      <w:pPr>
        <w:pStyle w:val="BodyText"/>
        <w:spacing w:line="273" w:lineRule="exact"/>
        <w:ind w:left="218" w:right="10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140"/>
        </w:sectPr>
      </w:pPr>
    </w:p>
    <w:p>
      <w:pPr>
        <w:pStyle w:val="Heading2"/>
        <w:spacing w:line="240" w:lineRule="auto"/>
        <w:ind w:left="218"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58"/>
        <w:ind w:left="218"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2225" w:space="4297"/>
            <w:col w:w="26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5"/>
        <w:gridCol w:w="3003"/>
        <w:gridCol w:w="2996"/>
      </w:tblGrid>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172,998,962.19</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143,123,106.96</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69,874,026.19</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66,627,170.45</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242,872,988.38</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209,750,277.41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140"/>
        </w:sectPr>
      </w:pPr>
    </w:p>
    <w:p>
      <w:pPr>
        <w:pStyle w:val="Heading2"/>
        <w:spacing w:line="240" w:lineRule="auto"/>
        <w:ind w:left="218"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left="2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3507" w:space="3015"/>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410"/>
        <w:gridCol w:w="2477"/>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福州泓康通信技术服务有限公司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13,294,061.93</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广州正峰电子产品有限公司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4,146,000.00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中电科技</w:t>
            </w:r>
            <w:r>
              <w:rPr>
                <w:rFonts w:ascii="Times New Roman" w:hAnsi="Times New Roman" w:cs="Times New Roman" w:eastAsia="Times New Roman" w:hint="default"/>
                <w:sz w:val="21"/>
                <w:szCs w:val="21"/>
              </w:rPr>
              <w:t>(</w:t>
            </w:r>
            <w:r>
              <w:rPr>
                <w:rFonts w:ascii="宋体" w:hAnsi="宋体" w:cs="宋体" w:eastAsia="宋体" w:hint="default"/>
                <w:sz w:val="21"/>
                <w:szCs w:val="21"/>
              </w:rPr>
              <w:t>南京</w:t>
            </w:r>
            <w:r>
              <w:rPr>
                <w:rFonts w:ascii="Times New Roman" w:hAnsi="Times New Roman" w:cs="Times New Roman" w:eastAsia="Times New Roman" w:hint="default"/>
                <w:sz w:val="21"/>
                <w:szCs w:val="21"/>
              </w:rPr>
              <w:t>)</w:t>
            </w:r>
            <w:r>
              <w:rPr>
                <w:rFonts w:ascii="宋体" w:hAnsi="宋体" w:cs="宋体" w:eastAsia="宋体" w:hint="default"/>
                <w:sz w:val="21"/>
                <w:szCs w:val="21"/>
              </w:rPr>
              <w:t>电子信息发展有限公司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2,921,472.00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江苏宁懋工程设备有限公司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2,740,000.00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海南海航国瑞投资开发有限公司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2,546,920.55</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北京方大通途科技开发有限公司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2,473,168.00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深圳市泛亚动力技术有限公司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2,273,600.00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福建凯威斯发电机有限公司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2,238,783.62</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深圳市东江水源工程管理处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2,219,483.00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未结算货款</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江苏江都建设集团有限公司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2,046,080.00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未结算项目款</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36,899,569.10</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pStyle w:val="Heading2"/>
        <w:spacing w:line="240" w:lineRule="auto"/>
        <w:ind w:left="218" w:right="10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left="218" w:right="7373"/>
        <w:jc w:val="left"/>
      </w:pPr>
      <w:r>
        <w:rPr/>
        <w:t>□适用 √不适用</w:t>
      </w:r>
      <w:r>
        <w:rPr>
          <w:w w:val="100"/>
        </w:rPr>
        <w:t> </w:t>
      </w:r>
      <w:r>
        <w:rPr/>
        <w:t>其他说明</w:t>
      </w:r>
    </w:p>
    <w:p>
      <w:pPr>
        <w:pStyle w:val="BodyText"/>
        <w:spacing w:line="271" w:lineRule="exact"/>
        <w:ind w:left="218" w:right="100"/>
        <w:jc w:val="left"/>
      </w:pPr>
      <w:r>
        <w:rPr/>
        <w:t>□适用 √不适用</w:t>
      </w:r>
    </w:p>
    <w:p>
      <w:pPr>
        <w:spacing w:line="240" w:lineRule="auto" w:before="0"/>
        <w:rPr>
          <w:rFonts w:ascii="宋体" w:hAnsi="宋体" w:cs="宋体" w:eastAsia="宋体" w:hint="default"/>
          <w:sz w:val="23"/>
          <w:szCs w:val="23"/>
        </w:rPr>
      </w:pPr>
    </w:p>
    <w:p>
      <w:pPr>
        <w:pStyle w:val="Heading2"/>
        <w:spacing w:line="290" w:lineRule="auto" w:before="0"/>
        <w:ind w:left="218" w:right="6627"/>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8" w:right="100"/>
        <w:jc w:val="left"/>
      </w:pPr>
      <w:r>
        <w:rPr/>
        <w:t>√适用 □不适用</w:t>
      </w:r>
    </w:p>
    <w:p>
      <w:pPr>
        <w:spacing w:after="0" w:line="240" w:lineRule="auto"/>
        <w:jc w:val="left"/>
        <w:sectPr>
          <w:type w:val="continuous"/>
          <w:pgSz w:w="11910" w:h="16840"/>
          <w:pgMar w:top="1120" w:bottom="1380" w:left="1580" w:right="11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017"/>
        <w:gridCol w:w="1423"/>
        <w:gridCol w:w="1529"/>
        <w:gridCol w:w="1529"/>
        <w:gridCol w:w="1320"/>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9,777,413.67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289,806,948.80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291,104,906.88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8,479,455.59</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设定提存计划</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673,783.20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21,816,988.58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21,861,339.22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629,432.56</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45,105.00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3,168,680.15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3,174,285.15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39,500.00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10,496,301.87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314,792,617.53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316,140,531.25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9,148,388.15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460" w:right="1140"/>
        </w:sectPr>
      </w:pPr>
    </w:p>
    <w:p>
      <w:pPr>
        <w:pStyle w:val="Heading2"/>
        <w:spacing w:line="240" w:lineRule="auto"/>
        <w:ind w:left="338"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33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389" w:val="left" w:leader="none"/>
        </w:tabs>
        <w:spacing w:line="240" w:lineRule="auto"/>
        <w:ind w:left="338"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460" w:right="1140"/>
          <w:cols w:num="2" w:equalWidth="0">
            <w:col w:w="2242" w:space="4434"/>
            <w:col w:w="2634"/>
          </w:cols>
        </w:sectPr>
      </w:pPr>
    </w:p>
    <w:tbl>
      <w:tblPr>
        <w:tblW w:w="0" w:type="auto"/>
        <w:jc w:val="left"/>
        <w:tblInd w:w="112" w:type="dxa"/>
        <w:tblLayout w:type="fixed"/>
        <w:tblCellMar>
          <w:top w:w="0" w:type="dxa"/>
          <w:left w:w="0" w:type="dxa"/>
          <w:bottom w:w="0" w:type="dxa"/>
          <w:right w:w="0" w:type="dxa"/>
        </w:tblCellMar>
        <w:tblLook w:val="01E0"/>
      </w:tblPr>
      <w:tblGrid>
        <w:gridCol w:w="2945"/>
        <w:gridCol w:w="1320"/>
        <w:gridCol w:w="1529"/>
        <w:gridCol w:w="1529"/>
        <w:gridCol w:w="1320"/>
      </w:tblGrid>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7,660,213.36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258,808,336.35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260,128,828.35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6,339,721.36</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22,915.40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7,571,743.16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7,566,278.16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28,380.40</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264,117.39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9,976,926.72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9,907,954.68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333,089.43</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204,850.45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8,791,466.01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8,731,756.54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264,559.92</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41,202.03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567,698.10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565,399.20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43,500.93</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18,064.91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617,762.61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610,798.94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25,028.58</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497,643.47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7,756,051.67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7,865,186.79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388,508.35</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1,332,524.05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5,693,890.90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5,636,658.90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1,389,756.05</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9,777,413.67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289,806,948.80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291,104,906.88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8,479,455.59</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460" w:right="1140"/>
        </w:sectPr>
      </w:pPr>
    </w:p>
    <w:p>
      <w:pPr>
        <w:pStyle w:val="Heading2"/>
        <w:spacing w:line="240" w:lineRule="auto"/>
        <w:ind w:left="338"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33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140"/>
          <w:cols w:num="2" w:equalWidth="0">
            <w:col w:w="2453" w:space="4069"/>
            <w:col w:w="2788"/>
          </w:cols>
        </w:sectPr>
      </w:pPr>
    </w:p>
    <w:p>
      <w:pPr>
        <w:spacing w:line="240" w:lineRule="auto" w:before="4"/>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2521"/>
        <w:gridCol w:w="1582"/>
        <w:gridCol w:w="1568"/>
        <w:gridCol w:w="1597"/>
        <w:gridCol w:w="1553"/>
      </w:tblGrid>
      <w:tr>
        <w:trPr>
          <w:trHeight w:val="28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582"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624,076.78</w:t>
            </w:r>
          </w:p>
        </w:tc>
        <w:tc>
          <w:tcPr>
            <w:tcW w:w="1568"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21,105,869.23</w:t>
            </w:r>
          </w:p>
        </w:tc>
        <w:tc>
          <w:tcPr>
            <w:tcW w:w="1597"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21,127,955.02</w:t>
            </w:r>
          </w:p>
        </w:tc>
        <w:tc>
          <w:tcPr>
            <w:tcW w:w="1553"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601,990.99</w:t>
            </w:r>
          </w:p>
        </w:tc>
      </w:tr>
      <w:tr>
        <w:trPr>
          <w:trHeight w:val="286"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582"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49,706.42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3"/>
                <w:sz w:val="21"/>
              </w:rPr>
              <w:t>711,119.35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733,384.20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27,441.57</w:t>
            </w:r>
          </w:p>
        </w:tc>
      </w:tr>
      <w:tr>
        <w:trPr>
          <w:trHeight w:val="28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582" w:type="dxa"/>
            <w:tcBorders>
              <w:top w:val="single" w:sz="4" w:space="0" w:color="000000"/>
              <w:left w:val="single" w:sz="6"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673,783.20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21,816,988.58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21,861,339.22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629,432.56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4" w:lineRule="exact"/>
        <w:ind w:left="338" w:right="0"/>
        <w:jc w:val="left"/>
      </w:pPr>
      <w:r>
        <w:rPr/>
        <w:t>其他说明：</w:t>
      </w:r>
    </w:p>
    <w:p>
      <w:pPr>
        <w:pStyle w:val="BodyText"/>
        <w:spacing w:line="274" w:lineRule="exact"/>
        <w:ind w:left="33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460" w:right="1140"/>
        </w:sectPr>
      </w:pPr>
    </w:p>
    <w:p>
      <w:pPr>
        <w:pStyle w:val="Heading2"/>
        <w:spacing w:line="240" w:lineRule="auto"/>
        <w:ind w:left="338"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6"/>
        <w:ind w:left="3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140"/>
          <w:cols w:num="2" w:equalWidth="0">
            <w:col w:w="1738" w:space="4784"/>
            <w:col w:w="2788"/>
          </w:cols>
        </w:sectPr>
      </w:pPr>
    </w:p>
    <w:p>
      <w:pPr>
        <w:spacing w:line="240" w:lineRule="auto" w:before="4"/>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957"/>
        <w:gridCol w:w="2931"/>
        <w:gridCol w:w="2936"/>
      </w:tblGrid>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107,861,746.44</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71,713,922.81</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31"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6,154,344.02</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6,184,022.01</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40,941,450.47</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19,440,867.42</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2,146,999.88</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6,053,786.73</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5,845,339.73</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2,834,139.04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4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957"/>
        <w:gridCol w:w="2931"/>
        <w:gridCol w:w="2936"/>
      </w:tblGrid>
      <w:tr>
        <w:trPr>
          <w:trHeight w:val="28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738,981.75</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973,156.56</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1,001,811.88</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742,346.35</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防洪基金</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6,429,732.49</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6,532,586.22</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价格基金</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4,040,365.98</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5,231,635.52</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715,124.99</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1,059,199.82</w:t>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3,871,138.98</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1,852,647.25</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28,337.76</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39,396.17</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179,775,374.37</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122,657,705.90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140"/>
        </w:sectPr>
      </w:pPr>
    </w:p>
    <w:p>
      <w:pPr>
        <w:pStyle w:val="Heading2"/>
        <w:spacing w:line="240" w:lineRule="auto"/>
        <w:ind w:left="218"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618" w:space="4904"/>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199"/>
        <w:gridCol w:w="2972"/>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199" w:type="dxa"/>
            <w:tcBorders>
              <w:top w:val="single" w:sz="4" w:space="0" w:color="000000"/>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199" w:type="dxa"/>
            <w:tcBorders>
              <w:top w:val="single" w:sz="4" w:space="0" w:color="000000"/>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199" w:type="dxa"/>
            <w:tcBorders>
              <w:top w:val="single" w:sz="4" w:space="0" w:color="000000"/>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Times New Roman" w:hAnsi="Times New Roman" w:cs="Times New Roman" w:eastAsia="Times New Roman" w:hint="default"/>
                <w:sz w:val="21"/>
                <w:szCs w:val="21"/>
              </w:rPr>
              <w:t>\</w:t>
            </w:r>
            <w:r>
              <w:rPr>
                <w:rFonts w:ascii="宋体" w:hAnsi="宋体" w:cs="宋体" w:eastAsia="宋体" w:hint="default"/>
                <w:sz w:val="21"/>
                <w:szCs w:val="21"/>
              </w:rPr>
              <w:t>永续债利息</w:t>
            </w:r>
          </w:p>
        </w:tc>
        <w:tc>
          <w:tcPr>
            <w:tcW w:w="2199" w:type="dxa"/>
            <w:tcBorders>
              <w:top w:val="single" w:sz="4" w:space="0" w:color="000000"/>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银行借款利息</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2,294,837.56</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629,798.26</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应付债券利息</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27,384,109.60</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27,415,890.41</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29,678,947.16</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28,045,688.67</w:t>
            </w:r>
          </w:p>
        </w:tc>
      </w:tr>
    </w:tbl>
    <w:p>
      <w:pPr>
        <w:spacing w:line="240" w:lineRule="auto" w:before="2"/>
        <w:rPr>
          <w:rFonts w:ascii="宋体" w:hAnsi="宋体" w:cs="宋体" w:eastAsia="宋体" w:hint="default"/>
          <w:sz w:val="13"/>
          <w:szCs w:val="13"/>
        </w:rPr>
      </w:pPr>
    </w:p>
    <w:p>
      <w:pPr>
        <w:pStyle w:val="BodyText"/>
        <w:spacing w:line="273" w:lineRule="exact" w:before="36"/>
        <w:ind w:left="218" w:right="100"/>
        <w:jc w:val="left"/>
      </w:pPr>
      <w:r>
        <w:rPr/>
        <w:t>重要的已逾期未支付的利息情况：</w:t>
      </w:r>
    </w:p>
    <w:p>
      <w:pPr>
        <w:pStyle w:val="BodyText"/>
        <w:spacing w:line="292" w:lineRule="auto"/>
        <w:ind w:left="218" w:right="7373"/>
        <w:jc w:val="left"/>
      </w:pPr>
      <w:r>
        <w:rPr/>
        <w:t>□适用 √不适用</w:t>
      </w:r>
      <w:r>
        <w:rPr>
          <w:w w:val="100"/>
        </w:rPr>
        <w:t> </w:t>
      </w:r>
      <w:r>
        <w:rPr/>
        <w:t>其他说明：</w:t>
      </w:r>
    </w:p>
    <w:p>
      <w:pPr>
        <w:pStyle w:val="BodyText"/>
        <w:spacing w:line="240" w:lineRule="auto" w:before="10"/>
        <w:ind w:left="218" w:right="100"/>
        <w:jc w:val="left"/>
      </w:pPr>
      <w:r>
        <w:rPr/>
        <w:t>□适用 √不适用</w:t>
      </w:r>
    </w:p>
    <w:p>
      <w:pPr>
        <w:spacing w:line="240" w:lineRule="auto" w:before="5"/>
        <w:rPr>
          <w:rFonts w:ascii="宋体" w:hAnsi="宋体" w:cs="宋体" w:eastAsia="宋体" w:hint="default"/>
          <w:sz w:val="27"/>
          <w:szCs w:val="27"/>
        </w:rPr>
      </w:pPr>
    </w:p>
    <w:p>
      <w:pPr>
        <w:pStyle w:val="Heading2"/>
        <w:spacing w:line="240" w:lineRule="auto" w:before="0"/>
        <w:ind w:left="218" w:right="100"/>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left="218" w:right="10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140"/>
        </w:sectPr>
      </w:pPr>
    </w:p>
    <w:p>
      <w:pPr>
        <w:pStyle w:val="Heading2"/>
        <w:spacing w:line="240" w:lineRule="auto"/>
        <w:ind w:left="218"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56"/>
        <w:ind w:left="218"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3276" w:space="3245"/>
            <w:col w:w="26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52"/>
        <w:gridCol w:w="2924"/>
        <w:gridCol w:w="3049"/>
      </w:tblGrid>
      <w:tr>
        <w:trPr>
          <w:trHeight w:val="28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24"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限制性股票激励款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119,000,000.00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9,408,000.00</w:t>
            </w:r>
          </w:p>
        </w:tc>
      </w:tr>
      <w:tr>
        <w:trPr>
          <w:trHeight w:val="28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31,370,985.33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37,794,192.75</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安置费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2,695,542.18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2,228,625.41</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在建项目尾款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1,746,127.36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2,739,491.16</w:t>
            </w:r>
          </w:p>
        </w:tc>
      </w:tr>
      <w:tr>
        <w:trPr>
          <w:trHeight w:val="28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6,430,526.15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4,447,005.12</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13,479,773.82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12,544,166.63</w:t>
            </w:r>
          </w:p>
        </w:tc>
      </w:tr>
      <w:tr>
        <w:trPr>
          <w:trHeight w:val="28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78,702,149.95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56,730,333.35</w:t>
            </w:r>
          </w:p>
        </w:tc>
      </w:tr>
      <w:tr>
        <w:trPr>
          <w:trHeight w:val="28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253,425,104.79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145,891,814.42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140"/>
        </w:sectPr>
      </w:pPr>
    </w:p>
    <w:p>
      <w:pPr>
        <w:pStyle w:val="Heading2"/>
        <w:spacing w:line="240" w:lineRule="auto"/>
        <w:ind w:left="218"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218"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3718" w:space="2804"/>
            <w:col w:w="26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2136"/>
        <w:gridCol w:w="3034"/>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6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贵州华清投资有限公司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2,940,939.34</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宜春方向科技有限公司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4,300,000.00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武汉重型机床集团有限公司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1,045,000.00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江西福安建筑工程有限公司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山西晨晖电力勘测设计有限公司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10,285,939.34</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73" w:lineRule="exact" w:before="36"/>
        <w:ind w:left="218" w:right="331"/>
        <w:jc w:val="left"/>
      </w:pPr>
      <w:r>
        <w:rPr/>
        <w:t>其他说明</w:t>
      </w:r>
    </w:p>
    <w:p>
      <w:pPr>
        <w:pStyle w:val="BodyText"/>
        <w:spacing w:line="273" w:lineRule="exact"/>
        <w:ind w:left="218" w:right="331"/>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left="218" w:right="331"/>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9"/>
        <w:ind w:left="218" w:right="33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65"/>
          <w:pgSz w:w="11910" w:h="16840"/>
          <w:pgMar w:footer="1195" w:header="0" w:top="1120" w:bottom="1380" w:left="1580" w:right="1120"/>
        </w:sectPr>
      </w:pPr>
    </w:p>
    <w:p>
      <w:pPr>
        <w:pStyle w:val="Heading2"/>
        <w:spacing w:line="240" w:lineRule="auto"/>
        <w:ind w:left="218"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left="21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993" w:space="3529"/>
            <w:col w:w="26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7"/>
        <w:gridCol w:w="2960"/>
        <w:gridCol w:w="3027"/>
      </w:tblGrid>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61,190,000.00</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27,190,000.00</w:t>
            </w: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2960"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2960"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61,190,000.00</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27,190,000.00</w:t>
            </w:r>
          </w:p>
        </w:tc>
      </w:tr>
    </w:tbl>
    <w:p>
      <w:pPr>
        <w:spacing w:line="240" w:lineRule="auto" w:before="10"/>
        <w:rPr>
          <w:rFonts w:ascii="宋体" w:hAnsi="宋体" w:cs="宋体" w:eastAsia="宋体" w:hint="default"/>
          <w:sz w:val="17"/>
          <w:szCs w:val="17"/>
        </w:rPr>
      </w:pPr>
    </w:p>
    <w:p>
      <w:pPr>
        <w:pStyle w:val="BodyText"/>
        <w:spacing w:line="240" w:lineRule="auto" w:before="36"/>
        <w:ind w:left="218" w:right="331"/>
        <w:jc w:val="left"/>
      </w:pPr>
      <w:r>
        <w:rPr/>
        <w:t>其他说明：</w:t>
      </w:r>
    </w:p>
    <w:p>
      <w:pPr>
        <w:spacing w:line="240" w:lineRule="auto" w:before="6"/>
        <w:rPr>
          <w:rFonts w:ascii="宋体" w:hAnsi="宋体" w:cs="宋体" w:eastAsia="宋体" w:hint="default"/>
          <w:sz w:val="25"/>
          <w:szCs w:val="25"/>
        </w:rPr>
      </w:pPr>
    </w:p>
    <w:tbl>
      <w:tblPr>
        <w:tblW w:w="0" w:type="auto"/>
        <w:jc w:val="left"/>
        <w:tblInd w:w="174" w:type="dxa"/>
        <w:tblLayout w:type="fixed"/>
        <w:tblCellMar>
          <w:top w:w="0" w:type="dxa"/>
          <w:left w:w="0" w:type="dxa"/>
          <w:bottom w:w="0" w:type="dxa"/>
          <w:right w:w="0" w:type="dxa"/>
        </w:tblCellMar>
        <w:tblLook w:val="01E0"/>
      </w:tblPr>
      <w:tblGrid>
        <w:gridCol w:w="2864"/>
        <w:gridCol w:w="2314"/>
        <w:gridCol w:w="2031"/>
        <w:gridCol w:w="1670"/>
      </w:tblGrid>
      <w:tr>
        <w:trPr>
          <w:trHeight w:val="360" w:hRule="exact"/>
        </w:trPr>
        <w:tc>
          <w:tcPr>
            <w:tcW w:w="28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8" w:right="0"/>
              <w:jc w:val="center"/>
              <w:rPr>
                <w:rFonts w:ascii="宋体" w:hAnsi="宋体" w:cs="宋体" w:eastAsia="宋体" w:hint="default"/>
                <w:sz w:val="21"/>
                <w:szCs w:val="21"/>
              </w:rPr>
            </w:pPr>
            <w:r>
              <w:rPr>
                <w:rFonts w:ascii="宋体" w:hAnsi="宋体" w:cs="宋体" w:eastAsia="宋体" w:hint="default"/>
                <w:sz w:val="21"/>
                <w:szCs w:val="21"/>
              </w:rPr>
              <w:t>借款条件</w:t>
            </w:r>
          </w:p>
        </w:tc>
        <w:tc>
          <w:tcPr>
            <w:tcW w:w="2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7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58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利率区间</w:t>
            </w:r>
          </w:p>
        </w:tc>
      </w:tr>
      <w:tr>
        <w:trPr>
          <w:trHeight w:val="350"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8" w:right="0"/>
              <w:jc w:val="center"/>
              <w:rPr>
                <w:rFonts w:ascii="宋体" w:hAnsi="宋体" w:cs="宋体" w:eastAsia="宋体" w:hint="default"/>
                <w:sz w:val="21"/>
                <w:szCs w:val="21"/>
              </w:rPr>
            </w:pPr>
            <w:r>
              <w:rPr>
                <w:rFonts w:ascii="宋体" w:hAnsi="宋体" w:cs="宋体" w:eastAsia="宋体" w:hint="default"/>
                <w:sz w:val="21"/>
                <w:szCs w:val="21"/>
              </w:rPr>
              <w:t>质押借款</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49,190,000.00</w:t>
            </w:r>
            <w:r>
              <w:rPr>
                <w:rFonts w:ascii="Arial Narrow"/>
                <w:sz w:val="21"/>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27,190,000.00</w:t>
            </w:r>
            <w:r>
              <w:rPr>
                <w:rFonts w:ascii="Arial Narrow"/>
                <w:sz w:val="21"/>
              </w:rPr>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4.75%-4.90%</w:t>
            </w:r>
          </w:p>
        </w:tc>
      </w:tr>
      <w:tr>
        <w:trPr>
          <w:trHeight w:val="350"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12,000,000.00</w:t>
            </w:r>
            <w:r>
              <w:rPr>
                <w:rFonts w:ascii="Arial Narrow"/>
                <w:sz w:val="21"/>
              </w:rPr>
            </w:r>
          </w:p>
        </w:tc>
        <w:tc>
          <w:tcPr>
            <w:tcW w:w="203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5.25%</w:t>
            </w:r>
          </w:p>
        </w:tc>
      </w:tr>
      <w:tr>
        <w:trPr>
          <w:trHeight w:val="360" w:hRule="exact"/>
        </w:trPr>
        <w:tc>
          <w:tcPr>
            <w:tcW w:w="2864"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74"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0"/>
              <w:jc w:val="right"/>
              <w:rPr>
                <w:rFonts w:ascii="Arial Narrow" w:hAnsi="Arial Narrow" w:cs="Arial Narrow" w:eastAsia="Arial Narrow" w:hint="default"/>
                <w:sz w:val="21"/>
                <w:szCs w:val="21"/>
              </w:rPr>
            </w:pPr>
            <w:r>
              <w:rPr>
                <w:rFonts w:ascii="Arial Narrow"/>
                <w:spacing w:val="-1"/>
                <w:sz w:val="21"/>
              </w:rPr>
              <w:t>61,190,000.00</w:t>
            </w:r>
            <w:r>
              <w:rPr>
                <w:rFonts w:ascii="Arial Narrow"/>
                <w:sz w:val="21"/>
              </w:rPr>
            </w:r>
          </w:p>
        </w:tc>
        <w:tc>
          <w:tcPr>
            <w:tcW w:w="20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2"/>
              <w:jc w:val="right"/>
              <w:rPr>
                <w:rFonts w:ascii="Arial Narrow" w:hAnsi="Arial Narrow" w:cs="Arial Narrow" w:eastAsia="Arial Narrow" w:hint="default"/>
                <w:sz w:val="21"/>
                <w:szCs w:val="21"/>
              </w:rPr>
            </w:pPr>
            <w:r>
              <w:rPr>
                <w:rFonts w:ascii="Arial Narrow"/>
                <w:spacing w:val="-1"/>
                <w:sz w:val="21"/>
              </w:rPr>
              <w:t>27,190,000.00</w:t>
            </w:r>
            <w:r>
              <w:rPr>
                <w:rFonts w:ascii="Arial Narrow"/>
                <w:sz w:val="21"/>
              </w:rPr>
            </w:r>
          </w:p>
        </w:tc>
        <w:tc>
          <w:tcPr>
            <w:tcW w:w="167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7"/>
          <w:szCs w:val="17"/>
        </w:rPr>
      </w:pPr>
    </w:p>
    <w:p>
      <w:pPr>
        <w:spacing w:line="290" w:lineRule="auto" w:before="36"/>
        <w:ind w:left="218" w:right="7199"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28" w:lineRule="exact"/>
        <w:ind w:left="218" w:right="331"/>
        <w:jc w:val="left"/>
      </w:pPr>
      <w:r>
        <w:rPr/>
        <w:t>□适用</w:t>
        <w:tab/>
        <w:t>√不适用</w:t>
      </w:r>
    </w:p>
    <w:p>
      <w:pPr>
        <w:pStyle w:val="BodyText"/>
        <w:spacing w:line="272" w:lineRule="exact"/>
        <w:ind w:left="218" w:right="331"/>
        <w:jc w:val="left"/>
      </w:pPr>
      <w:r>
        <w:rPr/>
        <w:t>短期应付债券的增减变动：</w:t>
      </w:r>
    </w:p>
    <w:p>
      <w:pPr>
        <w:pStyle w:val="BodyText"/>
        <w:spacing w:line="290" w:lineRule="auto"/>
        <w:ind w:left="218" w:right="7393"/>
        <w:jc w:val="left"/>
      </w:pPr>
      <w:r>
        <w:rPr/>
        <w:t>□适用 √不适用</w:t>
      </w:r>
      <w:r>
        <w:rPr>
          <w:w w:val="100"/>
        </w:rPr>
        <w:t> </w:t>
      </w:r>
      <w:r>
        <w:rPr/>
        <w:t>其他说明：</w:t>
      </w:r>
    </w:p>
    <w:p>
      <w:pPr>
        <w:pStyle w:val="BodyText"/>
        <w:spacing w:line="240" w:lineRule="auto" w:before="14"/>
        <w:ind w:left="218" w:right="331"/>
        <w:jc w:val="left"/>
      </w:pPr>
      <w:r>
        <w:rPr/>
        <w:t>□适用 √不适用</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120"/>
        </w:sectPr>
      </w:pPr>
    </w:p>
    <w:p>
      <w:pPr>
        <w:pStyle w:val="Heading2"/>
        <w:spacing w:line="240" w:lineRule="auto"/>
        <w:ind w:left="218" w:right="-18"/>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2"/>
        <w:tabs>
          <w:tab w:pos="849" w:val="left" w:leader="none"/>
        </w:tabs>
        <w:spacing w:line="240" w:lineRule="auto" w:before="56"/>
        <w:ind w:left="218"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117" w:space="4405"/>
            <w:col w:w="268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77"/>
        <w:gridCol w:w="2976"/>
        <w:gridCol w:w="2873"/>
      </w:tblGrid>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47" w:right="0"/>
              <w:jc w:val="left"/>
              <w:rPr>
                <w:rFonts w:ascii="Times New Roman" w:hAnsi="Times New Roman" w:cs="Times New Roman" w:eastAsia="Times New Roman" w:hint="default"/>
                <w:sz w:val="21"/>
                <w:szCs w:val="21"/>
              </w:rPr>
            </w:pPr>
            <w:r>
              <w:rPr>
                <w:rFonts w:ascii="Times New Roman"/>
                <w:sz w:val="21"/>
              </w:rPr>
              <w:t>292,430,000.00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0" w:right="0"/>
              <w:jc w:val="left"/>
              <w:rPr>
                <w:rFonts w:ascii="Times New Roman" w:hAnsi="Times New Roman" w:cs="Times New Roman" w:eastAsia="Times New Roman" w:hint="default"/>
                <w:sz w:val="21"/>
                <w:szCs w:val="21"/>
              </w:rPr>
            </w:pPr>
            <w:r>
              <w:rPr>
                <w:rFonts w:ascii="Times New Roman"/>
                <w:sz w:val="21"/>
              </w:rPr>
              <w:t>47,620,000.00</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2" w:type="dxa"/>
        <w:tblLayout w:type="fixed"/>
        <w:tblCellMar>
          <w:top w:w="0" w:type="dxa"/>
          <w:left w:w="0" w:type="dxa"/>
          <w:bottom w:w="0" w:type="dxa"/>
          <w:right w:w="0" w:type="dxa"/>
        </w:tblCellMar>
        <w:tblLook w:val="01E0"/>
      </w:tblPr>
      <w:tblGrid>
        <w:gridCol w:w="2977"/>
        <w:gridCol w:w="2976"/>
        <w:gridCol w:w="2873"/>
      </w:tblGrid>
      <w:tr>
        <w:trPr>
          <w:trHeight w:val="28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108,000,000.00</w:t>
            </w: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国债贷款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589,089.00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736,362.00</w:t>
            </w:r>
          </w:p>
        </w:tc>
      </w:tr>
      <w:tr>
        <w:trPr>
          <w:trHeight w:val="252" w:hRule="exact"/>
        </w:trPr>
        <w:tc>
          <w:tcPr>
            <w:tcW w:w="297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spacing w:val="-1"/>
                <w:sz w:val="21"/>
              </w:rPr>
              <w:t>401,019,089.00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48,356,362.00</w:t>
            </w:r>
          </w:p>
        </w:tc>
      </w:tr>
    </w:tbl>
    <w:p>
      <w:pPr>
        <w:spacing w:line="240" w:lineRule="auto" w:before="4"/>
        <w:rPr>
          <w:rFonts w:ascii="宋体" w:hAnsi="宋体" w:cs="宋体" w:eastAsia="宋体" w:hint="default"/>
          <w:sz w:val="22"/>
          <w:szCs w:val="22"/>
        </w:rPr>
      </w:pPr>
    </w:p>
    <w:p>
      <w:pPr>
        <w:pStyle w:val="BodyText"/>
        <w:spacing w:line="273" w:lineRule="exact" w:before="36"/>
        <w:ind w:left="178" w:right="100"/>
        <w:jc w:val="left"/>
      </w:pPr>
      <w:r>
        <w:rPr/>
        <w:t>其他说明，包括利率区间：</w:t>
      </w:r>
    </w:p>
    <w:p>
      <w:pPr>
        <w:pStyle w:val="BodyText"/>
        <w:spacing w:line="289" w:lineRule="exact"/>
        <w:ind w:left="178" w:right="1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4801"/>
        <w:gridCol w:w="4112"/>
      </w:tblGrid>
      <w:tr>
        <w:trPr>
          <w:trHeight w:val="360" w:hRule="exact"/>
        </w:trPr>
        <w:tc>
          <w:tcPr>
            <w:tcW w:w="48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434" w:right="0"/>
              <w:jc w:val="center"/>
              <w:rPr>
                <w:rFonts w:ascii="宋体" w:hAnsi="宋体" w:cs="宋体" w:eastAsia="宋体" w:hint="default"/>
                <w:sz w:val="21"/>
                <w:szCs w:val="21"/>
              </w:rPr>
            </w:pPr>
            <w:r>
              <w:rPr>
                <w:rFonts w:ascii="宋体" w:hAnsi="宋体" w:cs="宋体" w:eastAsia="宋体" w:hint="default"/>
                <w:sz w:val="21"/>
                <w:szCs w:val="21"/>
              </w:rPr>
              <w:t>借款条件</w:t>
            </w:r>
          </w:p>
        </w:tc>
        <w:tc>
          <w:tcPr>
            <w:tcW w:w="41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1421"/>
              <w:jc w:val="right"/>
              <w:rPr>
                <w:rFonts w:ascii="宋体" w:hAnsi="宋体" w:cs="宋体" w:eastAsia="宋体" w:hint="default"/>
                <w:sz w:val="21"/>
                <w:szCs w:val="21"/>
              </w:rPr>
            </w:pPr>
            <w:r>
              <w:rPr>
                <w:rFonts w:ascii="宋体" w:hAnsi="宋体" w:cs="宋体" w:eastAsia="宋体" w:hint="default"/>
                <w:spacing w:val="-1"/>
                <w:sz w:val="21"/>
                <w:szCs w:val="21"/>
              </w:rPr>
              <w:t>利率区间</w:t>
            </w:r>
          </w:p>
        </w:tc>
      </w:tr>
      <w:tr>
        <w:trPr>
          <w:trHeight w:val="350"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539"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4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265"/>
              <w:jc w:val="right"/>
              <w:rPr>
                <w:rFonts w:ascii="宋体" w:hAnsi="宋体" w:cs="宋体" w:eastAsia="宋体" w:hint="default"/>
                <w:sz w:val="21"/>
                <w:szCs w:val="21"/>
              </w:rPr>
            </w:pPr>
            <w:r>
              <w:rPr>
                <w:rFonts w:ascii="宋体"/>
                <w:spacing w:val="-1"/>
                <w:sz w:val="21"/>
              </w:rPr>
              <w:t>4.75%-4.90%</w:t>
            </w:r>
          </w:p>
        </w:tc>
      </w:tr>
      <w:tr>
        <w:trPr>
          <w:trHeight w:val="361" w:hRule="exact"/>
        </w:trPr>
        <w:tc>
          <w:tcPr>
            <w:tcW w:w="4801"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411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left="415" w:right="0"/>
              <w:jc w:val="center"/>
              <w:rPr>
                <w:rFonts w:ascii="宋体" w:hAnsi="宋体" w:cs="宋体" w:eastAsia="宋体" w:hint="default"/>
                <w:sz w:val="21"/>
                <w:szCs w:val="21"/>
              </w:rPr>
            </w:pPr>
            <w:r>
              <w:rPr>
                <w:rFonts w:ascii="宋体"/>
                <w:sz w:val="21"/>
              </w:rPr>
              <w:t>5.25%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66"/>
          <w:pgSz w:w="11910" w:h="16840"/>
          <w:pgMar w:footer="1195" w:header="0" w:top="1120" w:bottom="1380" w:left="1620" w:right="1100"/>
          <w:pgNumType w:start="131"/>
        </w:sectPr>
      </w:pPr>
    </w:p>
    <w:p>
      <w:pPr>
        <w:pStyle w:val="Heading2"/>
        <w:tabs>
          <w:tab w:pos="849" w:val="left" w:leader="none"/>
        </w:tabs>
        <w:spacing w:line="290" w:lineRule="auto"/>
        <w:ind w:left="178" w:right="0"/>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4"/>
        <w:ind w:left="17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29" w:val="left" w:leader="none"/>
        </w:tabs>
        <w:spacing w:line="240" w:lineRule="auto"/>
        <w:ind w:left="178" w:right="0"/>
        <w:jc w:val="left"/>
      </w:pPr>
      <w:r>
        <w:rPr>
          <w:spacing w:val="-1"/>
        </w:rPr>
        <w:t>单位：元</w:t>
        <w:tab/>
      </w:r>
      <w:r>
        <w:rPr>
          <w:spacing w:val="-2"/>
        </w:rPr>
        <w:t>币种：人民币</w:t>
      </w:r>
    </w:p>
    <w:p>
      <w:pPr>
        <w:spacing w:after="0" w:line="240" w:lineRule="auto"/>
        <w:jc w:val="left"/>
        <w:sectPr>
          <w:type w:val="continuous"/>
          <w:pgSz w:w="11910" w:h="16840"/>
          <w:pgMar w:top="1120" w:bottom="1380" w:left="1620" w:right="1100"/>
          <w:cols w:num="2" w:equalWidth="0">
            <w:col w:w="1695" w:space="4826"/>
            <w:col w:w="2669"/>
          </w:cols>
        </w:sectPr>
      </w:pPr>
    </w:p>
    <w:p>
      <w:pPr>
        <w:spacing w:line="240" w:lineRule="auto" w:before="7"/>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2977"/>
        <w:gridCol w:w="2998"/>
        <w:gridCol w:w="2852"/>
      </w:tblGrid>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8"/>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一期公司债</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493,885,771.66</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492,165,141.50</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二期公司债</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495,618,303.80</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494,515,131.37</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288,308,648.69</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287,875,319.09</w:t>
            </w:r>
          </w:p>
        </w:tc>
      </w:tr>
      <w:tr>
        <w:trPr>
          <w:trHeight w:val="28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8"/>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1,277,812,724.15</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1,274,555,591.96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tabs>
          <w:tab w:pos="849" w:val="left" w:leader="none"/>
        </w:tabs>
        <w:spacing w:line="240" w:lineRule="auto"/>
        <w:ind w:left="178" w:right="100"/>
        <w:jc w:val="left"/>
        <w:rPr>
          <w:b w:val="0"/>
          <w:bCs w:val="0"/>
        </w:rPr>
      </w:pPr>
      <w:r>
        <w:rPr>
          <w:rFonts w:ascii="宋体" w:hAnsi="宋体" w:cs="宋体" w:eastAsia="宋体" w:hint="default"/>
          <w:w w:val="95"/>
        </w:rPr>
        <w:t>(2).</w:t>
        <w:tab/>
      </w:r>
      <w:r>
        <w:rPr/>
        <w:t>应付债券的增减变动：（不包括划分为金融负债的优先股、永续债等其他金融工具）</w:t>
      </w:r>
      <w:r>
        <w:rPr>
          <w:b w:val="0"/>
          <w:bCs w:val="0"/>
        </w:rPr>
      </w:r>
    </w:p>
    <w:p>
      <w:pPr>
        <w:pStyle w:val="BodyText"/>
        <w:spacing w:line="240" w:lineRule="auto" w:before="58"/>
        <w:ind w:left="178" w:right="1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5" w:lineRule="exact"/>
        <w:ind w:left="0" w:right="1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93" w:type="dxa"/>
        <w:tblLayout w:type="fixed"/>
        <w:tblCellMar>
          <w:top w:w="0" w:type="dxa"/>
          <w:left w:w="0" w:type="dxa"/>
          <w:bottom w:w="0" w:type="dxa"/>
          <w:right w:w="0" w:type="dxa"/>
        </w:tblCellMar>
        <w:tblLook w:val="01E0"/>
      </w:tblPr>
      <w:tblGrid>
        <w:gridCol w:w="874"/>
        <w:gridCol w:w="425"/>
        <w:gridCol w:w="843"/>
        <w:gridCol w:w="434"/>
        <w:gridCol w:w="1121"/>
        <w:gridCol w:w="1112"/>
        <w:gridCol w:w="360"/>
        <w:gridCol w:w="1109"/>
        <w:gridCol w:w="848"/>
        <w:gridCol w:w="360"/>
        <w:gridCol w:w="1111"/>
      </w:tblGrid>
      <w:tr>
        <w:trPr>
          <w:trHeight w:val="600"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0" w:right="278"/>
              <w:jc w:val="left"/>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spacing w:val="-73"/>
                <w:sz w:val="15"/>
                <w:szCs w:val="15"/>
              </w:rPr>
              <w:t> </w:t>
            </w:r>
            <w:r>
              <w:rPr>
                <w:rFonts w:ascii="宋体" w:hAnsi="宋体" w:cs="宋体" w:eastAsia="宋体" w:hint="default"/>
                <w:sz w:val="15"/>
                <w:szCs w:val="15"/>
              </w:rPr>
              <w:t>名称</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面值</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3" w:right="266"/>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pacing w:val="-73"/>
                <w:sz w:val="15"/>
                <w:szCs w:val="15"/>
              </w:rPr>
              <w:t> </w:t>
            </w:r>
            <w:r>
              <w:rPr>
                <w:rFonts w:ascii="宋体" w:hAnsi="宋体" w:cs="宋体" w:eastAsia="宋体" w:hint="default"/>
                <w:sz w:val="15"/>
                <w:szCs w:val="15"/>
              </w:rPr>
              <w:t>日期</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9" w:right="60"/>
              <w:jc w:val="left"/>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spacing w:val="-73"/>
                <w:sz w:val="15"/>
                <w:szCs w:val="15"/>
              </w:rPr>
              <w:t> </w:t>
            </w:r>
            <w:r>
              <w:rPr>
                <w:rFonts w:ascii="宋体" w:hAnsi="宋体" w:cs="宋体" w:eastAsia="宋体" w:hint="default"/>
                <w:sz w:val="15"/>
                <w:szCs w:val="15"/>
              </w:rPr>
              <w:t>期限</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5" w:right="401"/>
              <w:jc w:val="center"/>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8" w:right="399"/>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23"/>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发行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hAnsi="宋体" w:cs="宋体" w:eastAsia="宋体" w:hint="default"/>
                <w:spacing w:val="-1"/>
                <w:sz w:val="15"/>
                <w:szCs w:val="15"/>
              </w:rPr>
              <w:t>按面值计提利息</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溢折价摊销</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19"/>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偿还</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0" w:right="396"/>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27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一期公司债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37" w:right="0"/>
              <w:jc w:val="center"/>
              <w:rPr>
                <w:rFonts w:ascii="Times New Roman" w:hAnsi="Times New Roman" w:cs="Times New Roman" w:eastAsia="Times New Roman" w:hint="default"/>
                <w:sz w:val="15"/>
                <w:szCs w:val="15"/>
              </w:rPr>
            </w:pPr>
            <w:r>
              <w:rPr>
                <w:rFonts w:ascii="Times New Roman"/>
                <w:sz w:val="15"/>
              </w:rPr>
              <w:t>100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2"/>
                <w:sz w:val="15"/>
              </w:rPr>
              <w:t>2016-3-23</w:t>
            </w:r>
            <w:r>
              <w:rPr>
                <w:rFonts w:ascii="Times New Roman"/>
                <w:sz w:val="15"/>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34"/>
              <w:jc w:val="right"/>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500,000,000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492,165,141.50</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21,000,000.00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1,720,630.16</w:t>
            </w:r>
          </w:p>
        </w:tc>
        <w:tc>
          <w:tcPr>
            <w:tcW w:w="36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493,885,771.66</w:t>
            </w:r>
          </w:p>
        </w:tc>
      </w:tr>
      <w:tr>
        <w:trPr>
          <w:trHeight w:val="27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二期公司债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37" w:right="0"/>
              <w:jc w:val="center"/>
              <w:rPr>
                <w:rFonts w:ascii="Times New Roman" w:hAnsi="Times New Roman" w:cs="Times New Roman" w:eastAsia="Times New Roman" w:hint="default"/>
                <w:sz w:val="15"/>
                <w:szCs w:val="15"/>
              </w:rPr>
            </w:pPr>
            <w:r>
              <w:rPr>
                <w:rFonts w:ascii="Times New Roman"/>
                <w:sz w:val="15"/>
              </w:rPr>
              <w:t>100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2016-8-2</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34"/>
              <w:jc w:val="right"/>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500,000,000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494,515,131.37</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20,950,000.00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1,103,172.43</w:t>
            </w:r>
          </w:p>
        </w:tc>
        <w:tc>
          <w:tcPr>
            <w:tcW w:w="36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495,618,303.80</w:t>
            </w:r>
          </w:p>
        </w:tc>
      </w:tr>
      <w:tr>
        <w:trPr>
          <w:trHeight w:val="27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中期票据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37" w:right="0"/>
              <w:jc w:val="center"/>
              <w:rPr>
                <w:rFonts w:ascii="Times New Roman" w:hAnsi="Times New Roman" w:cs="Times New Roman" w:eastAsia="Times New Roman" w:hint="default"/>
                <w:sz w:val="15"/>
                <w:szCs w:val="15"/>
              </w:rPr>
            </w:pPr>
            <w:r>
              <w:rPr>
                <w:rFonts w:ascii="Times New Roman"/>
                <w:sz w:val="15"/>
              </w:rPr>
              <w:t>100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2016-10-19</w:t>
            </w:r>
            <w:r>
              <w:rPr>
                <w:rFonts w:ascii="Times New Roman"/>
                <w:sz w:val="15"/>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34"/>
              <w:jc w:val="right"/>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290,000,000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287,875,319.09</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2"/>
                <w:sz w:val="15"/>
              </w:rPr>
              <w:t>11,568,219.18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center"/>
              <w:rPr>
                <w:rFonts w:ascii="Times New Roman" w:hAnsi="Times New Roman" w:cs="Times New Roman" w:eastAsia="Times New Roman" w:hint="default"/>
                <w:sz w:val="15"/>
                <w:szCs w:val="15"/>
              </w:rPr>
            </w:pPr>
            <w:r>
              <w:rPr>
                <w:rFonts w:ascii="Times New Roman"/>
                <w:sz w:val="15"/>
              </w:rPr>
              <w:t>433,329.59</w:t>
            </w:r>
          </w:p>
        </w:tc>
        <w:tc>
          <w:tcPr>
            <w:tcW w:w="36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288,308,648.69</w:t>
            </w:r>
          </w:p>
        </w:tc>
      </w:tr>
      <w:tr>
        <w:trPr>
          <w:trHeight w:val="27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8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w w:val="100"/>
                <w:sz w:val="15"/>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
              <w:jc w:val="center"/>
              <w:rPr>
                <w:rFonts w:ascii="Times New Roman" w:hAnsi="Times New Roman" w:cs="Times New Roman" w:eastAsia="Times New Roman" w:hint="default"/>
                <w:sz w:val="15"/>
                <w:szCs w:val="15"/>
              </w:rPr>
            </w:pPr>
            <w:r>
              <w:rPr>
                <w:rFonts w:ascii="Times New Roman"/>
                <w:w w:val="100"/>
                <w:sz w:val="15"/>
              </w:rPr>
              <w:t>/</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91"/>
              <w:jc w:val="right"/>
              <w:rPr>
                <w:rFonts w:ascii="Times New Roman" w:hAnsi="Times New Roman" w:cs="Times New Roman" w:eastAsia="Times New Roman" w:hint="default"/>
                <w:sz w:val="15"/>
                <w:szCs w:val="15"/>
              </w:rPr>
            </w:pPr>
            <w:r>
              <w:rPr>
                <w:rFonts w:ascii="Times New Roman"/>
                <w:w w:val="100"/>
                <w:sz w:val="15"/>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1,290,000,000.00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1,274,555,591.96</w:t>
            </w:r>
          </w:p>
        </w:tc>
        <w:tc>
          <w:tcPr>
            <w:tcW w:w="3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53,518,219.18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3,257,132.18</w:t>
            </w:r>
          </w:p>
        </w:tc>
        <w:tc>
          <w:tcPr>
            <w:tcW w:w="36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1,277,812,724.15</w:t>
            </w:r>
          </w:p>
        </w:tc>
      </w:tr>
    </w:tbl>
    <w:p>
      <w:pPr>
        <w:spacing w:line="240" w:lineRule="auto" w:before="7"/>
        <w:rPr>
          <w:rFonts w:ascii="宋体" w:hAnsi="宋体" w:cs="宋体" w:eastAsia="宋体" w:hint="default"/>
          <w:sz w:val="17"/>
          <w:szCs w:val="17"/>
        </w:rPr>
      </w:pPr>
    </w:p>
    <w:p>
      <w:pPr>
        <w:pStyle w:val="Heading2"/>
        <w:tabs>
          <w:tab w:pos="849" w:val="left" w:leader="none"/>
        </w:tabs>
        <w:spacing w:line="240" w:lineRule="auto"/>
        <w:ind w:left="178" w:right="100"/>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20" w:val="left" w:leader="none"/>
        </w:tabs>
        <w:spacing w:line="240" w:lineRule="auto" w:before="58"/>
        <w:ind w:left="178" w:right="100"/>
        <w:jc w:val="left"/>
      </w:pPr>
      <w:r>
        <w:rPr/>
        <w:t>□适用</w:t>
        <w:tab/>
        <w:t>√不适用</w:t>
      </w:r>
    </w:p>
    <w:p>
      <w:pPr>
        <w:spacing w:line="240" w:lineRule="auto" w:before="5"/>
        <w:rPr>
          <w:rFonts w:ascii="宋体" w:hAnsi="宋体" w:cs="宋体" w:eastAsia="宋体" w:hint="default"/>
          <w:sz w:val="27"/>
          <w:szCs w:val="27"/>
        </w:rPr>
      </w:pPr>
    </w:p>
    <w:p>
      <w:pPr>
        <w:tabs>
          <w:tab w:pos="849" w:val="left" w:leader="none"/>
        </w:tabs>
        <w:spacing w:line="290" w:lineRule="auto" w:before="0"/>
        <w:ind w:left="178" w:right="374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30" w:lineRule="exact"/>
        <w:ind w:left="178" w:right="100"/>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left="178" w:right="100"/>
        <w:jc w:val="left"/>
      </w:pPr>
      <w:r>
        <w:rPr/>
        <w:t>期末发行在外的优先股、永续债等金融工具变动情况表</w:t>
      </w:r>
    </w:p>
    <w:p>
      <w:pPr>
        <w:pStyle w:val="BodyText"/>
        <w:spacing w:line="290" w:lineRule="auto"/>
        <w:ind w:left="178" w:right="4588"/>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2"/>
        <w:ind w:left="178" w:right="100"/>
        <w:jc w:val="left"/>
      </w:pPr>
      <w:r>
        <w:rPr/>
        <w:t>□适用 √不适用</w:t>
      </w:r>
    </w:p>
    <w:p>
      <w:pPr>
        <w:spacing w:after="0" w:line="240" w:lineRule="auto"/>
        <w:jc w:val="left"/>
        <w:sectPr>
          <w:type w:val="continuous"/>
          <w:pgSz w:w="11910" w:h="16840"/>
          <w:pgMar w:top="1120" w:bottom="1380" w:left="1620" w:right="110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其他说明：</w:t>
      </w:r>
    </w:p>
    <w:p>
      <w:pPr>
        <w:pStyle w:val="BodyText"/>
        <w:spacing w:line="240" w:lineRule="auto" w:before="58"/>
        <w:ind w:right="0"/>
        <w:jc w:val="left"/>
      </w:pPr>
      <w:r>
        <w:rPr/>
        <w:t>□适用 √不适用</w:t>
      </w:r>
    </w:p>
    <w:p>
      <w:pPr>
        <w:spacing w:line="240" w:lineRule="auto" w:before="5"/>
        <w:rPr>
          <w:rFonts w:ascii="宋体" w:hAnsi="宋体" w:cs="宋体" w:eastAsia="宋体" w:hint="default"/>
          <w:sz w:val="27"/>
          <w:szCs w:val="27"/>
        </w:rPr>
      </w:pPr>
    </w:p>
    <w:p>
      <w:pPr>
        <w:pStyle w:val="Heading2"/>
        <w:spacing w:line="240" w:lineRule="auto" w:before="0"/>
        <w:ind w:right="0"/>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2"/>
        <w:spacing w:line="274" w:lineRule="exact" w:before="56"/>
        <w:ind w:right="0"/>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4" w:lineRule="exact"/>
        <w:ind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0"/>
        <w:ind w:right="0"/>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3"/>
        <w:ind w:right="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7"/>
        <w:ind w:right="0"/>
        <w:jc w:val="left"/>
      </w:pPr>
      <w:r>
        <w:rPr/>
        <w:t>□适用 √不适用</w:t>
      </w:r>
    </w:p>
    <w:p>
      <w:pPr>
        <w:spacing w:line="290" w:lineRule="auto" w:before="58"/>
        <w:ind w:left="138" w:right="643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100"/>
          <w:sz w:val="21"/>
          <w:szCs w:val="21"/>
        </w:rPr>
        <w:t> </w:t>
      </w:r>
      <w:r>
        <w:rPr>
          <w:rFonts w:ascii="宋体" w:hAnsi="宋体" w:cs="宋体" w:eastAsia="宋体" w:hint="default"/>
          <w:sz w:val="21"/>
          <w:szCs w:val="21"/>
        </w:rPr>
        <w:t>设定受益计划义务现值：</w:t>
      </w:r>
    </w:p>
    <w:p>
      <w:pPr>
        <w:pStyle w:val="BodyText"/>
        <w:spacing w:line="228" w:lineRule="exact"/>
        <w:ind w:right="0"/>
        <w:jc w:val="left"/>
      </w:pPr>
      <w:r>
        <w:rPr/>
        <w:t>□适用 √不适用</w:t>
      </w:r>
    </w:p>
    <w:p>
      <w:pPr>
        <w:pStyle w:val="BodyText"/>
        <w:spacing w:line="271" w:lineRule="exact"/>
        <w:ind w:right="0"/>
        <w:jc w:val="left"/>
      </w:pPr>
      <w:r>
        <w:rPr/>
        <w:t>计划资产：</w:t>
      </w:r>
    </w:p>
    <w:p>
      <w:pPr>
        <w:pStyle w:val="BodyText"/>
        <w:tabs>
          <w:tab w:pos="980" w:val="left" w:leader="none"/>
        </w:tabs>
        <w:spacing w:line="240" w:lineRule="auto"/>
        <w:ind w:right="6041"/>
        <w:jc w:val="left"/>
      </w:pPr>
      <w:r>
        <w:rPr/>
        <w:t>□适用</w:t>
        <w:tab/>
        <w:t>√不适用</w:t>
      </w:r>
      <w:r>
        <w:rPr>
          <w:w w:val="100"/>
        </w:rPr>
        <w:t> </w:t>
      </w:r>
      <w:r>
        <w:rPr>
          <w:spacing w:val="-2"/>
        </w:rPr>
        <w:t>设定受益计划净负债（净资产）</w:t>
      </w:r>
    </w:p>
    <w:p>
      <w:pPr>
        <w:pStyle w:val="BodyText"/>
        <w:spacing w:line="274" w:lineRule="exact" w:before="22"/>
        <w:ind w:right="0"/>
        <w:jc w:val="left"/>
      </w:pPr>
      <w:r>
        <w:rPr/>
        <w:t>□适用</w:t>
      </w:r>
      <w:r>
        <w:rPr>
          <w:spacing w:val="-2"/>
        </w:rPr>
        <w:t> </w:t>
      </w:r>
      <w:r>
        <w:rPr/>
        <w:t>√不适用</w:t>
      </w:r>
      <w:r>
        <w:rPr>
          <w:spacing w:val="-103"/>
        </w:rPr>
        <w:t> </w:t>
      </w:r>
      <w:r>
        <w:rPr>
          <w:spacing w:val="-103"/>
        </w:rPr>
      </w:r>
      <w:r>
        <w:rPr>
          <w:spacing w:val="-2"/>
        </w:rPr>
        <w:t>设定受益计划的内容及与之相关风险、对公司未来现金流量、时间和不确定性的影响说明：</w:t>
      </w:r>
    </w:p>
    <w:p>
      <w:pPr>
        <w:pStyle w:val="BodyText"/>
        <w:spacing w:line="246" w:lineRule="exact"/>
        <w:ind w:right="0"/>
        <w:jc w:val="left"/>
      </w:pPr>
      <w:r>
        <w:rPr/>
        <w:t>□适用 √不适用</w:t>
      </w:r>
    </w:p>
    <w:p>
      <w:pPr>
        <w:spacing w:line="240" w:lineRule="auto" w:before="4"/>
        <w:rPr>
          <w:rFonts w:ascii="宋体" w:hAnsi="宋体" w:cs="宋体" w:eastAsia="宋体" w:hint="default"/>
          <w:sz w:val="18"/>
          <w:szCs w:val="18"/>
        </w:rPr>
      </w:pPr>
    </w:p>
    <w:p>
      <w:pPr>
        <w:pStyle w:val="BodyText"/>
        <w:spacing w:line="274" w:lineRule="exact"/>
        <w:ind w:right="0"/>
        <w:jc w:val="left"/>
      </w:pPr>
      <w:r>
        <w:rPr/>
        <w:t>设定受益计划重大精算假设及敏感性分析结果说明</w:t>
      </w:r>
    </w:p>
    <w:p>
      <w:pPr>
        <w:pStyle w:val="BodyText"/>
        <w:spacing w:line="274" w:lineRule="exact"/>
        <w:ind w:right="0"/>
        <w:jc w:val="left"/>
      </w:pPr>
      <w:r>
        <w:rPr/>
        <w:t>□适用</w:t>
      </w:r>
      <w:r>
        <w:rPr>
          <w:spacing w:val="-1"/>
        </w:rPr>
        <w:t> </w:t>
      </w:r>
      <w:r>
        <w:rPr/>
        <w:t>√不适用</w:t>
      </w:r>
    </w:p>
    <w:p>
      <w:pPr>
        <w:spacing w:line="240" w:lineRule="auto" w:before="3"/>
        <w:rPr>
          <w:rFonts w:ascii="宋体" w:hAnsi="宋体" w:cs="宋体" w:eastAsia="宋体" w:hint="default"/>
          <w:sz w:val="18"/>
          <w:szCs w:val="18"/>
        </w:rPr>
      </w:pPr>
    </w:p>
    <w:p>
      <w:pPr>
        <w:pStyle w:val="BodyText"/>
        <w:spacing w:line="274" w:lineRule="exact"/>
        <w:ind w:right="0"/>
        <w:jc w:val="left"/>
      </w:pPr>
      <w:r>
        <w:rPr/>
        <w:t>其他说明：</w:t>
      </w:r>
    </w:p>
    <w:p>
      <w:pPr>
        <w:pStyle w:val="BodyText"/>
        <w:spacing w:line="274" w:lineRule="exact"/>
        <w:ind w:right="0"/>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0"/>
        <w:ind w:right="0"/>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6"/>
        <w:ind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120"/>
        </w:sectPr>
      </w:pPr>
    </w:p>
    <w:p>
      <w:pPr>
        <w:spacing w:line="290" w:lineRule="auto" w:before="36"/>
        <w:ind w:left="138"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980" w:val="left" w:leader="none"/>
        </w:tabs>
        <w:spacing w:line="227"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821" w:space="4701"/>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90"/>
        <w:gridCol w:w="1433"/>
        <w:gridCol w:w="1445"/>
        <w:gridCol w:w="1428"/>
        <w:gridCol w:w="1474"/>
        <w:gridCol w:w="1555"/>
      </w:tblGrid>
      <w:tr>
        <w:trPr>
          <w:trHeight w:val="34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27"/>
              <w:jc w:val="right"/>
              <w:rPr>
                <w:rFonts w:ascii="宋体" w:hAnsi="宋体" w:cs="宋体" w:eastAsia="宋体" w:hint="default"/>
                <w:sz w:val="21"/>
                <w:szCs w:val="21"/>
              </w:rPr>
            </w:pPr>
            <w:r>
              <w:rPr>
                <w:rFonts w:ascii="宋体" w:hAnsi="宋体" w:cs="宋体" w:eastAsia="宋体" w:hint="default"/>
                <w:sz w:val="21"/>
                <w:szCs w:val="21"/>
              </w:rPr>
              <w:t>项目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0"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39,125,708.87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7" w:right="0"/>
              <w:jc w:val="left"/>
              <w:rPr>
                <w:rFonts w:ascii="Times New Roman" w:hAnsi="Times New Roman" w:cs="Times New Roman" w:eastAsia="Times New Roman" w:hint="default"/>
                <w:sz w:val="21"/>
                <w:szCs w:val="21"/>
              </w:rPr>
            </w:pPr>
            <w:r>
              <w:rPr>
                <w:rFonts w:ascii="Times New Roman"/>
                <w:sz w:val="21"/>
              </w:rPr>
              <w:t>5,363,900.00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0" w:right="0"/>
              <w:jc w:val="left"/>
              <w:rPr>
                <w:rFonts w:ascii="Times New Roman" w:hAnsi="Times New Roman" w:cs="Times New Roman" w:eastAsia="Times New Roman" w:hint="default"/>
                <w:sz w:val="21"/>
                <w:szCs w:val="21"/>
              </w:rPr>
            </w:pPr>
            <w:r>
              <w:rPr>
                <w:rFonts w:ascii="Times New Roman"/>
                <w:sz w:val="21"/>
              </w:rPr>
              <w:t>3,452,568.56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41,037,040.31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收到政府补助</w:t>
            </w:r>
          </w:p>
        </w:tc>
      </w:tr>
      <w:tr>
        <w:trPr>
          <w:trHeight w:val="28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7"/>
              <w:jc w:val="right"/>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39,125,708.87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7" w:right="0"/>
              <w:jc w:val="left"/>
              <w:rPr>
                <w:rFonts w:ascii="Times New Roman" w:hAnsi="Times New Roman" w:cs="Times New Roman" w:eastAsia="Times New Roman" w:hint="default"/>
                <w:sz w:val="21"/>
                <w:szCs w:val="21"/>
              </w:rPr>
            </w:pPr>
            <w:r>
              <w:rPr>
                <w:rFonts w:ascii="Times New Roman"/>
                <w:sz w:val="21"/>
              </w:rPr>
              <w:t>5,363,900.00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0" w:right="0"/>
              <w:jc w:val="left"/>
              <w:rPr>
                <w:rFonts w:ascii="Times New Roman" w:hAnsi="Times New Roman" w:cs="Times New Roman" w:eastAsia="Times New Roman" w:hint="default"/>
                <w:sz w:val="21"/>
                <w:szCs w:val="21"/>
              </w:rPr>
            </w:pPr>
            <w:r>
              <w:rPr>
                <w:rFonts w:ascii="Times New Roman"/>
                <w:sz w:val="21"/>
              </w:rPr>
              <w:t>3,452,568.56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41,037,040.31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660" w:right="1120"/>
        </w:sectPr>
      </w:pPr>
    </w:p>
    <w:p>
      <w:pPr>
        <w:pStyle w:val="BodyText"/>
        <w:spacing w:line="240" w:lineRule="auto" w:before="36"/>
        <w:ind w:right="0"/>
        <w:jc w:val="left"/>
      </w:pPr>
      <w:r>
        <w:rPr>
          <w:spacing w:val="-2"/>
        </w:rPr>
        <w:t>涉及政府补助的项目：</w:t>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241" w:space="4280"/>
            <w:col w:w="2609"/>
          </w:cols>
        </w:sectPr>
      </w:pPr>
    </w:p>
    <w:p>
      <w:pPr>
        <w:spacing w:line="240" w:lineRule="auto" w:before="1"/>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2861"/>
        <w:gridCol w:w="1094"/>
        <w:gridCol w:w="1104"/>
        <w:gridCol w:w="1003"/>
        <w:gridCol w:w="564"/>
        <w:gridCol w:w="1133"/>
        <w:gridCol w:w="1135"/>
      </w:tblGrid>
      <w:tr>
        <w:trPr>
          <w:trHeight w:val="24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z w:val="18"/>
                <w:szCs w:val="18"/>
              </w:rPr>
              <w:t>本期新增补</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left"/>
              <w:rPr>
                <w:rFonts w:ascii="宋体" w:hAnsi="宋体" w:cs="宋体" w:eastAsia="宋体" w:hint="default"/>
                <w:sz w:val="18"/>
                <w:szCs w:val="18"/>
              </w:rPr>
            </w:pPr>
            <w:r>
              <w:rPr>
                <w:rFonts w:ascii="宋体" w:hAnsi="宋体" w:cs="宋体" w:eastAsia="宋体" w:hint="default"/>
                <w:sz w:val="18"/>
                <w:szCs w:val="18"/>
              </w:rPr>
              <w:t>本期计入营</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19" w:lineRule="exact"/>
        <w:jc w:val="left"/>
        <w:rPr>
          <w:rFonts w:ascii="Times New Roman" w:hAnsi="Times New Roman" w:cs="Times New Roman" w:eastAsia="Times New Roman" w:hint="default"/>
          <w:sz w:val="18"/>
          <w:szCs w:val="18"/>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861"/>
        <w:gridCol w:w="1094"/>
        <w:gridCol w:w="1104"/>
        <w:gridCol w:w="1003"/>
        <w:gridCol w:w="564"/>
        <w:gridCol w:w="1133"/>
        <w:gridCol w:w="1135"/>
      </w:tblGrid>
      <w:tr>
        <w:trPr>
          <w:trHeight w:val="478" w:hRule="exact"/>
        </w:trPr>
        <w:tc>
          <w:tcPr>
            <w:tcW w:w="286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hAnsi="宋体" w:cs="宋体" w:eastAsia="宋体" w:hint="default"/>
                <w:sz w:val="18"/>
                <w:szCs w:val="18"/>
              </w:rPr>
              <w:t>助金额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业外收入金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工程项目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2,308,313.09</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415,859.64</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1,892,453.45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永磁逆变电源项目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5,000,000.00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YBM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太阳能光伏电站配电系统项目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1,050,000.00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930,000.00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40.5kV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智能预装式箱变产品生产线</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3,100,000.00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3,100,000.00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电子信息产业振兴和技术改造项目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199,999.88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199,999.88</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1,348,750.00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195,000.00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1,153,750.00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物联网项目基金</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1,109,883.97</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159,403.72</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950,480.25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现场总线智能控制器项目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162,000.00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162,000.00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静音电源项目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4,999,999.80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200,000.04</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4,799,999.76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平台项目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1,500,000.00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1,200,000.00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多系统兼容卫星芯片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2,499,999.80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500,000.04</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1,999,999.76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产业化项目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5,933,333.23</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800,000.04</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5,133,333.19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智能电网用智能化交流金属封闭配</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电设备提升项目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1,500,000.00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智能电网用小型智能化新型开关设</w:t>
            </w:r>
            <w:r>
              <w:rPr>
                <w:rFonts w:ascii="宋体" w:hAnsi="宋体" w:cs="宋体" w:eastAsia="宋体" w:hint="default"/>
                <w:sz w:val="18"/>
                <w:szCs w:val="18"/>
              </w:rPr>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备的开发</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1,500,000.00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1,450,000.00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6" w:right="0"/>
              <w:jc w:val="left"/>
              <w:rPr>
                <w:rFonts w:ascii="宋体" w:hAnsi="宋体" w:cs="宋体" w:eastAsia="宋体" w:hint="default"/>
                <w:sz w:val="18"/>
                <w:szCs w:val="18"/>
              </w:rPr>
            </w:pPr>
            <w:r>
              <w:rPr>
                <w:rFonts w:ascii="宋体" w:hAnsi="宋体" w:cs="宋体" w:eastAsia="宋体" w:hint="default"/>
                <w:sz w:val="18"/>
                <w:szCs w:val="18"/>
              </w:rPr>
              <w:t>电力配网自动化的安全 </w:t>
            </w:r>
            <w:r>
              <w:rPr>
                <w:rFonts w:ascii="Times New Roman" w:hAnsi="Times New Roman" w:cs="Times New Roman" w:eastAsia="Times New Roman" w:hint="default"/>
                <w:spacing w:val="-5"/>
                <w:sz w:val="18"/>
                <w:szCs w:val="18"/>
              </w:rPr>
              <w:t>RTU</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产品产</w:t>
            </w:r>
          </w:p>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业化</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2,700,000.00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2,400,000.00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土地返还款</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2,213,429.10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50,305.20</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2,163,123.90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智能化环保气体环网柜关键技术研</w:t>
            </w:r>
            <w:r>
              <w:rPr>
                <w:rFonts w:ascii="宋体" w:hAnsi="宋体" w:cs="宋体" w:eastAsia="宋体" w:hint="default"/>
                <w:sz w:val="18"/>
                <w:szCs w:val="18"/>
              </w:rPr>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究项目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智能化交流金属封闭开关设备重点</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技术攻关项目</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集装箱式微电网系统的研发</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250,000.00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250,000.00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7"/>
                <w:sz w:val="18"/>
                <w:szCs w:val="18"/>
              </w:rPr>
              <w:t>民用全固态高时空分辨率测风激光</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雷达项目经费拨款</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500,000.00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上海张江国家自主创新未示范项目</w:t>
            </w:r>
          </w:p>
        </w:tc>
        <w:tc>
          <w:tcPr>
            <w:tcW w:w="10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3,613,900.00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3,613,900.00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0"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39,125,708.87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5,363,900.00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3,452,568.56</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41,037,040.31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6"/>
        <w:ind w:left="218" w:right="331"/>
        <w:jc w:val="left"/>
      </w:pPr>
      <w:r>
        <w:rPr/>
        <w:t>其他说明：</w:t>
      </w:r>
    </w:p>
    <w:p>
      <w:pPr>
        <w:pStyle w:val="BodyText"/>
        <w:spacing w:line="240" w:lineRule="auto" w:before="58"/>
        <w:ind w:left="218" w:right="331"/>
        <w:jc w:val="left"/>
      </w:pPr>
      <w:r>
        <w:rPr/>
        <w:t>□适用 √不适用</w:t>
      </w:r>
    </w:p>
    <w:p>
      <w:pPr>
        <w:spacing w:line="240" w:lineRule="auto" w:before="5"/>
        <w:rPr>
          <w:rFonts w:ascii="宋体" w:hAnsi="宋体" w:cs="宋体" w:eastAsia="宋体" w:hint="default"/>
          <w:sz w:val="27"/>
          <w:szCs w:val="27"/>
        </w:rPr>
      </w:pPr>
    </w:p>
    <w:p>
      <w:pPr>
        <w:pStyle w:val="Heading2"/>
        <w:spacing w:line="240" w:lineRule="auto" w:before="0"/>
        <w:ind w:left="218" w:right="331"/>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6"/>
        <w:ind w:left="218" w:right="331"/>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120"/>
        </w:sectPr>
      </w:pPr>
    </w:p>
    <w:p>
      <w:pPr>
        <w:pStyle w:val="Heading2"/>
        <w:spacing w:line="240" w:lineRule="auto"/>
        <w:ind w:left="218"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1618" w:space="4904"/>
            <w:col w:w="26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75"/>
        <w:gridCol w:w="1657"/>
        <w:gridCol w:w="790"/>
        <w:gridCol w:w="859"/>
        <w:gridCol w:w="934"/>
        <w:gridCol w:w="946"/>
        <w:gridCol w:w="919"/>
        <w:gridCol w:w="1645"/>
      </w:tblGrid>
      <w:tr>
        <w:trPr>
          <w:trHeight w:val="281" w:hRule="exact"/>
        </w:trPr>
        <w:tc>
          <w:tcPr>
            <w:tcW w:w="1075" w:type="dxa"/>
            <w:vMerge w:val="restart"/>
            <w:tcBorders>
              <w:top w:val="single" w:sz="4" w:space="0" w:color="000000"/>
              <w:left w:val="single" w:sz="4" w:space="0" w:color="000000"/>
              <w:right w:val="single" w:sz="4" w:space="0" w:color="000000"/>
            </w:tcBorders>
          </w:tcPr>
          <w:p>
            <w:pP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4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0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6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75"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8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45" w:type="dxa"/>
            <w:vMerge/>
            <w:tcBorders>
              <w:left w:val="single" w:sz="4" w:space="0" w:color="000000"/>
              <w:bottom w:val="single" w:sz="4" w:space="0" w:color="000000"/>
              <w:right w:val="single" w:sz="4" w:space="0" w:color="000000"/>
            </w:tcBorders>
          </w:tcPr>
          <w:p>
            <w:pPr/>
          </w:p>
        </w:tc>
      </w:tr>
      <w:tr>
        <w:trPr>
          <w:trHeight w:val="283"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8" w:right="0"/>
              <w:jc w:val="left"/>
              <w:rPr>
                <w:rFonts w:ascii="Times New Roman" w:hAnsi="Times New Roman" w:cs="Times New Roman" w:eastAsia="Times New Roman" w:hint="default"/>
                <w:sz w:val="21"/>
                <w:szCs w:val="21"/>
              </w:rPr>
            </w:pPr>
            <w:r>
              <w:rPr>
                <w:rFonts w:ascii="Times New Roman"/>
                <w:sz w:val="21"/>
              </w:rPr>
              <w:t>666,960,584.00</w:t>
            </w:r>
          </w:p>
        </w:tc>
        <w:tc>
          <w:tcPr>
            <w:tcW w:w="79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18" w:right="0"/>
              <w:jc w:val="left"/>
              <w:rPr>
                <w:rFonts w:ascii="Times New Roman" w:hAnsi="Times New Roman" w:cs="Times New Roman" w:eastAsia="Times New Roman" w:hint="default"/>
                <w:sz w:val="21"/>
                <w:szCs w:val="21"/>
              </w:rPr>
            </w:pPr>
            <w:r>
              <w:rPr>
                <w:rFonts w:ascii="Times New Roman"/>
                <w:sz w:val="21"/>
              </w:rPr>
              <w:t>666,960,584.00</w:t>
            </w:r>
          </w:p>
        </w:tc>
      </w:tr>
    </w:tbl>
    <w:p>
      <w:pPr>
        <w:spacing w:line="240" w:lineRule="auto" w:before="4"/>
        <w:rPr>
          <w:rFonts w:ascii="宋体" w:hAnsi="宋体" w:cs="宋体" w:eastAsia="宋体" w:hint="default"/>
          <w:sz w:val="22"/>
          <w:szCs w:val="22"/>
        </w:rPr>
      </w:pPr>
    </w:p>
    <w:p>
      <w:pPr>
        <w:pStyle w:val="Heading2"/>
        <w:spacing w:line="240" w:lineRule="auto"/>
        <w:ind w:left="218" w:right="331"/>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2"/>
        <w:spacing w:line="240" w:lineRule="auto" w:before="56"/>
        <w:ind w:left="218" w:right="331"/>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9"/>
        <w:ind w:left="218" w:right="331"/>
        <w:jc w:val="left"/>
      </w:pPr>
      <w:r>
        <w:rPr/>
        <w:t>□适用 √不适用</w:t>
      </w:r>
    </w:p>
    <w:p>
      <w:pPr>
        <w:spacing w:after="0" w:line="240" w:lineRule="auto"/>
        <w:jc w:val="left"/>
        <w:sectPr>
          <w:type w:val="continuous"/>
          <w:pgSz w:w="11910" w:h="16840"/>
          <w:pgMar w:top="1120" w:bottom="1380" w:left="1580" w:right="1120"/>
        </w:sectPr>
      </w:pPr>
    </w:p>
    <w:p>
      <w:pPr>
        <w:spacing w:line="240" w:lineRule="auto" w:before="1"/>
        <w:rPr>
          <w:rFonts w:ascii="宋体" w:hAnsi="宋体" w:cs="宋体" w:eastAsia="宋体" w:hint="default"/>
          <w:sz w:val="25"/>
          <w:szCs w:val="25"/>
        </w:rPr>
      </w:pPr>
    </w:p>
    <w:p>
      <w:pPr>
        <w:pStyle w:val="Heading2"/>
        <w:spacing w:line="240" w:lineRule="auto"/>
        <w:ind w:left="218" w:right="0"/>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2" w:lineRule="exact" w:before="86"/>
        <w:ind w:left="218" w:right="443"/>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49" w:lineRule="exact"/>
        <w:ind w:left="218" w:right="0"/>
        <w:jc w:val="left"/>
      </w:pPr>
      <w:r>
        <w:rPr/>
        <w:t>□适用 √不适用</w:t>
      </w:r>
    </w:p>
    <w:p>
      <w:pPr>
        <w:spacing w:line="240" w:lineRule="auto" w:before="3"/>
        <w:rPr>
          <w:rFonts w:ascii="宋体" w:hAnsi="宋体" w:cs="宋体" w:eastAsia="宋体" w:hint="default"/>
          <w:sz w:val="18"/>
          <w:szCs w:val="18"/>
        </w:rPr>
      </w:pPr>
    </w:p>
    <w:p>
      <w:pPr>
        <w:pStyle w:val="BodyText"/>
        <w:spacing w:line="281" w:lineRule="exact"/>
        <w:ind w:left="218" w:right="0"/>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65" w:lineRule="exact"/>
        <w:ind w:left="218" w:right="0"/>
        <w:jc w:val="left"/>
      </w:pPr>
      <w:r>
        <w:rPr/>
        <w:t>□适用 √不适用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2"/>
        <w:spacing w:line="240" w:lineRule="auto"/>
        <w:ind w:left="21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18" w:space="4904"/>
            <w:col w:w="2768"/>
          </w:cols>
        </w:sectPr>
      </w:pPr>
    </w:p>
    <w:p>
      <w:pPr>
        <w:spacing w:line="240" w:lineRule="auto" w:before="7"/>
        <w:rPr>
          <w:rFonts w:ascii="宋体" w:hAnsi="宋体" w:cs="宋体" w:eastAsia="宋体" w:hint="default"/>
          <w:sz w:val="2"/>
          <w:szCs w:val="2"/>
        </w:rPr>
      </w:pPr>
    </w:p>
    <w:tbl>
      <w:tblPr>
        <w:tblW w:w="0" w:type="auto"/>
        <w:jc w:val="left"/>
        <w:tblInd w:w="292" w:type="dxa"/>
        <w:tblLayout w:type="fixed"/>
        <w:tblCellMar>
          <w:top w:w="0" w:type="dxa"/>
          <w:left w:w="0" w:type="dxa"/>
          <w:bottom w:w="0" w:type="dxa"/>
          <w:right w:w="0" w:type="dxa"/>
        </w:tblCellMar>
        <w:tblLook w:val="01E0"/>
      </w:tblPr>
      <w:tblGrid>
        <w:gridCol w:w="2756"/>
        <w:gridCol w:w="1702"/>
        <w:gridCol w:w="1464"/>
        <w:gridCol w:w="1114"/>
        <w:gridCol w:w="1639"/>
      </w:tblGrid>
      <w:tr>
        <w:trPr>
          <w:trHeight w:val="284"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2,419,570,217.83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396,226.42</w:t>
            </w:r>
          </w:p>
        </w:tc>
        <w:tc>
          <w:tcPr>
            <w:tcW w:w="111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2,419,966,444.25</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51,159,888.37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17,489,115.19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753,415.56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67,895,588.00</w:t>
            </w:r>
          </w:p>
        </w:tc>
      </w:tr>
      <w:tr>
        <w:trPr>
          <w:trHeight w:val="28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2,470,730,106.20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17,885,341.61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753,415.56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2,487,862,032.25</w:t>
            </w:r>
          </w:p>
        </w:tc>
      </w:tr>
    </w:tbl>
    <w:p>
      <w:pPr>
        <w:spacing w:line="240" w:lineRule="auto" w:before="5"/>
        <w:rPr>
          <w:rFonts w:ascii="宋体" w:hAnsi="宋体" w:cs="宋体" w:eastAsia="宋体" w:hint="default"/>
          <w:sz w:val="15"/>
          <w:szCs w:val="15"/>
        </w:rPr>
      </w:pPr>
    </w:p>
    <w:p>
      <w:pPr>
        <w:pStyle w:val="BodyText"/>
        <w:spacing w:line="274" w:lineRule="exact" w:before="36"/>
        <w:ind w:left="218" w:right="0"/>
        <w:jc w:val="both"/>
      </w:pPr>
      <w:r>
        <w:rPr/>
        <w:t>其他说明，包括本期增减变动情况、变动原因说明：</w:t>
      </w:r>
    </w:p>
    <w:p>
      <w:pPr>
        <w:pStyle w:val="BodyText"/>
        <w:spacing w:line="256" w:lineRule="auto"/>
        <w:ind w:left="218" w:right="222" w:firstLine="419"/>
        <w:jc w:val="left"/>
      </w:pPr>
      <w:r>
        <w:rPr/>
        <w:t>注</w:t>
      </w:r>
      <w:r>
        <w:rPr>
          <w:spacing w:val="-38"/>
        </w:rPr>
        <w:t> </w:t>
      </w:r>
      <w:r>
        <w:rPr>
          <w:rFonts w:ascii="Times New Roman" w:hAnsi="Times New Roman" w:cs="Times New Roman" w:eastAsia="Times New Roman" w:hint="default"/>
          <w:spacing w:val="-4"/>
        </w:rPr>
        <w:t>1</w:t>
      </w:r>
      <w:r>
        <w:rPr>
          <w:spacing w:val="-4"/>
        </w:rPr>
        <w:t>：本期增加公积增加，主要系限制性股票解禁增加资本公积</w:t>
      </w:r>
      <w:r>
        <w:rPr>
          <w:spacing w:val="-37"/>
        </w:rPr>
        <w:t> </w:t>
      </w:r>
      <w:r>
        <w:rPr>
          <w:rFonts w:ascii="Times New Roman" w:hAnsi="Times New Roman" w:cs="Times New Roman" w:eastAsia="Times New Roman" w:hint="default"/>
        </w:rPr>
        <w:t>8,943,400.00</w:t>
      </w:r>
      <w:r>
        <w:rPr>
          <w:rFonts w:ascii="Times New Roman" w:hAnsi="Times New Roman" w:cs="Times New Roman" w:eastAsia="Times New Roman" w:hint="default"/>
          <w:spacing w:val="13"/>
        </w:rPr>
        <w:t> </w:t>
      </w:r>
      <w:r>
        <w:rPr>
          <w:spacing w:val="-6"/>
        </w:rPr>
        <w:t>元，衡阳泰豪通</w:t>
      </w:r>
      <w:r>
        <w:rPr>
          <w:w w:val="100"/>
        </w:rPr>
        <w:t> </w:t>
      </w:r>
      <w:r>
        <w:rPr/>
        <w:t>信车辆有限公司少数股东溢价增资，本公司按享有比例相应增加资本公积</w:t>
      </w:r>
      <w:r>
        <w:rPr>
          <w:spacing w:val="-50"/>
        </w:rPr>
        <w:t> </w:t>
      </w:r>
      <w:r>
        <w:rPr>
          <w:rFonts w:ascii="Times New Roman" w:hAnsi="Times New Roman" w:cs="Times New Roman" w:eastAsia="Times New Roman" w:hint="default"/>
        </w:rPr>
        <w:t>720,525.27</w:t>
      </w:r>
      <w:r>
        <w:rPr>
          <w:rFonts w:ascii="Times New Roman" w:hAnsi="Times New Roman" w:cs="Times New Roman" w:eastAsia="Times New Roman" w:hint="default"/>
          <w:spacing w:val="3"/>
        </w:rPr>
        <w:t> </w:t>
      </w:r>
      <w:r>
        <w:rPr/>
        <w:t>元，上海博</w:t>
      </w:r>
    </w:p>
    <w:p>
      <w:pPr>
        <w:pStyle w:val="BodyText"/>
        <w:spacing w:line="259" w:lineRule="auto" w:before="7"/>
        <w:ind w:left="218" w:right="227"/>
        <w:jc w:val="both"/>
      </w:pPr>
      <w:r>
        <w:rPr>
          <w:spacing w:val="-3"/>
        </w:rPr>
        <w:t>辕信息技术服务有限公司资本公积变动，本公司按享有比例相应增加资本公积 </w:t>
      </w:r>
      <w:r>
        <w:rPr>
          <w:rFonts w:ascii="Times New Roman" w:hAnsi="Times New Roman" w:cs="Times New Roman" w:eastAsia="Times New Roman" w:hint="default"/>
        </w:rPr>
        <w:t>22,756.80 </w:t>
      </w:r>
      <w:r>
        <w:rPr>
          <w:spacing w:val="-13"/>
        </w:rPr>
        <w:t>元，根据</w:t>
      </w:r>
      <w:r>
        <w:rPr>
          <w:spacing w:val="-102"/>
        </w:rPr>
        <w:t> </w:t>
      </w:r>
      <w:r>
        <w:rPr>
          <w:spacing w:val="-102"/>
        </w:rPr>
      </w:r>
      <w:r>
        <w:rPr>
          <w:spacing w:val="-6"/>
          <w:w w:val="100"/>
        </w:rPr>
        <w:t>公司与龙岩市海德馨汽车有限公司原股东签订的《股权转让协议》，本期公司取得</w:t>
      </w:r>
      <w:r>
        <w:rPr>
          <w:spacing w:val="-45"/>
          <w:w w:val="100"/>
        </w:rPr>
        <w:t> </w:t>
      </w:r>
      <w:r>
        <w:rPr>
          <w:rFonts w:ascii="Times New Roman" w:hAnsi="Times New Roman" w:cs="Times New Roman" w:eastAsia="Times New Roman" w:hint="default"/>
          <w:spacing w:val="-2"/>
          <w:w w:val="100"/>
        </w:rPr>
        <w:t>8.23%</w:t>
      </w:r>
      <w:r>
        <w:rPr>
          <w:spacing w:val="-2"/>
          <w:w w:val="100"/>
        </w:rPr>
        <w:t>股权补偿</w:t>
      </w:r>
      <w:r>
        <w:rPr>
          <w:spacing w:val="-102"/>
          <w:w w:val="100"/>
        </w:rPr>
        <w:t> </w:t>
      </w:r>
      <w:r>
        <w:rPr>
          <w:spacing w:val="-102"/>
          <w:w w:val="100"/>
        </w:rPr>
      </w:r>
      <w:r>
        <w:rPr/>
        <w:t>增加资本公积 </w:t>
      </w:r>
      <w:r>
        <w:rPr>
          <w:rFonts w:ascii="Times New Roman" w:hAnsi="Times New Roman" w:cs="Times New Roman" w:eastAsia="Times New Roman" w:hint="default"/>
        </w:rPr>
        <w:t>5,914,306.61</w:t>
      </w:r>
      <w:r>
        <w:rPr>
          <w:rFonts w:ascii="Times New Roman" w:hAnsi="Times New Roman" w:cs="Times New Roman" w:eastAsia="Times New Roman" w:hint="default"/>
          <w:spacing w:val="4"/>
        </w:rPr>
        <w:t> </w:t>
      </w:r>
      <w:r>
        <w:rPr/>
        <w:t>元，江西国科军工集团有限公司本期其他权益变动，本公司按享有比</w:t>
      </w:r>
    </w:p>
    <w:p>
      <w:pPr>
        <w:pStyle w:val="BodyText"/>
        <w:spacing w:line="240" w:lineRule="auto" w:before="2"/>
        <w:ind w:left="218" w:right="0"/>
        <w:jc w:val="both"/>
      </w:pPr>
      <w:r>
        <w:rPr/>
        <w:t>例相应增加资本公积</w:t>
      </w:r>
      <w:r>
        <w:rPr>
          <w:spacing w:val="-54"/>
        </w:rPr>
        <w:t> </w:t>
      </w:r>
      <w:r>
        <w:rPr>
          <w:rFonts w:ascii="Times New Roman" w:hAnsi="Times New Roman" w:cs="Times New Roman" w:eastAsia="Times New Roman" w:hint="default"/>
        </w:rPr>
        <w:t>1,513,026.51</w:t>
      </w:r>
      <w:r>
        <w:rPr>
          <w:rFonts w:ascii="Times New Roman" w:hAnsi="Times New Roman" w:cs="Times New Roman" w:eastAsia="Times New Roman" w:hint="default"/>
          <w:spacing w:val="-1"/>
        </w:rPr>
        <w:t> </w:t>
      </w:r>
      <w:r>
        <w:rPr>
          <w:spacing w:val="-3"/>
        </w:rPr>
        <w:t>元。</w:t>
      </w:r>
      <w:r>
        <w:rPr/>
      </w:r>
    </w:p>
    <w:p>
      <w:pPr>
        <w:pStyle w:val="BodyText"/>
        <w:spacing w:line="256" w:lineRule="auto" w:before="24"/>
        <w:ind w:left="218" w:right="229" w:firstLine="419"/>
        <w:jc w:val="left"/>
      </w:pPr>
      <w:r>
        <w:rPr/>
        <w:t>注</w:t>
      </w:r>
      <w:r>
        <w:rPr>
          <w:spacing w:val="-43"/>
        </w:rPr>
        <w:t> </w:t>
      </w:r>
      <w:r>
        <w:rPr>
          <w:rFonts w:ascii="Times New Roman" w:hAnsi="Times New Roman" w:cs="Times New Roman" w:eastAsia="Times New Roman" w:hint="default"/>
        </w:rPr>
        <w:t>2</w:t>
      </w:r>
      <w:r>
        <w:rPr/>
        <w:t>：本期资本公积减少</w:t>
      </w:r>
      <w:r>
        <w:rPr>
          <w:spacing w:val="-45"/>
        </w:rPr>
        <w:t> </w:t>
      </w:r>
      <w:r>
        <w:rPr>
          <w:rFonts w:ascii="Times New Roman" w:hAnsi="Times New Roman" w:cs="Times New Roman" w:eastAsia="Times New Roman" w:hint="default"/>
        </w:rPr>
        <w:t>753,415.56</w:t>
      </w:r>
      <w:r>
        <w:rPr>
          <w:rFonts w:ascii="Times New Roman" w:hAnsi="Times New Roman" w:cs="Times New Roman" w:eastAsia="Times New Roman" w:hint="default"/>
          <w:spacing w:val="7"/>
        </w:rPr>
        <w:t> </w:t>
      </w:r>
      <w:r>
        <w:rPr/>
        <w:t>元，系出售江西国科军工集团有限公司</w:t>
      </w:r>
      <w:r>
        <w:rPr>
          <w:spacing w:val="-42"/>
        </w:rPr>
        <w:t> </w:t>
      </w:r>
      <w:r>
        <w:rPr>
          <w:rFonts w:ascii="Times New Roman" w:hAnsi="Times New Roman" w:cs="Times New Roman" w:eastAsia="Times New Roman" w:hint="default"/>
        </w:rPr>
        <w:t>10%</w:t>
      </w:r>
      <w:r>
        <w:rPr/>
        <w:t>股权中原资</w:t>
      </w:r>
      <w:r>
        <w:rPr>
          <w:w w:val="100"/>
        </w:rPr>
        <w:t> </w:t>
      </w:r>
      <w:r>
        <w:rPr/>
        <w:t>本公积变动影响数。</w:t>
      </w: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left="218" w:right="-18"/>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18" w:space="4904"/>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0"/>
        <w:gridCol w:w="1760"/>
        <w:gridCol w:w="1791"/>
        <w:gridCol w:w="1802"/>
        <w:gridCol w:w="1803"/>
      </w:tblGrid>
      <w:tr>
        <w:trPr>
          <w:trHeight w:val="28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7"/>
              <w:jc w:val="right"/>
              <w:rPr>
                <w:rFonts w:ascii="宋体" w:hAnsi="宋体" w:cs="宋体" w:eastAsia="宋体" w:hint="default"/>
                <w:sz w:val="21"/>
                <w:szCs w:val="21"/>
              </w:rPr>
            </w:pPr>
            <w:r>
              <w:rPr>
                <w:rFonts w:ascii="宋体" w:hAnsi="宋体" w:cs="宋体" w:eastAsia="宋体" w:hint="default"/>
                <w:sz w:val="21"/>
                <w:szCs w:val="21"/>
              </w:rPr>
              <w:t>项目</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8"/>
              <w:jc w:val="right"/>
              <w:rPr>
                <w:rFonts w:ascii="宋体" w:hAnsi="宋体" w:cs="宋体" w:eastAsia="宋体" w:hint="default"/>
                <w:sz w:val="21"/>
                <w:szCs w:val="21"/>
              </w:rPr>
            </w:pPr>
            <w:r>
              <w:rPr>
                <w:rFonts w:ascii="宋体" w:hAnsi="宋体" w:cs="宋体" w:eastAsia="宋体" w:hint="default"/>
                <w:spacing w:val="-1"/>
                <w:sz w:val="21"/>
                <w:szCs w:val="21"/>
              </w:rPr>
              <w:t>限制性股权</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2,240,000.00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41" w:right="0"/>
              <w:jc w:val="left"/>
              <w:rPr>
                <w:rFonts w:ascii="Times New Roman" w:hAnsi="Times New Roman" w:cs="Times New Roman" w:eastAsia="Times New Roman" w:hint="default"/>
                <w:sz w:val="21"/>
                <w:szCs w:val="21"/>
              </w:rPr>
            </w:pPr>
            <w:r>
              <w:rPr>
                <w:rFonts w:ascii="Times New Roman"/>
                <w:sz w:val="21"/>
              </w:rPr>
              <w:t>268,960,699.04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2,240,000.00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4" w:right="0"/>
              <w:jc w:val="left"/>
              <w:rPr>
                <w:rFonts w:ascii="Times New Roman" w:hAnsi="Times New Roman" w:cs="Times New Roman" w:eastAsia="Times New Roman" w:hint="default"/>
                <w:sz w:val="21"/>
                <w:szCs w:val="21"/>
              </w:rPr>
            </w:pPr>
            <w:r>
              <w:rPr>
                <w:rFonts w:ascii="Times New Roman"/>
                <w:sz w:val="21"/>
              </w:rPr>
              <w:t>268,960,699.04</w:t>
            </w:r>
          </w:p>
        </w:tc>
      </w:tr>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7"/>
              <w:jc w:val="right"/>
              <w:rPr>
                <w:rFonts w:ascii="宋体" w:hAnsi="宋体" w:cs="宋体" w:eastAsia="宋体" w:hint="default"/>
                <w:sz w:val="21"/>
                <w:szCs w:val="21"/>
              </w:rPr>
            </w:pPr>
            <w:r>
              <w:rPr>
                <w:rFonts w:ascii="宋体" w:hAnsi="宋体" w:cs="宋体" w:eastAsia="宋体" w:hint="default"/>
                <w:sz w:val="21"/>
                <w:szCs w:val="21"/>
              </w:rPr>
              <w:t>合计</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2,240,000.00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41" w:right="0"/>
              <w:jc w:val="left"/>
              <w:rPr>
                <w:rFonts w:ascii="Times New Roman" w:hAnsi="Times New Roman" w:cs="Times New Roman" w:eastAsia="Times New Roman" w:hint="default"/>
                <w:sz w:val="21"/>
                <w:szCs w:val="21"/>
              </w:rPr>
            </w:pPr>
            <w:r>
              <w:rPr>
                <w:rFonts w:ascii="Times New Roman"/>
                <w:sz w:val="21"/>
              </w:rPr>
              <w:t>268,960,699.04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2,240,000.00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4" w:right="0"/>
              <w:jc w:val="left"/>
              <w:rPr>
                <w:rFonts w:ascii="Times New Roman" w:hAnsi="Times New Roman" w:cs="Times New Roman" w:eastAsia="Times New Roman" w:hint="default"/>
                <w:sz w:val="21"/>
                <w:szCs w:val="21"/>
              </w:rPr>
            </w:pPr>
            <w:r>
              <w:rPr>
                <w:rFonts w:ascii="Times New Roman"/>
                <w:sz w:val="21"/>
              </w:rPr>
              <w:t>268,960,699.04</w:t>
            </w:r>
          </w:p>
        </w:tc>
      </w:tr>
    </w:tbl>
    <w:p>
      <w:pPr>
        <w:spacing w:line="240" w:lineRule="auto" w:before="13"/>
        <w:rPr>
          <w:rFonts w:ascii="宋体" w:hAnsi="宋体" w:cs="宋体" w:eastAsia="宋体" w:hint="default"/>
          <w:sz w:val="12"/>
          <w:szCs w:val="12"/>
        </w:rPr>
      </w:pPr>
    </w:p>
    <w:p>
      <w:pPr>
        <w:pStyle w:val="BodyText"/>
        <w:spacing w:line="240" w:lineRule="auto" w:before="36"/>
        <w:ind w:left="638" w:right="4094" w:hanging="420"/>
        <w:jc w:val="left"/>
      </w:pPr>
      <w:r>
        <w:rPr>
          <w:spacing w:val="-2"/>
        </w:rPr>
        <w:t>其他说明，包括本期增减变动情况、变动原因说明：</w:t>
      </w:r>
      <w:r>
        <w:rPr>
          <w:spacing w:val="-62"/>
        </w:rPr>
        <w:t> </w:t>
      </w:r>
      <w:r>
        <w:rPr>
          <w:spacing w:val="-62"/>
        </w:rPr>
      </w:r>
      <w:r>
        <w:rPr/>
        <w:t>注</w:t>
      </w:r>
      <w:r>
        <w:rPr>
          <w:spacing w:val="-54"/>
        </w:rPr>
        <w:t> </w:t>
      </w:r>
      <w:r>
        <w:rPr>
          <w:rFonts w:ascii="Times New Roman" w:hAnsi="Times New Roman" w:cs="Times New Roman" w:eastAsia="Times New Roman" w:hint="default"/>
        </w:rPr>
        <w:t>1</w:t>
      </w:r>
      <w:r>
        <w:rPr/>
        <w:t>：本期减少</w:t>
      </w:r>
      <w:r>
        <w:rPr>
          <w:spacing w:val="-56"/>
        </w:rPr>
        <w:t> </w:t>
      </w:r>
      <w:r>
        <w:rPr>
          <w:rFonts w:ascii="Times New Roman" w:hAnsi="Times New Roman" w:cs="Times New Roman" w:eastAsia="Times New Roman" w:hint="default"/>
        </w:rPr>
        <w:t>2,240,000.00</w:t>
      </w:r>
      <w:r>
        <w:rPr>
          <w:rFonts w:ascii="Times New Roman" w:hAnsi="Times New Roman" w:cs="Times New Roman" w:eastAsia="Times New Roman" w:hint="default"/>
          <w:spacing w:val="-1"/>
        </w:rPr>
        <w:t> </w:t>
      </w:r>
      <w:r>
        <w:rPr/>
        <w:t>系限售股解禁；</w:t>
      </w:r>
    </w:p>
    <w:p>
      <w:pPr>
        <w:pStyle w:val="BodyText"/>
        <w:spacing w:line="225" w:lineRule="auto"/>
        <w:ind w:left="218" w:right="227" w:firstLine="419"/>
        <w:jc w:val="both"/>
      </w:pPr>
      <w:r>
        <w:rPr/>
        <w:t>注</w:t>
      </w:r>
      <w:r>
        <w:rPr>
          <w:spacing w:val="-33"/>
        </w:rPr>
        <w:t> </w:t>
      </w:r>
      <w:r>
        <w:rPr>
          <w:rFonts w:ascii="Times New Roman" w:hAnsi="Times New Roman" w:cs="Times New Roman" w:eastAsia="Times New Roman" w:hint="default"/>
          <w:spacing w:val="-4"/>
        </w:rPr>
        <w:t>2</w:t>
      </w:r>
      <w:r>
        <w:rPr>
          <w:spacing w:val="-4"/>
        </w:rPr>
        <w:t>：本期增加系根据公司</w:t>
      </w:r>
      <w:r>
        <w:rPr>
          <w:spacing w:val="-3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spacing w:val="-3"/>
        </w:rPr>
        <w:t>年第三次临时股东大会审议通过的《关于回购公司股份以实</w:t>
      </w:r>
      <w:r>
        <w:rPr>
          <w:w w:val="100"/>
        </w:rPr>
        <w:t> </w:t>
      </w:r>
      <w:r>
        <w:rPr>
          <w:spacing w:val="-7"/>
          <w:w w:val="100"/>
        </w:rPr>
        <w:t>施股权激励计划的议案》，公司拟从二级市场回购发行的</w:t>
      </w:r>
      <w:r>
        <w:rPr>
          <w:spacing w:val="-50"/>
          <w:w w:val="100"/>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5"/>
          <w:w w:val="100"/>
        </w:rPr>
        <w:t> </w:t>
      </w:r>
      <w:r>
        <w:rPr>
          <w:spacing w:val="-1"/>
          <w:w w:val="100"/>
        </w:rPr>
        <w:t>股社会公众股</w:t>
      </w:r>
      <w:r>
        <w:rPr>
          <w:spacing w:val="-48"/>
          <w:w w:val="100"/>
        </w:rPr>
        <w:t> </w:t>
      </w:r>
      <w:r>
        <w:rPr>
          <w:rFonts w:ascii="Times New Roman" w:hAnsi="Times New Roman" w:cs="Times New Roman" w:eastAsia="Times New Roman" w:hint="default"/>
          <w:spacing w:val="-2"/>
          <w:w w:val="100"/>
        </w:rPr>
        <w:t>2000</w:t>
      </w:r>
      <w:r>
        <w:rPr>
          <w:rFonts w:ascii="Times New Roman" w:hAnsi="Times New Roman" w:cs="Times New Roman" w:eastAsia="Times New Roman" w:hint="default"/>
          <w:spacing w:val="6"/>
          <w:w w:val="100"/>
        </w:rPr>
        <w:t> </w:t>
      </w:r>
      <w:r>
        <w:rPr>
          <w:spacing w:val="-4"/>
          <w:w w:val="100"/>
        </w:rPr>
        <w:t>万股，回购股份价</w:t>
      </w:r>
      <w:r>
        <w:rPr>
          <w:spacing w:val="-104"/>
          <w:w w:val="100"/>
        </w:rPr>
        <w:t> </w:t>
      </w:r>
      <w:r>
        <w:rPr>
          <w:spacing w:val="-104"/>
          <w:w w:val="100"/>
        </w:rPr>
      </w:r>
      <w:r>
        <w:rPr/>
        <w:t>格不超过</w:t>
      </w:r>
      <w:r>
        <w:rPr>
          <w:spacing w:val="-47"/>
        </w:rPr>
        <w:t> </w:t>
      </w:r>
      <w:r>
        <w:rPr>
          <w:rFonts w:ascii="Times New Roman" w:hAnsi="Times New Roman" w:cs="Times New Roman" w:eastAsia="Times New Roman" w:hint="default"/>
        </w:rPr>
        <w:t>19.10</w:t>
      </w:r>
      <w:r>
        <w:rPr>
          <w:rFonts w:ascii="Times New Roman" w:hAnsi="Times New Roman" w:cs="Times New Roman" w:eastAsia="Times New Roman" w:hint="default"/>
          <w:spacing w:val="3"/>
        </w:rPr>
        <w:t> </w:t>
      </w:r>
      <w:r>
        <w:rPr>
          <w:spacing w:val="-5"/>
        </w:rPr>
        <w:t>元</w:t>
      </w:r>
      <w:r>
        <w:rPr>
          <w:rFonts w:ascii="Times New Roman" w:hAnsi="Times New Roman" w:cs="Times New Roman" w:eastAsia="Times New Roman" w:hint="default"/>
          <w:spacing w:val="-5"/>
        </w:rPr>
        <w:t>/</w:t>
      </w:r>
      <w:r>
        <w:rPr>
          <w:spacing w:val="-5"/>
        </w:rPr>
        <w:t>股。公司实际回购公司股票</w:t>
      </w:r>
      <w:r>
        <w:rPr>
          <w:spacing w:val="-47"/>
        </w:rPr>
        <w:t> </w:t>
      </w:r>
      <w:r>
        <w:rPr>
          <w:rFonts w:ascii="Times New Roman" w:hAnsi="Times New Roman" w:cs="Times New Roman" w:eastAsia="Times New Roman" w:hint="default"/>
        </w:rPr>
        <w:t>19,999,918</w:t>
      </w:r>
      <w:r>
        <w:rPr>
          <w:rFonts w:ascii="Times New Roman" w:hAnsi="Times New Roman" w:cs="Times New Roman" w:eastAsia="Times New Roman" w:hint="default"/>
          <w:spacing w:val="4"/>
        </w:rPr>
        <w:t> </w:t>
      </w:r>
      <w:r>
        <w:rPr>
          <w:spacing w:val="-6"/>
        </w:rPr>
        <w:t>股，实际使用资金总额为</w:t>
      </w:r>
      <w:r>
        <w:rPr>
          <w:spacing w:val="-47"/>
        </w:rPr>
        <w:t> </w:t>
      </w:r>
      <w:r>
        <w:rPr>
          <w:rFonts w:ascii="Times New Roman" w:hAnsi="Times New Roman" w:cs="Times New Roman" w:eastAsia="Times New Roman" w:hint="default"/>
        </w:rPr>
        <w:t>268,960,699.04</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11"/>
          <w:w w:val="100"/>
        </w:rPr>
        <w:t>元（含各种交易费用）。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left="21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83"/>
        <w:gridCol w:w="449"/>
        <w:gridCol w:w="1193"/>
        <w:gridCol w:w="1404"/>
        <w:gridCol w:w="833"/>
        <w:gridCol w:w="1143"/>
        <w:gridCol w:w="809"/>
        <w:gridCol w:w="936"/>
      </w:tblGrid>
      <w:tr>
        <w:trPr>
          <w:trHeight w:val="245" w:hRule="exact"/>
        </w:trPr>
        <w:tc>
          <w:tcPr>
            <w:tcW w:w="22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49" w:type="dxa"/>
            <w:vMerge w:val="restart"/>
            <w:tcBorders>
              <w:top w:val="single" w:sz="4" w:space="0" w:color="000000"/>
              <w:left w:val="single" w:sz="4" w:space="0" w:color="000000"/>
              <w:right w:val="single" w:sz="4" w:space="0" w:color="000000"/>
            </w:tcBorders>
          </w:tcPr>
          <w:p>
            <w:pPr>
              <w:pStyle w:val="TableParagraph"/>
              <w:spacing w:line="232" w:lineRule="exact" w:before="1"/>
              <w:ind w:left="129" w:right="127"/>
              <w:jc w:val="both"/>
              <w:rPr>
                <w:rFonts w:ascii="宋体" w:hAnsi="宋体" w:cs="宋体" w:eastAsia="宋体" w:hint="default"/>
                <w:sz w:val="18"/>
                <w:szCs w:val="18"/>
              </w:rPr>
            </w:pPr>
            <w:r>
              <w:rPr>
                <w:rFonts w:ascii="宋体" w:hAnsi="宋体" w:cs="宋体" w:eastAsia="宋体" w:hint="default"/>
                <w:sz w:val="18"/>
                <w:szCs w:val="18"/>
              </w:rPr>
              <w:t>期 初 余</w:t>
            </w:r>
          </w:p>
          <w:p>
            <w:pPr>
              <w:pStyle w:val="TableParagraph"/>
              <w:spacing w:line="212" w:lineRule="exact"/>
              <w:ind w:left="129" w:right="0"/>
              <w:jc w:val="both"/>
              <w:rPr>
                <w:rFonts w:ascii="宋体" w:hAnsi="宋体" w:cs="宋体" w:eastAsia="宋体" w:hint="default"/>
                <w:sz w:val="18"/>
                <w:szCs w:val="18"/>
              </w:rPr>
            </w:pPr>
            <w:r>
              <w:rPr>
                <w:rFonts w:ascii="宋体" w:hAnsi="宋体" w:cs="宋体" w:eastAsia="宋体" w:hint="default"/>
                <w:sz w:val="18"/>
                <w:szCs w:val="18"/>
              </w:rPr>
              <w:t>额</w:t>
            </w:r>
          </w:p>
        </w:tc>
        <w:tc>
          <w:tcPr>
            <w:tcW w:w="53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283" w:right="281"/>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1" w:hRule="exact"/>
        </w:trPr>
        <w:tc>
          <w:tcPr>
            <w:tcW w:w="2283"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228" w:right="143"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hanging="53"/>
              <w:jc w:val="left"/>
              <w:rPr>
                <w:rFonts w:ascii="宋体" w:hAnsi="宋体" w:cs="宋体" w:eastAsia="宋体" w:hint="default"/>
                <w:sz w:val="18"/>
                <w:szCs w:val="18"/>
              </w:rPr>
            </w:pPr>
            <w:r>
              <w:rPr>
                <w:rFonts w:ascii="宋体" w:hAnsi="宋体" w:cs="宋体" w:eastAsia="宋体" w:hint="default"/>
                <w:spacing w:val="-11"/>
                <w:sz w:val="18"/>
                <w:szCs w:val="18"/>
              </w:rPr>
              <w:t>减：前期计入其</w:t>
            </w:r>
          </w:p>
          <w:p>
            <w:pPr>
              <w:pStyle w:val="TableParagraph"/>
              <w:spacing w:line="234" w:lineRule="exact" w:before="21"/>
              <w:ind w:left="247" w:right="156" w:hanging="92"/>
              <w:jc w:val="left"/>
              <w:rPr>
                <w:rFonts w:ascii="宋体" w:hAnsi="宋体" w:cs="宋体" w:eastAsia="宋体" w:hint="default"/>
                <w:sz w:val="18"/>
                <w:szCs w:val="18"/>
              </w:rPr>
            </w:pPr>
            <w:r>
              <w:rPr>
                <w:rFonts w:ascii="宋体" w:hAnsi="宋体" w:cs="宋体" w:eastAsia="宋体" w:hint="default"/>
                <w:sz w:val="18"/>
                <w:szCs w:val="18"/>
              </w:rPr>
              <w:t>他综合收益当 期转入损益</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left"/>
              <w:rPr>
                <w:rFonts w:ascii="宋体" w:hAnsi="宋体" w:cs="宋体" w:eastAsia="宋体" w:hint="default"/>
                <w:sz w:val="18"/>
                <w:szCs w:val="18"/>
              </w:rPr>
            </w:pPr>
            <w:r>
              <w:rPr>
                <w:rFonts w:ascii="宋体" w:hAnsi="宋体" w:cs="宋体" w:eastAsia="宋体" w:hint="default"/>
                <w:sz w:val="18"/>
                <w:szCs w:val="18"/>
              </w:rPr>
              <w:t>减：所</w:t>
            </w:r>
          </w:p>
          <w:p>
            <w:pPr>
              <w:pStyle w:val="TableParagraph"/>
              <w:spacing w:line="234" w:lineRule="exact" w:before="21"/>
              <w:ind w:left="319" w:right="143" w:hanging="180"/>
              <w:jc w:val="left"/>
              <w:rPr>
                <w:rFonts w:ascii="宋体" w:hAnsi="宋体" w:cs="宋体" w:eastAsia="宋体" w:hint="default"/>
                <w:sz w:val="18"/>
                <w:szCs w:val="18"/>
              </w:rPr>
            </w:pPr>
            <w:r>
              <w:rPr>
                <w:rFonts w:ascii="宋体" w:hAnsi="宋体" w:cs="宋体" w:eastAsia="宋体" w:hint="default"/>
                <w:sz w:val="18"/>
                <w:szCs w:val="18"/>
              </w:rPr>
              <w:t>得税费 用</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295" w:right="116"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税后归</w:t>
            </w:r>
          </w:p>
          <w:p>
            <w:pPr>
              <w:pStyle w:val="TableParagraph"/>
              <w:spacing w:line="234" w:lineRule="exact" w:before="21"/>
              <w:ind w:left="129" w:right="127"/>
              <w:jc w:val="left"/>
              <w:rPr>
                <w:rFonts w:ascii="宋体" w:hAnsi="宋体" w:cs="宋体" w:eastAsia="宋体" w:hint="default"/>
                <w:sz w:val="18"/>
                <w:szCs w:val="18"/>
              </w:rPr>
            </w:pPr>
            <w:r>
              <w:rPr>
                <w:rFonts w:ascii="宋体" w:hAnsi="宋体" w:cs="宋体" w:eastAsia="宋体" w:hint="default"/>
                <w:sz w:val="18"/>
                <w:szCs w:val="18"/>
              </w:rPr>
              <w:t>属于少 数股东</w:t>
            </w:r>
          </w:p>
        </w:tc>
        <w:tc>
          <w:tcPr>
            <w:tcW w:w="936" w:type="dxa"/>
            <w:vMerge/>
            <w:tcBorders>
              <w:left w:val="single" w:sz="4" w:space="0" w:color="000000"/>
              <w:bottom w:val="single" w:sz="4" w:space="0" w:color="000000"/>
              <w:right w:val="single" w:sz="4" w:space="0" w:color="000000"/>
            </w:tcBorders>
          </w:tcPr>
          <w:p>
            <w:pPr/>
          </w:p>
        </w:tc>
      </w:tr>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一、以后不能重分类进损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益的其他综合收益</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83"/>
        <w:gridCol w:w="449"/>
        <w:gridCol w:w="1193"/>
        <w:gridCol w:w="1404"/>
        <w:gridCol w:w="833"/>
        <w:gridCol w:w="1143"/>
        <w:gridCol w:w="809"/>
        <w:gridCol w:w="936"/>
      </w:tblGrid>
      <w:tr>
        <w:trPr>
          <w:trHeight w:val="71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其中：重新计算设定受益</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7"/>
                <w:sz w:val="18"/>
                <w:szCs w:val="18"/>
              </w:rPr>
              <w:t>计划净负债和净资产的变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pacing w:val="9"/>
                <w:sz w:val="18"/>
                <w:szCs w:val="18"/>
              </w:rPr>
              <w:t>权益法下在被投资单位</w:t>
            </w:r>
            <w:r>
              <w:rPr>
                <w:rFonts w:ascii="宋体" w:hAnsi="宋体" w:cs="宋体" w:eastAsia="宋体" w:hint="default"/>
                <w:sz w:val="18"/>
                <w:szCs w:val="18"/>
              </w:rPr>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7"/>
                <w:sz w:val="18"/>
                <w:szCs w:val="18"/>
              </w:rPr>
              <w:t>不能重分类进损益的其他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综合收益中享有的份额</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二、以后将重分类进损益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z w:val="18"/>
              </w:rPr>
              <w:t>93,199.5</w:t>
            </w: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z w:val="18"/>
              </w:rPr>
              <w:t>93,199.5</w:t>
            </w: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Times New Roman" w:hAnsi="Times New Roman" w:cs="Times New Roman" w:eastAsia="Times New Roman" w:hint="default"/>
                <w:sz w:val="18"/>
                <w:szCs w:val="18"/>
              </w:rPr>
            </w:pPr>
            <w:r>
              <w:rPr>
                <w:rFonts w:ascii="Times New Roman"/>
                <w:sz w:val="18"/>
              </w:rPr>
              <w:t>93,199.5</w:t>
            </w:r>
          </w:p>
        </w:tc>
      </w:tr>
      <w:tr>
        <w:trPr>
          <w:trHeight w:val="94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其中：权益法下在被投资</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7"/>
                <w:sz w:val="18"/>
                <w:szCs w:val="18"/>
              </w:rPr>
              <w:t>单位以后将重分类进损益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的其他综合收益中享有的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份额</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pacing w:val="9"/>
                <w:sz w:val="18"/>
                <w:szCs w:val="18"/>
              </w:rPr>
              <w:t>可供出售金融资产公允</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pacing w:val="9"/>
                <w:sz w:val="18"/>
                <w:szCs w:val="18"/>
              </w:rPr>
              <w:t>持有至到期投资重分类</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5" w:right="0"/>
              <w:jc w:val="left"/>
              <w:rPr>
                <w:rFonts w:ascii="宋体" w:hAnsi="宋体" w:cs="宋体" w:eastAsia="宋体" w:hint="default"/>
                <w:sz w:val="18"/>
                <w:szCs w:val="18"/>
              </w:rPr>
            </w:pPr>
            <w:r>
              <w:rPr>
                <w:rFonts w:ascii="宋体" w:hAnsi="宋体" w:cs="宋体" w:eastAsia="宋体" w:hint="default"/>
                <w:spacing w:val="9"/>
                <w:sz w:val="18"/>
                <w:szCs w:val="18"/>
              </w:rPr>
              <w:t>现金流量套期损益的有</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93,199.50</w:t>
            </w: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93,199.50</w:t>
            </w: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93,199.50</w:t>
            </w:r>
          </w:p>
        </w:tc>
      </w:tr>
      <w:tr>
        <w:trPr>
          <w:trHeight w:val="24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44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93,199.50</w:t>
            </w:r>
          </w:p>
        </w:tc>
        <w:tc>
          <w:tcPr>
            <w:tcW w:w="140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93,199.50</w:t>
            </w:r>
          </w:p>
        </w:tc>
        <w:tc>
          <w:tcPr>
            <w:tcW w:w="80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93,199.50</w:t>
            </w:r>
          </w:p>
        </w:tc>
      </w:tr>
    </w:tbl>
    <w:p>
      <w:pPr>
        <w:spacing w:line="240" w:lineRule="auto" w:before="4"/>
        <w:rPr>
          <w:rFonts w:ascii="宋体" w:hAnsi="宋体" w:cs="宋体" w:eastAsia="宋体" w:hint="default"/>
          <w:sz w:val="22"/>
          <w:szCs w:val="22"/>
        </w:rPr>
      </w:pPr>
    </w:p>
    <w:p>
      <w:pPr>
        <w:pStyle w:val="Heading2"/>
        <w:spacing w:line="240" w:lineRule="auto"/>
        <w:ind w:left="218" w:right="0"/>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left="218" w:right="0"/>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2"/>
        <w:spacing w:line="240" w:lineRule="auto"/>
        <w:ind w:left="21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9"/>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18" w:space="4904"/>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61"/>
        <w:gridCol w:w="1784"/>
        <w:gridCol w:w="1791"/>
        <w:gridCol w:w="1800"/>
        <w:gridCol w:w="1791"/>
      </w:tblGrid>
      <w:tr>
        <w:trPr>
          <w:trHeight w:val="28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91,930,251.69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0" w:right="0"/>
              <w:jc w:val="left"/>
              <w:rPr>
                <w:rFonts w:ascii="Times New Roman" w:hAnsi="Times New Roman" w:cs="Times New Roman" w:eastAsia="Times New Roman" w:hint="default"/>
                <w:sz w:val="21"/>
                <w:szCs w:val="21"/>
              </w:rPr>
            </w:pPr>
            <w:r>
              <w:rPr>
                <w:rFonts w:ascii="Times New Roman"/>
                <w:sz w:val="21"/>
              </w:rPr>
              <w:t>6,039,960.15</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2"/>
                <w:sz w:val="21"/>
              </w:rPr>
              <w:t>97,970,211.84</w:t>
            </w: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4"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91,930,251.69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70" w:right="0"/>
              <w:jc w:val="left"/>
              <w:rPr>
                <w:rFonts w:ascii="Times New Roman" w:hAnsi="Times New Roman" w:cs="Times New Roman" w:eastAsia="Times New Roman" w:hint="default"/>
                <w:sz w:val="21"/>
                <w:szCs w:val="21"/>
              </w:rPr>
            </w:pPr>
            <w:r>
              <w:rPr>
                <w:rFonts w:ascii="Times New Roman"/>
                <w:sz w:val="21"/>
              </w:rPr>
              <w:t>6,039,960.15</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1"/>
              <w:jc w:val="right"/>
              <w:rPr>
                <w:rFonts w:ascii="Times New Roman" w:hAnsi="Times New Roman" w:cs="Times New Roman" w:eastAsia="Times New Roman" w:hint="default"/>
                <w:sz w:val="21"/>
                <w:szCs w:val="21"/>
              </w:rPr>
            </w:pPr>
            <w:r>
              <w:rPr>
                <w:rFonts w:ascii="Times New Roman"/>
                <w:spacing w:val="-2"/>
                <w:sz w:val="21"/>
              </w:rPr>
              <w:t>97,970,211.84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left="218" w:right="-18"/>
        <w:jc w:val="left"/>
        <w:rPr>
          <w:b w:val="0"/>
          <w:bCs w:val="0"/>
        </w:rPr>
      </w:pPr>
      <w:r>
        <w:rPr>
          <w:rFonts w:ascii="宋体" w:hAnsi="宋体" w:cs="宋体" w:eastAsia="宋体" w:hint="default"/>
        </w:rPr>
        <w:t>60</w:t>
      </w:r>
      <w:r>
        <w:rPr/>
        <w:t>、</w:t>
      </w:r>
      <w:r>
        <w:rPr>
          <w:spacing w:val="-25"/>
        </w:rPr>
        <w:t> </w:t>
      </w:r>
      <w:r>
        <w:rPr/>
        <w:t>分配利润</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18" w:space="4904"/>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26"/>
        <w:gridCol w:w="1731"/>
        <w:gridCol w:w="2667"/>
      </w:tblGrid>
      <w:tr>
        <w:trPr>
          <w:trHeight w:val="28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580,591,243.23</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510,387,877.16</w:t>
            </w:r>
          </w:p>
        </w:tc>
      </w:tr>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1731"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580,591,243.23</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510,387,877.16</w:t>
            </w:r>
          </w:p>
        </w:tc>
      </w:tr>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251,934,744.63</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123,829,229.30</w:t>
            </w:r>
          </w:p>
        </w:tc>
      </w:tr>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6,039,960.15</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269,016.51</w:t>
            </w:r>
          </w:p>
        </w:tc>
      </w:tr>
      <w:tr>
        <w:trPr>
          <w:trHeight w:val="28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731"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1731"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80,035,270.08</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53,356,846.72</w:t>
            </w:r>
          </w:p>
        </w:tc>
      </w:tr>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731" w:type="dxa"/>
            <w:tcBorders>
              <w:top w:val="single" w:sz="4" w:space="0" w:color="000000"/>
              <w:left w:val="single" w:sz="4" w:space="0" w:color="000000"/>
              <w:bottom w:val="single" w:sz="4" w:space="0" w:color="000000"/>
              <w:right w:val="single" w:sz="4" w:space="0" w:color="000000"/>
            </w:tcBorders>
          </w:tcPr>
          <w:p>
            <w:pPr/>
          </w:p>
        </w:tc>
        <w:tc>
          <w:tcPr>
            <w:tcW w:w="26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746,450,757.63</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580,591,243.23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120"/>
        </w:sectPr>
      </w:pPr>
    </w:p>
    <w:p>
      <w:pPr>
        <w:pStyle w:val="Heading2"/>
        <w:spacing w:line="240" w:lineRule="auto" w:before="175"/>
        <w:ind w:left="21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623" w:space="3898"/>
            <w:col w:w="2689"/>
          </w:cols>
        </w:sectPr>
      </w:pP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02"/>
        <w:gridCol w:w="1817"/>
        <w:gridCol w:w="1832"/>
        <w:gridCol w:w="1826"/>
        <w:gridCol w:w="1829"/>
      </w:tblGrid>
      <w:tr>
        <w:trPr>
          <w:trHeight w:val="283" w:hRule="exact"/>
        </w:trPr>
        <w:tc>
          <w:tcPr>
            <w:tcW w:w="140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02"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5,034,075,694.63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4,232,712,651.10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3,831,874,367.42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3,196,580,588.92</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66,542,470.02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16,621,661.79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70,061,292.97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24,762,238.26</w:t>
            </w:r>
          </w:p>
        </w:tc>
      </w:tr>
      <w:tr>
        <w:trPr>
          <w:trHeight w:val="28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z w:val="21"/>
                <w:szCs w:val="21"/>
              </w:rPr>
              <w:t>合计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5,100,618,164.65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4,249,334,312.89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3,901,935,660.39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3,221,342,827.18</w:t>
            </w:r>
          </w:p>
        </w:tc>
      </w:tr>
    </w:tbl>
    <w:p>
      <w:pPr>
        <w:spacing w:line="240" w:lineRule="auto" w:before="4"/>
        <w:rPr>
          <w:rFonts w:ascii="宋体" w:hAnsi="宋体" w:cs="宋体" w:eastAsia="宋体" w:hint="default"/>
          <w:sz w:val="18"/>
          <w:szCs w:val="18"/>
        </w:rPr>
      </w:pPr>
    </w:p>
    <w:tbl>
      <w:tblPr>
        <w:tblW w:w="0" w:type="auto"/>
        <w:jc w:val="left"/>
        <w:tblInd w:w="174" w:type="dxa"/>
        <w:tblLayout w:type="fixed"/>
        <w:tblCellMar>
          <w:top w:w="0" w:type="dxa"/>
          <w:left w:w="0" w:type="dxa"/>
          <w:bottom w:w="0" w:type="dxa"/>
          <w:right w:w="0" w:type="dxa"/>
        </w:tblCellMar>
        <w:tblLook w:val="01E0"/>
      </w:tblPr>
      <w:tblGrid>
        <w:gridCol w:w="2326"/>
        <w:gridCol w:w="1637"/>
        <w:gridCol w:w="1640"/>
        <w:gridCol w:w="1637"/>
        <w:gridCol w:w="1639"/>
      </w:tblGrid>
      <w:tr>
        <w:trPr>
          <w:trHeight w:val="257" w:hRule="exact"/>
        </w:trPr>
        <w:tc>
          <w:tcPr>
            <w:tcW w:w="2326" w:type="dxa"/>
            <w:vMerge w:val="restart"/>
            <w:tcBorders>
              <w:top w:val="single" w:sz="12" w:space="0" w:color="000000"/>
              <w:left w:val="nil" w:sz="6" w:space="0" w:color="auto"/>
              <w:right w:val="single" w:sz="4" w:space="0" w:color="000000"/>
            </w:tcBorders>
          </w:tcPr>
          <w:p>
            <w:pPr>
              <w:pStyle w:val="TableParagraph"/>
              <w:tabs>
                <w:tab w:pos="551" w:val="left" w:leader="none"/>
              </w:tabs>
              <w:spacing w:line="240" w:lineRule="auto" w:before="104"/>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76" w:type="dxa"/>
            <w:gridSpan w:val="2"/>
            <w:tcBorders>
              <w:top w:val="single" w:sz="12" w:space="0" w:color="000000"/>
              <w:left w:val="single" w:sz="4" w:space="0" w:color="000000"/>
              <w:bottom w:val="single" w:sz="6"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gridSpan w:val="2"/>
            <w:tcBorders>
              <w:top w:val="single" w:sz="12" w:space="0" w:color="000000"/>
              <w:left w:val="single" w:sz="4" w:space="0" w:color="000000"/>
              <w:bottom w:val="single" w:sz="6" w:space="0" w:color="000000"/>
              <w:right w:val="nil" w:sz="6" w:space="0" w:color="auto"/>
            </w:tcBorders>
          </w:tcPr>
          <w:p>
            <w:pPr>
              <w:pStyle w:val="TableParagraph"/>
              <w:spacing w:line="208" w:lineRule="exact"/>
              <w:ind w:right="8"/>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62" w:hRule="exact"/>
        </w:trPr>
        <w:tc>
          <w:tcPr>
            <w:tcW w:w="2326" w:type="dxa"/>
            <w:vMerge/>
            <w:tcBorders>
              <w:left w:val="nil" w:sz="6" w:space="0" w:color="auto"/>
              <w:bottom w:val="single" w:sz="4" w:space="0" w:color="000000"/>
              <w:right w:val="single" w:sz="4" w:space="0" w:color="000000"/>
            </w:tcBorders>
          </w:tcPr>
          <w:p>
            <w:pPr/>
          </w:p>
        </w:tc>
        <w:tc>
          <w:tcPr>
            <w:tcW w:w="1637" w:type="dxa"/>
            <w:tcBorders>
              <w:top w:val="single" w:sz="6" w:space="0" w:color="000000"/>
              <w:left w:val="single" w:sz="4" w:space="0" w:color="000000"/>
              <w:bottom w:val="single" w:sz="4" w:space="0" w:color="000000"/>
              <w:right w:val="single" w:sz="6"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40" w:type="dxa"/>
            <w:tcBorders>
              <w:top w:val="single" w:sz="6" w:space="0" w:color="000000"/>
              <w:left w:val="single" w:sz="6"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成本</w:t>
            </w:r>
          </w:p>
        </w:tc>
        <w:tc>
          <w:tcPr>
            <w:tcW w:w="1637" w:type="dxa"/>
            <w:tcBorders>
              <w:top w:val="single" w:sz="6" w:space="0" w:color="000000"/>
              <w:left w:val="single" w:sz="4" w:space="0" w:color="000000"/>
              <w:bottom w:val="single" w:sz="4" w:space="0" w:color="000000"/>
              <w:right w:val="single" w:sz="6"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639" w:type="dxa"/>
            <w:tcBorders>
              <w:top w:val="single" w:sz="6" w:space="0" w:color="000000"/>
              <w:left w:val="single" w:sz="6" w:space="0" w:color="000000"/>
              <w:bottom w:val="single" w:sz="4" w:space="0" w:color="000000"/>
              <w:right w:val="nil" w:sz="6" w:space="0" w:color="auto"/>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5,034,075,694.63</w:t>
            </w:r>
          </w:p>
        </w:tc>
        <w:tc>
          <w:tcPr>
            <w:tcW w:w="164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4,232,712,651.10</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3,831,874,367.42</w:t>
            </w:r>
          </w:p>
        </w:tc>
        <w:tc>
          <w:tcPr>
            <w:tcW w:w="1639"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3,196,580,588.92</w:t>
            </w:r>
          </w:p>
        </w:tc>
      </w:tr>
      <w:tr>
        <w:trPr>
          <w:trHeight w:val="35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智慧能源业务</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4,350,457,331.13</w:t>
            </w:r>
          </w:p>
        </w:tc>
        <w:tc>
          <w:tcPr>
            <w:tcW w:w="164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3,695,745,542.40</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3,202,508,856.20</w:t>
            </w:r>
          </w:p>
        </w:tc>
        <w:tc>
          <w:tcPr>
            <w:tcW w:w="1639"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2,668,744,698.86</w:t>
            </w:r>
          </w:p>
        </w:tc>
      </w:tr>
      <w:tr>
        <w:trPr>
          <w:trHeight w:val="34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军工装备业务</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683,618,363.50</w:t>
            </w:r>
          </w:p>
        </w:tc>
        <w:tc>
          <w:tcPr>
            <w:tcW w:w="164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536,967,108.70</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629,365,511.22</w:t>
            </w:r>
          </w:p>
        </w:tc>
        <w:tc>
          <w:tcPr>
            <w:tcW w:w="1639"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spacing w:val="-1"/>
                <w:sz w:val="18"/>
              </w:rPr>
              <w:t>527,835,890.06</w:t>
            </w:r>
          </w:p>
        </w:tc>
      </w:tr>
      <w:tr>
        <w:trPr>
          <w:trHeight w:val="35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66,542,470.02</w:t>
            </w:r>
          </w:p>
        </w:tc>
        <w:tc>
          <w:tcPr>
            <w:tcW w:w="164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1"/>
                <w:sz w:val="18"/>
              </w:rPr>
              <w:t>16,621,661.79</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70,061,292.97</w:t>
            </w:r>
          </w:p>
        </w:tc>
        <w:tc>
          <w:tcPr>
            <w:tcW w:w="1639"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24,762,238.26</w:t>
            </w:r>
          </w:p>
        </w:tc>
      </w:tr>
      <w:tr>
        <w:trPr>
          <w:trHeight w:val="35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房租及物业管理类</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43,855,547.90</w:t>
            </w:r>
          </w:p>
        </w:tc>
        <w:tc>
          <w:tcPr>
            <w:tcW w:w="164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3"/>
              <w:jc w:val="right"/>
              <w:rPr>
                <w:rFonts w:ascii="Arial Narrow" w:hAnsi="Arial Narrow" w:cs="Arial Narrow" w:eastAsia="Arial Narrow" w:hint="default"/>
                <w:sz w:val="18"/>
                <w:szCs w:val="18"/>
              </w:rPr>
            </w:pPr>
            <w:r>
              <w:rPr>
                <w:rFonts w:ascii="Arial Narrow"/>
                <w:spacing w:val="-2"/>
                <w:sz w:val="18"/>
              </w:rPr>
              <w:t>11,124,344.66</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47,239,616.73</w:t>
            </w:r>
          </w:p>
        </w:tc>
        <w:tc>
          <w:tcPr>
            <w:tcW w:w="1639"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18,778,468.14</w:t>
            </w:r>
          </w:p>
        </w:tc>
      </w:tr>
      <w:tr>
        <w:trPr>
          <w:trHeight w:val="35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材料让售</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414,692.72</w:t>
            </w:r>
          </w:p>
        </w:tc>
        <w:tc>
          <w:tcPr>
            <w:tcW w:w="164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398,998.45</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1,642,002.75</w:t>
            </w:r>
          </w:p>
        </w:tc>
        <w:tc>
          <w:tcPr>
            <w:tcW w:w="1639"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467,479.07</w:t>
            </w:r>
          </w:p>
        </w:tc>
      </w:tr>
      <w:tr>
        <w:trPr>
          <w:trHeight w:val="35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10,719,820.80</w:t>
            </w:r>
          </w:p>
        </w:tc>
        <w:tc>
          <w:tcPr>
            <w:tcW w:w="164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2"/>
              <w:jc w:val="right"/>
              <w:rPr>
                <w:rFonts w:ascii="Arial Narrow" w:hAnsi="Arial Narrow" w:cs="Arial Narrow" w:eastAsia="Arial Narrow" w:hint="default"/>
                <w:sz w:val="18"/>
                <w:szCs w:val="18"/>
              </w:rPr>
            </w:pPr>
            <w:r>
              <w:rPr>
                <w:rFonts w:ascii="Arial Narrow"/>
                <w:spacing w:val="-1"/>
                <w:sz w:val="18"/>
              </w:rPr>
              <w:t>5,098,318.68</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9,388,152.04</w:t>
            </w:r>
          </w:p>
        </w:tc>
        <w:tc>
          <w:tcPr>
            <w:tcW w:w="1639"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4,035,404.92</w:t>
            </w:r>
          </w:p>
        </w:tc>
      </w:tr>
      <w:tr>
        <w:trPr>
          <w:trHeight w:val="35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9,756,289.31</w:t>
            </w:r>
          </w:p>
        </w:tc>
        <w:tc>
          <w:tcPr>
            <w:tcW w:w="1640" w:type="dxa"/>
            <w:tcBorders>
              <w:top w:val="single" w:sz="4" w:space="0" w:color="000000"/>
              <w:left w:val="single" w:sz="6"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9,928,962.26</w:t>
            </w:r>
          </w:p>
        </w:tc>
        <w:tc>
          <w:tcPr>
            <w:tcW w:w="1639" w:type="dxa"/>
            <w:tcBorders>
              <w:top w:val="single" w:sz="4" w:space="0" w:color="000000"/>
              <w:left w:val="single" w:sz="6" w:space="0" w:color="000000"/>
              <w:bottom w:val="single" w:sz="4" w:space="0" w:color="000000"/>
              <w:right w:val="nil" w:sz="6" w:space="0" w:color="auto"/>
            </w:tcBorders>
          </w:tcPr>
          <w:p>
            <w:pPr/>
          </w:p>
        </w:tc>
      </w:tr>
      <w:tr>
        <w:trPr>
          <w:trHeight w:val="348"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2"/>
                <w:sz w:val="18"/>
              </w:rPr>
              <w:t>1,796,119.29</w:t>
            </w:r>
          </w:p>
        </w:tc>
        <w:tc>
          <w:tcPr>
            <w:tcW w:w="1640" w:type="dxa"/>
            <w:tcBorders>
              <w:top w:val="single" w:sz="4" w:space="0" w:color="000000"/>
              <w:left w:val="single" w:sz="6"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1,862,559.19</w:t>
            </w:r>
          </w:p>
        </w:tc>
        <w:tc>
          <w:tcPr>
            <w:tcW w:w="1639"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1,480,886.13</w:t>
            </w:r>
          </w:p>
        </w:tc>
      </w:tr>
      <w:tr>
        <w:trPr>
          <w:trHeight w:val="363" w:hRule="exact"/>
        </w:trPr>
        <w:tc>
          <w:tcPr>
            <w:tcW w:w="2326" w:type="dxa"/>
            <w:tcBorders>
              <w:top w:val="single" w:sz="4" w:space="0" w:color="000000"/>
              <w:left w:val="nil" w:sz="6" w:space="0" w:color="auto"/>
              <w:bottom w:val="single" w:sz="12" w:space="0" w:color="000000"/>
              <w:right w:val="single" w:sz="4" w:space="0" w:color="000000"/>
            </w:tcBorders>
          </w:tcPr>
          <w:p>
            <w:pPr>
              <w:pStyle w:val="TableParagraph"/>
              <w:tabs>
                <w:tab w:pos="551" w:val="left" w:leader="none"/>
              </w:tabs>
              <w:spacing w:line="240" w:lineRule="auto" w:before="25"/>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37"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7"/>
              <w:ind w:right="100"/>
              <w:jc w:val="right"/>
              <w:rPr>
                <w:rFonts w:ascii="Arial Narrow" w:hAnsi="Arial Narrow" w:cs="Arial Narrow" w:eastAsia="Arial Narrow" w:hint="default"/>
                <w:sz w:val="18"/>
                <w:szCs w:val="18"/>
              </w:rPr>
            </w:pPr>
            <w:r>
              <w:rPr>
                <w:rFonts w:ascii="Arial Narrow"/>
                <w:spacing w:val="-1"/>
                <w:sz w:val="18"/>
              </w:rPr>
              <w:t>5,100,618,164.65</w:t>
            </w:r>
          </w:p>
        </w:tc>
        <w:tc>
          <w:tcPr>
            <w:tcW w:w="1640"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7"/>
              <w:ind w:right="103"/>
              <w:jc w:val="right"/>
              <w:rPr>
                <w:rFonts w:ascii="Arial Narrow" w:hAnsi="Arial Narrow" w:cs="Arial Narrow" w:eastAsia="Arial Narrow" w:hint="default"/>
                <w:sz w:val="18"/>
                <w:szCs w:val="18"/>
              </w:rPr>
            </w:pPr>
            <w:r>
              <w:rPr>
                <w:rFonts w:ascii="Arial Narrow"/>
                <w:spacing w:val="-1"/>
                <w:sz w:val="18"/>
              </w:rPr>
              <w:t>4,249,334,312.89</w:t>
            </w:r>
          </w:p>
        </w:tc>
        <w:tc>
          <w:tcPr>
            <w:tcW w:w="1637"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18"/>
                <w:szCs w:val="18"/>
              </w:rPr>
            </w:pPr>
            <w:r>
              <w:rPr>
                <w:rFonts w:ascii="Arial Narrow"/>
                <w:spacing w:val="-1"/>
                <w:sz w:val="18"/>
              </w:rPr>
              <w:t>3,901,935,660.39</w:t>
            </w:r>
          </w:p>
        </w:tc>
        <w:tc>
          <w:tcPr>
            <w:tcW w:w="1639"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7"/>
              <w:ind w:right="107"/>
              <w:jc w:val="right"/>
              <w:rPr>
                <w:rFonts w:ascii="Arial Narrow" w:hAnsi="Arial Narrow" w:cs="Arial Narrow" w:eastAsia="Arial Narrow" w:hint="default"/>
                <w:sz w:val="18"/>
                <w:szCs w:val="18"/>
              </w:rPr>
            </w:pPr>
            <w:r>
              <w:rPr>
                <w:rFonts w:ascii="Arial Narrow"/>
                <w:spacing w:val="-1"/>
                <w:sz w:val="18"/>
              </w:rPr>
              <w:t>3,221,342,827.18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120"/>
        </w:sectPr>
      </w:pPr>
    </w:p>
    <w:p>
      <w:pPr>
        <w:pStyle w:val="Heading2"/>
        <w:spacing w:line="240" w:lineRule="auto"/>
        <w:ind w:left="218" w:right="-18"/>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1779" w:space="4743"/>
            <w:col w:w="268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35"/>
        <w:gridCol w:w="2993"/>
        <w:gridCol w:w="2991"/>
      </w:tblGrid>
      <w:tr>
        <w:trPr>
          <w:trHeight w:val="28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6"/>
              <w:jc w:val="right"/>
              <w:rPr>
                <w:rFonts w:ascii="宋体" w:hAnsi="宋体" w:cs="宋体" w:eastAsia="宋体" w:hint="default"/>
                <w:sz w:val="21"/>
                <w:szCs w:val="21"/>
              </w:rPr>
            </w:pPr>
            <w:r>
              <w:rPr>
                <w:rFonts w:ascii="宋体" w:hAnsi="宋体" w:cs="宋体" w:eastAsia="宋体" w:hint="default"/>
                <w:sz w:val="21"/>
                <w:szCs w:val="21"/>
              </w:rPr>
              <w:t>项目</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93" w:type="dxa"/>
            <w:tcBorders>
              <w:top w:val="single" w:sz="6" w:space="0" w:color="000000"/>
              <w:left w:val="single" w:sz="6" w:space="0" w:color="000000"/>
              <w:bottom w:val="single" w:sz="6" w:space="0" w:color="000000"/>
              <w:right w:val="single" w:sz="6" w:space="0" w:color="000000"/>
            </w:tcBorders>
          </w:tcPr>
          <w:p>
            <w:pPr/>
          </w:p>
        </w:tc>
        <w:tc>
          <w:tcPr>
            <w:tcW w:w="29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93" w:type="dxa"/>
            <w:tcBorders>
              <w:top w:val="single" w:sz="6" w:space="0" w:color="000000"/>
              <w:left w:val="single" w:sz="6" w:space="0" w:color="000000"/>
              <w:bottom w:val="single" w:sz="6" w:space="0" w:color="000000"/>
              <w:right w:val="single" w:sz="6" w:space="0" w:color="000000"/>
            </w:tcBorders>
          </w:tcPr>
          <w:p>
            <w:pP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1,528,196.63</w:t>
            </w:r>
          </w:p>
        </w:tc>
      </w:tr>
      <w:tr>
        <w:trPr>
          <w:trHeight w:val="28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9,446,854.22</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4,558,253.27</w:t>
            </w:r>
          </w:p>
        </w:tc>
      </w:tr>
      <w:tr>
        <w:trPr>
          <w:trHeight w:val="28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7,326,476.16</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3,578,885.73</w:t>
            </w:r>
          </w:p>
        </w:tc>
      </w:tr>
      <w:tr>
        <w:trPr>
          <w:trHeight w:val="28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993" w:type="dxa"/>
            <w:tcBorders>
              <w:top w:val="single" w:sz="6" w:space="0" w:color="000000"/>
              <w:left w:val="single" w:sz="6" w:space="0" w:color="000000"/>
              <w:bottom w:val="single" w:sz="6" w:space="0" w:color="000000"/>
              <w:right w:val="single" w:sz="6" w:space="0" w:color="000000"/>
            </w:tcBorders>
          </w:tcPr>
          <w:p>
            <w:pPr/>
          </w:p>
        </w:tc>
        <w:tc>
          <w:tcPr>
            <w:tcW w:w="299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6,455,400.07</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5,390,248.09</w:t>
            </w:r>
          </w:p>
        </w:tc>
      </w:tr>
      <w:tr>
        <w:trPr>
          <w:trHeight w:val="28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5,236,222.07</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3,672,827.88</w:t>
            </w:r>
          </w:p>
        </w:tc>
      </w:tr>
      <w:tr>
        <w:trPr>
          <w:trHeight w:val="28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45,965.26</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18,692.29</w:t>
            </w:r>
          </w:p>
        </w:tc>
      </w:tr>
      <w:tr>
        <w:trPr>
          <w:trHeight w:val="28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pacing w:val="-1"/>
                <w:sz w:val="21"/>
              </w:rPr>
              <w:t>2,544,871.47</w:t>
            </w:r>
            <w:r>
              <w:rPr>
                <w:rFonts w:ascii="Times New Roman"/>
                <w:sz w:val="21"/>
              </w:rPr>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1,248,204.41</w:t>
            </w:r>
          </w:p>
        </w:tc>
      </w:tr>
      <w:tr>
        <w:trPr>
          <w:trHeight w:val="28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6"/>
              <w:jc w:val="right"/>
              <w:rPr>
                <w:rFonts w:ascii="宋体" w:hAnsi="宋体" w:cs="宋体" w:eastAsia="宋体" w:hint="default"/>
                <w:sz w:val="21"/>
                <w:szCs w:val="21"/>
              </w:rPr>
            </w:pPr>
            <w:r>
              <w:rPr>
                <w:rFonts w:ascii="宋体" w:hAnsi="宋体" w:cs="宋体" w:eastAsia="宋体" w:hint="default"/>
                <w:sz w:val="21"/>
                <w:szCs w:val="21"/>
              </w:rPr>
              <w:t>合计</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31,055,789.25</w:t>
            </w:r>
          </w:p>
        </w:tc>
        <w:tc>
          <w:tcPr>
            <w:tcW w:w="2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19,995,308.30</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120"/>
        </w:sectPr>
      </w:pPr>
    </w:p>
    <w:p>
      <w:pPr>
        <w:pStyle w:val="Heading2"/>
        <w:spacing w:line="240" w:lineRule="auto"/>
        <w:ind w:left="218"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1618" w:space="4904"/>
            <w:col w:w="26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0"/>
        <w:gridCol w:w="2787"/>
        <w:gridCol w:w="2787"/>
      </w:tblGrid>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57,010,770.57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47,888,614.99</w:t>
            </w:r>
          </w:p>
        </w:tc>
      </w:tr>
      <w:tr>
        <w:trPr>
          <w:trHeight w:val="284"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1,620,426.21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1,579,508.45</w:t>
            </w:r>
          </w:p>
        </w:tc>
      </w:tr>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44,049,770.22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39,301,868.06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0"/>
        <w:gridCol w:w="2787"/>
        <w:gridCol w:w="2787"/>
      </w:tblGrid>
      <w:tr>
        <w:trPr>
          <w:trHeight w:val="284"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运输及杂费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6,038,196.67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10,078,235.73</w:t>
            </w:r>
          </w:p>
        </w:tc>
      </w:tr>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24,781,258.87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22,998,783.45</w:t>
            </w:r>
          </w:p>
        </w:tc>
      </w:tr>
      <w:tr>
        <w:trPr>
          <w:trHeight w:val="281"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43,504,667.44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32,488,268.18</w:t>
            </w:r>
          </w:p>
        </w:tc>
      </w:tr>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177,005,089.98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154,335,278.86</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140"/>
        </w:sectPr>
      </w:pPr>
    </w:p>
    <w:p>
      <w:pPr>
        <w:pStyle w:val="Heading2"/>
        <w:spacing w:line="240" w:lineRule="auto"/>
        <w:ind w:left="218"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618" w:space="4904"/>
            <w:col w:w="26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05"/>
        <w:gridCol w:w="2540"/>
        <w:gridCol w:w="2379"/>
      </w:tblGrid>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54,053,265.43</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56,884,650.49</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57,013,856.08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58,878,251.49</w:t>
            </w:r>
          </w:p>
        </w:tc>
      </w:tr>
      <w:tr>
        <w:trPr>
          <w:trHeight w:val="284"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90,462,489.44</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85,432,417.13</w:t>
            </w:r>
          </w:p>
        </w:tc>
      </w:tr>
      <w:tr>
        <w:trPr>
          <w:trHeight w:val="281"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1,387,889.29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1,760,125.29</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44,722,635.91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30,057,752.08</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13,864,413.76</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8,866,134.02</w:t>
            </w:r>
          </w:p>
        </w:tc>
      </w:tr>
      <w:tr>
        <w:trPr>
          <w:trHeight w:val="281"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540"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9,433,962.30</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35,246,450.21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20,970,581.42</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296,751,000.12</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272,283,874.22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140"/>
        </w:sectPr>
      </w:pPr>
    </w:p>
    <w:p>
      <w:pPr>
        <w:pStyle w:val="Heading2"/>
        <w:spacing w:line="240" w:lineRule="auto"/>
        <w:ind w:left="218"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6"/>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618" w:space="4904"/>
            <w:col w:w="26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05"/>
        <w:gridCol w:w="2540"/>
        <w:gridCol w:w="2379"/>
      </w:tblGrid>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108,617,257.33</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74,670,253.65</w:t>
            </w:r>
          </w:p>
        </w:tc>
      </w:tr>
      <w:tr>
        <w:trPr>
          <w:trHeight w:val="281"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-11,551,523.79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-3,682,258.94</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6,313,520.87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-9,088,176.89</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未确认融资费用摊销</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-1,223,634.31</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-501,056.65</w:t>
            </w:r>
          </w:p>
        </w:tc>
      </w:tr>
      <w:tr>
        <w:trPr>
          <w:trHeight w:val="281"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贴现息</w:t>
            </w:r>
          </w:p>
        </w:tc>
        <w:tc>
          <w:tcPr>
            <w:tcW w:w="2540" w:type="dxa"/>
            <w:tcBorders>
              <w:top w:val="single" w:sz="4" w:space="0" w:color="000000"/>
              <w:left w:val="single" w:sz="4" w:space="0" w:color="000000"/>
              <w:bottom w:val="single" w:sz="4" w:space="0" w:color="000000"/>
              <w:right w:val="single" w:sz="4" w:space="0" w:color="000000"/>
            </w:tcBorders>
          </w:tcPr>
          <w:p>
            <w:pP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279,506.48</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8,943,541.26</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7,845,554.91</w:t>
            </w:r>
          </w:p>
        </w:tc>
      </w:tr>
      <w:tr>
        <w:trPr>
          <w:trHeight w:val="283"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111,099,161.36</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69,523,822.56</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140"/>
        </w:sectPr>
      </w:pPr>
    </w:p>
    <w:p>
      <w:pPr>
        <w:pStyle w:val="Heading2"/>
        <w:spacing w:line="240" w:lineRule="auto"/>
        <w:ind w:left="218"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1990" w:space="4532"/>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15"/>
        <w:gridCol w:w="2508"/>
        <w:gridCol w:w="3001"/>
      </w:tblGrid>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87" w:right="0"/>
              <w:jc w:val="left"/>
              <w:rPr>
                <w:rFonts w:ascii="Times New Roman" w:hAnsi="Times New Roman" w:cs="Times New Roman" w:eastAsia="Times New Roman" w:hint="default"/>
                <w:sz w:val="21"/>
                <w:szCs w:val="21"/>
              </w:rPr>
            </w:pPr>
            <w:r>
              <w:rPr>
                <w:rFonts w:ascii="Times New Roman"/>
                <w:sz w:val="21"/>
              </w:rPr>
              <w:t>80,383,988.70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80" w:right="0"/>
              <w:jc w:val="left"/>
              <w:rPr>
                <w:rFonts w:ascii="Times New Roman" w:hAnsi="Times New Roman" w:cs="Times New Roman" w:eastAsia="Times New Roman" w:hint="default"/>
                <w:sz w:val="21"/>
                <w:szCs w:val="21"/>
              </w:rPr>
            </w:pPr>
            <w:r>
              <w:rPr>
                <w:rFonts w:ascii="Times New Roman"/>
                <w:sz w:val="21"/>
              </w:rPr>
              <w:t>50,683,588.86</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5" w:type="dxa"/>
        <w:tblLayout w:type="fixed"/>
        <w:tblCellMar>
          <w:top w:w="0" w:type="dxa"/>
          <w:left w:w="0" w:type="dxa"/>
          <w:bottom w:w="0" w:type="dxa"/>
          <w:right w:w="0" w:type="dxa"/>
        </w:tblCellMar>
        <w:tblLook w:val="01E0"/>
      </w:tblPr>
      <w:tblGrid>
        <w:gridCol w:w="3315"/>
        <w:gridCol w:w="2508"/>
        <w:gridCol w:w="3001"/>
      </w:tblGrid>
      <w:tr>
        <w:trPr>
          <w:trHeight w:val="284"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2"/>
                <w:sz w:val="21"/>
              </w:rPr>
              <w:t>11,000,000.00</w:t>
            </w: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08"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87" w:right="0"/>
              <w:jc w:val="left"/>
              <w:rPr>
                <w:rFonts w:ascii="Times New Roman" w:hAnsi="Times New Roman" w:cs="Times New Roman" w:eastAsia="Times New Roman" w:hint="default"/>
                <w:sz w:val="21"/>
                <w:szCs w:val="21"/>
              </w:rPr>
            </w:pPr>
            <w:r>
              <w:rPr>
                <w:rFonts w:ascii="Times New Roman"/>
                <w:sz w:val="21"/>
              </w:rPr>
              <w:t>80,383,988.70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61,683,588.86</w:t>
            </w:r>
          </w:p>
        </w:tc>
      </w:tr>
    </w:tbl>
    <w:p>
      <w:pPr>
        <w:spacing w:line="240" w:lineRule="auto" w:before="2"/>
        <w:rPr>
          <w:rFonts w:ascii="宋体" w:hAnsi="宋体" w:cs="宋体" w:eastAsia="宋体" w:hint="default"/>
          <w:sz w:val="22"/>
          <w:szCs w:val="22"/>
        </w:rPr>
      </w:pPr>
    </w:p>
    <w:p>
      <w:pPr>
        <w:pStyle w:val="Heading2"/>
        <w:spacing w:line="240" w:lineRule="auto"/>
        <w:ind w:left="338" w:right="112"/>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8"/>
        <w:ind w:left="338" w:right="112"/>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460" w:right="1040"/>
        </w:sectPr>
      </w:pPr>
    </w:p>
    <w:p>
      <w:pPr>
        <w:pStyle w:val="Heading2"/>
        <w:spacing w:line="240" w:lineRule="auto"/>
        <w:ind w:left="338"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left="3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9" w:val="left" w:leader="none"/>
        </w:tabs>
        <w:spacing w:line="240" w:lineRule="auto"/>
        <w:ind w:left="338" w:right="0"/>
        <w:jc w:val="left"/>
      </w:pPr>
      <w:r>
        <w:rPr>
          <w:spacing w:val="-1"/>
        </w:rPr>
        <w:t>单位：元</w:t>
        <w:tab/>
        <w:t>币种：人民币</w:t>
      </w:r>
    </w:p>
    <w:p>
      <w:pPr>
        <w:spacing w:after="0" w:line="240" w:lineRule="auto"/>
        <w:jc w:val="left"/>
        <w:sectPr>
          <w:type w:val="continuous"/>
          <w:pgSz w:w="11910" w:h="16840"/>
          <w:pgMar w:top="1120" w:bottom="1380" w:left="1460" w:right="1040"/>
          <w:cols w:num="2" w:equalWidth="0">
            <w:col w:w="1738" w:space="4784"/>
            <w:col w:w="2888"/>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6210"/>
        <w:gridCol w:w="1529"/>
        <w:gridCol w:w="1423"/>
      </w:tblGrid>
      <w:tr>
        <w:trPr>
          <w:trHeight w:val="281"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24,051,207.53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17,388,915.11</w:t>
            </w:r>
          </w:p>
        </w:tc>
      </w:tr>
      <w:tr>
        <w:trPr>
          <w:trHeight w:val="283"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94,873,936.65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43,419,427.96</w:t>
            </w:r>
          </w:p>
        </w:tc>
      </w:tr>
      <w:tr>
        <w:trPr>
          <w:trHeight w:val="554"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以公允价值计量且其变动计入当期损益的金融资产在持有期间的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处置以公允价值计量且其变动计入当期损益的金融资产取得的投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281"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10,050,165.45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10,721,330.82</w:t>
            </w:r>
          </w:p>
        </w:tc>
      </w:tr>
      <w:tr>
        <w:trPr>
          <w:trHeight w:val="283"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1,100,000.00</w:t>
            </w:r>
          </w:p>
        </w:tc>
      </w:tr>
      <w:tr>
        <w:trPr>
          <w:trHeight w:val="283" w:hRule="exact"/>
        </w:trPr>
        <w:tc>
          <w:tcPr>
            <w:tcW w:w="6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128,975,309.63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72,679,673.89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left="338" w:right="112"/>
        <w:jc w:val="left"/>
        <w:rPr>
          <w:b w:val="0"/>
          <w:bCs w:val="0"/>
        </w:rPr>
      </w:pPr>
      <w:r>
        <w:rPr>
          <w:rFonts w:ascii="宋体" w:hAnsi="宋体" w:cs="宋体" w:eastAsia="宋体" w:hint="default"/>
        </w:rPr>
        <w:t>69</w:t>
      </w:r>
      <w:r>
        <w:rPr/>
        <w:t>、</w:t>
      </w:r>
      <w:r>
        <w:rPr>
          <w:spacing w:val="-24"/>
        </w:rPr>
        <w:t> </w:t>
      </w:r>
      <w:r>
        <w:rPr/>
        <w:t>资产处置收益</w:t>
      </w:r>
      <w:r>
        <w:rPr>
          <w:b w:val="0"/>
          <w:bCs w:val="0"/>
        </w:rPr>
      </w:r>
    </w:p>
    <w:p>
      <w:pPr>
        <w:pStyle w:val="BodyText"/>
        <w:tabs>
          <w:tab w:pos="1051" w:val="left" w:leader="none"/>
        </w:tabs>
        <w:spacing w:line="240" w:lineRule="auto" w:before="56"/>
        <w:ind w:left="0" w:right="23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处置固定资产收益</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2,119,508.27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606,776.16</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处置无形资产收益</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-15,141,241.95</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2,119,508.27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-14,534,465.79</w:t>
            </w:r>
          </w:p>
        </w:tc>
      </w:tr>
    </w:tbl>
    <w:p>
      <w:pPr>
        <w:spacing w:line="240" w:lineRule="auto" w:before="2"/>
        <w:rPr>
          <w:rFonts w:ascii="宋体" w:hAnsi="宋体" w:cs="宋体" w:eastAsia="宋体" w:hint="default"/>
          <w:sz w:val="20"/>
          <w:szCs w:val="20"/>
        </w:rPr>
      </w:pPr>
    </w:p>
    <w:p>
      <w:pPr>
        <w:pStyle w:val="Heading2"/>
        <w:spacing w:line="240" w:lineRule="auto"/>
        <w:ind w:left="338" w:right="112"/>
        <w:jc w:val="left"/>
        <w:rPr>
          <w:b w:val="0"/>
          <w:bCs w:val="0"/>
        </w:rPr>
      </w:pPr>
      <w:r>
        <w:rPr>
          <w:rFonts w:ascii="宋体" w:hAnsi="宋体" w:cs="宋体" w:eastAsia="宋体" w:hint="default"/>
        </w:rPr>
        <w:t>70</w:t>
      </w:r>
      <w:r>
        <w:rPr/>
        <w:t>、</w:t>
      </w:r>
      <w:r>
        <w:rPr>
          <w:spacing w:val="-25"/>
        </w:rPr>
        <w:t> </w:t>
      </w:r>
      <w:r>
        <w:rPr/>
        <w:t>其他收益</w:t>
      </w:r>
      <w:r>
        <w:rPr>
          <w:b w:val="0"/>
          <w:bCs w:val="0"/>
        </w:rPr>
      </w:r>
    </w:p>
    <w:p>
      <w:pPr>
        <w:pStyle w:val="BodyText"/>
        <w:tabs>
          <w:tab w:pos="1051" w:val="left" w:leader="none"/>
        </w:tabs>
        <w:spacing w:line="240" w:lineRule="auto" w:before="56"/>
        <w:ind w:left="0" w:right="23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2804"/>
        <w:gridCol w:w="2124"/>
        <w:gridCol w:w="1560"/>
        <w:gridCol w:w="2561"/>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由递延收益转入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3,452,568.56</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软件收入流转税即征即退</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4,808,062.69</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流转税返还</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9,668,020.18</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研究开发补助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666,056.34</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专利发明补助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保险补助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256,900.00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人才引进补助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369,475.00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院士、博土工作站补助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其他补助</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39,520.00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19,859,602.77</w:t>
            </w:r>
          </w:p>
        </w:tc>
        <w:tc>
          <w:tcPr>
            <w:tcW w:w="156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60" w:right="1140"/>
        </w:sectPr>
      </w:pPr>
    </w:p>
    <w:p>
      <w:pPr>
        <w:spacing w:line="290" w:lineRule="auto" w:before="36"/>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884" w:val="left" w:leader="none"/>
        </w:tabs>
        <w:spacing w:line="243" w:lineRule="exact"/>
        <w:ind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1699" w:space="4823"/>
            <w:col w:w="258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21"/>
        <w:gridCol w:w="1318"/>
        <w:gridCol w:w="1426"/>
        <w:gridCol w:w="2945"/>
      </w:tblGrid>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本期发生额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3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5,172,238.79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29,500,314.74</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5,172,238.79</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847,191.31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6" w:right="0"/>
              <w:jc w:val="center"/>
              <w:rPr>
                <w:rFonts w:ascii="Times New Roman" w:hAnsi="Times New Roman" w:cs="Times New Roman" w:eastAsia="Times New Roman" w:hint="default"/>
                <w:sz w:val="21"/>
                <w:szCs w:val="21"/>
              </w:rPr>
            </w:pPr>
            <w:r>
              <w:rPr>
                <w:rFonts w:ascii="Times New Roman"/>
                <w:sz w:val="21"/>
              </w:rPr>
              <w:t>1,185,071.86</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847,191.31</w:t>
            </w:r>
          </w:p>
        </w:tc>
      </w:tr>
      <w:tr>
        <w:trPr>
          <w:trHeight w:val="252" w:hRule="exact"/>
        </w:trPr>
        <w:tc>
          <w:tcPr>
            <w:tcW w:w="312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2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6,019,430.10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30,685,386.60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6,019,430.10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40"/>
        </w:sectPr>
      </w:pPr>
    </w:p>
    <w:p>
      <w:pPr>
        <w:spacing w:line="240" w:lineRule="auto" w:before="3"/>
        <w:rPr>
          <w:rFonts w:ascii="宋体" w:hAnsi="宋体" w:cs="宋体" w:eastAsia="宋体" w:hint="default"/>
          <w:sz w:val="14"/>
          <w:szCs w:val="14"/>
        </w:rPr>
      </w:pPr>
    </w:p>
    <w:p>
      <w:pPr>
        <w:pStyle w:val="BodyText"/>
        <w:spacing w:line="273" w:lineRule="exact"/>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2452" w:space="4072"/>
            <w:col w:w="2586"/>
          </w:cols>
        </w:sectPr>
      </w:pP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261"/>
        <w:gridCol w:w="1320"/>
        <w:gridCol w:w="1320"/>
        <w:gridCol w:w="1923"/>
      </w:tblGrid>
      <w:tr>
        <w:trPr>
          <w:trHeight w:val="566"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21"/>
                <w:szCs w:val="21"/>
              </w:rPr>
            </w:pPr>
            <w:r>
              <w:rPr>
                <w:rFonts w:ascii="宋体" w:hAnsi="宋体" w:cs="宋体" w:eastAsia="宋体" w:hint="default"/>
                <w:spacing w:val="-1"/>
                <w:sz w:val="21"/>
                <w:szCs w:val="21"/>
              </w:rPr>
              <w:t>本期发生金额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21"/>
                <w:szCs w:val="21"/>
              </w:rPr>
            </w:pPr>
            <w:r>
              <w:rPr>
                <w:rFonts w:ascii="宋体" w:hAnsi="宋体" w:cs="宋体" w:eastAsia="宋体" w:hint="default"/>
                <w:spacing w:val="-2"/>
                <w:sz w:val="21"/>
                <w:szCs w:val="21"/>
              </w:rPr>
              <w:t>上期发生金额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744" w:right="84" w:hanging="659"/>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上市公司奖励经费</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5,658,735.70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产业政策扶持资金</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3,000,000.00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科技创新奖励</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1,351,320.00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服务型制造示范企业奖励</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650,000.00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服务外包发展专项奖励</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715,300.00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园区发展突出贡献企业奖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企业发展专项奖励</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426,100.00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月企业出口奖励</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378,000.00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外经贸发展专项资金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375,900.00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纳税先进单位奖励</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项目创新奖励</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208,000.00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327,500.00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资源勘探信息支出补助</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1,219,000.00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中国制造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2025”</w:t>
            </w:r>
            <w:r>
              <w:rPr>
                <w:rFonts w:ascii="宋体" w:hAnsi="宋体" w:cs="宋体" w:eastAsia="宋体" w:hint="default"/>
                <w:sz w:val="21"/>
                <w:szCs w:val="21"/>
              </w:rPr>
              <w:t>专项资金</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340,000.00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科技新区产业发展专项资金</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288,000.00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外经贸发展扶持资金</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518,200.00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软件企业增值税先征后返</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9,286,345.35</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博士后院士工作站经费补助</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475,000.00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稳增长促发展</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条</w:t>
            </w:r>
            <w:r>
              <w:rPr>
                <w:rFonts w:ascii="Times New Roman" w:hAnsi="Times New Roman" w:cs="Times New Roman" w:eastAsia="Times New Roman" w:hint="default"/>
                <w:sz w:val="21"/>
                <w:szCs w:val="21"/>
              </w:rPr>
              <w:t>”</w:t>
            </w:r>
            <w:r>
              <w:rPr>
                <w:rFonts w:ascii="宋体" w:hAnsi="宋体" w:cs="宋体" w:eastAsia="宋体" w:hint="default"/>
                <w:sz w:val="21"/>
                <w:szCs w:val="21"/>
              </w:rPr>
              <w:t>科技政策兑现经费补助</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企业发明专利奖励</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200,000.00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全省两化融合管理体系贯标试点企业项目经费</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高新技术项目经费补助</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科技奖励补助经费</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492,100.00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南昌市科学政策兑现项目经费</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260,000.00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3,402,568.56</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347,618.79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902,865.13</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5,172,238.79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29,500,314.74</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right="0"/>
        <w:jc w:val="left"/>
      </w:pPr>
      <w:r>
        <w:rPr/>
        <w:t>其他说明：</w:t>
      </w:r>
    </w:p>
    <w:p>
      <w:pPr>
        <w:pStyle w:val="BodyText"/>
        <w:spacing w:line="240" w:lineRule="auto" w:before="145"/>
        <w:ind w:right="0"/>
        <w:jc w:val="left"/>
      </w:pPr>
      <w:r>
        <w:rPr/>
        <w:t>□适用 √不适用</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7"/>
          <w:pgSz w:w="11910" w:h="16840"/>
          <w:pgMar w:footer="1195" w:header="0" w:top="1120" w:bottom="1380" w:left="1660" w:right="1120"/>
        </w:sectPr>
      </w:pPr>
    </w:p>
    <w:p>
      <w:pPr>
        <w:pStyle w:val="Heading2"/>
        <w:spacing w:line="240" w:lineRule="auto"/>
        <w:ind w:right="-18"/>
        <w:jc w:val="left"/>
        <w:rPr>
          <w:b w:val="0"/>
          <w:bCs w:val="0"/>
        </w:rPr>
      </w:pPr>
      <w:r>
        <w:rPr>
          <w:rFonts w:ascii="宋体" w:hAnsi="宋体" w:cs="宋体" w:eastAsia="宋体" w:hint="default"/>
        </w:rPr>
        <w:t>72</w:t>
      </w:r>
      <w:r>
        <w:rPr/>
        <w:t>、</w:t>
      </w:r>
      <w:r>
        <w:rPr>
          <w:spacing w:val="-25"/>
        </w:rPr>
        <w:t> </w:t>
      </w:r>
      <w:r>
        <w:rPr/>
        <w:t>营业外支出</w:t>
      </w:r>
      <w:r>
        <w:rPr>
          <w:b w:val="0"/>
          <w:bCs w:val="0"/>
        </w:rPr>
      </w:r>
    </w:p>
    <w:p>
      <w:pPr>
        <w:pStyle w:val="BodyText"/>
        <w:tabs>
          <w:tab w:pos="884" w:val="left" w:leader="none"/>
        </w:tabs>
        <w:spacing w:line="240" w:lineRule="auto" w:before="56"/>
        <w:ind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699" w:space="4823"/>
            <w:col w:w="260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02"/>
        <w:gridCol w:w="1320"/>
        <w:gridCol w:w="1424"/>
        <w:gridCol w:w="2948"/>
      </w:tblGrid>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本期发生额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6,948,383.23</w:t>
            </w:r>
          </w:p>
        </w:tc>
        <w:tc>
          <w:tcPr>
            <w:tcW w:w="1424"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6,948,383.23</w:t>
            </w: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6,948,383.23</w:t>
            </w:r>
          </w:p>
        </w:tc>
        <w:tc>
          <w:tcPr>
            <w:tcW w:w="1424"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6,948,383.23</w:t>
            </w:r>
          </w:p>
        </w:tc>
      </w:tr>
      <w:tr>
        <w:trPr>
          <w:trHeight w:val="28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24,916,800.00</w:t>
            </w:r>
          </w:p>
        </w:tc>
        <w:tc>
          <w:tcPr>
            <w:tcW w:w="29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952,000.00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250,000.00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952,000.00</w:t>
            </w: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防洪保安基金</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98,718.13</w:t>
            </w:r>
          </w:p>
        </w:tc>
        <w:tc>
          <w:tcPr>
            <w:tcW w:w="29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赔偿及违约金</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211,187.28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9,872.38</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211,187.28</w:t>
            </w: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8,111,570.51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25,275,390.51</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8,111,570.51</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spacing w:line="290" w:lineRule="auto"/>
        <w:ind w:right="-20"/>
        <w:jc w:val="left"/>
        <w:rPr>
          <w:b w:val="0"/>
          <w:bCs w:val="0"/>
        </w:rPr>
      </w:pPr>
      <w:r>
        <w:rPr>
          <w:rFonts w:ascii="宋体" w:hAnsi="宋体" w:cs="宋体" w:eastAsia="宋体" w:hint="default"/>
        </w:rPr>
        <w:t>73</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4"/>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831" w:space="4691"/>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19"/>
        <w:gridCol w:w="3281"/>
        <w:gridCol w:w="2624"/>
      </w:tblGrid>
      <w:tr>
        <w:trPr>
          <w:trHeight w:val="290"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52,293,296.92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32,392,230.82</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-7,767,516.68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-3,424,626.93</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44,525,780.24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28,967,603.89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660" w:right="112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727" w:space="2794"/>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553"/>
        <w:gridCol w:w="2269"/>
      </w:tblGrid>
      <w:tr>
        <w:trPr>
          <w:trHeight w:val="284"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9"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603"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1"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269" w:type="dxa"/>
            <w:tcBorders>
              <w:top w:val="single" w:sz="4"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303,851,102.61</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226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1"/>
                <w:sz w:val="21"/>
              </w:rPr>
              <w:t>45,577,665.39</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269"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2,538,526.00</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269"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3,396,850.13</w:t>
            </w:r>
          </w:p>
        </w:tc>
      </w:tr>
      <w:tr>
        <w:trPr>
          <w:trHeight w:val="286"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269"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-3,607,681.13</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269"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-13,441,257.89</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269"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-2,331,266.94</w:t>
            </w:r>
          </w:p>
        </w:tc>
      </w:tr>
      <w:tr>
        <w:trPr>
          <w:trHeight w:val="286"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269"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12,392,944.68</w:t>
            </w:r>
          </w:p>
        </w:tc>
      </w:tr>
      <w:tr>
        <w:trPr>
          <w:trHeight w:val="288" w:hRule="exact"/>
        </w:trPr>
        <w:tc>
          <w:tcPr>
            <w:tcW w:w="65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6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1"/>
                <w:sz w:val="21"/>
              </w:rPr>
              <w:t>44,525,780.24</w:t>
            </w:r>
          </w:p>
        </w:tc>
      </w:tr>
    </w:tbl>
    <w:p>
      <w:pPr>
        <w:spacing w:line="240" w:lineRule="auto" w:before="4"/>
        <w:rPr>
          <w:rFonts w:ascii="宋体" w:hAnsi="宋体" w:cs="宋体" w:eastAsia="宋体" w:hint="default"/>
          <w:sz w:val="20"/>
          <w:szCs w:val="20"/>
        </w:rPr>
      </w:pPr>
    </w:p>
    <w:p>
      <w:pPr>
        <w:pStyle w:val="BodyText"/>
        <w:spacing w:line="240" w:lineRule="auto" w:before="36"/>
        <w:ind w:right="0"/>
        <w:jc w:val="left"/>
      </w:pPr>
      <w:r>
        <w:rPr/>
        <w:t>其他说明：</w:t>
      </w:r>
    </w:p>
    <w:p>
      <w:pPr>
        <w:pStyle w:val="BodyText"/>
        <w:spacing w:line="240" w:lineRule="auto" w:before="56"/>
        <w:ind w:right="0"/>
        <w:jc w:val="left"/>
      </w:pPr>
      <w:r>
        <w:rPr/>
        <w:t>□适用 √不适用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74</w:t>
      </w:r>
      <w:r>
        <w:rPr/>
        <w:t>、</w:t>
      </w:r>
      <w:r>
        <w:rPr>
          <w:spacing w:val="-24"/>
        </w:rPr>
        <w:t> </w:t>
      </w:r>
      <w:r>
        <w:rPr/>
        <w:t>其他综合收益</w:t>
      </w:r>
      <w:r>
        <w:rPr>
          <w:b w:val="0"/>
          <w:bCs w:val="0"/>
        </w:rPr>
      </w:r>
    </w:p>
    <w:p>
      <w:pPr>
        <w:pStyle w:val="BodyText"/>
        <w:spacing w:line="272" w:lineRule="exact" w:before="86"/>
        <w:ind w:right="5591"/>
        <w:jc w:val="left"/>
      </w:pPr>
      <w:r>
        <w:rPr/>
        <w:t>√适用</w:t>
      </w:r>
      <w:r>
        <w:rPr>
          <w:spacing w:val="-2"/>
        </w:rPr>
        <w:t> </w:t>
      </w:r>
      <w:r>
        <w:rPr/>
        <w:t>□不适用</w:t>
      </w:r>
      <w:r>
        <w:rPr>
          <w:spacing w:val="-103"/>
        </w:rPr>
        <w:t> </w:t>
      </w:r>
      <w:r>
        <w:rPr>
          <w:spacing w:val="-103"/>
        </w:rPr>
      </w:r>
      <w:r>
        <w:rPr>
          <w:spacing w:val="-2"/>
        </w:rPr>
        <w:t>详见附注七、</w:t>
      </w:r>
      <w:r>
        <w:rPr>
          <w:rFonts w:ascii="Times New Roman" w:hAnsi="Times New Roman" w:cs="Times New Roman" w:eastAsia="Times New Roman" w:hint="default"/>
          <w:spacing w:val="-2"/>
        </w:rPr>
        <w:t>57</w:t>
      </w:r>
      <w:r>
        <w:rPr>
          <w:spacing w:val="-2"/>
        </w:rPr>
        <w:t>、其他综合收益</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8"/>
          <w:pgSz w:w="11910" w:h="16840"/>
          <w:pgMar w:footer="1195" w:header="0" w:top="1120" w:bottom="1380" w:left="1660" w:right="1140"/>
          <w:pgNumType w:start="141"/>
        </w:sectPr>
      </w:pPr>
    </w:p>
    <w:p>
      <w:pPr>
        <w:pStyle w:val="Heading2"/>
        <w:spacing w:line="240" w:lineRule="auto"/>
        <w:ind w:right="-2"/>
        <w:jc w:val="left"/>
        <w:rPr>
          <w:b w:val="0"/>
          <w:bCs w:val="0"/>
        </w:rPr>
      </w:pPr>
      <w:r>
        <w:rPr>
          <w:rFonts w:ascii="宋体" w:hAnsi="宋体" w:cs="宋体" w:eastAsia="宋体" w:hint="default"/>
        </w:rPr>
        <w:t>75</w:t>
      </w:r>
      <w:r>
        <w:rPr/>
        <w:t>、</w:t>
      </w:r>
      <w:r>
        <w:rPr>
          <w:spacing w:val="-24"/>
        </w:rPr>
        <w:t> </w:t>
      </w:r>
      <w:r>
        <w:rPr/>
        <w:t>现金流量表项目</w:t>
      </w:r>
      <w:r>
        <w:rPr>
          <w:b w:val="0"/>
          <w:bCs w:val="0"/>
        </w:rPr>
      </w:r>
    </w:p>
    <w:p>
      <w:pPr>
        <w:pStyle w:val="Heading2"/>
        <w:tabs>
          <w:tab w:pos="838" w:val="left" w:leader="none"/>
        </w:tabs>
        <w:spacing w:line="240" w:lineRule="auto" w:before="58"/>
        <w:ind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6"/>
        <w:ind w:right="-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4214" w:space="2308"/>
            <w:col w:w="258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22"/>
        <w:gridCol w:w="2758"/>
        <w:gridCol w:w="2746"/>
      </w:tblGrid>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2"/>
              <w:jc w:val="right"/>
              <w:rPr>
                <w:rFonts w:ascii="宋体" w:hAnsi="宋体" w:cs="宋体" w:eastAsia="宋体" w:hint="default"/>
                <w:sz w:val="21"/>
                <w:szCs w:val="21"/>
              </w:rPr>
            </w:pPr>
            <w:r>
              <w:rPr>
                <w:rFonts w:ascii="宋体" w:hAnsi="宋体" w:cs="宋体" w:eastAsia="宋体" w:hint="default"/>
                <w:sz w:val="21"/>
                <w:szCs w:val="21"/>
              </w:rPr>
              <w:t>项目</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2"/>
                <w:sz w:val="21"/>
              </w:rPr>
              <w:t>22,135,110.31</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28,097,746.18</w:t>
            </w:r>
          </w:p>
        </w:tc>
      </w:tr>
      <w:tr>
        <w:trPr>
          <w:trHeight w:val="281"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2"/>
                <w:sz w:val="21"/>
              </w:rPr>
              <w:t>11,551,523.79</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3,682,258.94</w:t>
            </w:r>
          </w:p>
        </w:tc>
      </w:tr>
      <w:tr>
        <w:trPr>
          <w:trHeight w:val="284"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往来款及其他收入</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46,768,206.85</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3,621,299.45</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2"/>
              <w:jc w:val="right"/>
              <w:rPr>
                <w:rFonts w:ascii="宋体" w:hAnsi="宋体" w:cs="宋体" w:eastAsia="宋体" w:hint="default"/>
                <w:sz w:val="21"/>
                <w:szCs w:val="21"/>
              </w:rPr>
            </w:pPr>
            <w:r>
              <w:rPr>
                <w:rFonts w:ascii="宋体" w:hAnsi="宋体" w:cs="宋体" w:eastAsia="宋体" w:hint="default"/>
                <w:sz w:val="21"/>
                <w:szCs w:val="21"/>
              </w:rPr>
              <w:t>合计</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80,454,840.95</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35,401,304.57</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40"/>
        </w:sectPr>
      </w:pPr>
    </w:p>
    <w:p>
      <w:pPr>
        <w:pStyle w:val="Heading2"/>
        <w:tabs>
          <w:tab w:pos="838" w:val="left" w:leader="none"/>
        </w:tabs>
        <w:spacing w:line="240" w:lineRule="auto"/>
        <w:ind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right="-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4214" w:space="2308"/>
            <w:col w:w="258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22"/>
        <w:gridCol w:w="2739"/>
        <w:gridCol w:w="2765"/>
      </w:tblGrid>
      <w:tr>
        <w:trPr>
          <w:trHeight w:val="281"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2"/>
              <w:jc w:val="right"/>
              <w:rPr>
                <w:rFonts w:ascii="宋体" w:hAnsi="宋体" w:cs="宋体" w:eastAsia="宋体" w:hint="default"/>
                <w:sz w:val="21"/>
                <w:szCs w:val="21"/>
              </w:rPr>
            </w:pPr>
            <w:r>
              <w:rPr>
                <w:rFonts w:ascii="宋体" w:hAnsi="宋体" w:cs="宋体" w:eastAsia="宋体" w:hint="default"/>
                <w:sz w:val="21"/>
                <w:szCs w:val="21"/>
              </w:rPr>
              <w:t>项目</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101,162,287.58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104,867,155.42</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181,641,903.33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152,675,502.01</w:t>
            </w:r>
          </w:p>
        </w:tc>
      </w:tr>
      <w:tr>
        <w:trPr>
          <w:trHeight w:val="281"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8,943,541.26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7,845,554.91</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往来款及其他支出</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89,729,451.52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18,042,745.81</w:t>
            </w:r>
          </w:p>
        </w:tc>
      </w:tr>
      <w:tr>
        <w:trPr>
          <w:trHeight w:val="284"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2"/>
              <w:jc w:val="right"/>
              <w:rPr>
                <w:rFonts w:ascii="宋体" w:hAnsi="宋体" w:cs="宋体" w:eastAsia="宋体" w:hint="default"/>
                <w:sz w:val="21"/>
                <w:szCs w:val="21"/>
              </w:rPr>
            </w:pPr>
            <w:r>
              <w:rPr>
                <w:rFonts w:ascii="宋体" w:hAnsi="宋体" w:cs="宋体" w:eastAsia="宋体" w:hint="default"/>
                <w:sz w:val="21"/>
                <w:szCs w:val="21"/>
              </w:rPr>
              <w:t>合计</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381,477,183.69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283,430,958.15</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40"/>
        </w:sectPr>
      </w:pPr>
    </w:p>
    <w:p>
      <w:pPr>
        <w:pStyle w:val="Heading2"/>
        <w:tabs>
          <w:tab w:pos="865" w:val="left" w:leader="none"/>
        </w:tabs>
        <w:spacing w:line="240" w:lineRule="auto"/>
        <w:ind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8"/>
        <w:ind w:right="-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89" w:val="left" w:leader="none"/>
        </w:tabs>
        <w:spacing w:line="240" w:lineRule="auto"/>
        <w:ind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40"/>
          <w:cols w:num="2" w:equalWidth="0">
            <w:col w:w="4029" w:space="2646"/>
            <w:col w:w="2435"/>
          </w:cols>
        </w:sectPr>
      </w:pPr>
    </w:p>
    <w:tbl>
      <w:tblPr>
        <w:tblW w:w="0" w:type="auto"/>
        <w:jc w:val="left"/>
        <w:tblInd w:w="102" w:type="dxa"/>
        <w:tblLayout w:type="fixed"/>
        <w:tblCellMar>
          <w:top w:w="0" w:type="dxa"/>
          <w:left w:w="0" w:type="dxa"/>
          <w:bottom w:w="0" w:type="dxa"/>
          <w:right w:w="0" w:type="dxa"/>
        </w:tblCellMar>
        <w:tblLook w:val="01E0"/>
      </w:tblPr>
      <w:tblGrid>
        <w:gridCol w:w="3322"/>
        <w:gridCol w:w="2840"/>
        <w:gridCol w:w="2665"/>
      </w:tblGrid>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2"/>
              <w:jc w:val="right"/>
              <w:rPr>
                <w:rFonts w:ascii="宋体" w:hAnsi="宋体" w:cs="宋体" w:eastAsia="宋体" w:hint="default"/>
                <w:sz w:val="21"/>
                <w:szCs w:val="21"/>
              </w:rPr>
            </w:pPr>
            <w:r>
              <w:rPr>
                <w:rFonts w:ascii="宋体" w:hAnsi="宋体" w:cs="宋体" w:eastAsia="宋体" w:hint="default"/>
                <w:sz w:val="21"/>
                <w:szCs w:val="21"/>
              </w:rPr>
              <w:t>项目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w:t>
            </w:r>
            <w:r>
              <w:rPr>
                <w:rFonts w:ascii="Times New Roman" w:hAnsi="Times New Roman" w:cs="Times New Roman" w:eastAsia="Times New Roman" w:hint="default"/>
                <w:sz w:val="21"/>
                <w:szCs w:val="21"/>
              </w:rPr>
              <w:t>BT</w:t>
            </w:r>
            <w:r>
              <w:rPr>
                <w:rFonts w:ascii="宋体" w:hAnsi="宋体" w:cs="宋体" w:eastAsia="宋体" w:hint="default"/>
                <w:sz w:val="21"/>
                <w:szCs w:val="21"/>
              </w:rPr>
              <w:t>项目款</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2"/>
              <w:jc w:val="right"/>
              <w:rPr>
                <w:rFonts w:ascii="宋体" w:hAnsi="宋体" w:cs="宋体" w:eastAsia="宋体" w:hint="default"/>
                <w:sz w:val="21"/>
                <w:szCs w:val="21"/>
              </w:rPr>
            </w:pPr>
            <w:r>
              <w:rPr>
                <w:rFonts w:ascii="宋体" w:hAnsi="宋体" w:cs="宋体" w:eastAsia="宋体" w:hint="default"/>
                <w:sz w:val="21"/>
                <w:szCs w:val="21"/>
              </w:rPr>
              <w:t>合计</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130,000,000.00</w:t>
            </w:r>
          </w:p>
        </w:tc>
      </w:tr>
    </w:tbl>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660" w:right="1140"/>
        </w:sectPr>
      </w:pPr>
    </w:p>
    <w:p>
      <w:pPr>
        <w:pStyle w:val="Heading2"/>
        <w:tabs>
          <w:tab w:pos="865" w:val="left" w:leader="none"/>
        </w:tabs>
        <w:spacing w:line="240" w:lineRule="auto"/>
        <w:ind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6"/>
        <w:ind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4029" w:space="2493"/>
            <w:col w:w="258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22"/>
        <w:gridCol w:w="2842"/>
        <w:gridCol w:w="2662"/>
      </w:tblGrid>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2"/>
              <w:jc w:val="right"/>
              <w:rPr>
                <w:rFonts w:ascii="宋体" w:hAnsi="宋体" w:cs="宋体" w:eastAsia="宋体" w:hint="default"/>
                <w:sz w:val="21"/>
                <w:szCs w:val="21"/>
              </w:rPr>
            </w:pPr>
            <w:r>
              <w:rPr>
                <w:rFonts w:ascii="宋体" w:hAnsi="宋体" w:cs="宋体" w:eastAsia="宋体" w:hint="default"/>
                <w:sz w:val="21"/>
                <w:szCs w:val="21"/>
              </w:rPr>
              <w:t>项目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项目代建款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51,300,000.00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w:t>
            </w:r>
            <w:r>
              <w:rPr>
                <w:rFonts w:ascii="Times New Roman" w:hAnsi="Times New Roman" w:cs="Times New Roman" w:eastAsia="Times New Roman" w:hint="default"/>
                <w:sz w:val="21"/>
                <w:szCs w:val="21"/>
              </w:rPr>
              <w:t>BT</w:t>
            </w:r>
            <w:r>
              <w:rPr>
                <w:rFonts w:ascii="宋体" w:hAnsi="宋体" w:cs="宋体" w:eastAsia="宋体" w:hint="default"/>
                <w:sz w:val="21"/>
                <w:szCs w:val="21"/>
              </w:rPr>
              <w:t>项目款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10,000,000.00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33,000,000.00</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2"/>
              <w:jc w:val="righ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61,300,000.00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113,000,000.00</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40"/>
        </w:sectPr>
      </w:pPr>
    </w:p>
    <w:p>
      <w:pPr>
        <w:pStyle w:val="Heading2"/>
        <w:tabs>
          <w:tab w:pos="977" w:val="left" w:leader="none"/>
        </w:tabs>
        <w:spacing w:line="240" w:lineRule="auto"/>
        <w:ind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8"/>
        <w:ind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4142" w:space="2380"/>
            <w:col w:w="258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22"/>
        <w:gridCol w:w="2842"/>
        <w:gridCol w:w="2662"/>
      </w:tblGrid>
      <w:tr>
        <w:trPr>
          <w:trHeight w:val="281"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收到的银行承兑汇票、保函保证金</w:t>
            </w:r>
          </w:p>
        </w:tc>
        <w:tc>
          <w:tcPr>
            <w:tcW w:w="2842" w:type="dxa"/>
            <w:tcBorders>
              <w:top w:val="single" w:sz="4" w:space="0" w:color="000000"/>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46,078,366.01</w:t>
            </w:r>
          </w:p>
        </w:tc>
      </w:tr>
      <w:tr>
        <w:trPr>
          <w:trHeight w:val="284"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收到的股权激励款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119,000,000.00</w:t>
            </w:r>
          </w:p>
        </w:tc>
        <w:tc>
          <w:tcPr>
            <w:tcW w:w="26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119,000,000.00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46,078,366.01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1460" w:right="1040"/>
        </w:sectPr>
      </w:pPr>
    </w:p>
    <w:p>
      <w:pPr>
        <w:pStyle w:val="Heading2"/>
        <w:tabs>
          <w:tab w:pos="1177" w:val="left" w:leader="none"/>
        </w:tabs>
        <w:spacing w:line="240" w:lineRule="auto"/>
        <w:ind w:left="338"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8"/>
        <w:ind w:left="338" w:right="-3"/>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4342" w:space="2180"/>
            <w:col w:w="2888"/>
          </w:cols>
        </w:sectPr>
      </w:pPr>
    </w:p>
    <w:p>
      <w:pPr>
        <w:spacing w:line="240" w:lineRule="auto" w:before="4"/>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3322"/>
        <w:gridCol w:w="2842"/>
        <w:gridCol w:w="2662"/>
      </w:tblGrid>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回购股权款</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268,960,699.04</w:t>
            </w:r>
          </w:p>
        </w:tc>
        <w:tc>
          <w:tcPr>
            <w:tcW w:w="26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支付的银行承兑汇票、保函保证金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24,670,715.94</w:t>
            </w:r>
          </w:p>
        </w:tc>
        <w:tc>
          <w:tcPr>
            <w:tcW w:w="26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非公开发行股票支付的费用</w:t>
            </w:r>
          </w:p>
        </w:tc>
        <w:tc>
          <w:tcPr>
            <w:tcW w:w="2842" w:type="dxa"/>
            <w:tcBorders>
              <w:top w:val="single" w:sz="4" w:space="0" w:color="000000"/>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13,980,086.43</w:t>
            </w: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债券手续费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10,000.00</w:t>
            </w:r>
          </w:p>
        </w:tc>
        <w:tc>
          <w:tcPr>
            <w:tcW w:w="26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保理手续费</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2,056,097.15</w:t>
            </w:r>
          </w:p>
        </w:tc>
        <w:tc>
          <w:tcPr>
            <w:tcW w:w="26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295,697,512.13</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13,980,086.43</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460" w:right="1040"/>
        </w:sectPr>
      </w:pPr>
    </w:p>
    <w:p>
      <w:pPr>
        <w:pStyle w:val="Heading2"/>
        <w:spacing w:line="290" w:lineRule="auto"/>
        <w:ind w:left="338" w:right="-18"/>
        <w:jc w:val="left"/>
        <w:rPr>
          <w:b w:val="0"/>
          <w:bCs w:val="0"/>
        </w:rPr>
      </w:pPr>
      <w:r>
        <w:rPr>
          <w:rFonts w:ascii="宋体" w:hAnsi="宋体" w:cs="宋体" w:eastAsia="宋体" w:hint="default"/>
        </w:rPr>
        <w:t>76</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84" w:val="left" w:leader="none"/>
        </w:tabs>
        <w:spacing w:line="240" w:lineRule="auto" w:before="14"/>
        <w:ind w:left="338"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2743" w:space="3778"/>
            <w:col w:w="2889"/>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5720"/>
        <w:gridCol w:w="1757"/>
        <w:gridCol w:w="1685"/>
      </w:tblGrid>
      <w:tr>
        <w:trPr>
          <w:trHeight w:val="281"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57"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8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757" w:type="dxa"/>
            <w:tcBorders>
              <w:top w:val="single" w:sz="4" w:space="0" w:color="000000"/>
              <w:left w:val="single" w:sz="4" w:space="0" w:color="000000"/>
              <w:bottom w:val="single" w:sz="6" w:space="0" w:color="000000"/>
              <w:right w:val="single" w:sz="6" w:space="0" w:color="000000"/>
            </w:tcBorders>
          </w:tcPr>
          <w:p>
            <w:pPr/>
          </w:p>
        </w:tc>
        <w:tc>
          <w:tcPr>
            <w:tcW w:w="168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259,325,322.37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137,358,560.71</w:t>
            </w:r>
          </w:p>
        </w:tc>
      </w:tr>
      <w:tr>
        <w:trPr>
          <w:trHeight w:val="286"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80,383,988.70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61,683,588.86</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pacing w:val="-1"/>
                <w:sz w:val="21"/>
              </w:rPr>
              <w:t>52,885,508.99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pacing w:val="-1"/>
                <w:sz w:val="21"/>
              </w:rPr>
              <w:t>58,499,384.02</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35,915,070.89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35,626,189.07</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2"/>
                <w:sz w:val="21"/>
              </w:rPr>
              <w:t>11,764,999.57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Times New Roman" w:hAnsi="Times New Roman" w:cs="Times New Roman" w:eastAsia="Times New Roman" w:hint="default"/>
                <w:sz w:val="21"/>
                <w:szCs w:val="21"/>
              </w:rPr>
            </w:pPr>
            <w:r>
              <w:rPr>
                <w:rFonts w:ascii="Times New Roman"/>
                <w:spacing w:val="-1"/>
                <w:sz w:val="21"/>
              </w:rPr>
              <w:t>1,624,206.50</w:t>
            </w:r>
          </w:p>
        </w:tc>
      </w:tr>
      <w:tr>
        <w:trPr>
          <w:trHeight w:val="559"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处置固定资产、无形资产和其他长期资产的损失（收益以</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-2,119,508.27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14,534,465.79</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6,948,383.23</w:t>
            </w: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113,707,143.89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78,718,488.65</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-128,975,309.63</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-72,679,673.89</w:t>
            </w:r>
          </w:p>
        </w:tc>
      </w:tr>
      <w:tr>
        <w:trPr>
          <w:trHeight w:val="286"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-7,567,931.56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pacing w:val="-1"/>
                <w:sz w:val="21"/>
              </w:rPr>
              <w:t>-4,919,684.07</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-699,204.95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pacing w:val="-1"/>
                <w:sz w:val="21"/>
              </w:rPr>
              <w:t>261,487.40</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-79,244,522.19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2"/>
                <w:sz w:val="21"/>
              </w:rPr>
              <w:t>-4,315,118.14</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-2,088,804,410.77</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-982,051,938.54</w:t>
            </w:r>
          </w:p>
        </w:tc>
      </w:tr>
      <w:tr>
        <w:trPr>
          <w:trHeight w:val="286"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1,382,909,015.44</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923,703,633.50</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7"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-363,571,454.29</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248,043,589.86</w:t>
            </w:r>
          </w:p>
        </w:tc>
      </w:tr>
      <w:tr>
        <w:trPr>
          <w:trHeight w:val="286"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757"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57"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57"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57"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757"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6"/>
              <w:jc w:val="right"/>
              <w:rPr>
                <w:rFonts w:ascii="Times New Roman" w:hAnsi="Times New Roman" w:cs="Times New Roman" w:eastAsia="Times New Roman" w:hint="default"/>
                <w:sz w:val="21"/>
                <w:szCs w:val="21"/>
              </w:rPr>
            </w:pPr>
            <w:r>
              <w:rPr>
                <w:rFonts w:ascii="Times New Roman"/>
                <w:spacing w:val="-2"/>
                <w:sz w:val="21"/>
              </w:rPr>
              <w:t>1,033,080,744.11</w:t>
            </w:r>
            <w:r>
              <w:rPr>
                <w:rFonts w:ascii="Times New Roman"/>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pacing w:val="-1"/>
                <w:sz w:val="21"/>
              </w:rPr>
              <w:t>1,317,613,612.66</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1,317,613,612.66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3"/>
              <w:jc w:val="right"/>
              <w:rPr>
                <w:rFonts w:ascii="Times New Roman" w:hAnsi="Times New Roman" w:cs="Times New Roman" w:eastAsia="Times New Roman" w:hint="default"/>
                <w:sz w:val="21"/>
                <w:szCs w:val="21"/>
              </w:rPr>
            </w:pPr>
            <w:r>
              <w:rPr>
                <w:rFonts w:ascii="Times New Roman"/>
                <w:spacing w:val="-1"/>
                <w:sz w:val="21"/>
              </w:rPr>
              <w:t>933,855,500.38</w:t>
            </w: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57"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57"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7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-284,532,868.55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pacing w:val="-1"/>
                <w:sz w:val="21"/>
              </w:rPr>
              <w:t>383,758,112.28</w:t>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120" w:bottom="1380" w:left="14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340" w:right="1060"/>
        </w:sectPr>
      </w:pPr>
    </w:p>
    <w:p>
      <w:pPr>
        <w:pStyle w:val="Heading2"/>
        <w:spacing w:line="240" w:lineRule="auto"/>
        <w:ind w:left="458"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left="45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1060"/>
          <w:cols w:num="2" w:equalWidth="0">
            <w:col w:w="4047" w:space="2475"/>
            <w:col w:w="2988"/>
          </w:cols>
        </w:sectPr>
      </w:pPr>
    </w:p>
    <w:p>
      <w:pPr>
        <w:spacing w:line="240" w:lineRule="auto" w:before="7"/>
        <w:rPr>
          <w:rFonts w:ascii="宋体" w:hAnsi="宋体" w:cs="宋体" w:eastAsia="宋体" w:hint="default"/>
          <w:sz w:val="2"/>
          <w:szCs w:val="2"/>
        </w:rPr>
      </w:pPr>
    </w:p>
    <w:tbl>
      <w:tblPr>
        <w:tblW w:w="0" w:type="auto"/>
        <w:jc w:val="left"/>
        <w:tblInd w:w="458" w:type="dxa"/>
        <w:tblLayout w:type="fixed"/>
        <w:tblCellMar>
          <w:top w:w="0" w:type="dxa"/>
          <w:left w:w="0" w:type="dxa"/>
          <w:bottom w:w="0" w:type="dxa"/>
          <w:right w:w="0" w:type="dxa"/>
        </w:tblCellMar>
        <w:tblLook w:val="01E0"/>
      </w:tblPr>
      <w:tblGrid>
        <w:gridCol w:w="6234"/>
        <w:gridCol w:w="2590"/>
      </w:tblGrid>
      <w:tr>
        <w:trPr>
          <w:trHeight w:val="281" w:hRule="exact"/>
        </w:trPr>
        <w:tc>
          <w:tcPr>
            <w:tcW w:w="6234"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490,000,000.00</w:t>
            </w:r>
          </w:p>
        </w:tc>
      </w:tr>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其中：上海红生系统工程有限公司</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490,000,000.00</w:t>
            </w:r>
          </w:p>
        </w:tc>
      </w:tr>
      <w:tr>
        <w:trPr>
          <w:trHeight w:val="281"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2,036,250.57</w:t>
            </w:r>
          </w:p>
        </w:tc>
      </w:tr>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其中：上海红生系统工程有限公司</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2,036,250.57</w:t>
            </w:r>
          </w:p>
        </w:tc>
      </w:tr>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25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487,963,749.43</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340" w:right="1060"/>
        </w:sectPr>
      </w:pPr>
    </w:p>
    <w:p>
      <w:pPr>
        <w:pStyle w:val="Heading2"/>
        <w:spacing w:line="240" w:lineRule="auto"/>
        <w:ind w:left="458"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left="45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1060"/>
          <w:cols w:num="2" w:equalWidth="0">
            <w:col w:w="4047" w:space="2475"/>
            <w:col w:w="2988"/>
          </w:cols>
        </w:sectPr>
      </w:pPr>
    </w:p>
    <w:p>
      <w:pPr>
        <w:spacing w:line="240" w:lineRule="auto" w:before="7"/>
        <w:rPr>
          <w:rFonts w:ascii="宋体" w:hAnsi="宋体" w:cs="宋体" w:eastAsia="宋体" w:hint="default"/>
          <w:sz w:val="2"/>
          <w:szCs w:val="2"/>
        </w:rPr>
      </w:pPr>
    </w:p>
    <w:tbl>
      <w:tblPr>
        <w:tblW w:w="0" w:type="auto"/>
        <w:jc w:val="left"/>
        <w:tblInd w:w="458" w:type="dxa"/>
        <w:tblLayout w:type="fixed"/>
        <w:tblCellMar>
          <w:top w:w="0" w:type="dxa"/>
          <w:left w:w="0" w:type="dxa"/>
          <w:bottom w:w="0" w:type="dxa"/>
          <w:right w:w="0" w:type="dxa"/>
        </w:tblCellMar>
        <w:tblLook w:val="01E0"/>
      </w:tblPr>
      <w:tblGrid>
        <w:gridCol w:w="5756"/>
        <w:gridCol w:w="3068"/>
      </w:tblGrid>
      <w:tr>
        <w:trPr>
          <w:trHeight w:val="281" w:hRule="exact"/>
        </w:trPr>
        <w:tc>
          <w:tcPr>
            <w:tcW w:w="5756"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91,500,000.00</w:t>
            </w:r>
          </w:p>
        </w:tc>
      </w:tr>
      <w:tr>
        <w:trPr>
          <w:trHeight w:val="281"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其中：江西希望科技有限公司</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1" w:right="0"/>
              <w:jc w:val="left"/>
              <w:rPr>
                <w:rFonts w:ascii="宋体" w:hAnsi="宋体" w:cs="宋体" w:eastAsia="宋体" w:hint="default"/>
                <w:sz w:val="21"/>
                <w:szCs w:val="21"/>
              </w:rPr>
            </w:pPr>
            <w:r>
              <w:rPr>
                <w:rFonts w:ascii="宋体" w:hAnsi="宋体" w:cs="宋体" w:eastAsia="宋体" w:hint="default"/>
                <w:sz w:val="21"/>
                <w:szCs w:val="21"/>
              </w:rPr>
              <w:t>江西泰豪科技进出口有限公司</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81,500,000.00</w:t>
            </w: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1,867,981.04</w:t>
            </w:r>
          </w:p>
        </w:tc>
      </w:tr>
      <w:tr>
        <w:trPr>
          <w:trHeight w:val="281"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其中：江西希望科技有限公司</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90,638.88</w:t>
            </w: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1" w:right="0"/>
              <w:jc w:val="left"/>
              <w:rPr>
                <w:rFonts w:ascii="宋体" w:hAnsi="宋体" w:cs="宋体" w:eastAsia="宋体" w:hint="default"/>
                <w:sz w:val="21"/>
                <w:szCs w:val="21"/>
              </w:rPr>
            </w:pPr>
            <w:r>
              <w:rPr>
                <w:rFonts w:ascii="宋体" w:hAnsi="宋体" w:cs="宋体" w:eastAsia="宋体" w:hint="default"/>
                <w:sz w:val="21"/>
                <w:szCs w:val="21"/>
              </w:rPr>
              <w:t>江西泰豪科技进出口有限公司</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1,777,342.16</w:t>
            </w: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89,632,018.96</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340" w:right="1060"/>
        </w:sectPr>
      </w:pPr>
    </w:p>
    <w:p>
      <w:pPr>
        <w:pStyle w:val="Heading2"/>
        <w:spacing w:line="240" w:lineRule="auto"/>
        <w:ind w:left="458"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8"/>
        <w:ind w:left="45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1060"/>
          <w:cols w:num="2" w:equalWidth="0">
            <w:col w:w="3205" w:space="3317"/>
            <w:col w:w="29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886"/>
        <w:gridCol w:w="1688"/>
        <w:gridCol w:w="1685"/>
      </w:tblGrid>
      <w:tr>
        <w:trPr>
          <w:trHeight w:val="293"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2"/>
                <w:sz w:val="21"/>
              </w:rPr>
              <w:t>1,033,080,744.11</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1,317,613,612.66</w:t>
            </w: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47,847.84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82,977.36</w:t>
            </w: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1,033,032,896.27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1,317,530,635.30</w:t>
            </w: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2"/>
                <w:sz w:val="21"/>
              </w:rPr>
              <w:t>1,033,080,744.11</w:t>
            </w:r>
            <w:r>
              <w:rPr>
                <w:rFonts w:ascii="Times New Roman"/>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1,317,613,612.66</w:t>
            </w:r>
          </w:p>
        </w:tc>
      </w:tr>
      <w:tr>
        <w:trPr>
          <w:trHeight w:val="295"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其中：母公司或集团内子公司使用受限制的现金和现金等价物</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106,842,238.69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82,171,522.75</w:t>
            </w:r>
          </w:p>
        </w:tc>
      </w:tr>
    </w:tbl>
    <w:p>
      <w:pPr>
        <w:spacing w:line="240" w:lineRule="auto" w:before="7"/>
        <w:rPr>
          <w:rFonts w:ascii="宋体" w:hAnsi="宋体" w:cs="宋体" w:eastAsia="宋体" w:hint="default"/>
          <w:sz w:val="17"/>
          <w:szCs w:val="17"/>
        </w:rPr>
      </w:pPr>
    </w:p>
    <w:p>
      <w:pPr>
        <w:pStyle w:val="BodyText"/>
        <w:spacing w:line="240" w:lineRule="auto" w:before="36"/>
        <w:ind w:left="458" w:right="0"/>
        <w:jc w:val="left"/>
      </w:pPr>
      <w:r>
        <w:rPr/>
        <w:t>其他说明：</w:t>
      </w:r>
    </w:p>
    <w:p>
      <w:pPr>
        <w:pStyle w:val="BodyText"/>
        <w:spacing w:line="240" w:lineRule="auto" w:before="58"/>
        <w:ind w:left="458" w:right="0"/>
        <w:jc w:val="left"/>
      </w:pPr>
      <w:r>
        <w:rPr/>
        <w:t>□适用 √不适用</w:t>
      </w:r>
    </w:p>
    <w:p>
      <w:pPr>
        <w:spacing w:line="240" w:lineRule="auto" w:before="5"/>
        <w:rPr>
          <w:rFonts w:ascii="宋体" w:hAnsi="宋体" w:cs="宋体" w:eastAsia="宋体" w:hint="default"/>
          <w:sz w:val="27"/>
          <w:szCs w:val="27"/>
        </w:rPr>
      </w:pPr>
    </w:p>
    <w:p>
      <w:pPr>
        <w:spacing w:line="290" w:lineRule="auto" w:before="0"/>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77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left="458" w:right="0"/>
        <w:jc w:val="left"/>
      </w:pPr>
      <w:r>
        <w:rPr/>
        <w:t>□适用 √不适用</w:t>
      </w:r>
    </w:p>
    <w:p>
      <w:pPr>
        <w:spacing w:after="0" w:line="230" w:lineRule="exact"/>
        <w:jc w:val="left"/>
        <w:sectPr>
          <w:type w:val="continuous"/>
          <w:pgSz w:w="11910" w:h="16840"/>
          <w:pgMar w:top="1120" w:bottom="1380" w:left="134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120"/>
        </w:sectPr>
      </w:pPr>
    </w:p>
    <w:p>
      <w:pPr>
        <w:pStyle w:val="Heading2"/>
        <w:spacing w:line="240" w:lineRule="auto"/>
        <w:ind w:left="218" w:right="-17"/>
        <w:jc w:val="left"/>
        <w:rPr>
          <w:b w:val="0"/>
          <w:bCs w:val="0"/>
        </w:rPr>
      </w:pPr>
      <w:r>
        <w:rPr>
          <w:rFonts w:ascii="宋体" w:hAnsi="宋体" w:cs="宋体" w:eastAsia="宋体" w:hint="default"/>
        </w:rPr>
        <w:t>78</w:t>
      </w:r>
      <w:r>
        <w:rPr/>
        <w:t>、</w:t>
      </w:r>
      <w:r>
        <w:rPr>
          <w:spacing w:val="-27"/>
        </w:rPr>
        <w:t> </w:t>
      </w:r>
      <w:r>
        <w:rPr/>
        <w:t>所有权或使用权受到限制的资产</w:t>
      </w:r>
      <w:r>
        <w:rPr>
          <w:b w:val="0"/>
          <w:bCs w:val="0"/>
        </w:rPr>
      </w:r>
    </w:p>
    <w:p>
      <w:pPr>
        <w:pStyle w:val="BodyText"/>
        <w:spacing w:line="240" w:lineRule="auto" w:before="58"/>
        <w:ind w:left="21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3675" w:space="2847"/>
            <w:col w:w="2688"/>
          </w:cols>
        </w:sectPr>
      </w:pP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410"/>
        <w:gridCol w:w="1373"/>
        <w:gridCol w:w="5147"/>
      </w:tblGrid>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1"/>
                <w:sz w:val="21"/>
                <w:szCs w:val="21"/>
              </w:rPr>
              <w:t>期末账面价值</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pacing w:val="-1"/>
                <w:sz w:val="21"/>
              </w:rPr>
              <w:t>106,842,238.69</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为票据及信用证保证金</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73" w:type="dxa"/>
            <w:tcBorders>
              <w:top w:val="single" w:sz="4" w:space="0" w:color="000000"/>
              <w:left w:val="single" w:sz="4" w:space="0" w:color="000000"/>
              <w:bottom w:val="single" w:sz="4" w:space="0" w:color="000000"/>
              <w:right w:val="single" w:sz="4" w:space="0" w:color="000000"/>
            </w:tcBorders>
          </w:tcPr>
          <w:p>
            <w:pPr/>
          </w:p>
        </w:tc>
        <w:tc>
          <w:tcPr>
            <w:tcW w:w="51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0"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373" w:type="dxa"/>
            <w:tcBorders>
              <w:top w:val="single" w:sz="4" w:space="0" w:color="000000"/>
              <w:left w:val="single" w:sz="4" w:space="0" w:color="000000"/>
              <w:bottom w:val="single" w:sz="6" w:space="0" w:color="000000"/>
              <w:right w:val="single" w:sz="4" w:space="0" w:color="000000"/>
            </w:tcBorders>
          </w:tcPr>
          <w:p>
            <w:pPr/>
          </w:p>
        </w:tc>
        <w:tc>
          <w:tcPr>
            <w:tcW w:w="5147"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Times New Roman" w:hAnsi="Times New Roman" w:cs="Times New Roman" w:eastAsia="Times New Roman" w:hint="default"/>
                <w:sz w:val="21"/>
                <w:szCs w:val="21"/>
              </w:rPr>
              <w:t>-</w:t>
            </w:r>
            <w:r>
              <w:rPr>
                <w:rFonts w:ascii="宋体" w:hAnsi="宋体" w:cs="宋体" w:eastAsia="宋体" w:hint="default"/>
                <w:sz w:val="21"/>
                <w:szCs w:val="21"/>
              </w:rPr>
              <w:t>房屋建筑物</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9,454,641.00</w:t>
            </w:r>
          </w:p>
        </w:tc>
        <w:tc>
          <w:tcPr>
            <w:tcW w:w="5147" w:type="dxa"/>
            <w:vMerge w:val="restart"/>
            <w:tcBorders>
              <w:top w:val="single" w:sz="6" w:space="0" w:color="000000"/>
              <w:left w:val="single" w:sz="6" w:space="0" w:color="000000"/>
              <w:right w:val="single" w:sz="6"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中国银行福建龙岩支行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万短期借款抵押</w:t>
            </w:r>
          </w:p>
        </w:tc>
      </w:tr>
      <w:tr>
        <w:trPr>
          <w:trHeight w:val="28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Times New Roman" w:hAnsi="Times New Roman" w:cs="Times New Roman" w:eastAsia="Times New Roman" w:hint="default"/>
                <w:sz w:val="21"/>
                <w:szCs w:val="21"/>
              </w:rPr>
              <w:t>-</w:t>
            </w:r>
            <w:r>
              <w:rPr>
                <w:rFonts w:ascii="宋体" w:hAnsi="宋体" w:cs="宋体" w:eastAsia="宋体" w:hint="default"/>
                <w:sz w:val="21"/>
                <w:szCs w:val="21"/>
              </w:rPr>
              <w:t>土地使用权</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25,227,646.84</w:t>
            </w:r>
          </w:p>
        </w:tc>
        <w:tc>
          <w:tcPr>
            <w:tcW w:w="5147" w:type="dxa"/>
            <w:vMerge/>
            <w:tcBorders>
              <w:left w:val="single" w:sz="6" w:space="0" w:color="000000"/>
              <w:bottom w:val="single" w:sz="6" w:space="0" w:color="000000"/>
              <w:right w:val="single" w:sz="6" w:space="0" w:color="000000"/>
            </w:tcBorders>
          </w:tcPr>
          <w:p>
            <w:pPr/>
          </w:p>
        </w:tc>
      </w:tr>
      <w:tr>
        <w:trPr>
          <w:trHeight w:val="28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Times New Roman" w:hAnsi="Times New Roman" w:cs="Times New Roman" w:eastAsia="Times New Roman" w:hint="default"/>
                <w:sz w:val="21"/>
                <w:szCs w:val="21"/>
              </w:rPr>
              <w:t>-</w:t>
            </w:r>
            <w:r>
              <w:rPr>
                <w:rFonts w:ascii="宋体" w:hAnsi="宋体" w:cs="宋体" w:eastAsia="宋体" w:hint="default"/>
                <w:sz w:val="21"/>
                <w:szCs w:val="21"/>
              </w:rPr>
              <w:t>房屋建筑物</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57,167,496.36</w:t>
            </w:r>
          </w:p>
        </w:tc>
        <w:tc>
          <w:tcPr>
            <w:tcW w:w="5147" w:type="dxa"/>
            <w:vMerge w:val="restart"/>
            <w:tcBorders>
              <w:top w:val="single" w:sz="6" w:space="0" w:color="000000"/>
              <w:left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为泰豪沈阳电机有限公司在中国进出口银行上海分行、</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大连分行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万元长期借款抵押</w:t>
            </w:r>
          </w:p>
        </w:tc>
      </w:tr>
      <w:tr>
        <w:trPr>
          <w:trHeight w:val="28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Times New Roman" w:hAnsi="Times New Roman" w:cs="Times New Roman" w:eastAsia="Times New Roman" w:hint="default"/>
                <w:sz w:val="21"/>
                <w:szCs w:val="21"/>
              </w:rPr>
              <w:t>-</w:t>
            </w:r>
            <w:r>
              <w:rPr>
                <w:rFonts w:ascii="宋体" w:hAnsi="宋体" w:cs="宋体" w:eastAsia="宋体" w:hint="default"/>
                <w:sz w:val="21"/>
                <w:szCs w:val="21"/>
              </w:rPr>
              <w:t>土地使用权</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56,804,833.10</w:t>
            </w:r>
          </w:p>
        </w:tc>
        <w:tc>
          <w:tcPr>
            <w:tcW w:w="5147" w:type="dxa"/>
            <w:vMerge/>
            <w:tcBorders>
              <w:left w:val="single" w:sz="6" w:space="0" w:color="000000"/>
              <w:bottom w:val="single" w:sz="6" w:space="0" w:color="000000"/>
              <w:right w:val="single" w:sz="6" w:space="0" w:color="000000"/>
            </w:tcBorders>
          </w:tcPr>
          <w:p>
            <w:pPr/>
          </w:p>
        </w:tc>
      </w:tr>
      <w:tr>
        <w:trPr>
          <w:trHeight w:val="562"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pacing w:val="15"/>
                <w:sz w:val="21"/>
                <w:szCs w:val="21"/>
              </w:rPr>
              <w:t>长期股权投资</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龙岩市海</w:t>
            </w:r>
            <w:r>
              <w:rPr>
                <w:rFonts w:ascii="宋体" w:hAnsi="宋体" w:cs="宋体" w:eastAsia="宋体" w:hint="default"/>
                <w:sz w:val="21"/>
                <w:szCs w:val="21"/>
              </w:rPr>
            </w:r>
          </w:p>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德馨汽车有限公司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132,600,000.00</w:t>
            </w:r>
          </w:p>
        </w:tc>
        <w:tc>
          <w:tcPr>
            <w:tcW w:w="514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4,762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万长期借款质押</w:t>
            </w:r>
          </w:p>
        </w:tc>
      </w:tr>
      <w:tr>
        <w:trPr>
          <w:trHeight w:val="559" w:hRule="exact"/>
        </w:trPr>
        <w:tc>
          <w:tcPr>
            <w:tcW w:w="2410" w:type="dxa"/>
            <w:tcBorders>
              <w:top w:val="single" w:sz="6" w:space="0" w:color="000000"/>
              <w:left w:val="single" w:sz="6" w:space="0" w:color="000000"/>
              <w:bottom w:val="single" w:sz="4" w:space="0" w:color="000000"/>
              <w:right w:val="single" w:sz="6" w:space="0" w:color="000000"/>
            </w:tcBorders>
          </w:tcPr>
          <w:p>
            <w:pPr>
              <w:pStyle w:val="TableParagraph"/>
              <w:spacing w:line="247" w:lineRule="exact"/>
              <w:ind w:left="21" w:right="0"/>
              <w:jc w:val="left"/>
              <w:rPr>
                <w:rFonts w:ascii="宋体" w:hAnsi="宋体" w:cs="宋体" w:eastAsia="宋体" w:hint="default"/>
                <w:sz w:val="21"/>
                <w:szCs w:val="21"/>
              </w:rPr>
            </w:pPr>
            <w:r>
              <w:rPr>
                <w:rFonts w:ascii="宋体" w:hAnsi="宋体" w:cs="宋体" w:eastAsia="宋体" w:hint="default"/>
                <w:spacing w:val="15"/>
                <w:sz w:val="21"/>
                <w:szCs w:val="21"/>
              </w:rPr>
              <w:t>长期股权投资</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上海红生</w:t>
            </w:r>
            <w:r>
              <w:rPr>
                <w:rFonts w:ascii="宋体" w:hAnsi="宋体" w:cs="宋体" w:eastAsia="宋体" w:hint="default"/>
                <w:sz w:val="21"/>
                <w:szCs w:val="21"/>
              </w:rPr>
            </w:r>
          </w:p>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系统工程有限公司</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490,000,000.00</w:t>
            </w:r>
          </w:p>
        </w:tc>
        <w:tc>
          <w:tcPr>
            <w:tcW w:w="514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29,400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万长期借款质押</w:t>
            </w:r>
          </w:p>
        </w:tc>
      </w:tr>
      <w:tr>
        <w:trPr>
          <w:trHeight w:val="28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878,096,855.99</w:t>
            </w:r>
          </w:p>
        </w:tc>
        <w:tc>
          <w:tcPr>
            <w:tcW w:w="5147"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120"/>
        </w:sectPr>
      </w:pPr>
    </w:p>
    <w:p>
      <w:pPr>
        <w:pStyle w:val="Heading2"/>
        <w:tabs>
          <w:tab w:pos="918" w:val="left" w:leader="none"/>
        </w:tabs>
        <w:spacing w:line="290" w:lineRule="auto"/>
        <w:ind w:left="218" w:right="0"/>
        <w:jc w:val="left"/>
        <w:rPr>
          <w:rFonts w:ascii="宋体" w:hAnsi="宋体" w:cs="宋体" w:eastAsia="宋体" w:hint="default"/>
          <w:b w:val="0"/>
          <w:bCs w:val="0"/>
        </w:rPr>
      </w:pPr>
      <w:r>
        <w:rPr>
          <w:rFonts w:ascii="宋体" w:hAnsi="宋体" w:cs="宋体" w:eastAsia="宋体" w:hint="default"/>
        </w:rPr>
        <w:t>79</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120"/>
          <w:cols w:num="2" w:equalWidth="0">
            <w:col w:w="2610" w:space="5384"/>
            <w:col w:w="121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5"/>
        <w:gridCol w:w="2000"/>
        <w:gridCol w:w="2004"/>
        <w:gridCol w:w="1995"/>
      </w:tblGrid>
      <w:tr>
        <w:trPr>
          <w:trHeight w:val="555"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5"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7,890,690.52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51,559,349.99</w:t>
            </w: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10,679,088.62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7.8023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83,321,453.15</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9.52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0.8359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7.96</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95.36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8.7792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837.18</w:t>
            </w: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85,839,238.68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560,890,753.38</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13,877,802.84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7.8023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108,278,781.10</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280,535.00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8.7792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2,462,872.87</w:t>
            </w:r>
          </w:p>
        </w:tc>
      </w:tr>
      <w:tr>
        <w:trPr>
          <w:trHeight w:val="284"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2,940.00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19,210.55</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75,464,159.76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493,097,912.70</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344,398.27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7.8023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2,687,098.62</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958" w:val="left" w:leader="none"/>
        </w:tabs>
        <w:spacing w:line="240" w:lineRule="auto"/>
        <w:ind w:left="678" w:right="1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left="258" w:right="0"/>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left="258" w:right="0"/>
        <w:jc w:val="left"/>
        <w:rPr>
          <w:b w:val="0"/>
          <w:bCs w:val="0"/>
        </w:rPr>
      </w:pPr>
      <w:r>
        <w:rPr>
          <w:rFonts w:ascii="宋体" w:hAnsi="宋体" w:cs="宋体" w:eastAsia="宋体" w:hint="default"/>
        </w:rPr>
        <w:t>80</w:t>
      </w:r>
      <w:r>
        <w:rPr/>
        <w:t>、</w:t>
      </w:r>
      <w:r>
        <w:rPr>
          <w:spacing w:val="-26"/>
        </w:rPr>
        <w:t> </w:t>
      </w:r>
      <w:r>
        <w:rPr/>
        <w:t>套期</w:t>
      </w:r>
      <w:r>
        <w:rPr>
          <w:b w:val="0"/>
          <w:bCs w:val="0"/>
        </w:rPr>
      </w:r>
    </w:p>
    <w:p>
      <w:pPr>
        <w:pStyle w:val="BodyText"/>
        <w:spacing w:line="240" w:lineRule="auto" w:before="58"/>
        <w:ind w:left="258"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before="0"/>
        <w:ind w:left="258" w:right="0"/>
        <w:jc w:val="left"/>
        <w:rPr>
          <w:b w:val="0"/>
          <w:bCs w:val="0"/>
        </w:rPr>
      </w:pPr>
      <w:r>
        <w:rPr>
          <w:rFonts w:ascii="宋体" w:hAnsi="宋体" w:cs="宋体" w:eastAsia="宋体" w:hint="default"/>
        </w:rPr>
        <w:t>81</w:t>
      </w:r>
      <w:r>
        <w:rPr/>
        <w:t>、</w:t>
      </w:r>
      <w:r>
        <w:rPr>
          <w:spacing w:val="-25"/>
        </w:rPr>
        <w:t> </w:t>
      </w:r>
      <w:r>
        <w:rPr/>
        <w:t>政府补助</w:t>
      </w:r>
      <w:r>
        <w:rPr>
          <w:b w:val="0"/>
          <w:bCs w:val="0"/>
        </w:rPr>
      </w:r>
    </w:p>
    <w:p>
      <w:pPr>
        <w:pStyle w:val="Heading2"/>
        <w:tabs>
          <w:tab w:pos="682" w:val="left" w:leader="none"/>
        </w:tabs>
        <w:spacing w:line="240" w:lineRule="auto" w:before="58"/>
        <w:ind w:left="258" w:right="0"/>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04" w:val="left" w:leader="none"/>
        </w:tabs>
        <w:spacing w:line="282" w:lineRule="exact" w:before="57"/>
        <w:ind w:left="25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ind w:left="258" w:right="0"/>
        <w:jc w:val="left"/>
      </w:pPr>
      <w:r>
        <w:rPr/>
        <w:t>（</w:t>
      </w:r>
      <w:r>
        <w:rPr>
          <w:rFonts w:ascii="Times New Roman" w:hAnsi="Times New Roman" w:cs="Times New Roman" w:eastAsia="Times New Roman" w:hint="default"/>
        </w:rPr>
        <w:t>1</w:t>
      </w:r>
      <w:r>
        <w:rPr/>
        <w:t>）与资产相关的政府补助请确认为递延收益的情况参考附注七、</w:t>
      </w:r>
      <w:r>
        <w:rPr>
          <w:rFonts w:ascii="Times New Roman" w:hAnsi="Times New Roman" w:cs="Times New Roman" w:eastAsia="Times New Roman" w:hint="default"/>
        </w:rPr>
        <w:t>51</w:t>
      </w:r>
      <w:r>
        <w:rPr/>
        <w:t>、递延收益</w:t>
      </w:r>
    </w:p>
    <w:p>
      <w:pPr>
        <w:pStyle w:val="BodyText"/>
        <w:spacing w:line="281" w:lineRule="exact"/>
        <w:ind w:left="258" w:right="0"/>
        <w:jc w:val="left"/>
      </w:pPr>
      <w:r>
        <w:rPr/>
        <w:t>（</w:t>
      </w:r>
      <w:r>
        <w:rPr>
          <w:rFonts w:ascii="Times New Roman" w:hAnsi="Times New Roman" w:cs="Times New Roman" w:eastAsia="Times New Roman" w:hint="default"/>
        </w:rPr>
        <w:t>2</w:t>
      </w:r>
      <w:r>
        <w:rPr/>
        <w:t>）与收益相关的政府补助</w:t>
      </w:r>
    </w:p>
    <w:p>
      <w:pPr>
        <w:pStyle w:val="BodyText"/>
        <w:tabs>
          <w:tab w:pos="1051" w:val="left" w:leader="none"/>
        </w:tabs>
        <w:spacing w:line="258" w:lineRule="exact"/>
        <w:ind w:left="0" w:right="5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41"/>
        <w:gridCol w:w="1160"/>
        <w:gridCol w:w="2016"/>
        <w:gridCol w:w="1947"/>
      </w:tblGrid>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计入当期损益的金额</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软件收入流转税即征即退</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4,808,062.69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4,808,062.69</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流转税还返</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9,668,020.18</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9,668,020.18</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研究开发补助</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666,056.34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666,056.34</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专利发明补助</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149,000.00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149,000.00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保险补助</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256,900.00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256,900.00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人才引进补助</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369,475.00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369,475.00</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院士、博土工作站补助</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450,000.00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450,000.00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其他补助</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39,520.00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39,520.00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科技创新奖励</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1,351,320.00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1,351,320.00</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服务型制造示范企业奖励</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650,000.00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650,000.00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服务外包发展专项奖励</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715,300.00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715,300.00</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园区发展突出贡献企业奖</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企业发展专项奖励</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426,100.00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426,100.00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月企业出口奖励</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378,000.00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378,000.00</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外经贸发展专项资金</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375,900.00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375,900.00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纳税先进单位奖励</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320,000.00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项目创新奖励及补助</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208,000.00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208,000.00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347,618.79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347,618.79</w:t>
            </w:r>
          </w:p>
        </w:tc>
      </w:tr>
    </w:tbl>
    <w:p>
      <w:pPr>
        <w:spacing w:line="240" w:lineRule="auto" w:before="13"/>
        <w:rPr>
          <w:rFonts w:ascii="宋体" w:hAnsi="宋体" w:cs="宋体" w:eastAsia="宋体" w:hint="default"/>
          <w:sz w:val="19"/>
          <w:szCs w:val="19"/>
        </w:rPr>
      </w:pPr>
    </w:p>
    <w:p>
      <w:pPr>
        <w:pStyle w:val="Heading2"/>
        <w:tabs>
          <w:tab w:pos="682" w:val="left" w:leader="none"/>
        </w:tabs>
        <w:spacing w:line="240" w:lineRule="auto"/>
        <w:ind w:left="258" w:right="0"/>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6"/>
        <w:ind w:left="258" w:right="7373"/>
        <w:jc w:val="left"/>
      </w:pPr>
      <w:r>
        <w:rPr/>
        <w:t>□适用 √不适用</w:t>
      </w:r>
      <w:r>
        <w:rPr>
          <w:w w:val="100"/>
        </w:rPr>
        <w:t> </w:t>
      </w:r>
      <w:r>
        <w:rPr/>
        <w:t>其他说明</w:t>
      </w:r>
    </w:p>
    <w:p>
      <w:pPr>
        <w:pStyle w:val="BodyText"/>
        <w:spacing w:line="273" w:lineRule="auto"/>
        <w:ind w:left="258" w:right="128" w:firstLine="424"/>
        <w:jc w:val="both"/>
      </w:pPr>
      <w:r>
        <w:rPr/>
        <w:t>本公司本年确认的可收到政府补助金额合计</w:t>
      </w:r>
      <w:r>
        <w:rPr>
          <w:spacing w:val="-52"/>
        </w:rPr>
        <w:t> </w:t>
      </w:r>
      <w:r>
        <w:rPr>
          <w:rFonts w:ascii="宋体" w:hAnsi="宋体" w:cs="宋体" w:eastAsia="宋体" w:hint="default"/>
        </w:rPr>
        <w:t>26,943,173.00</w:t>
      </w:r>
      <w:r>
        <w:rPr>
          <w:rFonts w:ascii="宋体" w:hAnsi="宋体" w:cs="宋体" w:eastAsia="宋体" w:hint="default"/>
          <w:spacing w:val="-52"/>
        </w:rPr>
        <w:t> </w:t>
      </w:r>
      <w:r>
        <w:rPr/>
        <w:t>元，其中与资产相关的政府补助</w:t>
      </w:r>
      <w:r>
        <w:rPr>
          <w:w w:val="100"/>
        </w:rPr>
        <w:t> </w:t>
      </w:r>
      <w:r>
        <w:rPr>
          <w:spacing w:val="15"/>
        </w:rPr>
        <w:t>金额为</w:t>
      </w:r>
      <w:r>
        <w:rPr>
          <w:spacing w:val="38"/>
        </w:rPr>
        <w:t> </w:t>
      </w:r>
      <w:r>
        <w:rPr>
          <w:rFonts w:ascii="宋体" w:hAnsi="宋体" w:cs="宋体" w:eastAsia="宋体" w:hint="default"/>
        </w:rPr>
        <w:t>5,363,900.00</w:t>
      </w:r>
      <w:r>
        <w:rPr>
          <w:rFonts w:ascii="宋体" w:hAnsi="宋体" w:cs="宋体" w:eastAsia="宋体" w:hint="default"/>
          <w:spacing w:val="38"/>
        </w:rPr>
        <w:t> </w:t>
      </w:r>
      <w:r>
        <w:rPr>
          <w:spacing w:val="10"/>
        </w:rPr>
        <w:t>元，</w:t>
      </w:r>
      <w:r>
        <w:rPr>
          <w:spacing w:val="-80"/>
        </w:rPr>
        <w:t> </w:t>
      </w:r>
      <w:r>
        <w:rPr>
          <w:spacing w:val="17"/>
        </w:rPr>
        <w:t>本期收到为</w:t>
      </w:r>
      <w:r>
        <w:rPr>
          <w:spacing w:val="36"/>
        </w:rPr>
        <w:t> </w:t>
      </w:r>
      <w:r>
        <w:rPr>
          <w:rFonts w:ascii="宋体" w:hAnsi="宋体" w:cs="宋体" w:eastAsia="宋体" w:hint="default"/>
        </w:rPr>
        <w:t>5,363,900.00</w:t>
      </w:r>
      <w:r>
        <w:rPr>
          <w:rFonts w:ascii="宋体" w:hAnsi="宋体" w:cs="宋体" w:eastAsia="宋体" w:hint="default"/>
          <w:spacing w:val="38"/>
        </w:rPr>
        <w:t> </w:t>
      </w:r>
      <w:r>
        <w:rPr>
          <w:spacing w:val="11"/>
        </w:rPr>
        <w:t>元；</w:t>
      </w:r>
      <w:r>
        <w:rPr>
          <w:spacing w:val="-80"/>
        </w:rPr>
        <w:t> </w:t>
      </w:r>
      <w:r>
        <w:rPr>
          <w:spacing w:val="19"/>
        </w:rPr>
        <w:t>与收益相关的政府补助金额为</w:t>
      </w:r>
      <w:r>
        <w:rPr>
          <w:spacing w:val="-102"/>
        </w:rPr>
        <w:t> </w:t>
      </w:r>
      <w:r>
        <w:rPr>
          <w:spacing w:val="-102"/>
        </w:rPr>
      </w:r>
      <w:r>
        <w:rPr>
          <w:rFonts w:ascii="宋体" w:hAnsi="宋体" w:cs="宋体" w:eastAsia="宋体" w:hint="default"/>
        </w:rPr>
        <w:t>21,579,273.00</w:t>
      </w:r>
      <w:r>
        <w:rPr>
          <w:rFonts w:ascii="宋体" w:hAnsi="宋体" w:cs="宋体" w:eastAsia="宋体" w:hint="default"/>
          <w:spacing w:val="-51"/>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2"/>
        <w:spacing w:line="240" w:lineRule="auto" w:before="0"/>
        <w:ind w:left="258" w:right="0"/>
        <w:jc w:val="left"/>
        <w:rPr>
          <w:b w:val="0"/>
          <w:bCs w:val="0"/>
        </w:rPr>
      </w:pPr>
      <w:r>
        <w:rPr>
          <w:rFonts w:ascii="宋体" w:hAnsi="宋体" w:cs="宋体" w:eastAsia="宋体" w:hint="default"/>
        </w:rPr>
        <w:t>82</w:t>
      </w:r>
      <w:r>
        <w:rPr/>
        <w:t>、</w:t>
      </w:r>
      <w:r>
        <w:rPr>
          <w:spacing w:val="-26"/>
        </w:rPr>
        <w:t> </w:t>
      </w:r>
      <w:r>
        <w:rPr/>
        <w:t>其他</w:t>
      </w:r>
      <w:r>
        <w:rPr>
          <w:b w:val="0"/>
          <w:bCs w:val="0"/>
        </w:rPr>
      </w:r>
    </w:p>
    <w:p>
      <w:pPr>
        <w:pStyle w:val="BodyText"/>
        <w:spacing w:line="240" w:lineRule="auto" w:before="58"/>
        <w:ind w:left="258" w:right="0"/>
        <w:jc w:val="left"/>
      </w:pPr>
      <w:r>
        <w:rPr/>
        <w:t>□适用 √不适用</w:t>
      </w:r>
    </w:p>
    <w:p>
      <w:pPr>
        <w:spacing w:after="0" w:line="240" w:lineRule="auto"/>
        <w:jc w:val="left"/>
        <w:sectPr>
          <w:pgSz w:w="11910" w:h="16840"/>
          <w:pgMar w:header="0" w:footer="1195" w:top="1120" w:bottom="1380" w:left="154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40" w:right="1120"/>
        </w:sectPr>
      </w:pPr>
    </w:p>
    <w:p>
      <w:pPr>
        <w:pStyle w:val="Heading2"/>
        <w:spacing w:line="240" w:lineRule="auto"/>
        <w:ind w:left="258" w:right="-4"/>
        <w:jc w:val="left"/>
        <w:rPr>
          <w:b w:val="0"/>
          <w:bCs w:val="0"/>
        </w:rPr>
      </w:pPr>
      <w:r>
        <w:rPr/>
        <w:t>八、合并范围的变更</w:t>
      </w:r>
      <w:r>
        <w:rPr>
          <w:b w:val="0"/>
          <w:bCs w:val="0"/>
        </w:rPr>
      </w:r>
    </w:p>
    <w:p>
      <w:pPr>
        <w:pStyle w:val="Heading2"/>
        <w:spacing w:line="240" w:lineRule="auto" w:before="58"/>
        <w:ind w:left="258"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58" w:right="-4"/>
        <w:jc w:val="left"/>
      </w:pPr>
      <w:r>
        <w:rPr/>
        <w:t>√适用 □不适用</w:t>
      </w:r>
    </w:p>
    <w:p>
      <w:pPr>
        <w:pStyle w:val="Heading2"/>
        <w:tabs>
          <w:tab w:pos="915" w:val="left" w:leader="none"/>
        </w:tabs>
        <w:spacing w:line="240" w:lineRule="auto" w:before="58"/>
        <w:ind w:left="25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6"/>
        <w:ind w:left="258"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4079" w:space="2442"/>
            <w:col w:w="2729"/>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17"/>
        <w:gridCol w:w="961"/>
        <w:gridCol w:w="703"/>
        <w:gridCol w:w="850"/>
        <w:gridCol w:w="682"/>
        <w:gridCol w:w="788"/>
        <w:gridCol w:w="890"/>
        <w:gridCol w:w="1357"/>
        <w:gridCol w:w="1558"/>
      </w:tblGrid>
      <w:tr>
        <w:trPr>
          <w:trHeight w:val="96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383" w:right="26"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74" w:right="77"/>
              <w:jc w:val="left"/>
              <w:rPr>
                <w:rFonts w:ascii="宋体" w:hAnsi="宋体" w:cs="宋体" w:eastAsia="宋体" w:hint="default"/>
                <w:sz w:val="18"/>
                <w:szCs w:val="18"/>
              </w:rPr>
            </w:pPr>
            <w:r>
              <w:rPr>
                <w:rFonts w:ascii="宋体" w:hAnsi="宋体" w:cs="宋体" w:eastAsia="宋体" w:hint="default"/>
                <w:sz w:val="18"/>
                <w:szCs w:val="18"/>
              </w:rPr>
              <w:t>股权取 得成本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0" w:right="59"/>
              <w:jc w:val="center"/>
              <w:rPr>
                <w:rFonts w:ascii="宋体" w:hAnsi="宋体" w:cs="宋体" w:eastAsia="宋体" w:hint="default"/>
                <w:sz w:val="18"/>
                <w:szCs w:val="18"/>
              </w:rPr>
            </w:pPr>
            <w:r>
              <w:rPr>
                <w:rFonts w:ascii="宋体" w:hAnsi="宋体" w:cs="宋体" w:eastAsia="宋体" w:hint="default"/>
                <w:sz w:val="18"/>
                <w:szCs w:val="18"/>
              </w:rPr>
              <w:t>股权取得 比例</w:t>
            </w:r>
          </w:p>
          <w:p>
            <w:pPr>
              <w:pStyle w:val="TableParagraph"/>
              <w:spacing w:line="246"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64" w:right="65"/>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76" w:right="83"/>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31" w:right="44" w:hanging="92"/>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232" w:right="53" w:hanging="180"/>
              <w:jc w:val="left"/>
              <w:rPr>
                <w:rFonts w:ascii="宋体" w:hAnsi="宋体" w:cs="宋体" w:eastAsia="宋体" w:hint="default"/>
                <w:sz w:val="18"/>
                <w:szCs w:val="18"/>
              </w:rPr>
            </w:pPr>
            <w:r>
              <w:rPr>
                <w:rFonts w:ascii="宋体" w:hAnsi="宋体" w:cs="宋体" w:eastAsia="宋体" w:hint="default"/>
                <w:sz w:val="18"/>
                <w:szCs w:val="18"/>
              </w:rPr>
              <w:t>购买日至期末被购 买方的净利润</w:t>
            </w:r>
          </w:p>
        </w:tc>
      </w:tr>
      <w:tr>
        <w:trPr>
          <w:trHeight w:val="478"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3"/>
                <w:sz w:val="18"/>
                <w:szCs w:val="18"/>
              </w:rPr>
              <w:t>上海红生系统</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工程有限公司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2017/7/31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95"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2017/7/31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15"/>
              <w:jc w:val="left"/>
              <w:rPr>
                <w:rFonts w:ascii="宋体" w:hAnsi="宋体" w:cs="宋体" w:eastAsia="宋体" w:hint="default"/>
                <w:sz w:val="18"/>
                <w:szCs w:val="18"/>
              </w:rPr>
            </w:pPr>
            <w:r>
              <w:rPr>
                <w:rFonts w:ascii="宋体" w:hAnsi="宋体" w:cs="宋体" w:eastAsia="宋体" w:hint="default"/>
                <w:spacing w:val="28"/>
                <w:sz w:val="18"/>
                <w:szCs w:val="18"/>
              </w:rPr>
              <w:t>工商办理</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87" w:right="0"/>
              <w:jc w:val="left"/>
              <w:rPr>
                <w:rFonts w:ascii="Times New Roman" w:hAnsi="Times New Roman" w:cs="Times New Roman" w:eastAsia="Times New Roman" w:hint="default"/>
                <w:sz w:val="18"/>
                <w:szCs w:val="18"/>
              </w:rPr>
            </w:pPr>
            <w:r>
              <w:rPr>
                <w:rFonts w:ascii="Times New Roman"/>
                <w:sz w:val="18"/>
              </w:rPr>
              <w:t>67,426,246.99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89" w:right="0"/>
              <w:jc w:val="left"/>
              <w:rPr>
                <w:rFonts w:ascii="Times New Roman" w:hAnsi="Times New Roman" w:cs="Times New Roman" w:eastAsia="Times New Roman" w:hint="default"/>
                <w:sz w:val="18"/>
                <w:szCs w:val="18"/>
              </w:rPr>
            </w:pPr>
            <w:r>
              <w:rPr>
                <w:rFonts w:ascii="Times New Roman"/>
                <w:sz w:val="18"/>
              </w:rPr>
              <w:t>38,346,824.50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120"/>
        </w:sectPr>
      </w:pPr>
    </w:p>
    <w:p>
      <w:pPr>
        <w:pStyle w:val="Heading2"/>
        <w:tabs>
          <w:tab w:pos="915" w:val="left" w:leader="none"/>
        </w:tabs>
        <w:spacing w:line="240" w:lineRule="auto"/>
        <w:ind w:left="25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left="25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2395" w:space="4127"/>
            <w:col w:w="2728"/>
          </w:cols>
        </w:sectPr>
      </w:pPr>
    </w:p>
    <w:p>
      <w:pPr>
        <w:spacing w:line="240" w:lineRule="auto" w:before="4"/>
        <w:rPr>
          <w:rFonts w:ascii="宋体" w:hAnsi="宋体" w:cs="宋体" w:eastAsia="宋体" w:hint="default"/>
          <w:sz w:val="2"/>
          <w:szCs w:val="2"/>
        </w:rPr>
      </w:pPr>
    </w:p>
    <w:tbl>
      <w:tblPr>
        <w:tblW w:w="0" w:type="auto"/>
        <w:jc w:val="left"/>
        <w:tblInd w:w="258" w:type="dxa"/>
        <w:tblLayout w:type="fixed"/>
        <w:tblCellMar>
          <w:top w:w="0" w:type="dxa"/>
          <w:left w:w="0" w:type="dxa"/>
          <w:bottom w:w="0" w:type="dxa"/>
          <w:right w:w="0" w:type="dxa"/>
        </w:tblCellMar>
        <w:tblLook w:val="01E0"/>
      </w:tblPr>
      <w:tblGrid>
        <w:gridCol w:w="4491"/>
        <w:gridCol w:w="4333"/>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490,000,000.00</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43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发行或承担的债务的公允价值</w:t>
            </w:r>
          </w:p>
        </w:tc>
        <w:tc>
          <w:tcPr>
            <w:tcW w:w="43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发行的权益性证券的公允价值</w:t>
            </w:r>
          </w:p>
        </w:tc>
        <w:tc>
          <w:tcPr>
            <w:tcW w:w="43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或有对价的公允价值</w:t>
            </w:r>
          </w:p>
        </w:tc>
        <w:tc>
          <w:tcPr>
            <w:tcW w:w="433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购买日之前持有的股权于购买日的公允价值</w:t>
            </w:r>
          </w:p>
        </w:tc>
        <w:tc>
          <w:tcPr>
            <w:tcW w:w="43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43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490,000,000.00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47,759,822.05</w:t>
            </w:r>
          </w:p>
        </w:tc>
      </w:tr>
      <w:tr>
        <w:trPr>
          <w:trHeight w:val="55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Times New Roman" w:hAnsi="Times New Roman" w:cs="Times New Roman" w:eastAsia="Times New Roman" w:hint="default"/>
                <w:sz w:val="21"/>
                <w:szCs w:val="21"/>
              </w:rPr>
              <w:t>/</w:t>
            </w:r>
            <w:r>
              <w:rPr>
                <w:rFonts w:ascii="宋体" w:hAnsi="宋体" w:cs="宋体" w:eastAsia="宋体" w:hint="default"/>
                <w:sz w:val="21"/>
                <w:szCs w:val="21"/>
              </w:rPr>
              <w:t>合并成本小于取得的可辨认净资产公允价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442,240,177.95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40" w:right="1120"/>
        </w:sectPr>
      </w:pPr>
    </w:p>
    <w:p>
      <w:pPr>
        <w:pStyle w:val="Heading2"/>
        <w:tabs>
          <w:tab w:pos="915" w:val="left" w:leader="none"/>
        </w:tabs>
        <w:spacing w:line="240" w:lineRule="auto"/>
        <w:ind w:left="258"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6"/>
        <w:ind w:left="258" w:right="-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4291" w:space="2230"/>
            <w:col w:w="2729"/>
          </w:cols>
        </w:sectPr>
      </w:pPr>
    </w:p>
    <w:p>
      <w:pPr>
        <w:spacing w:line="240" w:lineRule="auto" w:before="4"/>
        <w:rPr>
          <w:rFonts w:ascii="宋体" w:hAnsi="宋体" w:cs="宋体" w:eastAsia="宋体" w:hint="default"/>
          <w:sz w:val="2"/>
          <w:szCs w:val="2"/>
        </w:rPr>
      </w:pPr>
    </w:p>
    <w:tbl>
      <w:tblPr>
        <w:tblW w:w="0" w:type="auto"/>
        <w:jc w:val="left"/>
        <w:tblInd w:w="258" w:type="dxa"/>
        <w:tblLayout w:type="fixed"/>
        <w:tblCellMar>
          <w:top w:w="0" w:type="dxa"/>
          <w:left w:w="0" w:type="dxa"/>
          <w:bottom w:w="0" w:type="dxa"/>
          <w:right w:w="0" w:type="dxa"/>
        </w:tblCellMar>
        <w:tblLook w:val="01E0"/>
      </w:tblPr>
      <w:tblGrid>
        <w:gridCol w:w="2122"/>
        <w:gridCol w:w="3022"/>
        <w:gridCol w:w="3680"/>
      </w:tblGrid>
      <w:tr>
        <w:trPr>
          <w:trHeight w:val="283" w:hRule="exact"/>
        </w:trPr>
        <w:tc>
          <w:tcPr>
            <w:tcW w:w="2122" w:type="dxa"/>
            <w:vMerge w:val="restart"/>
            <w:tcBorders>
              <w:top w:val="single" w:sz="4" w:space="0" w:color="000000"/>
              <w:left w:val="single" w:sz="4" w:space="0" w:color="000000"/>
              <w:right w:val="single" w:sz="4" w:space="0" w:color="000000"/>
            </w:tcBorders>
          </w:tcPr>
          <w:p>
            <w:pPr/>
          </w:p>
        </w:tc>
        <w:tc>
          <w:tcPr>
            <w:tcW w:w="6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3"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p>
        </w:tc>
      </w:tr>
      <w:tr>
        <w:trPr>
          <w:trHeight w:val="291" w:hRule="exact"/>
        </w:trPr>
        <w:tc>
          <w:tcPr>
            <w:tcW w:w="2122" w:type="dxa"/>
            <w:vMerge/>
            <w:tcBorders>
              <w:left w:val="single" w:sz="4" w:space="0" w:color="000000"/>
              <w:bottom w:val="single" w:sz="4" w:space="0" w:color="000000"/>
              <w:right w:val="single" w:sz="4" w:space="0" w:color="000000"/>
            </w:tcBorders>
          </w:tcPr>
          <w:p>
            <w:pP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70"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99"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59,106,317.56</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59,106,317.56</w:t>
            </w:r>
          </w:p>
        </w:tc>
      </w:tr>
      <w:tr>
        <w:trPr>
          <w:trHeight w:val="28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2,036,250.57</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2,036,250.57</w:t>
            </w:r>
          </w:p>
        </w:tc>
      </w:tr>
      <w:tr>
        <w:trPr>
          <w:trHeight w:val="28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32,352,504.38</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32,352,504.38</w:t>
            </w:r>
          </w:p>
        </w:tc>
      </w:tr>
      <w:tr>
        <w:trPr>
          <w:trHeight w:val="28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20,958,295.51</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20,958,295.51</w:t>
            </w:r>
          </w:p>
        </w:tc>
      </w:tr>
      <w:tr>
        <w:trPr>
          <w:trHeight w:val="28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2,765,075.51</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2,765,075.51</w:t>
            </w:r>
          </w:p>
        </w:tc>
      </w:tr>
      <w:tr>
        <w:trPr>
          <w:trHeight w:val="28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22"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943,612.27</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943,612.27</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50,579.32</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50,579.32</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11,346,495.51</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11,346,495.51</w:t>
            </w:r>
          </w:p>
        </w:tc>
      </w:tr>
      <w:tr>
        <w:trPr>
          <w:trHeight w:val="28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022"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13,645,249.29</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13,645,249.29</w:t>
            </w:r>
          </w:p>
        </w:tc>
      </w:tr>
      <w:tr>
        <w:trPr>
          <w:trHeight w:val="28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022"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-2,798,753.78</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-2,798,753.78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122"/>
        <w:gridCol w:w="3022"/>
        <w:gridCol w:w="3680"/>
      </w:tblGrid>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47,759,822.05</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47,759,822.05</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022" w:type="dxa"/>
            <w:tcBorders>
              <w:top w:val="single" w:sz="4" w:space="0" w:color="000000"/>
              <w:left w:val="single" w:sz="4" w:space="0" w:color="000000"/>
              <w:bottom w:val="single" w:sz="4" w:space="0" w:color="000000"/>
              <w:right w:val="single" w:sz="4" w:space="0" w:color="000000"/>
            </w:tcBorders>
          </w:tcPr>
          <w:p>
            <w:pPr/>
          </w:p>
        </w:tc>
        <w:tc>
          <w:tcPr>
            <w:tcW w:w="36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47,759,822.05</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47,759,822.05</w:t>
            </w:r>
          </w:p>
        </w:tc>
      </w:tr>
    </w:tbl>
    <w:p>
      <w:pPr>
        <w:spacing w:line="240" w:lineRule="auto" w:before="10"/>
        <w:rPr>
          <w:rFonts w:ascii="宋体" w:hAnsi="宋体" w:cs="宋体" w:eastAsia="宋体" w:hint="default"/>
          <w:sz w:val="17"/>
          <w:szCs w:val="17"/>
        </w:rPr>
      </w:pPr>
    </w:p>
    <w:p>
      <w:pPr>
        <w:tabs>
          <w:tab w:pos="795" w:val="left" w:leader="none"/>
        </w:tabs>
        <w:spacing w:line="290" w:lineRule="auto" w:before="36"/>
        <w:ind w:left="138" w:right="22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9" w:lineRule="exact"/>
        <w:ind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tabs>
          <w:tab w:pos="795" w:val="left" w:leader="none"/>
        </w:tabs>
        <w:spacing w:line="240" w:lineRule="auto" w:before="0"/>
        <w:ind w:right="1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pStyle w:val="BodyText"/>
        <w:tabs>
          <w:tab w:pos="980" w:val="left" w:leader="none"/>
        </w:tabs>
        <w:spacing w:line="240" w:lineRule="auto" w:before="57"/>
        <w:ind w:right="0"/>
        <w:jc w:val="left"/>
      </w:pPr>
      <w:r>
        <w:rPr/>
        <w:t>□适用</w:t>
        <w:tab/>
        <w:t>√不适用</w:t>
      </w:r>
    </w:p>
    <w:p>
      <w:pPr>
        <w:spacing w:line="240" w:lineRule="auto" w:before="11"/>
        <w:rPr>
          <w:rFonts w:ascii="宋体" w:hAnsi="宋体" w:cs="宋体" w:eastAsia="宋体" w:hint="default"/>
          <w:sz w:val="22"/>
          <w:szCs w:val="22"/>
        </w:rPr>
      </w:pPr>
    </w:p>
    <w:p>
      <w:pPr>
        <w:pStyle w:val="Heading2"/>
        <w:tabs>
          <w:tab w:pos="795" w:val="left" w:leader="none"/>
        </w:tabs>
        <w:spacing w:line="240" w:lineRule="auto" w:before="0"/>
        <w:ind w:right="0"/>
        <w:jc w:val="left"/>
        <w:rPr>
          <w:b w:val="0"/>
          <w:bCs w:val="0"/>
        </w:rPr>
      </w:pPr>
      <w:r>
        <w:rPr>
          <w:rFonts w:ascii="宋体" w:hAnsi="宋体" w:cs="宋体" w:eastAsia="宋体" w:hint="default"/>
          <w:w w:val="95"/>
        </w:rPr>
        <w:t>(6).</w:t>
        <w:tab/>
      </w:r>
      <w:r>
        <w:rPr/>
        <w:t>其他说明：</w:t>
      </w:r>
      <w:r>
        <w:rPr>
          <w:b w:val="0"/>
          <w:bCs w:val="0"/>
        </w:rPr>
      </w:r>
    </w:p>
    <w:p>
      <w:pPr>
        <w:pStyle w:val="BodyText"/>
        <w:tabs>
          <w:tab w:pos="980" w:val="left" w:leader="none"/>
        </w:tabs>
        <w:spacing w:line="240" w:lineRule="auto" w:before="58"/>
        <w:ind w:right="0"/>
        <w:jc w:val="left"/>
      </w:pPr>
      <w:r>
        <w:rPr/>
        <w:t>□适用</w:t>
        <w:tab/>
        <w:t>√不适用</w:t>
      </w:r>
    </w:p>
    <w:p>
      <w:pPr>
        <w:pStyle w:val="Heading2"/>
        <w:spacing w:line="240" w:lineRule="auto" w:before="56"/>
        <w:ind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0"/>
        <w:ind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right="0"/>
        <w:jc w:val="left"/>
      </w:pPr>
      <w:r>
        <w:rPr/>
        <w:t>□适用 √不适用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5" w:top="1120" w:bottom="1380" w:left="1660" w:right="1140"/>
        </w:sectPr>
      </w:pPr>
    </w:p>
    <w:p>
      <w:pPr>
        <w:spacing w:line="290" w:lineRule="auto"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43"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40"/>
          <w:cols w:num="2" w:equalWidth="0">
            <w:col w:w="4973" w:space="1854"/>
            <w:col w:w="2283"/>
          </w:cols>
        </w:sectPr>
      </w:pPr>
    </w:p>
    <w:tbl>
      <w:tblPr>
        <w:tblW w:w="0" w:type="auto"/>
        <w:jc w:val="left"/>
        <w:tblInd w:w="118" w:type="dxa"/>
        <w:tblLayout w:type="fixed"/>
        <w:tblCellMar>
          <w:top w:w="0" w:type="dxa"/>
          <w:left w:w="0" w:type="dxa"/>
          <w:bottom w:w="0" w:type="dxa"/>
          <w:right w:w="0" w:type="dxa"/>
        </w:tblCellMar>
        <w:tblLook w:val="01E0"/>
      </w:tblPr>
      <w:tblGrid>
        <w:gridCol w:w="398"/>
        <w:gridCol w:w="1272"/>
        <w:gridCol w:w="565"/>
        <w:gridCol w:w="276"/>
        <w:gridCol w:w="883"/>
        <w:gridCol w:w="382"/>
        <w:gridCol w:w="1659"/>
        <w:gridCol w:w="706"/>
        <w:gridCol w:w="451"/>
        <w:gridCol w:w="451"/>
        <w:gridCol w:w="557"/>
        <w:gridCol w:w="610"/>
        <w:gridCol w:w="646"/>
      </w:tblGrid>
      <w:tr>
        <w:trPr>
          <w:trHeight w:val="2110"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4" w:right="12"/>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4" w:right="8"/>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12" w:lineRule="exact"/>
              <w:ind w:left="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43" w:right="41"/>
              <w:jc w:val="both"/>
              <w:rPr>
                <w:rFonts w:ascii="宋体" w:hAnsi="宋体" w:cs="宋体" w:eastAsia="宋体" w:hint="default"/>
                <w:sz w:val="18"/>
                <w:szCs w:val="18"/>
              </w:rPr>
            </w:pPr>
            <w:r>
              <w:rPr>
                <w:rFonts w:ascii="宋体" w:hAnsi="宋体" w:cs="宋体" w:eastAsia="宋体" w:hint="default"/>
                <w:sz w:val="18"/>
                <w:szCs w:val="18"/>
              </w:rPr>
              <w:t>股 权 处 置 方 式</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74" w:right="77"/>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2" w:right="7"/>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4" w:right="12"/>
              <w:jc w:val="center"/>
              <w:rPr>
                <w:rFonts w:ascii="宋体" w:hAnsi="宋体" w:cs="宋体" w:eastAsia="宋体" w:hint="default"/>
                <w:sz w:val="18"/>
                <w:szCs w:val="18"/>
              </w:rPr>
            </w:pPr>
            <w:r>
              <w:rPr>
                <w:rFonts w:ascii="宋体" w:hAnsi="宋体" w:cs="宋体" w:eastAsia="宋体" w:hint="default"/>
                <w:sz w:val="18"/>
                <w:szCs w:val="18"/>
              </w:rPr>
              <w:t>处置价款与处置投资 对应的合并财务报表 层面享有该子公司净 资产份额的差额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 w:right="77" w:firstLine="76"/>
              <w:jc w:val="both"/>
              <w:rPr>
                <w:rFonts w:ascii="宋体" w:hAnsi="宋体" w:cs="宋体" w:eastAsia="宋体" w:hint="default"/>
                <w:sz w:val="18"/>
                <w:szCs w:val="18"/>
              </w:rPr>
            </w:pPr>
            <w:r>
              <w:rPr>
                <w:rFonts w:ascii="宋体" w:hAnsi="宋体" w:cs="宋体" w:eastAsia="宋体" w:hint="default"/>
                <w:sz w:val="18"/>
                <w:szCs w:val="18"/>
              </w:rPr>
              <w:t>丧失控 制权之 日剩余 股权的 </w:t>
            </w:r>
            <w:r>
              <w:rPr>
                <w:rFonts w:ascii="宋体" w:hAnsi="宋体" w:cs="宋体" w:eastAsia="宋体" w:hint="default"/>
                <w:spacing w:val="-7"/>
                <w:sz w:val="18"/>
                <w:szCs w:val="18"/>
              </w:rPr>
              <w:t>比例（</w:t>
            </w:r>
            <w:r>
              <w:rPr>
                <w:rFonts w:ascii="宋体" w:hAnsi="宋体" w:cs="宋体" w:eastAsia="宋体" w:hint="default"/>
                <w:spacing w:val="-7"/>
                <w:sz w:val="18"/>
                <w:szCs w:val="18"/>
              </w:rPr>
              <w:t>%</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40" w:right="38"/>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40" w:right="38"/>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 w:right="3"/>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丧失控</w:t>
            </w:r>
          </w:p>
          <w:p>
            <w:pPr>
              <w:pStyle w:val="TableParagraph"/>
              <w:spacing w:line="237" w:lineRule="auto"/>
              <w:ind w:left="28" w:right="29"/>
              <w:jc w:val="center"/>
              <w:rPr>
                <w:rFonts w:ascii="宋体" w:hAnsi="宋体" w:cs="宋体" w:eastAsia="宋体" w:hint="default"/>
                <w:sz w:val="18"/>
                <w:szCs w:val="18"/>
              </w:rPr>
            </w:pPr>
            <w:r>
              <w:rPr>
                <w:rFonts w:ascii="宋体" w:hAnsi="宋体" w:cs="宋体" w:eastAsia="宋体" w:hint="default"/>
                <w:sz w:val="18"/>
                <w:szCs w:val="18"/>
              </w:rPr>
              <w:t>制权之 日剩余 股权公 允价值 的确定 方法及 主要假 设</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both"/>
              <w:rPr>
                <w:rFonts w:ascii="宋体" w:hAnsi="宋体" w:cs="宋体" w:eastAsia="宋体" w:hint="default"/>
                <w:sz w:val="18"/>
                <w:szCs w:val="18"/>
              </w:rPr>
            </w:pPr>
            <w:r>
              <w:rPr>
                <w:rFonts w:ascii="宋体" w:hAnsi="宋体" w:cs="宋体" w:eastAsia="宋体" w:hint="default"/>
                <w:sz w:val="18"/>
                <w:szCs w:val="18"/>
              </w:rPr>
              <w:t>与原子</w:t>
            </w:r>
          </w:p>
          <w:p>
            <w:pPr>
              <w:pStyle w:val="TableParagraph"/>
              <w:spacing w:line="237" w:lineRule="auto"/>
              <w:ind w:left="45" w:right="48"/>
              <w:jc w:val="both"/>
              <w:rPr>
                <w:rFonts w:ascii="宋体" w:hAnsi="宋体" w:cs="宋体" w:eastAsia="宋体" w:hint="default"/>
                <w:sz w:val="18"/>
                <w:szCs w:val="18"/>
              </w:rPr>
            </w:pPr>
            <w:r>
              <w:rPr>
                <w:rFonts w:ascii="宋体" w:hAnsi="宋体" w:cs="宋体" w:eastAsia="宋体" w:hint="default"/>
                <w:sz w:val="18"/>
                <w:szCs w:val="18"/>
              </w:rPr>
              <w:t>公司股 权投资 相关的 其他综 合收益 转入投 资损益 的金额</w:t>
            </w:r>
          </w:p>
        </w:tc>
      </w:tr>
      <w:tr>
        <w:trPr>
          <w:trHeight w:val="1178"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both"/>
              <w:rPr>
                <w:rFonts w:ascii="宋体" w:hAnsi="宋体" w:cs="宋体" w:eastAsia="宋体" w:hint="default"/>
                <w:sz w:val="18"/>
                <w:szCs w:val="18"/>
              </w:rPr>
            </w:pPr>
            <w:r>
              <w:rPr>
                <w:rFonts w:ascii="宋体" w:hAnsi="宋体" w:cs="宋体" w:eastAsia="宋体" w:hint="default"/>
                <w:sz w:val="18"/>
                <w:szCs w:val="18"/>
              </w:rPr>
              <w:t>江西</w:t>
            </w:r>
          </w:p>
          <w:p>
            <w:pPr>
              <w:pStyle w:val="TableParagraph"/>
              <w:spacing w:line="237" w:lineRule="auto"/>
              <w:ind w:right="26"/>
              <w:jc w:val="both"/>
              <w:rPr>
                <w:rFonts w:ascii="宋体" w:hAnsi="宋体" w:cs="宋体" w:eastAsia="宋体" w:hint="default"/>
                <w:sz w:val="18"/>
                <w:szCs w:val="18"/>
              </w:rPr>
            </w:pPr>
            <w:r>
              <w:rPr>
                <w:rFonts w:ascii="宋体" w:hAnsi="宋体" w:cs="宋体" w:eastAsia="宋体" w:hint="default"/>
                <w:sz w:val="18"/>
                <w:szCs w:val="18"/>
              </w:rPr>
              <w:t>希望 科技 有限 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 w:right="0"/>
              <w:jc w:val="center"/>
              <w:rPr>
                <w:rFonts w:ascii="宋体" w:hAnsi="宋体" w:cs="宋体" w:eastAsia="宋体" w:hint="default"/>
                <w:sz w:val="18"/>
                <w:szCs w:val="18"/>
              </w:rPr>
            </w:pPr>
            <w:r>
              <w:rPr>
                <w:rFonts w:ascii="宋体"/>
                <w:sz w:val="18"/>
              </w:rPr>
              <w:t>30,000,000.00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100</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3" w:right="0"/>
              <w:jc w:val="both"/>
              <w:rPr>
                <w:rFonts w:ascii="宋体" w:hAnsi="宋体" w:cs="宋体" w:eastAsia="宋体" w:hint="default"/>
                <w:sz w:val="18"/>
                <w:szCs w:val="18"/>
              </w:rPr>
            </w:pPr>
            <w:r>
              <w:rPr>
                <w:rFonts w:ascii="宋体" w:hAnsi="宋体" w:cs="宋体" w:eastAsia="宋体" w:hint="default"/>
                <w:sz w:val="18"/>
                <w:szCs w:val="18"/>
              </w:rPr>
              <w:t>现</w:t>
            </w:r>
          </w:p>
          <w:p>
            <w:pPr>
              <w:pStyle w:val="TableParagraph"/>
              <w:spacing w:line="232" w:lineRule="exact" w:before="23"/>
              <w:ind w:left="43" w:right="41"/>
              <w:jc w:val="both"/>
              <w:rPr>
                <w:rFonts w:ascii="宋体" w:hAnsi="宋体" w:cs="宋体" w:eastAsia="宋体" w:hint="default"/>
                <w:sz w:val="18"/>
                <w:szCs w:val="18"/>
              </w:rPr>
            </w:pPr>
            <w:r>
              <w:rPr>
                <w:rFonts w:ascii="宋体" w:hAnsi="宋体" w:cs="宋体" w:eastAsia="宋体" w:hint="default"/>
                <w:sz w:val="18"/>
                <w:szCs w:val="18"/>
              </w:rPr>
              <w:t>金 转 让</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4" w:right="0"/>
              <w:jc w:val="left"/>
              <w:rPr>
                <w:rFonts w:ascii="宋体" w:hAnsi="宋体" w:cs="宋体" w:eastAsia="宋体" w:hint="default"/>
                <w:sz w:val="18"/>
                <w:szCs w:val="18"/>
              </w:rPr>
            </w:pPr>
            <w:r>
              <w:rPr>
                <w:rFonts w:ascii="宋体"/>
                <w:sz w:val="18"/>
              </w:rPr>
              <w:t>2017-1-1</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z w:val="18"/>
                <w:szCs w:val="18"/>
              </w:rPr>
              <w:t>控制</w:t>
            </w:r>
          </w:p>
          <w:p>
            <w:pPr>
              <w:pStyle w:val="TableParagraph"/>
              <w:spacing w:line="232" w:lineRule="exact" w:before="23"/>
              <w:ind w:left="93" w:right="7" w:hanging="92"/>
              <w:jc w:val="left"/>
              <w:rPr>
                <w:rFonts w:ascii="宋体" w:hAnsi="宋体" w:cs="宋体" w:eastAsia="宋体" w:hint="default"/>
                <w:sz w:val="18"/>
                <w:szCs w:val="18"/>
              </w:rPr>
            </w:pPr>
            <w:r>
              <w:rPr>
                <w:rFonts w:ascii="宋体" w:hAnsi="宋体" w:cs="宋体" w:eastAsia="宋体" w:hint="default"/>
                <w:sz w:val="18"/>
                <w:szCs w:val="18"/>
              </w:rPr>
              <w:t>权转 移</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pacing w:val="-1"/>
                <w:sz w:val="18"/>
              </w:rPr>
              <w:t>11,433,380.57</w:t>
            </w:r>
          </w:p>
        </w:tc>
        <w:tc>
          <w:tcPr>
            <w:tcW w:w="70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z w:val="18"/>
                <w:szCs w:val="18"/>
              </w:rPr>
              <w:t>江西</w:t>
            </w:r>
          </w:p>
          <w:p>
            <w:pPr>
              <w:pStyle w:val="TableParagraph"/>
              <w:spacing w:line="237" w:lineRule="auto"/>
              <w:ind w:right="26"/>
              <w:jc w:val="both"/>
              <w:rPr>
                <w:rFonts w:ascii="宋体" w:hAnsi="宋体" w:cs="宋体" w:eastAsia="宋体" w:hint="default"/>
                <w:sz w:val="18"/>
                <w:szCs w:val="18"/>
              </w:rPr>
            </w:pPr>
            <w:r>
              <w:rPr>
                <w:rFonts w:ascii="宋体" w:hAnsi="宋体" w:cs="宋体" w:eastAsia="宋体" w:hint="default"/>
                <w:sz w:val="18"/>
                <w:szCs w:val="18"/>
              </w:rPr>
              <w:t>泰豪 科技 进出 口有 限公 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163,000,000.00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100</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3" w:right="0"/>
              <w:jc w:val="both"/>
              <w:rPr>
                <w:rFonts w:ascii="宋体" w:hAnsi="宋体" w:cs="宋体" w:eastAsia="宋体" w:hint="default"/>
                <w:sz w:val="18"/>
                <w:szCs w:val="18"/>
              </w:rPr>
            </w:pPr>
            <w:r>
              <w:rPr>
                <w:rFonts w:ascii="宋体" w:hAnsi="宋体" w:cs="宋体" w:eastAsia="宋体" w:hint="default"/>
                <w:sz w:val="18"/>
                <w:szCs w:val="18"/>
              </w:rPr>
              <w:t>现</w:t>
            </w:r>
          </w:p>
          <w:p>
            <w:pPr>
              <w:pStyle w:val="TableParagraph"/>
              <w:spacing w:line="237" w:lineRule="auto"/>
              <w:ind w:left="43" w:right="41"/>
              <w:jc w:val="both"/>
              <w:rPr>
                <w:rFonts w:ascii="宋体" w:hAnsi="宋体" w:cs="宋体" w:eastAsia="宋体" w:hint="default"/>
                <w:sz w:val="18"/>
                <w:szCs w:val="18"/>
              </w:rPr>
            </w:pPr>
            <w:r>
              <w:rPr>
                <w:rFonts w:ascii="宋体" w:hAnsi="宋体" w:cs="宋体" w:eastAsia="宋体" w:hint="default"/>
                <w:sz w:val="18"/>
                <w:szCs w:val="18"/>
              </w:rPr>
              <w:t>金 转 让</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sz w:val="18"/>
              </w:rPr>
              <w:t>2017-8-31</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left"/>
              <w:rPr>
                <w:rFonts w:ascii="宋体" w:hAnsi="宋体" w:cs="宋体" w:eastAsia="宋体" w:hint="default"/>
                <w:sz w:val="18"/>
                <w:szCs w:val="18"/>
              </w:rPr>
            </w:pPr>
            <w:r>
              <w:rPr>
                <w:rFonts w:ascii="宋体" w:hAnsi="宋体" w:cs="宋体" w:eastAsia="宋体" w:hint="default"/>
                <w:sz w:val="18"/>
                <w:szCs w:val="18"/>
              </w:rPr>
              <w:t>控制</w:t>
            </w:r>
          </w:p>
          <w:p>
            <w:pPr>
              <w:pStyle w:val="TableParagraph"/>
              <w:spacing w:line="240" w:lineRule="auto"/>
              <w:ind w:left="93" w:right="7" w:hanging="92"/>
              <w:jc w:val="left"/>
              <w:rPr>
                <w:rFonts w:ascii="宋体" w:hAnsi="宋体" w:cs="宋体" w:eastAsia="宋体" w:hint="default"/>
                <w:sz w:val="18"/>
                <w:szCs w:val="18"/>
              </w:rPr>
            </w:pPr>
            <w:r>
              <w:rPr>
                <w:rFonts w:ascii="宋体" w:hAnsi="宋体" w:cs="宋体" w:eastAsia="宋体" w:hint="default"/>
                <w:sz w:val="18"/>
                <w:szCs w:val="18"/>
              </w:rPr>
              <w:t>权转 移</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46,717,758.43</w:t>
            </w:r>
          </w:p>
        </w:tc>
        <w:tc>
          <w:tcPr>
            <w:tcW w:w="706"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4"/>
          <w:szCs w:val="14"/>
        </w:rPr>
      </w:pPr>
    </w:p>
    <w:p>
      <w:pPr>
        <w:pStyle w:val="BodyText"/>
        <w:spacing w:line="273" w:lineRule="exact" w:before="36"/>
        <w:ind w:right="0"/>
        <w:jc w:val="left"/>
      </w:pPr>
      <w:r>
        <w:rPr/>
        <w:t>其他说明：</w:t>
      </w:r>
    </w:p>
    <w:p>
      <w:pPr>
        <w:pStyle w:val="BodyText"/>
        <w:spacing w:line="273" w:lineRule="exact"/>
        <w:ind w:right="0"/>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right="0"/>
        <w:jc w:val="left"/>
      </w:pPr>
      <w:r>
        <w:rPr/>
        <w:t>是否存在通过多次交易分步处置对子公司投资且在本期丧失控制权的情形</w:t>
      </w:r>
    </w:p>
    <w:p>
      <w:pPr>
        <w:pStyle w:val="BodyText"/>
        <w:spacing w:line="274" w:lineRule="exact"/>
        <w:ind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一揽子交易</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3" w:lineRule="exact"/>
        <w:ind w:right="0"/>
        <w:jc w:val="left"/>
      </w:pPr>
      <w:r>
        <w:rPr/>
        <w:t>非一揽子交易</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34"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ind w:left="558" w:right="0"/>
        <w:jc w:val="left"/>
      </w:pPr>
      <w:r>
        <w:rPr>
          <w:rFonts w:ascii="Times New Roman" w:hAnsi="Times New Roman" w:cs="Times New Roman" w:eastAsia="Times New Roman" w:hint="default"/>
        </w:rPr>
        <w:t>1</w:t>
      </w:r>
      <w:r>
        <w:rPr/>
        <w:t>、公司以货币资金 </w:t>
      </w:r>
      <w:r>
        <w:rPr>
          <w:rFonts w:ascii="Times New Roman" w:hAnsi="Times New Roman" w:cs="Times New Roman" w:eastAsia="Times New Roman" w:hint="default"/>
        </w:rPr>
        <w:t>5,000  </w:t>
      </w:r>
      <w:r>
        <w:rPr>
          <w:rFonts w:ascii="Times New Roman" w:hAnsi="Times New Roman" w:cs="Times New Roman" w:eastAsia="Times New Roman" w:hint="default"/>
          <w:spacing w:val="11"/>
        </w:rPr>
        <w:t> </w:t>
      </w:r>
      <w:r>
        <w:rPr/>
        <w:t>万元出资设立江西泰豪能源互联网有限公司，该公司注册资本为</w:t>
      </w:r>
    </w:p>
    <w:p>
      <w:pPr>
        <w:pStyle w:val="BodyText"/>
        <w:spacing w:line="272" w:lineRule="exact"/>
        <w:ind w:right="0"/>
        <w:jc w:val="left"/>
      </w:pPr>
      <w:r>
        <w:rPr>
          <w:rFonts w:ascii="Times New Roman" w:hAnsi="Times New Roman" w:cs="Times New Roman" w:eastAsia="Times New Roman" w:hint="default"/>
        </w:rPr>
        <w:t>5,000 </w:t>
      </w:r>
      <w:r>
        <w:rPr/>
        <w:t>万元，公司持有其</w:t>
      </w:r>
      <w:r>
        <w:rPr>
          <w:spacing w:val="-57"/>
        </w:rPr>
        <w:t> </w:t>
      </w:r>
      <w:r>
        <w:rPr>
          <w:rFonts w:ascii="Times New Roman" w:hAnsi="Times New Roman" w:cs="Times New Roman" w:eastAsia="Times New Roman" w:hint="default"/>
        </w:rPr>
        <w:t>100%</w:t>
      </w:r>
      <w:r>
        <w:rPr/>
        <w:t>的股权；</w:t>
      </w:r>
    </w:p>
    <w:p>
      <w:pPr>
        <w:pStyle w:val="BodyText"/>
        <w:spacing w:line="272" w:lineRule="exact" w:before="19"/>
        <w:ind w:right="124" w:firstLine="419"/>
        <w:jc w:val="left"/>
      </w:pPr>
      <w:r>
        <w:rPr>
          <w:rFonts w:ascii="Times New Roman" w:hAnsi="Times New Roman" w:cs="Times New Roman" w:eastAsia="Times New Roman" w:hint="default"/>
        </w:rPr>
        <w:t>2</w:t>
      </w:r>
      <w:r>
        <w:rPr/>
        <w:t>、公司以货币资金</w:t>
      </w:r>
      <w:r>
        <w:rPr>
          <w:spacing w:val="-50"/>
        </w:rPr>
        <w:t> </w:t>
      </w:r>
      <w:r>
        <w:rPr>
          <w:rFonts w:ascii="Times New Roman" w:hAnsi="Times New Roman" w:cs="Times New Roman" w:eastAsia="Times New Roman" w:hint="default"/>
        </w:rPr>
        <w:t>35</w:t>
      </w:r>
      <w:r>
        <w:rPr>
          <w:rFonts w:ascii="Times New Roman" w:hAnsi="Times New Roman" w:cs="Times New Roman" w:eastAsia="Times New Roman" w:hint="default"/>
          <w:spacing w:val="2"/>
        </w:rPr>
        <w:t> </w:t>
      </w:r>
      <w:r>
        <w:rPr/>
        <w:t>万元与上海宝碳新能源环保科技有限公司共同出资组建贵州泰豪宝碳</w:t>
      </w:r>
      <w:r>
        <w:rPr>
          <w:w w:val="100"/>
        </w:rPr>
        <w:t> </w:t>
      </w:r>
      <w:r>
        <w:rPr/>
        <w:t>智慧能源有限公司，该公司注册资本</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万元，公司持有其</w:t>
      </w:r>
      <w:r>
        <w:rPr>
          <w:spacing w:val="-55"/>
        </w:rPr>
        <w:t> </w:t>
      </w:r>
      <w:r>
        <w:rPr>
          <w:rFonts w:ascii="Times New Roman" w:hAnsi="Times New Roman" w:cs="Times New Roman" w:eastAsia="Times New Roman" w:hint="default"/>
        </w:rPr>
        <w:t>70%</w:t>
      </w:r>
      <w:r>
        <w:rPr/>
        <w:t>的股权；</w:t>
      </w:r>
    </w:p>
    <w:p>
      <w:pPr>
        <w:pStyle w:val="BodyText"/>
        <w:spacing w:line="272" w:lineRule="exact" w:before="1"/>
        <w:ind w:right="0" w:firstLine="419"/>
        <w:jc w:val="left"/>
      </w:pPr>
      <w:r>
        <w:rPr>
          <w:rFonts w:ascii="Times New Roman" w:hAnsi="Times New Roman" w:cs="Times New Roman" w:eastAsia="Times New Roman" w:hint="default"/>
          <w:spacing w:val="-3"/>
        </w:rPr>
        <w:t>3</w:t>
      </w:r>
      <w:r>
        <w:rPr>
          <w:spacing w:val="-3"/>
        </w:rPr>
        <w:t>、公司以货币资金 </w:t>
      </w:r>
      <w:r>
        <w:rPr>
          <w:rFonts w:ascii="Times New Roman" w:hAnsi="Times New Roman" w:cs="Times New Roman" w:eastAsia="Times New Roman" w:hint="default"/>
        </w:rPr>
        <w:t>3,500</w:t>
      </w:r>
      <w:r>
        <w:rPr>
          <w:rFonts w:ascii="Times New Roman" w:hAnsi="Times New Roman" w:cs="Times New Roman" w:eastAsia="Times New Roman" w:hint="default"/>
          <w:spacing w:val="3"/>
        </w:rPr>
        <w:t> </w:t>
      </w:r>
      <w:r>
        <w:rPr>
          <w:spacing w:val="-3"/>
        </w:rPr>
        <w:t>万元与北京富邦立世科技中心（有限合伙）共同出资组建泰豪国际</w:t>
      </w:r>
      <w:r>
        <w:rPr>
          <w:w w:val="100"/>
        </w:rPr>
        <w:t> </w:t>
      </w:r>
      <w:r>
        <w:rPr/>
        <w:t>工程有限公司，该公司注册资本</w:t>
      </w:r>
      <w:r>
        <w:rPr>
          <w:spacing w:val="-5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t>万元，公司持有其</w:t>
      </w:r>
      <w:r>
        <w:rPr>
          <w:spacing w:val="-55"/>
        </w:rPr>
        <w:t> </w:t>
      </w:r>
      <w:r>
        <w:rPr>
          <w:rFonts w:ascii="Times New Roman" w:hAnsi="Times New Roman" w:cs="Times New Roman" w:eastAsia="Times New Roman" w:hint="default"/>
        </w:rPr>
        <w:t>60%</w:t>
      </w:r>
      <w:r>
        <w:rPr/>
        <w:t>的股权；</w:t>
      </w:r>
    </w:p>
    <w:p>
      <w:pPr>
        <w:pStyle w:val="BodyText"/>
        <w:spacing w:line="255" w:lineRule="exact"/>
        <w:ind w:left="558" w:right="0"/>
        <w:jc w:val="left"/>
      </w:pPr>
      <w:r>
        <w:rPr>
          <w:rFonts w:ascii="Times New Roman" w:hAnsi="Times New Roman" w:cs="Times New Roman" w:eastAsia="Times New Roman" w:hint="default"/>
          <w:w w:val="100"/>
        </w:rPr>
        <w:t>4</w:t>
      </w:r>
      <w:r>
        <w:rPr>
          <w:spacing w:val="-94"/>
          <w:w w:val="100"/>
        </w:rPr>
        <w:t>、</w:t>
      </w:r>
      <w:r>
        <w:rPr>
          <w:w w:val="100"/>
        </w:rPr>
        <w:t>公</w:t>
      </w:r>
      <w:r>
        <w:rPr>
          <w:spacing w:val="-3"/>
          <w:w w:val="100"/>
        </w:rPr>
        <w:t>司</w:t>
      </w:r>
      <w:r>
        <w:rPr>
          <w:w w:val="100"/>
        </w:rPr>
        <w:t>子</w:t>
      </w:r>
      <w:r>
        <w:rPr>
          <w:spacing w:val="-3"/>
          <w:w w:val="100"/>
        </w:rPr>
        <w:t>公</w:t>
      </w:r>
      <w:r>
        <w:rPr>
          <w:w w:val="100"/>
        </w:rPr>
        <w:t>司</w:t>
      </w:r>
      <w:r>
        <w:rPr>
          <w:spacing w:val="-3"/>
          <w:w w:val="100"/>
        </w:rPr>
        <w:t>泰</w:t>
      </w:r>
      <w:r>
        <w:rPr>
          <w:w w:val="100"/>
        </w:rPr>
        <w:t>豪</w:t>
      </w:r>
      <w:r>
        <w:rPr>
          <w:spacing w:val="-3"/>
          <w:w w:val="100"/>
        </w:rPr>
        <w:t>电</w:t>
      </w:r>
      <w:r>
        <w:rPr>
          <w:w w:val="100"/>
        </w:rPr>
        <w:t>源</w:t>
      </w:r>
      <w:r>
        <w:rPr>
          <w:spacing w:val="-3"/>
          <w:w w:val="100"/>
        </w:rPr>
        <w:t>技</w:t>
      </w:r>
      <w:r>
        <w:rPr>
          <w:w w:val="100"/>
        </w:rPr>
        <w:t>术有</w:t>
      </w:r>
      <w:r>
        <w:rPr>
          <w:spacing w:val="-3"/>
          <w:w w:val="100"/>
        </w:rPr>
        <w:t>限</w:t>
      </w:r>
      <w:r>
        <w:rPr>
          <w:w w:val="100"/>
        </w:rPr>
        <w:t>公</w:t>
      </w:r>
      <w:r>
        <w:rPr>
          <w:spacing w:val="-3"/>
          <w:w w:val="100"/>
        </w:rPr>
        <w:t>司</w:t>
      </w:r>
      <w:r>
        <w:rPr>
          <w:w w:val="100"/>
        </w:rPr>
        <w:t>以</w:t>
      </w:r>
      <w:r>
        <w:rPr>
          <w:spacing w:val="-3"/>
          <w:w w:val="100"/>
        </w:rPr>
        <w:t>货</w:t>
      </w:r>
      <w:r>
        <w:rPr>
          <w:w w:val="100"/>
        </w:rPr>
        <w:t>币</w:t>
      </w:r>
      <w:r>
        <w:rPr>
          <w:spacing w:val="-3"/>
          <w:w w:val="100"/>
        </w:rPr>
        <w:t>资</w:t>
      </w:r>
      <w:r>
        <w:rPr>
          <w:w w:val="100"/>
        </w:rPr>
        <w:t>金</w:t>
      </w:r>
      <w:r>
        <w:rPr>
          <w:spacing w:val="-52"/>
        </w:rPr>
        <w:t> </w:t>
      </w:r>
      <w:r>
        <w:rPr>
          <w:rFonts w:ascii="Times New Roman" w:hAnsi="Times New Roman" w:cs="Times New Roman" w:eastAsia="Times New Roman" w:hint="default"/>
          <w:spacing w:val="-3"/>
          <w:w w:val="100"/>
        </w:rPr>
        <w:t>80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万</w:t>
      </w:r>
      <w:r>
        <w:rPr>
          <w:spacing w:val="-3"/>
          <w:w w:val="100"/>
        </w:rPr>
        <w:t>元</w:t>
      </w:r>
      <w:r>
        <w:rPr>
          <w:w w:val="100"/>
        </w:rPr>
        <w:t>与</w:t>
      </w:r>
      <w:r>
        <w:rPr>
          <w:spacing w:val="-3"/>
          <w:w w:val="100"/>
        </w:rPr>
        <w:t>沈</w:t>
      </w:r>
      <w:r>
        <w:rPr>
          <w:w w:val="100"/>
        </w:rPr>
        <w:t>阳</w:t>
      </w:r>
      <w:r>
        <w:rPr>
          <w:spacing w:val="-3"/>
          <w:w w:val="100"/>
        </w:rPr>
        <w:t>福</w:t>
      </w:r>
      <w:r>
        <w:rPr>
          <w:w w:val="100"/>
        </w:rPr>
        <w:t>瑞</w:t>
      </w:r>
      <w:r>
        <w:rPr>
          <w:spacing w:val="-3"/>
          <w:w w:val="100"/>
        </w:rPr>
        <w:t>斯</w:t>
      </w:r>
      <w:r>
        <w:rPr>
          <w:w w:val="100"/>
        </w:rPr>
        <w:t>动</w:t>
      </w:r>
      <w:r>
        <w:rPr>
          <w:spacing w:val="-3"/>
          <w:w w:val="100"/>
        </w:rPr>
        <w:t>力</w:t>
      </w:r>
      <w:r>
        <w:rPr>
          <w:w w:val="100"/>
        </w:rPr>
        <w:t>设备</w:t>
      </w:r>
      <w:r>
        <w:rPr>
          <w:spacing w:val="-3"/>
          <w:w w:val="100"/>
        </w:rPr>
        <w:t>有</w:t>
      </w:r>
      <w:r>
        <w:rPr>
          <w:w w:val="100"/>
        </w:rPr>
        <w:t>限</w:t>
      </w:r>
      <w:r>
        <w:rPr>
          <w:spacing w:val="-3"/>
          <w:w w:val="100"/>
        </w:rPr>
        <w:t>公</w:t>
      </w:r>
      <w:r>
        <w:rPr>
          <w:w w:val="100"/>
        </w:rPr>
        <w:t>司共</w:t>
      </w:r>
    </w:p>
    <w:p>
      <w:pPr>
        <w:pStyle w:val="BodyText"/>
        <w:spacing w:line="271" w:lineRule="exact"/>
        <w:ind w:right="0"/>
        <w:jc w:val="left"/>
        <w:rPr>
          <w:rFonts w:ascii="Times New Roman" w:hAnsi="Times New Roman" w:cs="Times New Roman" w:eastAsia="Times New Roman" w:hint="default"/>
        </w:rPr>
      </w:pPr>
      <w:r>
        <w:rPr/>
        <w:t>同出资组建泰豪福瑞斯动力设备有限公司，该公司注册资本为</w:t>
      </w:r>
      <w:r>
        <w:rPr>
          <w:spacing w:val="-50"/>
        </w:rPr>
        <w:t> </w:t>
      </w:r>
      <w:r>
        <w:rPr>
          <w:rFonts w:ascii="Times New Roman" w:hAnsi="Times New Roman" w:cs="Times New Roman" w:eastAsia="Times New Roman" w:hint="default"/>
        </w:rPr>
        <w:t>6,000 </w:t>
      </w:r>
      <w:r>
        <w:rPr/>
        <w:t>万元，截止</w:t>
      </w:r>
      <w:r>
        <w:rPr>
          <w:spacing w:val="-52"/>
        </w:rPr>
        <w:t> </w:t>
      </w:r>
      <w:r>
        <w:rPr>
          <w:rFonts w:ascii="Times New Roman" w:hAnsi="Times New Roman" w:cs="Times New Roman" w:eastAsia="Times New Roman" w:hint="default"/>
        </w:rPr>
        <w:t>2017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281" w:lineRule="exact"/>
        <w:ind w:right="0"/>
        <w:jc w:val="left"/>
      </w:pPr>
      <w:r>
        <w:rPr/>
        <w:t>日电源技术持有其</w:t>
      </w:r>
      <w:r>
        <w:rPr>
          <w:spacing w:val="-53"/>
        </w:rPr>
        <w:t> </w:t>
      </w:r>
      <w:r>
        <w:rPr>
          <w:rFonts w:ascii="Times New Roman" w:hAnsi="Times New Roman" w:cs="Times New Roman" w:eastAsia="Times New Roman" w:hint="default"/>
        </w:rPr>
        <w:t>100%</w:t>
      </w:r>
      <w:r>
        <w:rPr/>
        <w:t>的股权；</w:t>
      </w:r>
    </w:p>
    <w:p>
      <w:pPr>
        <w:spacing w:after="0" w:line="281" w:lineRule="exact"/>
        <w:jc w:val="left"/>
        <w:sectPr>
          <w:type w:val="continuous"/>
          <w:pgSz w:w="11910" w:h="16840"/>
          <w:pgMar w:top="1120" w:bottom="1380" w:left="1660" w:right="1140"/>
        </w:sectPr>
      </w:pPr>
    </w:p>
    <w:p>
      <w:pPr>
        <w:spacing w:line="240" w:lineRule="auto" w:before="1"/>
        <w:rPr>
          <w:rFonts w:ascii="宋体" w:hAnsi="宋体" w:cs="宋体" w:eastAsia="宋体" w:hint="default"/>
          <w:sz w:val="25"/>
          <w:szCs w:val="25"/>
        </w:rPr>
      </w:pPr>
    </w:p>
    <w:p>
      <w:pPr>
        <w:pStyle w:val="BodyText"/>
        <w:spacing w:line="282" w:lineRule="exact" w:before="36"/>
        <w:ind w:left="558" w:right="0"/>
        <w:jc w:val="left"/>
      </w:pPr>
      <w:r>
        <w:rPr>
          <w:rFonts w:ascii="Times New Roman" w:hAnsi="Times New Roman" w:cs="Times New Roman" w:eastAsia="Times New Roman" w:hint="default"/>
          <w:w w:val="100"/>
        </w:rPr>
        <w:t>5</w:t>
      </w:r>
      <w:r>
        <w:rPr>
          <w:spacing w:val="-94"/>
          <w:w w:val="100"/>
        </w:rPr>
        <w:t>、</w:t>
      </w:r>
      <w:r>
        <w:rPr>
          <w:w w:val="100"/>
        </w:rPr>
        <w:t>公</w:t>
      </w:r>
      <w:r>
        <w:rPr>
          <w:spacing w:val="-3"/>
          <w:w w:val="100"/>
        </w:rPr>
        <w:t>司</w:t>
      </w:r>
      <w:r>
        <w:rPr>
          <w:w w:val="100"/>
        </w:rPr>
        <w:t>子</w:t>
      </w:r>
      <w:r>
        <w:rPr>
          <w:spacing w:val="-3"/>
          <w:w w:val="100"/>
        </w:rPr>
        <w:t>公</w:t>
      </w:r>
      <w:r>
        <w:rPr>
          <w:w w:val="100"/>
        </w:rPr>
        <w:t>司</w:t>
      </w:r>
      <w:r>
        <w:rPr>
          <w:spacing w:val="-3"/>
          <w:w w:val="100"/>
        </w:rPr>
        <w:t>泰</w:t>
      </w:r>
      <w:r>
        <w:rPr>
          <w:w w:val="100"/>
        </w:rPr>
        <w:t>豪</w:t>
      </w:r>
      <w:r>
        <w:rPr>
          <w:spacing w:val="-3"/>
          <w:w w:val="100"/>
        </w:rPr>
        <w:t>电</w:t>
      </w:r>
      <w:r>
        <w:rPr>
          <w:w w:val="100"/>
        </w:rPr>
        <w:t>源</w:t>
      </w:r>
      <w:r>
        <w:rPr>
          <w:spacing w:val="-3"/>
          <w:w w:val="100"/>
        </w:rPr>
        <w:t>技</w:t>
      </w:r>
      <w:r>
        <w:rPr>
          <w:w w:val="100"/>
        </w:rPr>
        <w:t>术有</w:t>
      </w:r>
      <w:r>
        <w:rPr>
          <w:spacing w:val="-3"/>
          <w:w w:val="100"/>
        </w:rPr>
        <w:t>限</w:t>
      </w:r>
      <w:r>
        <w:rPr>
          <w:w w:val="100"/>
        </w:rPr>
        <w:t>公</w:t>
      </w:r>
      <w:r>
        <w:rPr>
          <w:spacing w:val="-3"/>
          <w:w w:val="100"/>
        </w:rPr>
        <w:t>司</w:t>
      </w:r>
      <w:r>
        <w:rPr>
          <w:w w:val="100"/>
        </w:rPr>
        <w:t>以</w:t>
      </w:r>
      <w:r>
        <w:rPr>
          <w:spacing w:val="-3"/>
          <w:w w:val="100"/>
        </w:rPr>
        <w:t>货</w:t>
      </w:r>
      <w:r>
        <w:rPr>
          <w:w w:val="100"/>
        </w:rPr>
        <w:t>币</w:t>
      </w:r>
      <w:r>
        <w:rPr>
          <w:spacing w:val="-3"/>
          <w:w w:val="100"/>
        </w:rPr>
        <w:t>资</w:t>
      </w:r>
      <w:r>
        <w:rPr>
          <w:w w:val="100"/>
        </w:rPr>
        <w:t>金</w:t>
      </w:r>
      <w:r>
        <w:rPr>
          <w:spacing w:val="-52"/>
        </w:rPr>
        <w:t> </w:t>
      </w:r>
      <w:r>
        <w:rPr>
          <w:rFonts w:ascii="Times New Roman" w:hAnsi="Times New Roman" w:cs="Times New Roman" w:eastAsia="Times New Roman" w:hint="default"/>
          <w:spacing w:val="-3"/>
          <w:w w:val="100"/>
        </w:rPr>
        <w:t>80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万</w:t>
      </w:r>
      <w:r>
        <w:rPr>
          <w:spacing w:val="-3"/>
          <w:w w:val="100"/>
        </w:rPr>
        <w:t>元</w:t>
      </w:r>
      <w:r>
        <w:rPr>
          <w:w w:val="100"/>
        </w:rPr>
        <w:t>与</w:t>
      </w:r>
      <w:r>
        <w:rPr>
          <w:spacing w:val="-3"/>
          <w:w w:val="100"/>
        </w:rPr>
        <w:t>陕</w:t>
      </w:r>
      <w:r>
        <w:rPr>
          <w:w w:val="100"/>
        </w:rPr>
        <w:t>西</w:t>
      </w:r>
      <w:r>
        <w:rPr>
          <w:spacing w:val="-3"/>
          <w:w w:val="100"/>
        </w:rPr>
        <w:t>沃</w:t>
      </w:r>
      <w:r>
        <w:rPr>
          <w:w w:val="100"/>
        </w:rPr>
        <w:t>达</w:t>
      </w:r>
      <w:r>
        <w:rPr>
          <w:spacing w:val="-3"/>
          <w:w w:val="100"/>
        </w:rPr>
        <w:t>动</w:t>
      </w:r>
      <w:r>
        <w:rPr>
          <w:w w:val="100"/>
        </w:rPr>
        <w:t>力</w:t>
      </w:r>
      <w:r>
        <w:rPr>
          <w:spacing w:val="-3"/>
          <w:w w:val="100"/>
        </w:rPr>
        <w:t>设</w:t>
      </w:r>
      <w:r>
        <w:rPr>
          <w:w w:val="100"/>
        </w:rPr>
        <w:t>备制</w:t>
      </w:r>
      <w:r>
        <w:rPr>
          <w:spacing w:val="-3"/>
          <w:w w:val="100"/>
        </w:rPr>
        <w:t>造</w:t>
      </w:r>
      <w:r>
        <w:rPr>
          <w:w w:val="100"/>
        </w:rPr>
        <w:t>有</w:t>
      </w:r>
      <w:r>
        <w:rPr>
          <w:spacing w:val="-3"/>
          <w:w w:val="100"/>
        </w:rPr>
        <w:t>限</w:t>
      </w:r>
      <w:r>
        <w:rPr>
          <w:w w:val="100"/>
        </w:rPr>
        <w:t>公司</w:t>
      </w:r>
    </w:p>
    <w:p>
      <w:pPr>
        <w:pStyle w:val="BodyText"/>
        <w:spacing w:line="272" w:lineRule="exact"/>
        <w:ind w:right="0"/>
        <w:jc w:val="left"/>
        <w:rPr>
          <w:rFonts w:ascii="Times New Roman" w:hAnsi="Times New Roman" w:cs="Times New Roman" w:eastAsia="Times New Roman" w:hint="default"/>
        </w:rPr>
      </w:pPr>
      <w:r>
        <w:rPr/>
        <w:t>共同出资组建陕西泰豪沃达动力设备有限公司，该公司注册资本为 </w:t>
      </w:r>
      <w:r>
        <w:rPr>
          <w:rFonts w:ascii="Times New Roman" w:hAnsi="Times New Roman" w:cs="Times New Roman" w:eastAsia="Times New Roman" w:hint="default"/>
        </w:rPr>
        <w:t>6,000 </w:t>
      </w:r>
      <w:r>
        <w:rPr/>
        <w:t>万元，截止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12</w:t>
      </w:r>
    </w:p>
    <w:p>
      <w:pPr>
        <w:pStyle w:val="BodyText"/>
        <w:spacing w:line="272" w:lineRule="exact"/>
        <w:ind w:right="0"/>
        <w:jc w:val="left"/>
      </w:pP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日电源技术持有其</w:t>
      </w:r>
      <w:r>
        <w:rPr>
          <w:spacing w:val="-55"/>
        </w:rPr>
        <w:t> </w:t>
      </w:r>
      <w:r>
        <w:rPr>
          <w:rFonts w:ascii="Times New Roman" w:hAnsi="Times New Roman" w:cs="Times New Roman" w:eastAsia="Times New Roman" w:hint="default"/>
        </w:rPr>
        <w:t>65.95%</w:t>
      </w:r>
      <w:r>
        <w:rPr/>
        <w:t>的股权；</w:t>
      </w:r>
    </w:p>
    <w:p>
      <w:pPr>
        <w:pStyle w:val="BodyText"/>
        <w:spacing w:line="272" w:lineRule="exact"/>
        <w:ind w:left="558" w:right="0"/>
        <w:jc w:val="left"/>
      </w:pPr>
      <w:r>
        <w:rPr>
          <w:rFonts w:ascii="Times New Roman" w:hAnsi="Times New Roman" w:cs="Times New Roman" w:eastAsia="Times New Roman" w:hint="default"/>
          <w:w w:val="100"/>
        </w:rPr>
        <w:t>6</w:t>
      </w:r>
      <w:r>
        <w:rPr>
          <w:spacing w:val="-94"/>
          <w:w w:val="100"/>
        </w:rPr>
        <w:t>、</w:t>
      </w:r>
      <w:r>
        <w:rPr>
          <w:w w:val="100"/>
        </w:rPr>
        <w:t>公</w:t>
      </w:r>
      <w:r>
        <w:rPr>
          <w:spacing w:val="-3"/>
          <w:w w:val="100"/>
        </w:rPr>
        <w:t>司</w:t>
      </w:r>
      <w:r>
        <w:rPr>
          <w:w w:val="100"/>
        </w:rPr>
        <w:t>子</w:t>
      </w:r>
      <w:r>
        <w:rPr>
          <w:spacing w:val="-3"/>
          <w:w w:val="100"/>
        </w:rPr>
        <w:t>公</w:t>
      </w:r>
      <w:r>
        <w:rPr>
          <w:w w:val="100"/>
        </w:rPr>
        <w:t>司</w:t>
      </w:r>
      <w:r>
        <w:rPr>
          <w:spacing w:val="-3"/>
          <w:w w:val="100"/>
        </w:rPr>
        <w:t>泰</w:t>
      </w:r>
      <w:r>
        <w:rPr>
          <w:w w:val="100"/>
        </w:rPr>
        <w:t>豪</w:t>
      </w:r>
      <w:r>
        <w:rPr>
          <w:spacing w:val="-3"/>
          <w:w w:val="100"/>
        </w:rPr>
        <w:t>电</w:t>
      </w:r>
      <w:r>
        <w:rPr>
          <w:w w:val="100"/>
        </w:rPr>
        <w:t>源</w:t>
      </w:r>
      <w:r>
        <w:rPr>
          <w:spacing w:val="-3"/>
          <w:w w:val="100"/>
        </w:rPr>
        <w:t>技</w:t>
      </w:r>
      <w:r>
        <w:rPr>
          <w:w w:val="100"/>
        </w:rPr>
        <w:t>术有</w:t>
      </w:r>
      <w:r>
        <w:rPr>
          <w:spacing w:val="-3"/>
          <w:w w:val="100"/>
        </w:rPr>
        <w:t>限</w:t>
      </w:r>
      <w:r>
        <w:rPr>
          <w:w w:val="100"/>
        </w:rPr>
        <w:t>公</w:t>
      </w:r>
      <w:r>
        <w:rPr>
          <w:spacing w:val="-3"/>
          <w:w w:val="100"/>
        </w:rPr>
        <w:t>司</w:t>
      </w:r>
      <w:r>
        <w:rPr>
          <w:w w:val="100"/>
        </w:rPr>
        <w:t>以</w:t>
      </w:r>
      <w:r>
        <w:rPr>
          <w:spacing w:val="-3"/>
          <w:w w:val="100"/>
        </w:rPr>
        <w:t>货</w:t>
      </w:r>
      <w:r>
        <w:rPr>
          <w:w w:val="100"/>
        </w:rPr>
        <w:t>币</w:t>
      </w:r>
      <w:r>
        <w:rPr>
          <w:spacing w:val="-3"/>
          <w:w w:val="100"/>
        </w:rPr>
        <w:t>资</w:t>
      </w:r>
      <w:r>
        <w:rPr>
          <w:w w:val="100"/>
        </w:rPr>
        <w:t>金</w:t>
      </w:r>
      <w:r>
        <w:rPr>
          <w:spacing w:val="-52"/>
        </w:rPr>
        <w:t> </w:t>
      </w:r>
      <w:r>
        <w:rPr>
          <w:rFonts w:ascii="Times New Roman" w:hAnsi="Times New Roman" w:cs="Times New Roman" w:eastAsia="Times New Roman" w:hint="default"/>
          <w:spacing w:val="-3"/>
          <w:w w:val="100"/>
        </w:rPr>
        <w:t>80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万</w:t>
      </w:r>
      <w:r>
        <w:rPr>
          <w:spacing w:val="-3"/>
          <w:w w:val="100"/>
        </w:rPr>
        <w:t>元</w:t>
      </w:r>
      <w:r>
        <w:rPr>
          <w:w w:val="100"/>
        </w:rPr>
        <w:t>与</w:t>
      </w:r>
      <w:r>
        <w:rPr>
          <w:spacing w:val="-3"/>
          <w:w w:val="100"/>
        </w:rPr>
        <w:t>广</w:t>
      </w:r>
      <w:r>
        <w:rPr>
          <w:w w:val="100"/>
        </w:rPr>
        <w:t>东</w:t>
      </w:r>
      <w:r>
        <w:rPr>
          <w:spacing w:val="-3"/>
          <w:w w:val="100"/>
        </w:rPr>
        <w:t>三</w:t>
      </w:r>
      <w:r>
        <w:rPr>
          <w:w w:val="100"/>
        </w:rPr>
        <w:t>奥</w:t>
      </w:r>
      <w:r>
        <w:rPr>
          <w:spacing w:val="-3"/>
          <w:w w:val="100"/>
        </w:rPr>
        <w:t>动</w:t>
      </w:r>
      <w:r>
        <w:rPr>
          <w:w w:val="100"/>
        </w:rPr>
        <w:t>力</w:t>
      </w:r>
      <w:r>
        <w:rPr>
          <w:spacing w:val="-3"/>
          <w:w w:val="100"/>
        </w:rPr>
        <w:t>设</w:t>
      </w:r>
      <w:r>
        <w:rPr>
          <w:w w:val="100"/>
        </w:rPr>
        <w:t>备有</w:t>
      </w:r>
      <w:r>
        <w:rPr>
          <w:spacing w:val="-3"/>
          <w:w w:val="100"/>
        </w:rPr>
        <w:t>限</w:t>
      </w:r>
      <w:r>
        <w:rPr>
          <w:w w:val="100"/>
        </w:rPr>
        <w:t>公</w:t>
      </w:r>
      <w:r>
        <w:rPr>
          <w:spacing w:val="-3"/>
          <w:w w:val="100"/>
        </w:rPr>
        <w:t>司</w:t>
      </w:r>
      <w:r>
        <w:rPr>
          <w:w w:val="100"/>
        </w:rPr>
        <w:t>共同</w:t>
      </w:r>
    </w:p>
    <w:p>
      <w:pPr>
        <w:pStyle w:val="BodyText"/>
        <w:spacing w:line="272" w:lineRule="exact"/>
        <w:ind w:right="0"/>
        <w:jc w:val="left"/>
        <w:rPr>
          <w:rFonts w:ascii="Times New Roman" w:hAnsi="Times New Roman" w:cs="Times New Roman" w:eastAsia="Times New Roman" w:hint="default"/>
        </w:rPr>
      </w:pPr>
      <w:r>
        <w:rPr/>
        <w:t>出资组建广东泰豪三奥动力科技有限公司，该公司注册资本为</w:t>
      </w:r>
      <w:r>
        <w:rPr>
          <w:spacing w:val="-51"/>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万元，截止</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272" w:lineRule="exact"/>
        <w:ind w:right="0"/>
        <w:jc w:val="left"/>
      </w:pPr>
      <w:r>
        <w:rPr/>
        <w:t>日电源技术持有其</w:t>
      </w:r>
      <w:r>
        <w:rPr>
          <w:spacing w:val="-53"/>
        </w:rPr>
        <w:t> </w:t>
      </w:r>
      <w:r>
        <w:rPr>
          <w:rFonts w:ascii="Times New Roman" w:hAnsi="Times New Roman" w:cs="Times New Roman" w:eastAsia="Times New Roman" w:hint="default"/>
        </w:rPr>
        <w:t>100%</w:t>
      </w:r>
      <w:r>
        <w:rPr/>
        <w:t>的股权；</w:t>
      </w:r>
    </w:p>
    <w:p>
      <w:pPr>
        <w:pStyle w:val="BodyText"/>
        <w:spacing w:line="272" w:lineRule="exact"/>
        <w:ind w:left="558" w:right="0"/>
        <w:jc w:val="left"/>
      </w:pPr>
      <w:r>
        <w:rPr>
          <w:rFonts w:ascii="Times New Roman" w:hAnsi="Times New Roman" w:cs="Times New Roman" w:eastAsia="Times New Roman" w:hint="default"/>
          <w:spacing w:val="11"/>
        </w:rPr>
        <w:t>7</w:t>
      </w:r>
      <w:r>
        <w:rPr>
          <w:spacing w:val="11"/>
        </w:rPr>
        <w:t>、公司子公司上海泰豪迈能能源科技有限公司以货币资金  </w:t>
      </w:r>
      <w:r>
        <w:rPr>
          <w:rFonts w:ascii="Times New Roman" w:hAnsi="Times New Roman" w:cs="Times New Roman" w:eastAsia="Times New Roman" w:hint="default"/>
        </w:rPr>
        <w:t>25 </w:t>
      </w:r>
      <w:r>
        <w:rPr>
          <w:rFonts w:ascii="Times New Roman" w:hAnsi="Times New Roman" w:cs="Times New Roman" w:eastAsia="Times New Roman" w:hint="default"/>
          <w:spacing w:val="12"/>
        </w:rPr>
        <w:t> </w:t>
      </w:r>
      <w:r>
        <w:rPr>
          <w:spacing w:val="10"/>
        </w:rPr>
        <w:t>万美元在美国加州设立</w:t>
      </w:r>
    </w:p>
    <w:p>
      <w:pPr>
        <w:pStyle w:val="BodyText"/>
        <w:spacing w:line="272" w:lineRule="exact" w:before="19"/>
        <w:ind w:left="558" w:right="0" w:hanging="420"/>
        <w:jc w:val="left"/>
      </w:pPr>
      <w:r>
        <w:rPr>
          <w:rFonts w:ascii="Times New Roman" w:hAnsi="Times New Roman" w:cs="Times New Roman" w:eastAsia="Times New Roman" w:hint="default"/>
        </w:rPr>
        <w:t>Meinergy</w:t>
      </w:r>
      <w:r>
        <w:rPr>
          <w:rFonts w:ascii="Times New Roman" w:hAnsi="Times New Roman" w:cs="Times New Roman" w:eastAsia="Times New Roman" w:hint="default"/>
          <w:spacing w:val="-4"/>
        </w:rPr>
        <w:t> </w:t>
      </w:r>
      <w:r>
        <w:rPr>
          <w:rFonts w:ascii="Times New Roman" w:hAnsi="Times New Roman" w:cs="Times New Roman" w:eastAsia="Times New Roman" w:hint="default"/>
        </w:rPr>
        <w:t>INC</w:t>
      </w:r>
      <w:r>
        <w:rPr/>
        <w:t>，该公司注册资本为</w:t>
      </w:r>
      <w:r>
        <w:rPr>
          <w:spacing w:val="-53"/>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万美元，泰豪迈能持有其</w:t>
      </w:r>
      <w:r>
        <w:rPr>
          <w:spacing w:val="-54"/>
        </w:rPr>
        <w:t> </w:t>
      </w:r>
      <w:r>
        <w:rPr>
          <w:rFonts w:ascii="Times New Roman" w:hAnsi="Times New Roman" w:cs="Times New Roman" w:eastAsia="Times New Roman" w:hint="default"/>
        </w:rPr>
        <w:t>100%</w:t>
      </w:r>
      <w:r>
        <w:rPr/>
        <w:t>股权；</w:t>
      </w:r>
      <w:r>
        <w:rPr>
          <w:w w:val="100"/>
        </w:rPr>
        <w:t> </w:t>
      </w:r>
      <w:r>
        <w:rPr>
          <w:rFonts w:ascii="Times New Roman" w:hAnsi="Times New Roman" w:cs="Times New Roman" w:eastAsia="Times New Roman" w:hint="default"/>
          <w:spacing w:val="5"/>
        </w:rPr>
        <w:t>8</w:t>
      </w:r>
      <w:r>
        <w:rPr>
          <w:spacing w:val="5"/>
        </w:rPr>
        <w:t>、公司子公司上海泰豪迈能能源科技有限公司以货币资金  </w:t>
      </w:r>
      <w:r>
        <w:rPr>
          <w:rFonts w:ascii="Times New Roman" w:hAnsi="Times New Roman" w:cs="Times New Roman" w:eastAsia="Times New Roman" w:hint="default"/>
        </w:rPr>
        <w:t>50 </w:t>
      </w:r>
      <w:r>
        <w:rPr>
          <w:rFonts w:ascii="Times New Roman" w:hAnsi="Times New Roman" w:cs="Times New Roman" w:eastAsia="Times New Roman" w:hint="default"/>
          <w:spacing w:val="2"/>
        </w:rPr>
        <w:t> </w:t>
      </w:r>
      <w:r>
        <w:rPr>
          <w:spacing w:val="5"/>
        </w:rPr>
        <w:t>万欧元元在德国柏林设立</w:t>
      </w:r>
    </w:p>
    <w:p>
      <w:pPr>
        <w:pStyle w:val="BodyText"/>
        <w:tabs>
          <w:tab w:pos="1159" w:val="left" w:leader="none"/>
        </w:tabs>
        <w:spacing w:line="265" w:lineRule="exact"/>
        <w:ind w:right="0"/>
        <w:jc w:val="left"/>
      </w:pPr>
      <w:r>
        <w:rPr>
          <w:rFonts w:ascii="Times New Roman" w:hAnsi="Times New Roman" w:cs="Times New Roman" w:eastAsia="Times New Roman" w:hint="default"/>
          <w:spacing w:val="-1"/>
        </w:rPr>
        <w:t>Meinergy</w:t>
        <w:tab/>
      </w:r>
      <w:r>
        <w:rPr>
          <w:rFonts w:ascii="Times New Roman" w:hAnsi="Times New Roman" w:cs="Times New Roman" w:eastAsia="Times New Roman" w:hint="default"/>
          <w:spacing w:val="-2"/>
        </w:rPr>
        <w:t>GMBH</w:t>
      </w:r>
      <w:r>
        <w:rPr>
          <w:spacing w:val="-2"/>
        </w:rPr>
        <w:t>，该公司注册资本为</w:t>
      </w:r>
      <w:r>
        <w:rPr/>
        <w:t> </w:t>
      </w:r>
      <w:r>
        <w:rPr>
          <w:rFonts w:ascii="Times New Roman" w:hAnsi="Times New Roman" w:cs="Times New Roman" w:eastAsia="Times New Roman" w:hint="default"/>
          <w:spacing w:val="-2"/>
        </w:rPr>
        <w:t>50</w:t>
      </w:r>
      <w:r>
        <w:rPr>
          <w:rFonts w:ascii="Times New Roman" w:hAnsi="Times New Roman" w:cs="Times New Roman" w:eastAsia="Times New Roman" w:hint="default"/>
        </w:rPr>
        <w:t> </w:t>
      </w:r>
      <w:r>
        <w:rPr>
          <w:spacing w:val="-2"/>
        </w:rPr>
        <w:t>万欧元，泰豪迈能持有其</w:t>
      </w:r>
      <w:r>
        <w:rPr>
          <w:spacing w:val="-55"/>
        </w:rPr>
        <w:t> </w:t>
      </w:r>
      <w:r>
        <w:rPr>
          <w:rFonts w:ascii="Times New Roman" w:hAnsi="Times New Roman" w:cs="Times New Roman" w:eastAsia="Times New Roman" w:hint="default"/>
          <w:spacing w:val="-1"/>
        </w:rPr>
        <w:t>100%</w:t>
      </w:r>
      <w:r>
        <w:rPr>
          <w:spacing w:val="-1"/>
        </w:rPr>
        <w:t>股权。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0"/>
          <w:szCs w:val="20"/>
        </w:rPr>
      </w:pPr>
    </w:p>
    <w:p>
      <w:pPr>
        <w:pStyle w:val="Heading2"/>
        <w:spacing w:line="240" w:lineRule="auto" w:before="0"/>
        <w:ind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6"/>
        <w:ind w:right="0"/>
        <w:jc w:val="left"/>
      </w:pPr>
      <w:r>
        <w:rPr/>
        <w:t>□适用</w:t>
        <w:tab/>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tabs>
          <w:tab w:pos="781" w:val="left" w:leader="none"/>
        </w:tabs>
        <w:spacing w:line="290" w:lineRule="auto"/>
        <w:ind w:right="666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4" w:type="dxa"/>
        <w:tblLayout w:type="fixed"/>
        <w:tblCellMar>
          <w:top w:w="0" w:type="dxa"/>
          <w:left w:w="0" w:type="dxa"/>
          <w:bottom w:w="0" w:type="dxa"/>
          <w:right w:w="0" w:type="dxa"/>
        </w:tblCellMar>
        <w:tblLook w:val="01E0"/>
      </w:tblPr>
      <w:tblGrid>
        <w:gridCol w:w="1814"/>
        <w:gridCol w:w="872"/>
        <w:gridCol w:w="871"/>
        <w:gridCol w:w="4081"/>
        <w:gridCol w:w="617"/>
        <w:gridCol w:w="319"/>
        <w:gridCol w:w="317"/>
      </w:tblGrid>
      <w:tr>
        <w:trPr>
          <w:trHeight w:val="710" w:hRule="exact"/>
        </w:trPr>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631" w:right="631"/>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338" w:right="70"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4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7" w:type="dxa"/>
            <w:vMerge w:val="restart"/>
            <w:tcBorders>
              <w:top w:val="single" w:sz="4" w:space="0" w:color="000000"/>
              <w:left w:val="single" w:sz="4" w:space="0" w:color="000000"/>
              <w:right w:val="single" w:sz="4" w:space="0" w:color="000000"/>
            </w:tcBorders>
          </w:tcPr>
          <w:p>
            <w:pPr>
              <w:pStyle w:val="TableParagraph"/>
              <w:spacing w:line="237" w:lineRule="auto" w:before="94"/>
              <w:ind w:left="62" w:right="62"/>
              <w:jc w:val="both"/>
              <w:rPr>
                <w:rFonts w:ascii="宋体" w:hAnsi="宋体" w:cs="宋体" w:eastAsia="宋体" w:hint="default"/>
                <w:sz w:val="18"/>
                <w:szCs w:val="18"/>
              </w:rPr>
            </w:pPr>
            <w:r>
              <w:rPr>
                <w:rFonts w:ascii="宋体" w:hAnsi="宋体" w:cs="宋体" w:eastAsia="宋体" w:hint="default"/>
                <w:sz w:val="18"/>
                <w:szCs w:val="18"/>
              </w:rPr>
              <w:t>取 得 方 式</w:t>
            </w:r>
          </w:p>
        </w:tc>
      </w:tr>
      <w:tr>
        <w:trPr>
          <w:trHeight w:val="478" w:hRule="exact"/>
        </w:trPr>
        <w:tc>
          <w:tcPr>
            <w:tcW w:w="1814"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4081" w:type="dxa"/>
            <w:vMerge/>
            <w:tcBorders>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3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0"/>
              <w:jc w:val="left"/>
              <w:rPr>
                <w:rFonts w:ascii="宋体" w:hAnsi="宋体" w:cs="宋体" w:eastAsia="宋体" w:hint="default"/>
                <w:sz w:val="18"/>
                <w:szCs w:val="18"/>
              </w:rPr>
            </w:pPr>
            <w:r>
              <w:rPr>
                <w:rFonts w:ascii="宋体" w:hAnsi="宋体" w:cs="宋体" w:eastAsia="宋体" w:hint="default"/>
                <w:sz w:val="18"/>
                <w:szCs w:val="18"/>
              </w:rPr>
              <w:t>间</w:t>
            </w:r>
          </w:p>
          <w:p>
            <w:pPr>
              <w:pStyle w:val="TableParagraph"/>
              <w:spacing w:line="234" w:lineRule="exact"/>
              <w:ind w:left="62" w:right="0"/>
              <w:jc w:val="left"/>
              <w:rPr>
                <w:rFonts w:ascii="宋体" w:hAnsi="宋体" w:cs="宋体" w:eastAsia="宋体" w:hint="default"/>
                <w:sz w:val="18"/>
                <w:szCs w:val="18"/>
              </w:rPr>
            </w:pPr>
            <w:r>
              <w:rPr>
                <w:rFonts w:ascii="宋体" w:hAnsi="宋体" w:cs="宋体" w:eastAsia="宋体" w:hint="default"/>
                <w:sz w:val="18"/>
                <w:szCs w:val="18"/>
              </w:rPr>
              <w:t>接</w:t>
            </w:r>
          </w:p>
        </w:tc>
        <w:tc>
          <w:tcPr>
            <w:tcW w:w="317" w:type="dxa"/>
            <w:vMerge/>
            <w:tcBorders>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江西泰豪军工集团有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发电机及机组、其他机电设备</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江西清华泰豪三波电</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电源、电机及成套设备</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衡阳泰豪通信车辆有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湖南衡阳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湖南衡阳</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军用改装车及军用方舱研制生产及销售等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84.53</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长春泰豪电子装备有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天线、雷达、光机电一体化产品</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上海泰豪智能节能技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合同能源管理、建筑智能化工程等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泰豪晟大创业投资有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创业投资业务、创业投资咨询及管理等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83.33</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泰豪电源技术有限公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发电机及机组的设计、制造、销售与售后服务</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泰豪福瑞斯动力设备</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发电机、发电机组、燃气发电组开发、设计、制造</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销售、安装、技术咨询</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6" w:right="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0"/>
                <w:sz w:val="18"/>
                <w:szCs w:val="18"/>
              </w:rPr>
              <w:t> </w:t>
            </w:r>
            <w:r>
              <w:rPr>
                <w:rFonts w:ascii="Times New Roman" w:hAnsi="Times New Roman" w:cs="Times New Roman" w:eastAsia="Times New Roman" w:hint="default"/>
                <w:position w:val="2"/>
                <w:sz w:val="18"/>
                <w:szCs w:val="18"/>
              </w:rPr>
              <w:t>100.00</w:t>
            </w:r>
            <w:r>
              <w:rPr>
                <w:rFonts w:ascii="Times New Roman" w:hAnsi="Times New Roman" w:cs="Times New Roman" w:eastAsia="Times New Roman" w:hint="default"/>
                <w:sz w:val="18"/>
                <w:szCs w:val="18"/>
              </w:rPr>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陕西泰豪沃达动力设</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备有限公司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发电机、发电机组、工矿设备、输变电配套设备的</w:t>
            </w:r>
          </w:p>
          <w:p>
            <w:pPr>
              <w:pStyle w:val="TableParagraph"/>
              <w:spacing w:line="232" w:lineRule="exact" w:before="24"/>
              <w:ind w:left="24" w:right="29"/>
              <w:jc w:val="left"/>
              <w:rPr>
                <w:rFonts w:ascii="宋体" w:hAnsi="宋体" w:cs="宋体" w:eastAsia="宋体" w:hint="default"/>
                <w:sz w:val="18"/>
                <w:szCs w:val="18"/>
              </w:rPr>
            </w:pPr>
            <w:r>
              <w:rPr>
                <w:rFonts w:ascii="宋体" w:hAnsi="宋体" w:cs="宋体" w:eastAsia="宋体" w:hint="default"/>
                <w:spacing w:val="2"/>
                <w:sz w:val="18"/>
                <w:szCs w:val="18"/>
              </w:rPr>
              <w:t>开发、技术咨询、维修、设计、制造、安装、销售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和租赁</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
              <w:jc w:val="right"/>
              <w:rPr>
                <w:rFonts w:ascii="Times New Roman" w:hAnsi="Times New Roman" w:cs="Times New Roman" w:eastAsia="Times New Roman" w:hint="default"/>
                <w:sz w:val="18"/>
                <w:szCs w:val="18"/>
              </w:rPr>
            </w:pPr>
            <w:r>
              <w:rPr>
                <w:rFonts w:ascii="Times New Roman"/>
                <w:sz w:val="18"/>
              </w:rPr>
              <w:t>65.95</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广东泰豪三奥动力科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机电设备、发电机、发电机组、柴油机研发、产销</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安装、维修</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6" w:right="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0"/>
                <w:sz w:val="18"/>
                <w:szCs w:val="18"/>
              </w:rPr>
              <w:t> </w:t>
            </w:r>
            <w:r>
              <w:rPr>
                <w:rFonts w:ascii="Times New Roman" w:hAnsi="Times New Roman" w:cs="Times New Roman" w:eastAsia="Times New Roman" w:hint="default"/>
                <w:position w:val="2"/>
                <w:sz w:val="18"/>
                <w:szCs w:val="18"/>
              </w:rPr>
              <w:t>100.00</w:t>
            </w:r>
            <w:r>
              <w:rPr>
                <w:rFonts w:ascii="Times New Roman" w:hAnsi="Times New Roman" w:cs="Times New Roman" w:eastAsia="Times New Roman" w:hint="default"/>
                <w:sz w:val="18"/>
                <w:szCs w:val="18"/>
              </w:rPr>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泰豪软件股份有限公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计算机软件及相关产品开发、生产及销售</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广东泰豪能源科技有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研究和试验发展</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上海泰豪迈能能源科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能源互联网科技、新能源科技</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龙岩市海德馨汽车有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福建龙岩</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专用作业车（应急电源车、抢险救援照明车、应急</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通信车</w:t>
            </w:r>
            <w:r>
              <w:rPr>
                <w:rFonts w:ascii="Times New Roman" w:hAnsi="Times New Roman" w:cs="Times New Roman" w:eastAsia="Times New Roman" w:hint="default"/>
                <w:sz w:val="18"/>
                <w:szCs w:val="18"/>
              </w:rPr>
              <w:t>)</w:t>
            </w:r>
            <w:r>
              <w:rPr>
                <w:rFonts w:ascii="宋体" w:hAnsi="宋体" w:cs="宋体" w:eastAsia="宋体" w:hint="default"/>
                <w:sz w:val="18"/>
                <w:szCs w:val="18"/>
              </w:rPr>
              <w:t>）生产销售</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59.23</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上海红生系统工程有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（通讯设备、计算机软硬件、网络技术）专业领域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内的技术开发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贵州泰豪宝碳智慧能</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源有限公司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能源互联网相关技术咨询、服务等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70.00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江西泰豪能源互联网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能源技术研究、技术开发服务</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泰豪国际工程有限公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工程项目管理；专业承包、施工总承包；销售电子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产品、通讯设备、电子设备</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60.00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泰豪国际投资有限公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Times New Roman" w:hAnsi="Times New Roman" w:cs="Times New Roman" w:eastAsia="Times New Roman" w:hint="default"/>
                <w:sz w:val="18"/>
                <w:szCs w:val="18"/>
              </w:rPr>
            </w:pPr>
            <w:r>
              <w:rPr>
                <w:rFonts w:ascii="Times New Roman"/>
                <w:sz w:val="18"/>
              </w:rPr>
              <w:t>BVI</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BVI</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泰豪科技（亚洲）有限</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莱福士电力电子设备</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（深圳）有限公司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智能中高压开关元件产品及成套设备等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上海博辕信息技术服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计算机科技领域内的技术开发、技术转让、技术服</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上海博辕信息技术服</w:t>
            </w:r>
            <w:r>
              <w:rPr>
                <w:rFonts w:ascii="宋体" w:hAnsi="宋体" w:cs="宋体" w:eastAsia="宋体" w:hint="default"/>
                <w:spacing w:val="-74"/>
                <w:sz w:val="18"/>
                <w:szCs w:val="18"/>
              </w:rPr>
              <w:t> </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江苏如皋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江苏如皋</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计算机软件、通讯领域内的技术开发，技术转让</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z w:val="18"/>
              </w:rPr>
              <w:t>100.0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9"/>
          <w:pgSz w:w="11910" w:h="16840"/>
          <w:pgMar w:footer="1195" w:header="0"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04" w:type="dxa"/>
        <w:tblLayout w:type="fixed"/>
        <w:tblCellMar>
          <w:top w:w="0" w:type="dxa"/>
          <w:left w:w="0" w:type="dxa"/>
          <w:bottom w:w="0" w:type="dxa"/>
          <w:right w:w="0" w:type="dxa"/>
        </w:tblCellMar>
        <w:tblLook w:val="01E0"/>
      </w:tblPr>
      <w:tblGrid>
        <w:gridCol w:w="1814"/>
        <w:gridCol w:w="872"/>
        <w:gridCol w:w="871"/>
        <w:gridCol w:w="4081"/>
        <w:gridCol w:w="617"/>
        <w:gridCol w:w="319"/>
        <w:gridCol w:w="317"/>
      </w:tblGrid>
      <w:tr>
        <w:trPr>
          <w:trHeight w:val="24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务如皋有限公司</w:t>
            </w: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08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上海博辕信息技术服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务海安有限公司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江苏海安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江苏海安</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计算机软件、通讯领域内的技术开发，技术转让</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上海博辕软件技术有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软件技术开发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北京博辕捷迅科技发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技术推广服务、经济贸易咨询</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宁波博辕信息技术服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计算机软件、通信设备及技术的技术开发、技术转</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让</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深圳博辕钧融科技有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计算机软硬件、通信设备的技术开发、技术转让</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江苏创动信息科技有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软件开发、销售，信息系统集成服务</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苏州博辕恒瑞信息技</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术服务有限公司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江苏昆山</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江苏昆山</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计算机软件、通讯领域内的技术开发，技术转让</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上海致胜信息技术服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信息技术、网络科技领域内的技术咨询、技术服务</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51.00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上海馨盛信息科技有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信息科技领域内从事技术开发、技术咨询、技术转</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让</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51.00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济南吉美乐电源技术</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山东济南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山东济南</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电源新技术开发及技术服务</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嘉兴泰豪装备技术有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装备技术开发、技术咨询及技术服务等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90.00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北京泰豪电力技术有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技术开发、咨询、服务、转让；销售电子产品等；</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投资管理；施工总承包等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黑龙江中能电力设计</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5"/>
              <w:jc w:val="left"/>
              <w:rPr>
                <w:rFonts w:ascii="宋体" w:hAnsi="宋体" w:cs="宋体" w:eastAsia="宋体" w:hint="default"/>
                <w:sz w:val="18"/>
                <w:szCs w:val="18"/>
              </w:rPr>
            </w:pPr>
            <w:r>
              <w:rPr>
                <w:rFonts w:ascii="宋体" w:hAnsi="宋体" w:cs="宋体" w:eastAsia="宋体" w:hint="default"/>
                <w:spacing w:val="23"/>
                <w:sz w:val="18"/>
                <w:szCs w:val="18"/>
              </w:rPr>
              <w:t>黑龙江省</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牡丹江市</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8"/>
              <w:jc w:val="left"/>
              <w:rPr>
                <w:rFonts w:ascii="宋体" w:hAnsi="宋体" w:cs="宋体" w:eastAsia="宋体" w:hint="default"/>
                <w:sz w:val="18"/>
                <w:szCs w:val="18"/>
              </w:rPr>
            </w:pPr>
            <w:r>
              <w:rPr>
                <w:rFonts w:ascii="宋体" w:hAnsi="宋体" w:cs="宋体" w:eastAsia="宋体" w:hint="default"/>
                <w:spacing w:val="23"/>
                <w:sz w:val="18"/>
                <w:szCs w:val="18"/>
              </w:rPr>
              <w:t>黑龙江省</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牡丹江市</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送变电工程设计、销售电力设备</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60.00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北京泰豪电力科技有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技术开发、咨询、服务、培训；销售机械设备、计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算机系统集成等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杭州乾龙伟业电器成</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套有限公司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浙江临安</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研发、生产、销售、安装；高低压电气成套设备、</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高低压电器等</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42.86</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泰豪科技（深圳）电力</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电力设备、仪器仪表、自动化系统</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Meinergy</w:t>
            </w:r>
            <w:r>
              <w:rPr>
                <w:rFonts w:ascii="Times New Roman"/>
                <w:spacing w:val="-11"/>
                <w:sz w:val="18"/>
              </w:rPr>
              <w:t> </w:t>
            </w:r>
            <w:r>
              <w:rPr>
                <w:rFonts w:ascii="Times New Roman"/>
                <w:sz w:val="18"/>
              </w:rPr>
              <w:t>GMBH</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德国柏林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德国柏林</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配售电运营、电力交易软件等的技术引进</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Times New Roman" w:hAnsi="Times New Roman" w:cs="Times New Roman" w:eastAsia="Times New Roman" w:hint="default"/>
                <w:sz w:val="18"/>
                <w:szCs w:val="18"/>
              </w:rPr>
            </w:pPr>
            <w:r>
              <w:rPr>
                <w:rFonts w:ascii="Times New Roman"/>
                <w:sz w:val="18"/>
              </w:rPr>
              <w:t>Meinergy</w:t>
            </w:r>
            <w:r>
              <w:rPr>
                <w:rFonts w:ascii="Times New Roman"/>
                <w:spacing w:val="-9"/>
                <w:sz w:val="18"/>
              </w:rPr>
              <w:t> </w:t>
            </w:r>
            <w:r>
              <w:rPr>
                <w:rFonts w:ascii="Times New Roman"/>
                <w:sz w:val="18"/>
              </w:rPr>
              <w:t>Inc</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配售电运营、电力交易软件等的技术引进</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中能华电（北京）电力</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技术研究院</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工程和技术研究与试验发展</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49.00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贵州泰豪电力科技有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5"/>
              <w:jc w:val="left"/>
              <w:rPr>
                <w:rFonts w:ascii="宋体" w:hAnsi="宋体" w:cs="宋体" w:eastAsia="宋体" w:hint="default"/>
                <w:sz w:val="18"/>
                <w:szCs w:val="18"/>
              </w:rPr>
            </w:pPr>
            <w:r>
              <w:rPr>
                <w:rFonts w:ascii="宋体" w:hAnsi="宋体" w:cs="宋体" w:eastAsia="宋体" w:hint="default"/>
                <w:spacing w:val="23"/>
                <w:sz w:val="18"/>
                <w:szCs w:val="18"/>
              </w:rPr>
              <w:t>贵州贵安</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新区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8"/>
              <w:jc w:val="left"/>
              <w:rPr>
                <w:rFonts w:ascii="宋体" w:hAnsi="宋体" w:cs="宋体" w:eastAsia="宋体" w:hint="default"/>
                <w:sz w:val="18"/>
                <w:szCs w:val="18"/>
              </w:rPr>
            </w:pPr>
            <w:r>
              <w:rPr>
                <w:rFonts w:ascii="宋体" w:hAnsi="宋体" w:cs="宋体" w:eastAsia="宋体" w:hint="default"/>
                <w:spacing w:val="23"/>
                <w:sz w:val="18"/>
                <w:szCs w:val="18"/>
              </w:rPr>
              <w:t>贵州贵安</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新区</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电力设备、电力技术、仪器仪表和自动化系的技术</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开发和购销</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5" w:lineRule="exact" w:before="36"/>
        <w:ind w:left="338" w:right="112"/>
        <w:jc w:val="left"/>
      </w:pPr>
      <w:r>
        <w:rPr/>
        <w:t>在子公司的持股比例不同于表决权比例的说明：</w:t>
      </w:r>
    </w:p>
    <w:p>
      <w:pPr>
        <w:pStyle w:val="BodyText"/>
        <w:spacing w:line="272" w:lineRule="exact" w:before="27"/>
        <w:ind w:left="338" w:right="112" w:firstLine="419"/>
        <w:jc w:val="left"/>
      </w:pPr>
      <w:r>
        <w:rPr/>
        <w:t>公司对杭州乾龙伟业电器成套有限公司持股比例</w:t>
      </w:r>
      <w:r>
        <w:rPr>
          <w:spacing w:val="-45"/>
        </w:rPr>
        <w:t> </w:t>
      </w:r>
      <w:r>
        <w:rPr>
          <w:rFonts w:ascii="Times New Roman" w:hAnsi="Times New Roman" w:cs="Times New Roman" w:eastAsia="Times New Roman" w:hint="default"/>
          <w:spacing w:val="-5"/>
        </w:rPr>
        <w:t>42.86%</w:t>
      </w:r>
      <w:r>
        <w:rPr>
          <w:spacing w:val="-5"/>
        </w:rPr>
        <w:t>，表决权比例</w:t>
      </w:r>
      <w:r>
        <w:rPr>
          <w:spacing w:val="-46"/>
        </w:rPr>
        <w:t> </w:t>
      </w:r>
      <w:r>
        <w:rPr>
          <w:rFonts w:ascii="Times New Roman" w:hAnsi="Times New Roman" w:cs="Times New Roman" w:eastAsia="Times New Roman" w:hint="default"/>
          <w:spacing w:val="-5"/>
        </w:rPr>
        <w:t>60%</w:t>
      </w:r>
      <w:r>
        <w:rPr>
          <w:spacing w:val="-5"/>
        </w:rPr>
        <w:t>，系公司二期出资</w:t>
      </w:r>
      <w:r>
        <w:rPr>
          <w:w w:val="100"/>
        </w:rPr>
        <w:t> </w:t>
      </w:r>
      <w:r>
        <w:rPr/>
        <w:t>尚未投入，但杭州乾龙伟业电器成套有限公司章程约定，表决权比例按认缴比例</w:t>
      </w:r>
      <w:r>
        <w:rPr>
          <w:spacing w:val="46"/>
        </w:rPr>
        <w:t> </w:t>
      </w:r>
      <w:r>
        <w:rPr>
          <w:rFonts w:ascii="Times New Roman" w:hAnsi="Times New Roman" w:cs="Times New Roman" w:eastAsia="Times New Roman" w:hint="default"/>
        </w:rPr>
        <w:t>60%</w:t>
      </w:r>
      <w:r>
        <w:rPr/>
        <w:t>进行表决，</w:t>
      </w:r>
      <w:r>
        <w:rPr>
          <w:spacing w:val="-102"/>
        </w:rPr>
        <w:t> </w:t>
      </w:r>
      <w:r>
        <w:rPr/>
        <w:t>因此，公司对该子公司拥有实质控制权。</w:t>
      </w:r>
    </w:p>
    <w:p>
      <w:pPr>
        <w:spacing w:line="240" w:lineRule="auto" w:before="8"/>
        <w:rPr>
          <w:rFonts w:ascii="宋体" w:hAnsi="宋体" w:cs="宋体" w:eastAsia="宋体" w:hint="default"/>
          <w:sz w:val="18"/>
          <w:szCs w:val="18"/>
        </w:rPr>
      </w:pPr>
    </w:p>
    <w:p>
      <w:pPr>
        <w:pStyle w:val="BodyText"/>
        <w:spacing w:line="272" w:lineRule="exact"/>
        <w:ind w:left="338" w:right="112"/>
        <w:jc w:val="left"/>
      </w:pPr>
      <w:r>
        <w:rPr>
          <w:spacing w:val="-1"/>
        </w:rPr>
        <w:t>持有半数或以下表决权但仍控制被投资单位、以及持有半数以上表决权但不控制被投资单位的依</w:t>
      </w:r>
      <w:r>
        <w:rPr>
          <w:spacing w:val="-55"/>
        </w:rPr>
        <w:t> </w:t>
      </w:r>
      <w:r>
        <w:rPr>
          <w:spacing w:val="-55"/>
        </w:rPr>
      </w:r>
      <w:r>
        <w:rPr/>
        <w:t>据：</w:t>
      </w:r>
    </w:p>
    <w:p>
      <w:pPr>
        <w:pStyle w:val="BodyText"/>
        <w:spacing w:line="272" w:lineRule="exact" w:before="1"/>
        <w:ind w:left="338" w:right="228" w:firstLine="419"/>
        <w:jc w:val="both"/>
      </w:pPr>
      <w:r>
        <w:rPr>
          <w:spacing w:val="-3"/>
        </w:rPr>
        <w:t>公司对中能华电（北京）电力技术研究院持股比例 </w:t>
      </w:r>
      <w:r>
        <w:rPr>
          <w:rFonts w:ascii="Times New Roman" w:hAnsi="Times New Roman" w:cs="Times New Roman" w:eastAsia="Times New Roman" w:hint="default"/>
        </w:rPr>
        <w:t>49%</w:t>
      </w:r>
      <w:r>
        <w:rPr/>
        <w:t>，同时公司管理人员涂彦彬持有</w:t>
      </w:r>
      <w:r>
        <w:rPr>
          <w:spacing w:val="-74"/>
        </w:rPr>
        <w:t> </w:t>
      </w:r>
      <w:r>
        <w:rPr>
          <w:rFonts w:ascii="Times New Roman" w:hAnsi="Times New Roman" w:cs="Times New Roman" w:eastAsia="Times New Roman" w:hint="default"/>
        </w:rPr>
        <w:t>40%</w:t>
      </w:r>
      <w:r>
        <w:rPr>
          <w:rFonts w:ascii="Times New Roman" w:hAnsi="Times New Roman" w:cs="Times New Roman" w:eastAsia="Times New Roman" w:hint="default"/>
          <w:w w:val="100"/>
        </w:rPr>
        <w:t> </w:t>
      </w:r>
      <w:r>
        <w:rPr>
          <w:spacing w:val="-1"/>
        </w:rPr>
        <w:t>股权，且同意表决权由本公司代为行使，因此，公司对中能华电（北京）电力技术研究院表决权</w:t>
      </w:r>
      <w:r>
        <w:rPr>
          <w:spacing w:val="-55"/>
        </w:rPr>
        <w:t> </w:t>
      </w:r>
      <w:r>
        <w:rPr>
          <w:spacing w:val="-55"/>
        </w:rPr>
      </w:r>
      <w:r>
        <w:rPr/>
        <w:t>比例为</w:t>
      </w:r>
      <w:r>
        <w:rPr>
          <w:spacing w:val="-56"/>
        </w:rPr>
        <w:t> </w:t>
      </w:r>
      <w:r>
        <w:rPr>
          <w:rFonts w:ascii="Times New Roman" w:hAnsi="Times New Roman" w:cs="Times New Roman" w:eastAsia="Times New Roman" w:hint="default"/>
        </w:rPr>
        <w:t>89%</w:t>
      </w:r>
      <w:r>
        <w:rPr/>
        <w:t>，公司对该子公司拥有实质控制权。</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70"/>
          <w:pgSz w:w="11910" w:h="16840"/>
          <w:pgMar w:footer="1195" w:header="0" w:top="1120" w:bottom="1380" w:left="1460" w:right="1040"/>
          <w:pgNumType w:start="151"/>
        </w:sectPr>
      </w:pPr>
    </w:p>
    <w:p>
      <w:pPr>
        <w:pStyle w:val="Heading2"/>
        <w:tabs>
          <w:tab w:pos="981" w:val="left" w:leader="none"/>
        </w:tabs>
        <w:spacing w:line="240" w:lineRule="auto"/>
        <w:ind w:left="338"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33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238" w:val="left" w:leader="none"/>
        </w:tabs>
        <w:spacing w:line="240" w:lineRule="auto"/>
        <w:ind w:left="3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460" w:right="1040"/>
          <w:cols w:num="2" w:equalWidth="0">
            <w:col w:w="2883" w:space="3944"/>
            <w:col w:w="2583"/>
          </w:cols>
        </w:sectPr>
      </w:pPr>
    </w:p>
    <w:tbl>
      <w:tblPr>
        <w:tblW w:w="0" w:type="auto"/>
        <w:jc w:val="left"/>
        <w:tblInd w:w="112" w:type="dxa"/>
        <w:tblLayout w:type="fixed"/>
        <w:tblCellMar>
          <w:top w:w="0" w:type="dxa"/>
          <w:left w:w="0" w:type="dxa"/>
          <w:bottom w:w="0" w:type="dxa"/>
          <w:right w:w="0" w:type="dxa"/>
        </w:tblCellMar>
        <w:tblLook w:val="01E0"/>
      </w:tblPr>
      <w:tblGrid>
        <w:gridCol w:w="2773"/>
        <w:gridCol w:w="1418"/>
        <w:gridCol w:w="1844"/>
        <w:gridCol w:w="1700"/>
        <w:gridCol w:w="1428"/>
      </w:tblGrid>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少数股东持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本期归属于少数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本期向少数股东</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期末少数股</w:t>
            </w:r>
          </w:p>
        </w:tc>
      </w:tr>
    </w:tbl>
    <w:p>
      <w:pPr>
        <w:spacing w:after="0" w:line="241" w:lineRule="exact"/>
        <w:jc w:val="left"/>
        <w:rPr>
          <w:rFonts w:ascii="宋体" w:hAnsi="宋体" w:cs="宋体" w:eastAsia="宋体" w:hint="default"/>
          <w:sz w:val="21"/>
          <w:szCs w:val="21"/>
        </w:rPr>
        <w:sectPr>
          <w:type w:val="continuous"/>
          <w:pgSz w:w="11910" w:h="16840"/>
          <w:pgMar w:top="1120" w:bottom="1380" w:left="14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773"/>
        <w:gridCol w:w="1418"/>
        <w:gridCol w:w="1844"/>
        <w:gridCol w:w="1700"/>
        <w:gridCol w:w="1428"/>
      </w:tblGrid>
      <w:tr>
        <w:trPr>
          <w:trHeight w:val="284" w:hRule="exact"/>
        </w:trPr>
        <w:tc>
          <w:tcPr>
            <w:tcW w:w="277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86" w:right="0"/>
              <w:jc w:val="left"/>
              <w:rPr>
                <w:rFonts w:ascii="宋体" w:hAnsi="宋体" w:cs="宋体" w:eastAsia="宋体" w:hint="default"/>
                <w:sz w:val="21"/>
                <w:szCs w:val="21"/>
              </w:rPr>
            </w:pPr>
            <w:r>
              <w:rPr>
                <w:rFonts w:ascii="宋体" w:hAnsi="宋体" w:cs="宋体" w:eastAsia="宋体" w:hint="default"/>
                <w:sz w:val="21"/>
                <w:szCs w:val="21"/>
              </w:rPr>
              <w:t>股比例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88" w:right="0"/>
              <w:jc w:val="left"/>
              <w:rPr>
                <w:rFonts w:ascii="宋体" w:hAnsi="宋体" w:cs="宋体" w:eastAsia="宋体" w:hint="default"/>
                <w:sz w:val="21"/>
                <w:szCs w:val="21"/>
              </w:rPr>
            </w:pPr>
            <w:r>
              <w:rPr>
                <w:rFonts w:ascii="宋体" w:hAnsi="宋体" w:cs="宋体" w:eastAsia="宋体" w:hint="default"/>
                <w:sz w:val="21"/>
                <w:szCs w:val="21"/>
              </w:rPr>
              <w:t>股东的损益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 w:right="0"/>
              <w:jc w:val="center"/>
              <w:rPr>
                <w:rFonts w:ascii="宋体" w:hAnsi="宋体" w:cs="宋体" w:eastAsia="宋体" w:hint="default"/>
                <w:sz w:val="21"/>
                <w:szCs w:val="21"/>
              </w:rPr>
            </w:pPr>
            <w:r>
              <w:rPr>
                <w:rFonts w:ascii="宋体" w:hAnsi="宋体" w:cs="宋体" w:eastAsia="宋体" w:hint="default"/>
                <w:sz w:val="21"/>
                <w:szCs w:val="21"/>
              </w:rPr>
              <w:t>东权益余额</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15.47%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3,952,707.55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44,689,672.89</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龙岩市海德馨汽车有限公司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40.77%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10,761,343.57</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 w:right="0"/>
              <w:jc w:val="center"/>
              <w:rPr>
                <w:rFonts w:ascii="Times New Roman" w:hAnsi="Times New Roman" w:cs="Times New Roman" w:eastAsia="Times New Roman" w:hint="default"/>
                <w:sz w:val="21"/>
                <w:szCs w:val="21"/>
              </w:rPr>
            </w:pPr>
            <w:r>
              <w:rPr>
                <w:rFonts w:ascii="Times New Roman"/>
                <w:sz w:val="21"/>
              </w:rPr>
              <w:t>43,186,281.11</w:t>
            </w:r>
          </w:p>
        </w:tc>
      </w:tr>
    </w:tbl>
    <w:p>
      <w:pPr>
        <w:spacing w:line="240" w:lineRule="auto" w:before="13"/>
        <w:rPr>
          <w:rFonts w:ascii="宋体" w:hAnsi="宋体" w:cs="宋体" w:eastAsia="宋体" w:hint="default"/>
          <w:sz w:val="12"/>
          <w:szCs w:val="12"/>
        </w:rPr>
      </w:pPr>
    </w:p>
    <w:p>
      <w:pPr>
        <w:pStyle w:val="BodyText"/>
        <w:spacing w:line="274" w:lineRule="exact" w:before="36"/>
        <w:ind w:left="338" w:right="112"/>
        <w:jc w:val="left"/>
      </w:pPr>
      <w:r>
        <w:rPr/>
        <w:t>子公司少数股东的持股比例不同于表决权比例的说明：</w:t>
      </w:r>
    </w:p>
    <w:p>
      <w:pPr>
        <w:pStyle w:val="BodyText"/>
        <w:spacing w:line="274" w:lineRule="exact"/>
        <w:ind w:left="338" w:right="112"/>
        <w:jc w:val="left"/>
      </w:pPr>
      <w:r>
        <w:rPr/>
        <w:t>□适用 √不适用</w:t>
      </w:r>
    </w:p>
    <w:p>
      <w:pPr>
        <w:spacing w:line="240" w:lineRule="auto" w:before="3"/>
        <w:rPr>
          <w:rFonts w:ascii="宋体" w:hAnsi="宋体" w:cs="宋体" w:eastAsia="宋体" w:hint="default"/>
          <w:sz w:val="18"/>
          <w:szCs w:val="18"/>
        </w:rPr>
      </w:pPr>
    </w:p>
    <w:p>
      <w:pPr>
        <w:pStyle w:val="BodyText"/>
        <w:spacing w:line="273" w:lineRule="exact"/>
        <w:ind w:left="338" w:right="112"/>
        <w:jc w:val="left"/>
      </w:pPr>
      <w:r>
        <w:rPr/>
        <w:t>其他说明：</w:t>
      </w:r>
    </w:p>
    <w:p>
      <w:pPr>
        <w:pStyle w:val="BodyText"/>
        <w:spacing w:line="273" w:lineRule="exact"/>
        <w:ind w:left="338" w:right="112"/>
        <w:jc w:val="left"/>
      </w:pPr>
      <w:r>
        <w:rPr/>
        <w:t>□适用 √不适用</w:t>
      </w:r>
    </w:p>
    <w:p>
      <w:pPr>
        <w:spacing w:after="0" w:line="273" w:lineRule="exact"/>
        <w:jc w:val="left"/>
        <w:sectPr>
          <w:pgSz w:w="11910" w:h="16840"/>
          <w:pgMar w:header="0" w:footer="1195" w:top="1120" w:bottom="1380" w:left="1460" w:right="1040"/>
        </w:sectPr>
      </w:pPr>
    </w:p>
    <w:p>
      <w:pPr>
        <w:spacing w:before="20"/>
        <w:ind w:left="6593" w:right="6497"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71"/>
          <w:footerReference w:type="default" r:id="rId72"/>
          <w:pgSz w:w="16840" w:h="11910" w:orient="landscape"/>
          <w:pgMar w:header="0" w:footer="0" w:top="800" w:bottom="280" w:left="1100" w:right="1300"/>
        </w:sectPr>
      </w:pPr>
    </w:p>
    <w:p>
      <w:pPr>
        <w:pStyle w:val="Heading2"/>
        <w:tabs>
          <w:tab w:pos="983" w:val="left" w:leader="none"/>
        </w:tabs>
        <w:spacing w:line="240" w:lineRule="auto"/>
        <w:ind w:left="340"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8"/>
        <w:ind w:left="340" w:right="-4"/>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39" w:val="left" w:leader="none"/>
        </w:tabs>
        <w:spacing w:line="240" w:lineRule="auto"/>
        <w:ind w:left="3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100" w:right="1300"/>
          <w:cols w:num="2" w:equalWidth="0">
            <w:col w:w="4147" w:space="7720"/>
            <w:col w:w="2573"/>
          </w:cols>
        </w:sectPr>
      </w:pPr>
    </w:p>
    <w:tbl>
      <w:tblPr>
        <w:tblW w:w="0" w:type="auto"/>
        <w:jc w:val="left"/>
        <w:tblInd w:w="306" w:type="dxa"/>
        <w:tblLayout w:type="fixed"/>
        <w:tblCellMar>
          <w:top w:w="0" w:type="dxa"/>
          <w:left w:w="0" w:type="dxa"/>
          <w:bottom w:w="0" w:type="dxa"/>
          <w:right w:w="0" w:type="dxa"/>
        </w:tblCellMar>
        <w:tblLook w:val="01E0"/>
      </w:tblPr>
      <w:tblGrid>
        <w:gridCol w:w="2302"/>
        <w:gridCol w:w="994"/>
        <w:gridCol w:w="994"/>
        <w:gridCol w:w="996"/>
        <w:gridCol w:w="994"/>
        <w:gridCol w:w="843"/>
        <w:gridCol w:w="996"/>
        <w:gridCol w:w="994"/>
        <w:gridCol w:w="994"/>
        <w:gridCol w:w="994"/>
        <w:gridCol w:w="994"/>
        <w:gridCol w:w="845"/>
        <w:gridCol w:w="994"/>
      </w:tblGrid>
      <w:tr>
        <w:trPr>
          <w:trHeight w:val="250" w:hRule="exact"/>
        </w:trPr>
        <w:tc>
          <w:tcPr>
            <w:tcW w:w="2302" w:type="dxa"/>
            <w:vMerge w:val="restart"/>
            <w:tcBorders>
              <w:top w:val="single" w:sz="4" w:space="0" w:color="000000"/>
              <w:left w:val="single" w:sz="4" w:space="0" w:color="000000"/>
              <w:right w:val="single" w:sz="4" w:space="0" w:color="000000"/>
            </w:tcBorders>
          </w:tcPr>
          <w:p>
            <w:pPr>
              <w:pStyle w:val="TableParagraph"/>
              <w:spacing w:line="240" w:lineRule="auto" w:before="125"/>
              <w:ind w:left="777"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58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8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52" w:hRule="exact"/>
        </w:trPr>
        <w:tc>
          <w:tcPr>
            <w:tcW w:w="2302"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5"/>
              <w:jc w:val="right"/>
              <w:rPr>
                <w:rFonts w:ascii="宋体" w:hAnsi="宋体" w:cs="宋体" w:eastAsia="宋体" w:hint="default"/>
                <w:sz w:val="15"/>
                <w:szCs w:val="15"/>
              </w:rPr>
            </w:pPr>
            <w:r>
              <w:rPr>
                <w:rFonts w:ascii="宋体" w:hAnsi="宋体" w:cs="宋体" w:eastAsia="宋体" w:hint="default"/>
                <w:spacing w:val="-1"/>
                <w:sz w:val="15"/>
                <w:szCs w:val="15"/>
              </w:rPr>
              <w:t>非流动资产</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
              <w:jc w:val="right"/>
              <w:rPr>
                <w:rFonts w:ascii="宋体" w:hAnsi="宋体" w:cs="宋体" w:eastAsia="宋体" w:hint="default"/>
                <w:sz w:val="15"/>
                <w:szCs w:val="15"/>
              </w:rPr>
            </w:pPr>
            <w:r>
              <w:rPr>
                <w:rFonts w:ascii="宋体" w:hAnsi="宋体" w:cs="宋体" w:eastAsia="宋体" w:hint="default"/>
                <w:spacing w:val="-1"/>
                <w:sz w:val="15"/>
                <w:szCs w:val="15"/>
              </w:rPr>
              <w:t>非流动负债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7"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负债合计</w:t>
            </w:r>
          </w:p>
        </w:tc>
      </w:tr>
      <w:tr>
        <w:trPr>
          <w:trHeight w:val="204"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hAnsi="宋体" w:cs="宋体" w:eastAsia="宋体" w:hint="default"/>
                <w:sz w:val="15"/>
                <w:szCs w:val="15"/>
              </w:rPr>
              <w:t>衡阳泰豪通信车辆有限公司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390,330,734.43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9"/>
              <w:jc w:val="right"/>
              <w:rPr>
                <w:rFonts w:ascii="Times New Roman" w:hAnsi="Times New Roman" w:cs="Times New Roman" w:eastAsia="Times New Roman" w:hint="default"/>
                <w:sz w:val="15"/>
                <w:szCs w:val="15"/>
              </w:rPr>
            </w:pPr>
            <w:r>
              <w:rPr>
                <w:rFonts w:ascii="Times New Roman"/>
                <w:spacing w:val="-1"/>
                <w:sz w:val="15"/>
              </w:rPr>
              <w:t>155,347,615.49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545,678,349.92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sz w:val="15"/>
              </w:rPr>
              <w:t>255,792,300.55</w:t>
            </w:r>
          </w:p>
        </w:tc>
        <w:tc>
          <w:tcPr>
            <w:tcW w:w="84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255,792,300.55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sz w:val="15"/>
              </w:rPr>
              <w:t>424,349,260.41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170,328,238.55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594,677,498.96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324,274,884.08</w:t>
            </w:r>
          </w:p>
        </w:tc>
        <w:tc>
          <w:tcPr>
            <w:tcW w:w="84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324,274,884.08</w:t>
            </w:r>
          </w:p>
        </w:tc>
      </w:tr>
      <w:tr>
        <w:trPr>
          <w:trHeight w:val="207" w:hRule="exact"/>
        </w:trPr>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3" w:right="0"/>
              <w:jc w:val="left"/>
              <w:rPr>
                <w:rFonts w:ascii="宋体" w:hAnsi="宋体" w:cs="宋体" w:eastAsia="宋体" w:hint="default"/>
                <w:sz w:val="15"/>
                <w:szCs w:val="15"/>
              </w:rPr>
            </w:pPr>
            <w:r>
              <w:rPr>
                <w:rFonts w:ascii="宋体" w:hAnsi="宋体" w:cs="宋体" w:eastAsia="宋体" w:hint="default"/>
                <w:sz w:val="15"/>
                <w:szCs w:val="15"/>
              </w:rPr>
              <w:t>龙岩市海德馨汽车有限公司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 w:right="0"/>
              <w:jc w:val="center"/>
              <w:rPr>
                <w:rFonts w:ascii="Times New Roman" w:hAnsi="Times New Roman" w:cs="Times New Roman" w:eastAsia="Times New Roman" w:hint="default"/>
                <w:sz w:val="15"/>
                <w:szCs w:val="15"/>
              </w:rPr>
            </w:pPr>
            <w:r>
              <w:rPr>
                <w:rFonts w:ascii="Times New Roman"/>
                <w:spacing w:val="-2"/>
                <w:sz w:val="15"/>
              </w:rPr>
              <w:t>372,811,681.14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9"/>
              <w:jc w:val="right"/>
              <w:rPr>
                <w:rFonts w:ascii="Times New Roman" w:hAnsi="Times New Roman" w:cs="Times New Roman" w:eastAsia="Times New Roman" w:hint="default"/>
                <w:sz w:val="15"/>
                <w:szCs w:val="15"/>
              </w:rPr>
            </w:pPr>
            <w:r>
              <w:rPr>
                <w:rFonts w:ascii="Times New Roman"/>
                <w:spacing w:val="-1"/>
                <w:sz w:val="15"/>
              </w:rPr>
              <w:t>62,852,205.15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435,663,886.29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sz w:val="15"/>
              </w:rPr>
              <w:t>344,749,851.54</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1"/>
              <w:jc w:val="right"/>
              <w:rPr>
                <w:rFonts w:ascii="Times New Roman" w:hAnsi="Times New Roman" w:cs="Times New Roman" w:eastAsia="Times New Roman" w:hint="default"/>
                <w:sz w:val="15"/>
                <w:szCs w:val="15"/>
              </w:rPr>
            </w:pPr>
            <w:r>
              <w:rPr>
                <w:rFonts w:ascii="Times New Roman"/>
                <w:spacing w:val="-1"/>
                <w:sz w:val="15"/>
              </w:rPr>
              <w:t>2,163,123.90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346,912,975.44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sz w:val="15"/>
              </w:rPr>
              <w:t>292,880,465.03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4" w:right="0"/>
              <w:jc w:val="center"/>
              <w:rPr>
                <w:rFonts w:ascii="Times New Roman" w:hAnsi="Times New Roman" w:cs="Times New Roman" w:eastAsia="Times New Roman" w:hint="default"/>
                <w:sz w:val="15"/>
                <w:szCs w:val="15"/>
              </w:rPr>
            </w:pPr>
            <w:r>
              <w:rPr>
                <w:rFonts w:ascii="Times New Roman"/>
                <w:sz w:val="15"/>
              </w:rPr>
              <w:t>59,851,977.08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 w:right="0"/>
              <w:jc w:val="center"/>
              <w:rPr>
                <w:rFonts w:ascii="Times New Roman" w:hAnsi="Times New Roman" w:cs="Times New Roman" w:eastAsia="Times New Roman" w:hint="default"/>
                <w:sz w:val="15"/>
                <w:szCs w:val="15"/>
              </w:rPr>
            </w:pPr>
            <w:r>
              <w:rPr>
                <w:rFonts w:ascii="Times New Roman"/>
                <w:spacing w:val="-2"/>
                <w:sz w:val="15"/>
              </w:rPr>
              <w:t>352,732,442.11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287,809,933.67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2,566,847.94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 w:right="0"/>
              <w:jc w:val="center"/>
              <w:rPr>
                <w:rFonts w:ascii="Times New Roman" w:hAnsi="Times New Roman" w:cs="Times New Roman" w:eastAsia="Times New Roman" w:hint="default"/>
                <w:sz w:val="15"/>
                <w:szCs w:val="15"/>
              </w:rPr>
            </w:pPr>
            <w:r>
              <w:rPr>
                <w:rFonts w:ascii="Times New Roman"/>
                <w:sz w:val="15"/>
              </w:rPr>
              <w:t>290,376,781.61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889"/>
        <w:gridCol w:w="1529"/>
        <w:gridCol w:w="1424"/>
        <w:gridCol w:w="1457"/>
        <w:gridCol w:w="1748"/>
        <w:gridCol w:w="1531"/>
        <w:gridCol w:w="1424"/>
        <w:gridCol w:w="1457"/>
        <w:gridCol w:w="1745"/>
      </w:tblGrid>
      <w:tr>
        <w:trPr>
          <w:trHeight w:val="322" w:hRule="exact"/>
        </w:trPr>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1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1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8" w:hRule="exact"/>
        </w:trPr>
        <w:tc>
          <w:tcPr>
            <w:tcW w:w="1889"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量</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8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w w:val="100"/>
                <w:sz w:val="21"/>
                <w:szCs w:val="21"/>
              </w:rPr>
              <w:t>量</w:t>
            </w:r>
          </w:p>
        </w:tc>
      </w:tr>
      <w:tr>
        <w:trPr>
          <w:trHeight w:val="636"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衡</w:t>
            </w:r>
            <w:r>
              <w:rPr>
                <w:rFonts w:ascii="宋体" w:hAnsi="宋体" w:cs="宋体" w:eastAsia="宋体" w:hint="default"/>
                <w:spacing w:val="-71"/>
                <w:sz w:val="21"/>
                <w:szCs w:val="21"/>
              </w:rPr>
              <w:t> </w:t>
            </w:r>
            <w:r>
              <w:rPr>
                <w:rFonts w:ascii="宋体" w:hAnsi="宋体" w:cs="宋体" w:eastAsia="宋体" w:hint="default"/>
                <w:sz w:val="21"/>
                <w:szCs w:val="21"/>
              </w:rPr>
              <w:t>阳</w:t>
            </w:r>
            <w:r>
              <w:rPr>
                <w:rFonts w:ascii="宋体" w:hAnsi="宋体" w:cs="宋体" w:eastAsia="宋体" w:hint="default"/>
                <w:spacing w:val="-71"/>
                <w:sz w:val="21"/>
                <w:szCs w:val="21"/>
              </w:rPr>
              <w:t> </w:t>
            </w:r>
            <w:r>
              <w:rPr>
                <w:rFonts w:ascii="宋体" w:hAnsi="宋体" w:cs="宋体" w:eastAsia="宋体" w:hint="default"/>
                <w:sz w:val="21"/>
                <w:szCs w:val="21"/>
              </w:rPr>
              <w:t>泰</w:t>
            </w:r>
            <w:r>
              <w:rPr>
                <w:rFonts w:ascii="宋体" w:hAnsi="宋体" w:cs="宋体" w:eastAsia="宋体" w:hint="default"/>
                <w:spacing w:val="-73"/>
                <w:sz w:val="21"/>
                <w:szCs w:val="21"/>
              </w:rPr>
              <w:t> </w:t>
            </w:r>
            <w:r>
              <w:rPr>
                <w:rFonts w:ascii="宋体" w:hAnsi="宋体" w:cs="宋体" w:eastAsia="宋体" w:hint="default"/>
                <w:sz w:val="21"/>
                <w:szCs w:val="21"/>
              </w:rPr>
              <w:t>豪</w:t>
            </w:r>
            <w:r>
              <w:rPr>
                <w:rFonts w:ascii="宋体" w:hAnsi="宋体" w:cs="宋体" w:eastAsia="宋体" w:hint="default"/>
                <w:spacing w:val="-71"/>
                <w:sz w:val="21"/>
                <w:szCs w:val="21"/>
              </w:rPr>
              <w:t> </w:t>
            </w:r>
            <w:r>
              <w:rPr>
                <w:rFonts w:ascii="宋体" w:hAnsi="宋体" w:cs="宋体" w:eastAsia="宋体" w:hint="default"/>
                <w:sz w:val="21"/>
                <w:szCs w:val="21"/>
              </w:rPr>
              <w:t>通</w:t>
            </w:r>
            <w:r>
              <w:rPr>
                <w:rFonts w:ascii="宋体" w:hAnsi="宋体" w:cs="宋体" w:eastAsia="宋体" w:hint="default"/>
                <w:spacing w:val="-73"/>
                <w:sz w:val="21"/>
                <w:szCs w:val="21"/>
              </w:rPr>
              <w:t> </w:t>
            </w:r>
            <w:r>
              <w:rPr>
                <w:rFonts w:ascii="宋体" w:hAnsi="宋体" w:cs="宋体" w:eastAsia="宋体" w:hint="default"/>
                <w:sz w:val="21"/>
                <w:szCs w:val="21"/>
              </w:rPr>
              <w:t>信</w:t>
            </w:r>
            <w:r>
              <w:rPr>
                <w:rFonts w:ascii="宋体" w:hAnsi="宋体" w:cs="宋体" w:eastAsia="宋体" w:hint="default"/>
                <w:spacing w:val="-71"/>
                <w:sz w:val="21"/>
                <w:szCs w:val="21"/>
              </w:rPr>
              <w:t> </w:t>
            </w:r>
            <w:r>
              <w:rPr>
                <w:rFonts w:ascii="宋体" w:hAnsi="宋体" w:cs="宋体" w:eastAsia="宋体" w:hint="default"/>
                <w:sz w:val="21"/>
                <w:szCs w:val="21"/>
              </w:rPr>
              <w:t>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辆有限公司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352,728,905.61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15,474,044.49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15,474,044.49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-13,972,221.36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278,000,809.87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8,755,310.12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8,755,310.12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-81,116,485.67</w:t>
            </w:r>
          </w:p>
        </w:tc>
      </w:tr>
      <w:tr>
        <w:trPr>
          <w:trHeight w:val="636"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w:t>
            </w:r>
            <w:r>
              <w:rPr>
                <w:rFonts w:ascii="宋体" w:hAnsi="宋体" w:cs="宋体" w:eastAsia="宋体" w:hint="default"/>
                <w:spacing w:val="-71"/>
                <w:sz w:val="21"/>
                <w:szCs w:val="21"/>
              </w:rPr>
              <w:t> </w:t>
            </w:r>
            <w:r>
              <w:rPr>
                <w:rFonts w:ascii="宋体" w:hAnsi="宋体" w:cs="宋体" w:eastAsia="宋体" w:hint="default"/>
                <w:sz w:val="21"/>
                <w:szCs w:val="21"/>
              </w:rPr>
              <w:t>岩</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1"/>
                <w:sz w:val="21"/>
                <w:szCs w:val="21"/>
              </w:rPr>
              <w:t> </w:t>
            </w:r>
            <w:r>
              <w:rPr>
                <w:rFonts w:ascii="宋体" w:hAnsi="宋体" w:cs="宋体" w:eastAsia="宋体" w:hint="default"/>
                <w:sz w:val="21"/>
                <w:szCs w:val="21"/>
              </w:rPr>
              <w:t>德</w:t>
            </w:r>
            <w:r>
              <w:rPr>
                <w:rFonts w:ascii="宋体" w:hAnsi="宋体" w:cs="宋体" w:eastAsia="宋体" w:hint="default"/>
                <w:spacing w:val="-73"/>
                <w:sz w:val="21"/>
                <w:szCs w:val="21"/>
              </w:rPr>
              <w:t> </w:t>
            </w:r>
            <w:r>
              <w:rPr>
                <w:rFonts w:ascii="宋体" w:hAnsi="宋体" w:cs="宋体" w:eastAsia="宋体" w:hint="default"/>
                <w:sz w:val="21"/>
                <w:szCs w:val="21"/>
              </w:rPr>
              <w:t>馨</w:t>
            </w:r>
            <w:r>
              <w:rPr>
                <w:rFonts w:ascii="宋体" w:hAnsi="宋体" w:cs="宋体" w:eastAsia="宋体" w:hint="default"/>
                <w:spacing w:val="-71"/>
                <w:sz w:val="21"/>
                <w:szCs w:val="21"/>
              </w:rPr>
              <w:t> </w:t>
            </w:r>
            <w:r>
              <w:rPr>
                <w:rFonts w:ascii="宋体" w:hAnsi="宋体" w:cs="宋体" w:eastAsia="宋体" w:hint="default"/>
                <w:sz w:val="21"/>
                <w:szCs w:val="21"/>
              </w:rPr>
              <w:t>汽</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车有限公司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307,155,034.28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26,395,250.35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26,395,250.35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2,755,871.86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227,279,814.25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28,053,464.96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28,053,464.96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41,056,883.00</w:t>
            </w:r>
          </w:p>
        </w:tc>
      </w:tr>
    </w:tbl>
    <w:p>
      <w:pPr>
        <w:spacing w:line="240" w:lineRule="auto" w:before="10"/>
        <w:rPr>
          <w:rFonts w:ascii="宋体" w:hAnsi="宋体" w:cs="宋体" w:eastAsia="宋体" w:hint="default"/>
          <w:sz w:val="17"/>
          <w:szCs w:val="17"/>
        </w:rPr>
      </w:pPr>
    </w:p>
    <w:p>
      <w:pPr>
        <w:pStyle w:val="Heading2"/>
        <w:tabs>
          <w:tab w:pos="983" w:val="left" w:leader="none"/>
        </w:tabs>
        <w:spacing w:line="240" w:lineRule="auto"/>
        <w:ind w:left="340"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6"/>
        <w:ind w:left="340" w:right="0"/>
        <w:jc w:val="left"/>
      </w:pPr>
      <w:r>
        <w:rPr/>
        <w:t>□适用 √不适用</w:t>
      </w:r>
    </w:p>
    <w:p>
      <w:pPr>
        <w:spacing w:line="240" w:lineRule="auto" w:before="11"/>
        <w:rPr>
          <w:rFonts w:ascii="宋体" w:hAnsi="宋体" w:cs="宋体" w:eastAsia="宋体" w:hint="default"/>
          <w:sz w:val="22"/>
          <w:szCs w:val="22"/>
        </w:rPr>
      </w:pPr>
    </w:p>
    <w:p>
      <w:pPr>
        <w:pStyle w:val="Heading2"/>
        <w:tabs>
          <w:tab w:pos="983" w:val="left" w:leader="none"/>
        </w:tabs>
        <w:spacing w:line="240" w:lineRule="auto" w:before="0"/>
        <w:ind w:left="340"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1182" w:val="left" w:leader="none"/>
        </w:tabs>
        <w:spacing w:line="240" w:lineRule="auto" w:before="58"/>
        <w:ind w:left="340" w:right="0"/>
        <w:jc w:val="left"/>
      </w:pPr>
      <w:r>
        <w:rPr/>
        <w:t>□适用</w:t>
        <w:tab/>
        <w:t>√不适用</w:t>
      </w:r>
    </w:p>
    <w:p>
      <w:pPr>
        <w:spacing w:line="240" w:lineRule="auto" w:before="4"/>
        <w:rPr>
          <w:rFonts w:ascii="宋体" w:hAnsi="宋体" w:cs="宋体" w:eastAsia="宋体" w:hint="default"/>
          <w:sz w:val="18"/>
          <w:szCs w:val="18"/>
        </w:rPr>
      </w:pPr>
    </w:p>
    <w:p>
      <w:pPr>
        <w:pStyle w:val="BodyText"/>
        <w:spacing w:line="273" w:lineRule="exact"/>
        <w:ind w:left="340" w:right="0"/>
        <w:jc w:val="left"/>
      </w:pPr>
      <w:r>
        <w:rPr/>
        <w:t>其他说明：</w:t>
      </w:r>
    </w:p>
    <w:p>
      <w:pPr>
        <w:pStyle w:val="BodyText"/>
        <w:spacing w:line="273" w:lineRule="exact"/>
        <w:ind w:left="3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6593" w:right="6480" w:firstLine="0"/>
        <w:jc w:val="center"/>
        <w:rPr>
          <w:rFonts w:ascii="Calibri" w:hAnsi="Calibri" w:cs="Calibri" w:eastAsia="Calibri" w:hint="default"/>
          <w:sz w:val="18"/>
          <w:szCs w:val="18"/>
        </w:rPr>
      </w:pPr>
      <w:r>
        <w:rPr>
          <w:rFonts w:ascii="Calibri"/>
          <w:b/>
          <w:sz w:val="18"/>
        </w:rPr>
        <w:t>153</w:t>
      </w:r>
      <w:r>
        <w:rPr>
          <w:rFonts w:ascii="Calibri"/>
          <w:sz w:val="18"/>
        </w:rPr>
        <w:t>/</w:t>
      </w:r>
      <w:r>
        <w:rPr>
          <w:rFonts w:ascii="Calibri"/>
          <w:b/>
          <w:sz w:val="18"/>
        </w:rPr>
        <w:t>180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0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Heading2"/>
        <w:spacing w:line="240" w:lineRule="auto" w:before="179"/>
        <w:ind w:left="25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73" w:lineRule="auto" w:before="58"/>
        <w:ind w:left="258" w:right="43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1004" w:val="left" w:leader="none"/>
        </w:tabs>
        <w:spacing w:line="249" w:lineRule="auto" w:before="27"/>
        <w:ind w:left="258"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6"/>
          <w:w w:val="100"/>
        </w:rPr>
        <w:t>根据公司与龙岩市海德馨汽车有限公司（以下简称：海德馨）原股东签订的《股权收购协议》，海</w:t>
      </w:r>
      <w:r>
        <w:rPr>
          <w:w w:val="100"/>
        </w:rPr>
        <w:t> </w:t>
      </w:r>
      <w:r>
        <w:rPr>
          <w:spacing w:val="2"/>
        </w:rPr>
        <w:t>德馨原股东承诺：海德馨在 </w:t>
      </w:r>
      <w:r>
        <w:rPr>
          <w:rFonts w:ascii="Times New Roman" w:hAnsi="Times New Roman" w:cs="Times New Roman" w:eastAsia="Times New Roman" w:hint="default"/>
        </w:rPr>
        <w:t>2015-2017  </w:t>
      </w:r>
      <w:r>
        <w:rPr>
          <w:rFonts w:ascii="Times New Roman" w:hAnsi="Times New Roman" w:cs="Times New Roman" w:eastAsia="Times New Roman" w:hint="default"/>
          <w:spacing w:val="10"/>
        </w:rPr>
        <w:t> </w:t>
      </w:r>
      <w:r>
        <w:rPr>
          <w:spacing w:val="2"/>
        </w:rPr>
        <w:t>年实现的扣除非经常性损益后净利润分别不低于人民币</w:t>
      </w:r>
    </w:p>
    <w:p>
      <w:pPr>
        <w:pStyle w:val="BodyText"/>
        <w:spacing w:line="261" w:lineRule="auto" w:before="14"/>
        <w:ind w:left="258" w:right="0"/>
        <w:jc w:val="left"/>
      </w:pPr>
      <w:r>
        <w:rPr>
          <w:rFonts w:ascii="Times New Roman" w:hAnsi="Times New Roman" w:cs="Times New Roman" w:eastAsia="Times New Roman" w:hint="default"/>
        </w:rPr>
        <w:t>3,600 </w:t>
      </w:r>
      <w:r>
        <w:rPr/>
        <w:t>万元、</w:t>
      </w:r>
      <w:r>
        <w:rPr>
          <w:rFonts w:ascii="Times New Roman" w:hAnsi="Times New Roman" w:cs="Times New Roman" w:eastAsia="Times New Roman" w:hint="default"/>
        </w:rPr>
        <w:t>5,400 </w:t>
      </w:r>
      <w:r>
        <w:rPr/>
        <w:t>万元和 </w:t>
      </w:r>
      <w:r>
        <w:rPr>
          <w:rFonts w:ascii="Times New Roman" w:hAnsi="Times New Roman" w:cs="Times New Roman" w:eastAsia="Times New Roman" w:hint="default"/>
        </w:rPr>
        <w:t>7,600 </w:t>
      </w:r>
      <w:r>
        <w:rPr/>
        <w:t>万元。若海德馨在 </w:t>
      </w:r>
      <w:r>
        <w:rPr>
          <w:rFonts w:ascii="Times New Roman" w:hAnsi="Times New Roman" w:cs="Times New Roman" w:eastAsia="Times New Roman" w:hint="default"/>
        </w:rPr>
        <w:t>2015-2017</w:t>
      </w:r>
      <w:r>
        <w:rPr>
          <w:rFonts w:ascii="Times New Roman" w:hAnsi="Times New Roman" w:cs="Times New Roman" w:eastAsia="Times New Roman" w:hint="default"/>
          <w:spacing w:val="-17"/>
        </w:rPr>
        <w:t> </w:t>
      </w:r>
      <w:r>
        <w:rPr/>
        <w:t>年实现的扣除非经常性损益后净利</w:t>
      </w:r>
      <w:r>
        <w:rPr>
          <w:w w:val="100"/>
        </w:rPr>
        <w:t> </w:t>
      </w:r>
      <w:r>
        <w:rPr>
          <w:spacing w:val="-4"/>
          <w:w w:val="100"/>
        </w:rPr>
        <w:t>润数小于承诺净利润数，则补偿责任人需向公司进行补偿（最高补偿金额不超过其总收购金额）。</w:t>
      </w:r>
      <w:r>
        <w:rPr>
          <w:spacing w:val="-82"/>
          <w:w w:val="100"/>
        </w:rPr>
        <w:t> </w:t>
      </w:r>
      <w:r>
        <w:rPr>
          <w:spacing w:val="-82"/>
          <w:w w:val="100"/>
        </w:rPr>
      </w:r>
      <w:r>
        <w:rPr>
          <w:spacing w:val="-5"/>
          <w:w w:val="100"/>
        </w:rPr>
        <w:t>根据大信会计师事务所（特殊普通合伙）出具的《业绩承诺完成情况审核报告》，海德馨</w:t>
      </w:r>
      <w:r>
        <w:rPr>
          <w:spacing w:val="-36"/>
          <w:w w:val="100"/>
        </w:rPr>
        <w:t> </w:t>
      </w:r>
      <w:r>
        <w:rPr>
          <w:rFonts w:ascii="Times New Roman" w:hAnsi="Times New Roman" w:cs="Times New Roman" w:eastAsia="Times New Roman" w:hint="default"/>
          <w:spacing w:val="-2"/>
          <w:w w:val="100"/>
        </w:rPr>
        <w:t>2015</w:t>
      </w:r>
      <w:r>
        <w:rPr>
          <w:rFonts w:ascii="Times New Roman" w:hAnsi="Times New Roman" w:cs="Times New Roman" w:eastAsia="Times New Roman" w:hint="default"/>
          <w:spacing w:val="12"/>
          <w:w w:val="100"/>
        </w:rPr>
        <w:t> </w:t>
      </w:r>
      <w:r>
        <w:rPr>
          <w:w w:val="100"/>
        </w:rPr>
        <w:t>年</w:t>
      </w:r>
      <w:r>
        <w:rPr>
          <w:spacing w:val="-86"/>
          <w:w w:val="100"/>
        </w:rPr>
        <w:t> </w:t>
      </w:r>
      <w:r>
        <w:rPr/>
        <w:t>经审计的扣除非经常性损益后归属于母公司所有者净利润为</w:t>
      </w:r>
      <w:r>
        <w:rPr>
          <w:spacing w:val="-53"/>
        </w:rPr>
        <w:t> </w:t>
      </w:r>
      <w:r>
        <w:rPr>
          <w:rFonts w:ascii="Times New Roman" w:hAnsi="Times New Roman" w:cs="Times New Roman" w:eastAsia="Times New Roman" w:hint="default"/>
        </w:rPr>
        <w:t>3,635.59 </w:t>
      </w:r>
      <w:r>
        <w:rPr>
          <w:spacing w:val="-7"/>
        </w:rPr>
        <w:t>万元，</w:t>
      </w:r>
      <w:r>
        <w:rPr>
          <w:rFonts w:ascii="Times New Roman" w:hAnsi="Times New Roman" w:cs="Times New Roman" w:eastAsia="Times New Roman" w:hint="default"/>
          <w:spacing w:val="-7"/>
        </w:rPr>
        <w:t>2016</w:t>
      </w:r>
      <w:r>
        <w:rPr>
          <w:rFonts w:ascii="Times New Roman" w:hAnsi="Times New Roman" w:cs="Times New Roman" w:eastAsia="Times New Roman" w:hint="default"/>
        </w:rPr>
        <w:t> </w:t>
      </w:r>
      <w:r>
        <w:rPr/>
        <w:t>年经审计的扣除</w:t>
      </w:r>
      <w:r>
        <w:rPr>
          <w:w w:val="100"/>
        </w:rPr>
        <w:t> </w:t>
      </w:r>
      <w:r>
        <w:rPr/>
        <w:t>非经常性损益后归属于母公司所有净利润为 </w:t>
      </w:r>
      <w:r>
        <w:rPr>
          <w:rFonts w:ascii="Times New Roman" w:hAnsi="Times New Roman" w:cs="Times New Roman" w:eastAsia="Times New Roman" w:hint="default"/>
        </w:rPr>
        <w:t>2,641.87 </w:t>
      </w:r>
      <w:r>
        <w:rPr/>
        <w:t>万元，完成业绩承诺数的</w:t>
      </w:r>
      <w:r>
        <w:rPr>
          <w:spacing w:val="-64"/>
        </w:rPr>
        <w:t> </w:t>
      </w:r>
      <w:r>
        <w:rPr>
          <w:rFonts w:ascii="Times New Roman" w:hAnsi="Times New Roman" w:cs="Times New Roman" w:eastAsia="Times New Roman" w:hint="default"/>
        </w:rPr>
        <w:t>48.92%,</w:t>
      </w:r>
      <w:r>
        <w:rPr/>
        <w:t>低于业绩</w:t>
      </w:r>
      <w:r>
        <w:rPr>
          <w:w w:val="100"/>
        </w:rPr>
        <w:t> </w:t>
      </w:r>
      <w:r>
        <w:rPr/>
        <w:t>承诺数</w:t>
      </w:r>
      <w:r>
        <w:rPr>
          <w:spacing w:val="-51"/>
        </w:rPr>
        <w:t> </w:t>
      </w:r>
      <w:r>
        <w:rPr>
          <w:rFonts w:ascii="Times New Roman" w:hAnsi="Times New Roman" w:cs="Times New Roman" w:eastAsia="Times New Roman" w:hint="default"/>
        </w:rPr>
        <w:t>2,758.13</w:t>
      </w:r>
      <w:r>
        <w:rPr>
          <w:rFonts w:ascii="Times New Roman" w:hAnsi="Times New Roman" w:cs="Times New Roman" w:eastAsia="Times New Roman" w:hint="default"/>
          <w:spacing w:val="1"/>
        </w:rPr>
        <w:t> </w:t>
      </w:r>
      <w:r>
        <w:rPr/>
        <w:t>万元。依据业绩承诺，海德馨补偿责任人应补偿给公司现金为</w:t>
      </w:r>
      <w:r>
        <w:rPr>
          <w:spacing w:val="-51"/>
        </w:rPr>
        <w:t> </w:t>
      </w:r>
      <w:r>
        <w:rPr>
          <w:rFonts w:ascii="Times New Roman" w:hAnsi="Times New Roman" w:cs="Times New Roman" w:eastAsia="Times New Roman" w:hint="default"/>
        </w:rPr>
        <w:t>2,174.75</w:t>
      </w:r>
      <w:r>
        <w:rPr>
          <w:rFonts w:ascii="Times New Roman" w:hAnsi="Times New Roman" w:cs="Times New Roman" w:eastAsia="Times New Roman" w:hint="default"/>
          <w:spacing w:val="1"/>
        </w:rPr>
        <w:t> </w:t>
      </w:r>
      <w:r>
        <w:rPr/>
        <w:t>万元，按</w:t>
      </w:r>
      <w:r>
        <w:rPr>
          <w:w w:val="100"/>
        </w:rPr>
        <w:t> </w:t>
      </w:r>
      <w:r>
        <w:rPr/>
        <w:t>估值计算公式计算，应补偿给公司</w:t>
      </w:r>
      <w:r>
        <w:rPr>
          <w:spacing w:val="-9"/>
        </w:rPr>
        <w:t> </w:t>
      </w:r>
      <w:r>
        <w:rPr>
          <w:rFonts w:ascii="Times New Roman" w:hAnsi="Times New Roman" w:cs="Times New Roman" w:eastAsia="Times New Roman" w:hint="default"/>
        </w:rPr>
        <w:t>8.23%</w:t>
      </w:r>
      <w:r>
        <w:rPr/>
        <w:t>海德馨公司股权。海德馨本次业绩承诺补偿全部由李钦</w:t>
      </w:r>
      <w:r>
        <w:rPr>
          <w:w w:val="100"/>
        </w:rPr>
        <w:t> </w:t>
      </w:r>
      <w:r>
        <w:rPr/>
        <w:t>龙个人承担补偿责任。</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3"/>
          <w:pgSz w:w="11910" w:h="16840"/>
          <w:pgMar w:footer="1195" w:header="0" w:top="1120" w:bottom="1380" w:left="1540" w:right="1060"/>
          <w:pgNumType w:start="154"/>
        </w:sectPr>
      </w:pPr>
    </w:p>
    <w:p>
      <w:pPr>
        <w:pStyle w:val="Heading2"/>
        <w:spacing w:line="240" w:lineRule="auto"/>
        <w:ind w:left="258" w:right="0"/>
        <w:jc w:val="left"/>
        <w:rPr>
          <w:rFonts w:ascii="宋体" w:hAnsi="宋体" w:cs="宋体" w:eastAsia="宋体" w:hint="default"/>
          <w:b w:val="0"/>
          <w:bCs w:val="0"/>
        </w:rPr>
      </w:pPr>
      <w:r>
        <w:rPr>
          <w:rFonts w:ascii="宋体" w:hAnsi="宋体" w:cs="宋体" w:eastAsia="宋体" w:hint="default"/>
          <w:spacing w:val="-1"/>
        </w:rPr>
        <w:t>(2).</w:t>
      </w:r>
      <w:r>
        <w:rPr>
          <w:spacing w:val="-1"/>
        </w:rPr>
        <w:t>交易对于少数股东权益及归属于母公司所有者权益的影响</w:t>
      </w:r>
      <w:r>
        <w:rPr>
          <w:rFonts w:ascii="宋体" w:hAnsi="宋体" w:cs="宋体" w:eastAsia="宋体" w:hint="default"/>
          <w:b w:val="0"/>
          <w:bCs w:val="0"/>
          <w:spacing w:val="-1"/>
        </w:rPr>
        <w:t>：</w:t>
      </w:r>
    </w:p>
    <w:p>
      <w:pPr>
        <w:pStyle w:val="BodyText"/>
        <w:tabs>
          <w:tab w:pos="1004" w:val="left" w:leader="none"/>
        </w:tabs>
        <w:spacing w:line="240" w:lineRule="auto" w:before="58"/>
        <w:ind w:left="25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58" w:val="left" w:leader="none"/>
        </w:tabs>
        <w:spacing w:line="240" w:lineRule="auto"/>
        <w:ind w:left="25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40" w:right="1060"/>
          <w:cols w:num="2" w:equalWidth="0">
            <w:col w:w="6166" w:space="661"/>
            <w:col w:w="2483"/>
          </w:cols>
        </w:sectPr>
      </w:pPr>
    </w:p>
    <w:tbl>
      <w:tblPr>
        <w:tblW w:w="0" w:type="auto"/>
        <w:jc w:val="left"/>
        <w:tblInd w:w="358" w:type="dxa"/>
        <w:tblLayout w:type="fixed"/>
        <w:tblCellMar>
          <w:top w:w="0" w:type="dxa"/>
          <w:left w:w="0" w:type="dxa"/>
          <w:bottom w:w="0" w:type="dxa"/>
          <w:right w:w="0" w:type="dxa"/>
        </w:tblCellMar>
        <w:tblLook w:val="01E0"/>
      </w:tblPr>
      <w:tblGrid>
        <w:gridCol w:w="5886"/>
        <w:gridCol w:w="2737"/>
      </w:tblGrid>
      <w:tr>
        <w:trPr>
          <w:trHeight w:val="281" w:hRule="exact"/>
        </w:trPr>
        <w:tc>
          <w:tcPr>
            <w:tcW w:w="5886"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龙岩市海德馨汽车有限公司</w:t>
            </w:r>
            <w:r>
              <w:rPr>
                <w:rFonts w:ascii="宋体" w:hAnsi="宋体" w:cs="宋体" w:eastAsia="宋体" w:hint="default"/>
                <w:sz w:val="21"/>
                <w:szCs w:val="21"/>
              </w:rPr>
            </w:r>
          </w:p>
        </w:tc>
      </w:tr>
      <w:tr>
        <w:trPr>
          <w:trHeight w:val="284"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886"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Times New Roman" w:hAnsi="Times New Roman" w:cs="Times New Roman" w:eastAsia="Times New Roman" w:hint="default"/>
                <w:sz w:val="21"/>
                <w:szCs w:val="21"/>
              </w:rPr>
              <w:t>/</w:t>
            </w:r>
            <w:r>
              <w:rPr>
                <w:rFonts w:ascii="宋体" w:hAnsi="宋体" w:cs="宋体" w:eastAsia="宋体" w:hint="default"/>
                <w:sz w:val="21"/>
                <w:szCs w:val="21"/>
              </w:rPr>
              <w:t>处置的股权比例计算的子公司净资产份额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5,914,306.61</w:t>
            </w:r>
          </w:p>
        </w:tc>
      </w:tr>
      <w:tr>
        <w:trPr>
          <w:trHeight w:val="283"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-5,914,306.61</w:t>
            </w:r>
          </w:p>
        </w:tc>
      </w:tr>
      <w:tr>
        <w:trPr>
          <w:trHeight w:val="283"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5,914,306.61</w:t>
            </w:r>
          </w:p>
        </w:tc>
      </w:tr>
      <w:tr>
        <w:trPr>
          <w:trHeight w:val="281"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4"/>
          <w:szCs w:val="14"/>
        </w:rPr>
      </w:pPr>
    </w:p>
    <w:p>
      <w:pPr>
        <w:pStyle w:val="BodyText"/>
        <w:spacing w:line="273" w:lineRule="exact" w:before="36"/>
        <w:ind w:left="258" w:right="0"/>
        <w:jc w:val="left"/>
      </w:pPr>
      <w:r>
        <w:rPr/>
        <w:t>其他说明</w:t>
      </w:r>
    </w:p>
    <w:p>
      <w:pPr>
        <w:pStyle w:val="BodyText"/>
        <w:spacing w:line="273" w:lineRule="exact"/>
        <w:ind w:left="25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60"/>
        </w:sectPr>
      </w:pPr>
    </w:p>
    <w:p>
      <w:pPr>
        <w:pStyle w:val="Heading2"/>
        <w:spacing w:line="240" w:lineRule="auto"/>
        <w:ind w:left="25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25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2"/>
        <w:tabs>
          <w:tab w:pos="889" w:val="left" w:leader="none"/>
        </w:tabs>
        <w:spacing w:line="240" w:lineRule="auto" w:before="40"/>
        <w:ind w:left="258"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1004" w:val="left" w:leader="none"/>
        </w:tabs>
        <w:spacing w:line="240" w:lineRule="auto" w:before="58"/>
        <w:ind w:left="258"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58" w:val="left" w:leader="none"/>
        </w:tabs>
        <w:spacing w:line="240" w:lineRule="auto" w:before="154"/>
        <w:ind w:left="25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40" w:right="1060"/>
          <w:cols w:num="2" w:equalWidth="0">
            <w:col w:w="3631" w:space="3196"/>
            <w:col w:w="2483"/>
          </w:cols>
        </w:sectPr>
      </w:pPr>
    </w:p>
    <w:tbl>
      <w:tblPr>
        <w:tblW w:w="0" w:type="auto"/>
        <w:jc w:val="left"/>
        <w:tblInd w:w="111" w:type="dxa"/>
        <w:tblLayout w:type="fixed"/>
        <w:tblCellMar>
          <w:top w:w="0" w:type="dxa"/>
          <w:left w:w="0" w:type="dxa"/>
          <w:bottom w:w="0" w:type="dxa"/>
          <w:right w:w="0" w:type="dxa"/>
        </w:tblCellMar>
        <w:tblLook w:val="01E0"/>
      </w:tblPr>
      <w:tblGrid>
        <w:gridCol w:w="1435"/>
        <w:gridCol w:w="691"/>
        <w:gridCol w:w="584"/>
        <w:gridCol w:w="3240"/>
        <w:gridCol w:w="437"/>
        <w:gridCol w:w="439"/>
        <w:gridCol w:w="2177"/>
      </w:tblGrid>
      <w:tr>
        <w:trPr>
          <w:trHeight w:val="554"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7" w:right="79" w:hanging="106"/>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9" w:right="2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0" w:right="74"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32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21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6" w:right="31" w:hanging="106"/>
              <w:jc w:val="left"/>
              <w:rPr>
                <w:rFonts w:ascii="宋体" w:hAnsi="宋体" w:cs="宋体" w:eastAsia="宋体" w:hint="default"/>
                <w:sz w:val="21"/>
                <w:szCs w:val="21"/>
              </w:rPr>
            </w:pPr>
            <w:r>
              <w:rPr>
                <w:rFonts w:ascii="宋体" w:hAnsi="宋体" w:cs="宋体" w:eastAsia="宋体" w:hint="default"/>
                <w:spacing w:val="-2"/>
                <w:sz w:val="21"/>
                <w:szCs w:val="21"/>
              </w:rPr>
              <w:t>对合营企业或联营企业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投资的会计处理方法</w:t>
            </w:r>
          </w:p>
        </w:tc>
      </w:tr>
      <w:tr>
        <w:trPr>
          <w:trHeight w:val="554" w:hRule="exact"/>
        </w:trPr>
        <w:tc>
          <w:tcPr>
            <w:tcW w:w="1435"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3240" w:type="dxa"/>
            <w:vMerge/>
            <w:tcBorders>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直</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接</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间</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接</w:t>
            </w:r>
          </w:p>
        </w:tc>
        <w:tc>
          <w:tcPr>
            <w:tcW w:w="2177" w:type="dxa"/>
            <w:vMerge/>
            <w:tcBorders>
              <w:left w:val="single" w:sz="4" w:space="0" w:color="000000"/>
              <w:bottom w:val="single" w:sz="4" w:space="0" w:color="000000"/>
              <w:right w:val="single" w:sz="4" w:space="0" w:color="000000"/>
            </w:tcBorders>
          </w:tcPr>
          <w:p>
            <w:pPr/>
          </w:p>
        </w:tc>
      </w:tr>
      <w:tr>
        <w:trPr>
          <w:trHeight w:val="555"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7"/>
                <w:sz w:val="21"/>
                <w:szCs w:val="21"/>
              </w:rPr>
              <w:t>江西国科军工</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
                <w:sz w:val="21"/>
                <w:szCs w:val="21"/>
              </w:rPr>
              <w:t> </w:t>
            </w:r>
            <w:r>
              <w:rPr>
                <w:rFonts w:ascii="宋体" w:hAnsi="宋体" w:cs="宋体" w:eastAsia="宋体" w:hint="default"/>
                <w:sz w:val="21"/>
                <w:szCs w:val="21"/>
              </w:rPr>
              <w:t>西</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南昌</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民爆行业的研究；机械、电子产品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的加工；投资；咨询、服务等</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30</w:t>
            </w:r>
          </w:p>
        </w:tc>
        <w:tc>
          <w:tcPr>
            <w:tcW w:w="439"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1" w:lineRule="exact"/>
        <w:jc w:val="left"/>
        <w:rPr>
          <w:rFonts w:ascii="宋体" w:hAnsi="宋体" w:cs="宋体" w:eastAsia="宋体" w:hint="default"/>
          <w:sz w:val="21"/>
          <w:szCs w:val="21"/>
        </w:rPr>
        <w:sectPr>
          <w:type w:val="continuous"/>
          <w:pgSz w:w="11910" w:h="16840"/>
          <w:pgMar w:top="1120" w:bottom="1380" w:left="1540" w:right="1060"/>
        </w:sectPr>
      </w:pPr>
    </w:p>
    <w:p>
      <w:pPr>
        <w:spacing w:line="240" w:lineRule="auto" w:before="1"/>
        <w:rPr>
          <w:rFonts w:ascii="宋体" w:hAnsi="宋体" w:cs="宋体" w:eastAsia="宋体" w:hint="default"/>
          <w:sz w:val="25"/>
          <w:szCs w:val="25"/>
        </w:rPr>
      </w:pPr>
    </w:p>
    <w:p>
      <w:pPr>
        <w:pStyle w:val="Heading2"/>
        <w:tabs>
          <w:tab w:pos="969" w:val="left" w:leader="none"/>
        </w:tabs>
        <w:spacing w:line="240" w:lineRule="auto"/>
        <w:ind w:left="338" w:right="112"/>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1180" w:val="left" w:leader="none"/>
        </w:tabs>
        <w:spacing w:line="240" w:lineRule="auto" w:before="58"/>
        <w:ind w:left="338" w:right="112"/>
        <w:jc w:val="left"/>
      </w:pPr>
      <w:r>
        <w:rPr/>
        <w:t>□适用</w:t>
        <w:tab/>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460" w:right="1040"/>
        </w:sectPr>
      </w:pPr>
    </w:p>
    <w:p>
      <w:pPr>
        <w:pStyle w:val="Heading2"/>
        <w:tabs>
          <w:tab w:pos="969" w:val="left" w:leader="none"/>
        </w:tabs>
        <w:spacing w:line="240" w:lineRule="auto"/>
        <w:ind w:left="338"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084" w:val="left" w:leader="none"/>
        </w:tabs>
        <w:spacing w:line="240" w:lineRule="auto" w:before="56"/>
        <w:ind w:left="338" w:right="-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3711" w:space="2811"/>
            <w:col w:w="2888"/>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677"/>
        <w:gridCol w:w="2506"/>
        <w:gridCol w:w="238"/>
        <w:gridCol w:w="2506"/>
        <w:gridCol w:w="235"/>
      </w:tblGrid>
      <w:tr>
        <w:trPr>
          <w:trHeight w:val="286" w:hRule="exact"/>
        </w:trPr>
        <w:tc>
          <w:tcPr>
            <w:tcW w:w="3677" w:type="dxa"/>
            <w:vMerge w:val="restart"/>
            <w:tcBorders>
              <w:top w:val="single" w:sz="4" w:space="0" w:color="000000"/>
              <w:left w:val="single" w:sz="4" w:space="0" w:color="000000"/>
              <w:right w:val="single" w:sz="6" w:space="0" w:color="000000"/>
            </w:tcBorders>
          </w:tcPr>
          <w:p>
            <w:pPr/>
          </w:p>
        </w:tc>
        <w:tc>
          <w:tcPr>
            <w:tcW w:w="2744"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本期发生额</w:t>
            </w:r>
          </w:p>
        </w:tc>
        <w:tc>
          <w:tcPr>
            <w:tcW w:w="2741"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33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559" w:hRule="exact"/>
        </w:trPr>
        <w:tc>
          <w:tcPr>
            <w:tcW w:w="3677" w:type="dxa"/>
            <w:vMerge/>
            <w:tcBorders>
              <w:left w:val="single" w:sz="4"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江西国科军工集团有限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江西国科军工集团有限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387,109,695.40</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394,673,225.88</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319,294,860.72</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164,020,688.87</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706,404,556.12</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558,693,914.75</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77" w:type="dxa"/>
            <w:tcBorders>
              <w:top w:val="single" w:sz="6" w:space="0" w:color="000000"/>
              <w:left w:val="single" w:sz="4"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347,539,501.55</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261,086,243.89</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42,863,277.83</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4,385,125.61</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390,402,779.38</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265,471,369.5</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77" w:type="dxa"/>
            <w:tcBorders>
              <w:top w:val="single" w:sz="6" w:space="0" w:color="000000"/>
              <w:left w:val="single" w:sz="4"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4,555,367.90</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3,364,411.09</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311,446,408.84</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289,858,134.16</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77" w:type="dxa"/>
            <w:tcBorders>
              <w:top w:val="single" w:sz="6" w:space="0" w:color="000000"/>
              <w:left w:val="single" w:sz="4"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93,433,922.65</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115,943,253.66</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93,433,922.65</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115,943,253.66</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存在公开报价的联营企业权益投资的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77" w:type="dxa"/>
            <w:tcBorders>
              <w:top w:val="single" w:sz="6" w:space="0" w:color="000000"/>
              <w:left w:val="single" w:sz="4"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363,843,800.93</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353,016,897.30</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49,485,373.51</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38,718,251.09</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506" w:type="dxa"/>
            <w:tcBorders>
              <w:top w:val="single" w:sz="6" w:space="0" w:color="000000"/>
              <w:left w:val="single" w:sz="6" w:space="0" w:color="000000"/>
              <w:bottom w:val="single" w:sz="6" w:space="0" w:color="000000"/>
              <w:right w:val="single" w:sz="6" w:space="0" w:color="000000"/>
            </w:tcBorders>
          </w:tcPr>
          <w:p>
            <w:pP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49,485,373.51</w:t>
            </w:r>
          </w:p>
        </w:tc>
        <w:tc>
          <w:tcPr>
            <w:tcW w:w="238" w:type="dxa"/>
            <w:tcBorders>
              <w:top w:val="single" w:sz="6" w:space="0" w:color="000000"/>
              <w:left w:val="single" w:sz="6" w:space="0" w:color="000000"/>
              <w:bottom w:val="single" w:sz="6" w:space="0" w:color="000000"/>
              <w:right w:val="single" w:sz="6" w:space="0" w:color="000000"/>
            </w:tcBorders>
          </w:tcPr>
          <w:p>
            <w:pPr/>
          </w:p>
        </w:tc>
        <w:tc>
          <w:tcPr>
            <w:tcW w:w="25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38,718,251.09</w:t>
            </w:r>
          </w:p>
        </w:tc>
        <w:tc>
          <w:tcPr>
            <w:tcW w:w="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77"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2506"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14,599,269.51</w:t>
            </w:r>
          </w:p>
        </w:tc>
        <w:tc>
          <w:tcPr>
            <w:tcW w:w="238" w:type="dxa"/>
            <w:tcBorders>
              <w:top w:val="single" w:sz="6" w:space="0" w:color="000000"/>
              <w:left w:val="single" w:sz="6" w:space="0" w:color="000000"/>
              <w:bottom w:val="single" w:sz="4" w:space="0" w:color="000000"/>
              <w:right w:val="single" w:sz="6" w:space="0" w:color="000000"/>
            </w:tcBorders>
          </w:tcPr>
          <w:p>
            <w:pPr/>
          </w:p>
        </w:tc>
        <w:tc>
          <w:tcPr>
            <w:tcW w:w="2506" w:type="dxa"/>
            <w:tcBorders>
              <w:top w:val="single" w:sz="6" w:space="0" w:color="000000"/>
              <w:left w:val="single" w:sz="6" w:space="0" w:color="000000"/>
              <w:bottom w:val="single" w:sz="4" w:space="0" w:color="000000"/>
              <w:right w:val="single" w:sz="6" w:space="0" w:color="000000"/>
            </w:tcBorders>
          </w:tcPr>
          <w:p>
            <w:pPr/>
          </w:p>
        </w:tc>
        <w:tc>
          <w:tcPr>
            <w:tcW w:w="23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460" w:right="1040"/>
        </w:sectPr>
      </w:pPr>
    </w:p>
    <w:p>
      <w:pPr>
        <w:pStyle w:val="Heading2"/>
        <w:tabs>
          <w:tab w:pos="969" w:val="left" w:leader="none"/>
        </w:tabs>
        <w:spacing w:line="240" w:lineRule="auto"/>
        <w:ind w:left="338"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1180" w:val="left" w:leader="none"/>
        </w:tabs>
        <w:spacing w:line="240" w:lineRule="auto" w:before="58"/>
        <w:ind w:left="3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5189" w:space="1333"/>
            <w:col w:w="2888"/>
          </w:cols>
        </w:sectPr>
      </w:pPr>
    </w:p>
    <w:p>
      <w:pPr>
        <w:spacing w:line="240" w:lineRule="auto" w:before="7"/>
        <w:rPr>
          <w:rFonts w:ascii="宋体" w:hAnsi="宋体" w:cs="宋体" w:eastAsia="宋体" w:hint="default"/>
          <w:sz w:val="2"/>
          <w:szCs w:val="2"/>
        </w:rPr>
      </w:pPr>
    </w:p>
    <w:tbl>
      <w:tblPr>
        <w:tblW w:w="0" w:type="auto"/>
        <w:jc w:val="left"/>
        <w:tblInd w:w="352" w:type="dxa"/>
        <w:tblLayout w:type="fixed"/>
        <w:tblCellMar>
          <w:top w:w="0" w:type="dxa"/>
          <w:left w:w="0" w:type="dxa"/>
          <w:bottom w:w="0" w:type="dxa"/>
          <w:right w:w="0" w:type="dxa"/>
        </w:tblCellMar>
        <w:tblLook w:val="01E0"/>
      </w:tblPr>
      <w:tblGrid>
        <w:gridCol w:w="4256"/>
        <w:gridCol w:w="2271"/>
        <w:gridCol w:w="2271"/>
      </w:tblGrid>
      <w:tr>
        <w:trPr>
          <w:trHeight w:val="281" w:hRule="exact"/>
        </w:trPr>
        <w:tc>
          <w:tcPr>
            <w:tcW w:w="4256"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本期发生额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56"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52" w:type="dxa"/>
        <w:tblLayout w:type="fixed"/>
        <w:tblCellMar>
          <w:top w:w="0" w:type="dxa"/>
          <w:left w:w="0" w:type="dxa"/>
          <w:bottom w:w="0" w:type="dxa"/>
          <w:right w:w="0" w:type="dxa"/>
        </w:tblCellMar>
        <w:tblLook w:val="01E0"/>
      </w:tblPr>
      <w:tblGrid>
        <w:gridCol w:w="4256"/>
        <w:gridCol w:w="2271"/>
        <w:gridCol w:w="2271"/>
      </w:tblGrid>
      <w:tr>
        <w:trPr>
          <w:trHeight w:val="28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56"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56"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195,782,474.56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161,743,296.11</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9,539,178.45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5,562,600.79</w:t>
            </w: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227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9,539,178.45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5,562,600.79</w:t>
            </w:r>
          </w:p>
        </w:tc>
      </w:tr>
    </w:tbl>
    <w:p>
      <w:pPr>
        <w:spacing w:line="240" w:lineRule="auto" w:before="7"/>
        <w:rPr>
          <w:rFonts w:ascii="宋体" w:hAnsi="宋体" w:cs="宋体" w:eastAsia="宋体" w:hint="default"/>
          <w:sz w:val="17"/>
          <w:szCs w:val="17"/>
        </w:rPr>
      </w:pPr>
    </w:p>
    <w:p>
      <w:pPr>
        <w:pStyle w:val="Heading2"/>
        <w:tabs>
          <w:tab w:pos="769" w:val="left" w:leader="none"/>
        </w:tabs>
        <w:spacing w:line="240" w:lineRule="auto"/>
        <w:ind w:right="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980" w:val="left" w:leader="none"/>
        </w:tabs>
        <w:spacing w:line="240" w:lineRule="auto" w:before="58"/>
        <w:ind w:right="0"/>
        <w:jc w:val="left"/>
      </w:pPr>
      <w:r>
        <w:rPr/>
        <w:t>□适用</w:t>
        <w:tab/>
        <w:t>√不适用</w:t>
      </w:r>
    </w:p>
    <w:p>
      <w:pPr>
        <w:spacing w:line="240" w:lineRule="auto" w:before="12"/>
        <w:rPr>
          <w:rFonts w:ascii="宋体" w:hAnsi="宋体" w:cs="宋体" w:eastAsia="宋体" w:hint="default"/>
          <w:sz w:val="22"/>
          <w:szCs w:val="22"/>
        </w:rPr>
      </w:pPr>
    </w:p>
    <w:p>
      <w:pPr>
        <w:pStyle w:val="Heading2"/>
        <w:tabs>
          <w:tab w:pos="769" w:val="left" w:leader="none"/>
        </w:tabs>
        <w:spacing w:line="240" w:lineRule="auto" w:before="0"/>
        <w:ind w:right="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80" w:val="left" w:leader="none"/>
        </w:tabs>
        <w:spacing w:line="240" w:lineRule="auto" w:before="56"/>
        <w:ind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tabs>
          <w:tab w:pos="769" w:val="left" w:leader="none"/>
        </w:tabs>
        <w:spacing w:line="240" w:lineRule="auto" w:before="0"/>
        <w:ind w:right="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980" w:val="left" w:leader="none"/>
        </w:tabs>
        <w:spacing w:line="240" w:lineRule="auto" w:before="58"/>
        <w:ind w:right="0"/>
        <w:jc w:val="left"/>
      </w:pPr>
      <w:r>
        <w:rPr/>
        <w:t>□适用</w:t>
        <w:tab/>
        <w:t>√不适用</w:t>
      </w:r>
    </w:p>
    <w:p>
      <w:pPr>
        <w:spacing w:line="240" w:lineRule="auto" w:before="11"/>
        <w:rPr>
          <w:rFonts w:ascii="宋体" w:hAnsi="宋体" w:cs="宋体" w:eastAsia="宋体" w:hint="default"/>
          <w:sz w:val="22"/>
          <w:szCs w:val="22"/>
        </w:rPr>
      </w:pPr>
    </w:p>
    <w:p>
      <w:pPr>
        <w:pStyle w:val="Heading2"/>
        <w:tabs>
          <w:tab w:pos="769" w:val="left" w:leader="none"/>
        </w:tabs>
        <w:spacing w:line="240" w:lineRule="auto" w:before="0"/>
        <w:ind w:right="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980" w:val="left" w:leader="none"/>
        </w:tabs>
        <w:spacing w:line="240" w:lineRule="auto" w:before="56"/>
        <w:ind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right="0"/>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8"/>
        <w:ind w:right="0"/>
        <w:jc w:val="left"/>
      </w:pPr>
      <w:r>
        <w:rPr/>
        <w:t>□适用</w:t>
        <w:tab/>
        <w:t>√不适用</w:t>
      </w:r>
    </w:p>
    <w:p>
      <w:pPr>
        <w:spacing w:line="240" w:lineRule="auto" w:before="12"/>
        <w:rPr>
          <w:rFonts w:ascii="宋体" w:hAnsi="宋体" w:cs="宋体" w:eastAsia="宋体" w:hint="default"/>
          <w:sz w:val="22"/>
          <w:szCs w:val="22"/>
        </w:rPr>
      </w:pPr>
    </w:p>
    <w:p>
      <w:pPr>
        <w:pStyle w:val="Heading2"/>
        <w:spacing w:line="240" w:lineRule="auto" w:before="0"/>
        <w:ind w:right="0"/>
        <w:jc w:val="left"/>
        <w:rPr>
          <w:b w:val="0"/>
          <w:bCs w:val="0"/>
        </w:rPr>
      </w:pPr>
      <w:r>
        <w:rPr/>
        <w:t>十、与金融工具相关的风险</w:t>
      </w:r>
      <w:r>
        <w:rPr>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3"/>
          <w:szCs w:val="23"/>
        </w:rPr>
      </w:pPr>
    </w:p>
    <w:p>
      <w:pPr>
        <w:pStyle w:val="Heading2"/>
        <w:tabs>
          <w:tab w:pos="977" w:val="left" w:leader="none"/>
        </w:tabs>
        <w:spacing w:line="240" w:lineRule="auto" w:before="0"/>
        <w:ind w:right="0"/>
        <w:jc w:val="left"/>
        <w:rPr>
          <w:b w:val="0"/>
          <w:bCs w:val="0"/>
        </w:rPr>
      </w:pPr>
      <w:r>
        <w:rPr/>
        <w:t>十一、</w:t>
        <w:tab/>
        <w:t>公允价值的披露</w:t>
      </w:r>
      <w:r>
        <w:rPr>
          <w:b w:val="0"/>
          <w:bCs w:val="0"/>
        </w:rPr>
      </w:r>
    </w:p>
    <w:p>
      <w:pPr>
        <w:pStyle w:val="Heading2"/>
        <w:spacing w:line="240" w:lineRule="auto" w:before="56"/>
        <w:ind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80" w:val="left" w:leader="none"/>
        </w:tabs>
        <w:spacing w:line="240" w:lineRule="auto" w:before="56"/>
        <w:ind w:right="0"/>
        <w:jc w:val="left"/>
      </w:pPr>
      <w:r>
        <w:rPr/>
        <w:t>□适用</w:t>
        <w:tab/>
        <w:t>√不适用</w:t>
      </w:r>
    </w:p>
    <w:p>
      <w:pPr>
        <w:pStyle w:val="Heading2"/>
        <w:spacing w:line="240" w:lineRule="auto" w:before="58"/>
        <w:ind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80" w:val="left" w:leader="none"/>
        </w:tabs>
        <w:spacing w:line="240" w:lineRule="auto" w:before="56"/>
        <w:ind w:right="0"/>
        <w:jc w:val="left"/>
      </w:pPr>
      <w:r>
        <w:rPr/>
        <w:t>□适用</w:t>
        <w:tab/>
        <w:t>√不适用</w:t>
      </w:r>
    </w:p>
    <w:p>
      <w:pPr>
        <w:spacing w:line="240" w:lineRule="auto" w:before="0"/>
        <w:rPr>
          <w:rFonts w:ascii="宋体" w:hAnsi="宋体" w:cs="宋体" w:eastAsia="宋体" w:hint="default"/>
          <w:sz w:val="23"/>
          <w:szCs w:val="23"/>
        </w:rPr>
      </w:pPr>
    </w:p>
    <w:p>
      <w:pPr>
        <w:pStyle w:val="Heading2"/>
        <w:spacing w:line="240" w:lineRule="auto" w:before="0"/>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80" w:val="left" w:leader="none"/>
        </w:tabs>
        <w:spacing w:line="240" w:lineRule="auto" w:before="56"/>
        <w:ind w:right="0"/>
        <w:jc w:val="left"/>
      </w:pPr>
      <w:r>
        <w:rPr/>
        <w:t>□适用</w:t>
        <w:tab/>
        <w:t>√不适用</w:t>
      </w:r>
    </w:p>
    <w:p>
      <w:pPr>
        <w:spacing w:after="0" w:line="240" w:lineRule="auto"/>
        <w:jc w:val="left"/>
        <w:sectPr>
          <w:pgSz w:w="11910" w:h="16840"/>
          <w:pgMar w:header="0"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ind w:left="218" w:right="10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8"/>
        <w:ind w:left="218" w:right="100"/>
        <w:jc w:val="left"/>
      </w:pPr>
      <w:r>
        <w:rPr/>
        <w:t>□适用</w:t>
        <w:tab/>
        <w:t>√不适用</w:t>
      </w:r>
    </w:p>
    <w:p>
      <w:pPr>
        <w:spacing w:line="240" w:lineRule="auto" w:before="12"/>
        <w:rPr>
          <w:rFonts w:ascii="宋体" w:hAnsi="宋体" w:cs="宋体" w:eastAsia="宋体" w:hint="default"/>
          <w:sz w:val="24"/>
          <w:szCs w:val="24"/>
        </w:rPr>
      </w:pPr>
    </w:p>
    <w:p>
      <w:pPr>
        <w:pStyle w:val="Heading2"/>
        <w:spacing w:line="272" w:lineRule="exact" w:before="0"/>
        <w:ind w:left="64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34"/>
        <w:ind w:left="218" w:right="10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left="64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56"/>
        <w:ind w:left="218" w:right="100"/>
        <w:jc w:val="left"/>
      </w:pPr>
      <w:r>
        <w:rPr/>
        <w:t>□适用</w:t>
        <w:tab/>
        <w:t>√不适用</w:t>
      </w:r>
    </w:p>
    <w:p>
      <w:pPr>
        <w:spacing w:line="240" w:lineRule="auto" w:before="12"/>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left="218" w:right="10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left="218" w:right="10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8"/>
        <w:ind w:left="218" w:right="100"/>
        <w:jc w:val="left"/>
      </w:pPr>
      <w:r>
        <w:rPr/>
        <w:t>□适用</w:t>
        <w:tab/>
        <w:t>√不适用</w:t>
      </w:r>
    </w:p>
    <w:p>
      <w:pPr>
        <w:pStyle w:val="Heading2"/>
        <w:tabs>
          <w:tab w:pos="1057" w:val="left" w:leader="none"/>
        </w:tabs>
        <w:spacing w:line="290" w:lineRule="auto" w:before="56"/>
        <w:ind w:left="218" w:right="64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left="218" w:right="10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left="218" w:right="100"/>
        <w:jc w:val="left"/>
        <w:rPr>
          <w:b w:val="0"/>
          <w:bCs w:val="0"/>
        </w:rPr>
      </w:pPr>
      <w:r>
        <w:rPr>
          <w:rFonts w:ascii="宋体" w:hAnsi="宋体" w:cs="宋体" w:eastAsia="宋体" w:hint="default"/>
        </w:rPr>
        <w:t>2</w:t>
      </w:r>
      <w:r>
        <w:rPr/>
        <w:t>、</w:t>
      </w:r>
      <w:r>
        <w:rPr>
          <w:spacing w:val="5"/>
        </w:rPr>
        <w:t> </w:t>
      </w:r>
      <w:r>
        <w:rPr/>
        <w:t>本企业的子公司情况</w:t>
      </w:r>
      <w:r>
        <w:rPr>
          <w:b w:val="0"/>
          <w:bCs w:val="0"/>
        </w:rPr>
      </w:r>
    </w:p>
    <w:p>
      <w:pPr>
        <w:pStyle w:val="BodyText"/>
        <w:tabs>
          <w:tab w:pos="964" w:val="left" w:leader="none"/>
        </w:tabs>
        <w:spacing w:line="272" w:lineRule="exact" w:before="86"/>
        <w:ind w:left="218" w:right="350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本企业子公司的情况详见附注“九、在其他主体中的权益”</w:t>
      </w:r>
    </w:p>
    <w:p>
      <w:pPr>
        <w:spacing w:line="240" w:lineRule="auto" w:before="12"/>
        <w:rPr>
          <w:rFonts w:ascii="宋体" w:hAnsi="宋体" w:cs="宋体" w:eastAsia="宋体" w:hint="default"/>
          <w:sz w:val="20"/>
          <w:szCs w:val="20"/>
        </w:rPr>
      </w:pPr>
    </w:p>
    <w:p>
      <w:pPr>
        <w:pStyle w:val="Heading2"/>
        <w:spacing w:line="240" w:lineRule="auto" w:before="0"/>
        <w:ind w:left="218" w:right="100"/>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72" w:lineRule="exact" w:before="86"/>
        <w:ind w:left="218" w:right="23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本企业重要的合营或联营企业详见附注“九、在其他主体中的权益”</w:t>
      </w:r>
    </w:p>
    <w:p>
      <w:pPr>
        <w:spacing w:line="240" w:lineRule="auto" w:before="5"/>
        <w:rPr>
          <w:rFonts w:ascii="宋体" w:hAnsi="宋体" w:cs="宋体" w:eastAsia="宋体" w:hint="default"/>
          <w:sz w:val="16"/>
          <w:szCs w:val="16"/>
        </w:rPr>
      </w:pPr>
    </w:p>
    <w:p>
      <w:pPr>
        <w:pStyle w:val="BodyText"/>
        <w:spacing w:line="240" w:lineRule="auto"/>
        <w:ind w:left="218" w:right="100"/>
        <w:jc w:val="left"/>
      </w:pP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spacing w:line="288" w:lineRule="exact"/>
        <w:ind w:left="218" w:right="10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886"/>
        <w:gridCol w:w="4938"/>
      </w:tblGrid>
      <w:tr>
        <w:trPr>
          <w:trHeight w:val="293"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南昌小蓝创新创业基地管理有限公司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江西泰豪配售电有限公司</w:t>
            </w:r>
          </w:p>
        </w:tc>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74" w:lineRule="exact"/>
        <w:ind w:left="218" w:right="100"/>
        <w:jc w:val="left"/>
      </w:pPr>
      <w:r>
        <w:rPr/>
        <w:t>其他说明</w:t>
      </w:r>
    </w:p>
    <w:p>
      <w:pPr>
        <w:pStyle w:val="BodyText"/>
        <w:spacing w:line="274" w:lineRule="exact"/>
        <w:ind w:left="218" w:right="100"/>
        <w:jc w:val="left"/>
      </w:pPr>
      <w:r>
        <w:rPr/>
        <w:t>√适用 □不适用</w:t>
      </w:r>
    </w:p>
    <w:p>
      <w:pPr>
        <w:spacing w:line="240" w:lineRule="auto" w:before="1"/>
        <w:rPr>
          <w:rFonts w:ascii="宋体" w:hAnsi="宋体" w:cs="宋体" w:eastAsia="宋体" w:hint="default"/>
          <w:sz w:val="14"/>
          <w:szCs w:val="14"/>
        </w:rPr>
      </w:pPr>
    </w:p>
    <w:p>
      <w:pPr>
        <w:pStyle w:val="BodyText"/>
        <w:tabs>
          <w:tab w:pos="1477" w:val="left" w:leader="none"/>
        </w:tabs>
        <w:spacing w:line="240" w:lineRule="auto"/>
        <w:ind w:left="638" w:right="100"/>
        <w:jc w:val="left"/>
      </w:pPr>
      <w:r>
        <w:rPr>
          <w:rFonts w:ascii="宋体" w:hAnsi="宋体" w:cs="宋体" w:eastAsia="宋体" w:hint="default"/>
        </w:rPr>
        <w:t>(</w:t>
      </w:r>
      <w:r>
        <w:rPr/>
        <w:t>一</w:t>
      </w:r>
      <w:r>
        <w:rPr>
          <w:rFonts w:ascii="宋体" w:hAnsi="宋体" w:cs="宋体" w:eastAsia="宋体" w:hint="default"/>
        </w:rPr>
        <w:t>)</w:t>
        <w:tab/>
      </w:r>
      <w:r>
        <w:rPr/>
        <w:t>本公司的第一及第二大股东情况</w:t>
      </w:r>
    </w:p>
    <w:p>
      <w:pPr>
        <w:spacing w:after="0" w:line="240" w:lineRule="auto"/>
        <w:jc w:val="left"/>
        <w:sectPr>
          <w:pgSz w:w="11910" w:h="16840"/>
          <w:pgMar w:header="0" w:footer="1195" w:top="1120" w:bottom="1380" w:left="15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82"/>
        <w:gridCol w:w="992"/>
        <w:gridCol w:w="1560"/>
        <w:gridCol w:w="1656"/>
        <w:gridCol w:w="1585"/>
        <w:gridCol w:w="1404"/>
      </w:tblGrid>
      <w:tr>
        <w:trPr>
          <w:trHeight w:val="488" w:hRule="exact"/>
        </w:trPr>
        <w:tc>
          <w:tcPr>
            <w:tcW w:w="16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0"/>
              <w:ind w:left="1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Arial Narrow" w:hAnsi="Arial Narrow" w:cs="Arial Narrow" w:eastAsia="Arial Narrow" w:hint="default"/>
                <w:sz w:val="18"/>
                <w:szCs w:val="18"/>
              </w:rPr>
            </w:pPr>
            <w:r>
              <w:rPr>
                <w:rFonts w:ascii="宋体" w:hAnsi="宋体" w:cs="宋体" w:eastAsia="宋体" w:hint="default"/>
                <w:sz w:val="18"/>
                <w:szCs w:val="18"/>
              </w:rPr>
              <w:t>注册资本</w:t>
            </w:r>
            <w:r>
              <w:rPr>
                <w:rFonts w:ascii="Arial Narrow" w:hAnsi="Arial Narrow" w:cs="Arial Narrow" w:eastAsia="Arial Narrow" w:hint="default"/>
                <w:sz w:val="18"/>
                <w:szCs w:val="18"/>
              </w:rPr>
              <w:t>(</w:t>
            </w:r>
            <w:r>
              <w:rPr>
                <w:rFonts w:ascii="宋体" w:hAnsi="宋体" w:cs="宋体" w:eastAsia="宋体" w:hint="default"/>
                <w:sz w:val="18"/>
                <w:szCs w:val="18"/>
              </w:rPr>
              <w:t>万元</w:t>
            </w:r>
            <w:r>
              <w:rPr>
                <w:rFonts w:ascii="Arial Narrow" w:hAnsi="Arial Narrow" w:cs="Arial Narrow" w:eastAsia="Arial Narrow" w:hint="default"/>
                <w:sz w:val="18"/>
                <w:szCs w:val="18"/>
              </w:rPr>
              <w:t>)</w:t>
            </w:r>
          </w:p>
        </w:tc>
        <w:tc>
          <w:tcPr>
            <w:tcW w:w="1585"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对本公司的持股</w:t>
            </w:r>
          </w:p>
          <w:p>
            <w:pPr>
              <w:pStyle w:val="TableParagraph"/>
              <w:spacing w:line="247" w:lineRule="exact"/>
              <w:ind w:right="4"/>
              <w:jc w:val="center"/>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04"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220" w:right="0" w:hanging="65"/>
              <w:jc w:val="left"/>
              <w:rPr>
                <w:rFonts w:ascii="宋体" w:hAnsi="宋体" w:cs="宋体" w:eastAsia="宋体" w:hint="default"/>
                <w:sz w:val="18"/>
                <w:szCs w:val="18"/>
              </w:rPr>
            </w:pPr>
            <w:r>
              <w:rPr>
                <w:rFonts w:ascii="宋体" w:hAnsi="宋体" w:cs="宋体" w:eastAsia="宋体" w:hint="default"/>
                <w:sz w:val="18"/>
                <w:szCs w:val="18"/>
              </w:rPr>
              <w:t>对本公司的表</w:t>
            </w:r>
          </w:p>
          <w:p>
            <w:pPr>
              <w:pStyle w:val="TableParagraph"/>
              <w:spacing w:line="247" w:lineRule="exact"/>
              <w:ind w:left="220" w:right="0"/>
              <w:jc w:val="left"/>
              <w:rPr>
                <w:rFonts w:ascii="Arial Narrow" w:hAnsi="Arial Narrow" w:cs="Arial Narrow" w:eastAsia="Arial Narrow" w:hint="default"/>
                <w:sz w:val="18"/>
                <w:szCs w:val="18"/>
              </w:rPr>
            </w:pPr>
            <w:r>
              <w:rPr>
                <w:rFonts w:ascii="宋体" w:hAnsi="宋体" w:cs="宋体" w:eastAsia="宋体" w:hint="default"/>
                <w:sz w:val="18"/>
                <w:szCs w:val="18"/>
              </w:rPr>
              <w:t>决权比例</w:t>
            </w:r>
            <w:r>
              <w:rPr>
                <w:rFonts w:ascii="Arial Narrow" w:hAnsi="Arial Narrow" w:cs="Arial Narrow" w:eastAsia="Arial Narrow" w:hint="default"/>
                <w:sz w:val="18"/>
                <w:szCs w:val="18"/>
              </w:rPr>
              <w:t>(%)</w:t>
            </w: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7" w:right="0"/>
              <w:jc w:val="center"/>
              <w:rPr>
                <w:rFonts w:ascii="宋体" w:hAnsi="宋体" w:cs="宋体" w:eastAsia="宋体" w:hint="default"/>
                <w:sz w:val="18"/>
                <w:szCs w:val="18"/>
              </w:rPr>
            </w:pPr>
            <w:r>
              <w:rPr>
                <w:rFonts w:ascii="宋体" w:hAnsi="宋体" w:cs="宋体" w:eastAsia="宋体" w:hint="default"/>
                <w:sz w:val="18"/>
                <w:szCs w:val="18"/>
              </w:rPr>
              <w:t>同方股份有限公司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互联网信息等</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296,389.90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17.58</w:t>
            </w:r>
          </w:p>
        </w:tc>
        <w:tc>
          <w:tcPr>
            <w:tcW w:w="1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17.58</w:t>
            </w:r>
          </w:p>
        </w:tc>
      </w:tr>
      <w:tr>
        <w:trPr>
          <w:trHeight w:val="362"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7" w:right="0"/>
              <w:jc w:val="center"/>
              <w:rPr>
                <w:rFonts w:ascii="宋体" w:hAnsi="宋体" w:cs="宋体" w:eastAsia="宋体" w:hint="default"/>
                <w:sz w:val="18"/>
                <w:szCs w:val="18"/>
              </w:rPr>
            </w:pPr>
            <w:r>
              <w:rPr>
                <w:rFonts w:ascii="宋体" w:hAnsi="宋体" w:cs="宋体" w:eastAsia="宋体" w:hint="default"/>
                <w:sz w:val="18"/>
                <w:szCs w:val="18"/>
              </w:rPr>
              <w:t>泰豪集团有限公司</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江西南昌</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Arial Narrow" w:hAnsi="Arial Narrow" w:cs="Arial Narrow" w:eastAsia="Arial Narrow" w:hint="default"/>
                <w:sz w:val="18"/>
                <w:szCs w:val="18"/>
              </w:rPr>
            </w:pPr>
            <w:r>
              <w:rPr>
                <w:rFonts w:ascii="Arial Narrow"/>
                <w:sz w:val="18"/>
              </w:rPr>
              <w:t>20,000.00</w:t>
            </w:r>
          </w:p>
        </w:tc>
        <w:tc>
          <w:tcPr>
            <w:tcW w:w="15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5"/>
              <w:jc w:val="center"/>
              <w:rPr>
                <w:rFonts w:ascii="Arial Narrow" w:hAnsi="Arial Narrow" w:cs="Arial Narrow" w:eastAsia="Arial Narrow" w:hint="default"/>
                <w:sz w:val="18"/>
                <w:szCs w:val="18"/>
              </w:rPr>
            </w:pPr>
            <w:r>
              <w:rPr>
                <w:rFonts w:ascii="Arial Narrow"/>
                <w:sz w:val="18"/>
              </w:rPr>
              <w:t>14.83</w:t>
            </w:r>
          </w:p>
        </w:tc>
        <w:tc>
          <w:tcPr>
            <w:tcW w:w="14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7"/>
              <w:jc w:val="center"/>
              <w:rPr>
                <w:rFonts w:ascii="Arial Narrow" w:hAnsi="Arial Narrow" w:cs="Arial Narrow" w:eastAsia="Arial Narrow" w:hint="default"/>
                <w:sz w:val="18"/>
                <w:szCs w:val="18"/>
              </w:rPr>
            </w:pPr>
            <w:r>
              <w:rPr>
                <w:rFonts w:ascii="Arial Narrow"/>
                <w:sz w:val="18"/>
              </w:rPr>
              <w:t>14.83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238" w:right="331"/>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38" w:right="33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25" w:type="dxa"/>
        <w:tblLayout w:type="fixed"/>
        <w:tblCellMar>
          <w:top w:w="0" w:type="dxa"/>
          <w:left w:w="0" w:type="dxa"/>
          <w:bottom w:w="0" w:type="dxa"/>
          <w:right w:w="0" w:type="dxa"/>
        </w:tblCellMar>
        <w:tblLook w:val="01E0"/>
      </w:tblPr>
      <w:tblGrid>
        <w:gridCol w:w="4529"/>
        <w:gridCol w:w="4295"/>
      </w:tblGrid>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4"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江西泰豪动漫有限公司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同方物业管理有限公司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江西笛卡传媒有限公司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泰豪地产控股有限公司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泰豪集团贵州投资有限公司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同方泰豪动漫产业投资有限公司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南昌昆腾教育科技有限公司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长春泰豪房地产置业有限公司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贵州泰豪文创置业发展有限公司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江西泰豪科技广场有限公司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同方电子科技有限公司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南昌泰豪动漫园区服务有限公司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江西大麦互娱科技股份有限公司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南昌泰豪文化创意产业园建设发展有限公司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同方（哈尔滨）水务有限公司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赣资泰豪（上海）股权管理有限公司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泰豪园区投资有限公司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江西泰豪紫荆公寓建设服务有限公司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吉林博泰节能技术有限公司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江西泰豪科技进出口有限公司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同一股东</w:t>
            </w:r>
          </w:p>
        </w:tc>
      </w:tr>
      <w:tr>
        <w:trPr>
          <w:trHeight w:val="28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41" w:lineRule="exact"/>
        <w:jc w:val="left"/>
        <w:rPr>
          <w:rFonts w:ascii="宋体" w:hAnsi="宋体" w:cs="宋体" w:eastAsia="宋体" w:hint="default"/>
          <w:sz w:val="21"/>
          <w:szCs w:val="21"/>
        </w:rPr>
        <w:sectPr>
          <w:pgSz w:w="11910" w:h="16840"/>
          <w:pgMar w:header="0" w:footer="1195" w:top="1120" w:bottom="1380" w:left="15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9"/>
        <w:gridCol w:w="4295"/>
      </w:tblGrid>
      <w:tr>
        <w:trPr>
          <w:trHeight w:val="28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南昌小蓝创新创业基地管理有限公司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成都华太航空科技有限公司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tabs>
                <w:tab w:pos="976" w:val="left" w:leader="none"/>
              </w:tabs>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3 </w:t>
            </w:r>
            <w:r>
              <w:rPr>
                <w:rFonts w:ascii="Times New Roman"/>
                <w:spacing w:val="-4"/>
                <w:sz w:val="21"/>
              </w:rPr>
              <w:t>Tech</w:t>
              <w:tab/>
            </w:r>
            <w:r>
              <w:rPr>
                <w:rFonts w:ascii="Times New Roman"/>
                <w:sz w:val="21"/>
              </w:rPr>
              <w:t>Power Solution</w:t>
            </w:r>
            <w:r>
              <w:rPr>
                <w:rFonts w:ascii="Times New Roman"/>
                <w:spacing w:val="-7"/>
                <w:sz w:val="21"/>
              </w:rPr>
              <w:t> </w:t>
            </w:r>
            <w:r>
              <w:rPr>
                <w:rFonts w:ascii="Times New Roman"/>
                <w:sz w:val="21"/>
              </w:rPr>
              <w:t>Limited</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重庆园业售电有限公司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江西泰豪配售电有限公司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上海朋迈能源科技有限公司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江西希望科技有限公司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发电机有限公司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上海信业智能科技股份有限公司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北京泰豪太阳能电源技术有限公司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江西汇水科技有限公司</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3TECH </w:t>
            </w:r>
            <w:r>
              <w:rPr>
                <w:rFonts w:ascii="Times New Roman"/>
                <w:spacing w:val="-4"/>
                <w:sz w:val="21"/>
              </w:rPr>
              <w:t>CORPORATE</w:t>
            </w:r>
            <w:r>
              <w:rPr>
                <w:rFonts w:ascii="Times New Roman"/>
                <w:spacing w:val="3"/>
                <w:sz w:val="21"/>
              </w:rPr>
              <w:t> </w:t>
            </w:r>
            <w:r>
              <w:rPr>
                <w:rFonts w:ascii="Times New Roman"/>
                <w:sz w:val="21"/>
              </w:rPr>
              <w:t>LIMITED</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120"/>
        </w:sectPr>
      </w:pPr>
    </w:p>
    <w:p>
      <w:pPr>
        <w:pStyle w:val="Heading2"/>
        <w:spacing w:line="240" w:lineRule="auto"/>
        <w:ind w:left="21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25" w:lineRule="exact"/>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4421" w:space="2101"/>
            <w:col w:w="268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45"/>
        <w:gridCol w:w="1687"/>
        <w:gridCol w:w="2153"/>
        <w:gridCol w:w="2141"/>
      </w:tblGrid>
      <w:tr>
        <w:trPr>
          <w:trHeight w:val="305"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16,973,504.23</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发电机有限公司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12,380,879.45</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26,642,112.62</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2,594,881.01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439,379.60</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1,842,735.04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82,682.00</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920,415.22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924,260.00</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28,418.80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167,500.00</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2153"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1,152,343.76</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2153"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2153"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93,076.92</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同方物业管理有限公司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328,192.66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2,824,803.78</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培训</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156,280.01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2,960,878.95</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557,124.80</w:t>
            </w:r>
          </w:p>
        </w:tc>
        <w:tc>
          <w:tcPr>
            <w:tcW w:w="21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580" w:right="1120"/>
        </w:sectPr>
      </w:pPr>
    </w:p>
    <w:p>
      <w:pPr>
        <w:pStyle w:val="BodyText"/>
        <w:spacing w:line="281" w:lineRule="exact" w:before="36"/>
        <w:ind w:left="21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81" w:lineRule="exact"/>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590" w:space="3932"/>
            <w:col w:w="268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282"/>
        <w:gridCol w:w="1697"/>
        <w:gridCol w:w="1417"/>
        <w:gridCol w:w="1500"/>
      </w:tblGrid>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南昌泰豪动漫园区服务有限公司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2,929,154.70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6,467.92</w:t>
            </w:r>
          </w:p>
        </w:tc>
      </w:tr>
      <w:tr>
        <w:trPr>
          <w:trHeight w:val="28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2,268,000.00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2,271,544.00</w:t>
            </w: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1,358,490.57</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江西泰豪紫荆公寓建设服务有限公司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1,184,482.20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10,532,915.53</w:t>
            </w:r>
          </w:p>
        </w:tc>
      </w:tr>
      <w:tr>
        <w:trPr>
          <w:trHeight w:val="28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1,053,629.73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3,717,948.72</w:t>
            </w: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tabs>
                <w:tab w:pos="995" w:val="left" w:leader="none"/>
              </w:tabs>
              <w:spacing w:line="235" w:lineRule="exact"/>
              <w:ind w:left="26" w:right="0"/>
              <w:jc w:val="left"/>
              <w:rPr>
                <w:rFonts w:ascii="Times New Roman" w:hAnsi="Times New Roman" w:cs="Times New Roman" w:eastAsia="Times New Roman" w:hint="default"/>
                <w:sz w:val="21"/>
                <w:szCs w:val="21"/>
              </w:rPr>
            </w:pPr>
            <w:r>
              <w:rPr>
                <w:rFonts w:ascii="Times New Roman"/>
                <w:spacing w:val="-1"/>
                <w:sz w:val="21"/>
              </w:rPr>
              <w:t>3TECH</w:t>
              <w:tab/>
            </w:r>
            <w:r>
              <w:rPr>
                <w:rFonts w:ascii="Times New Roman"/>
                <w:spacing w:val="-4"/>
                <w:sz w:val="21"/>
              </w:rPr>
              <w:t>CORPORATE</w:t>
            </w:r>
            <w:r>
              <w:rPr>
                <w:rFonts w:ascii="Times New Roman"/>
                <w:spacing w:val="15"/>
                <w:sz w:val="21"/>
              </w:rPr>
              <w:t> </w:t>
            </w:r>
            <w:r>
              <w:rPr>
                <w:rFonts w:ascii="Times New Roman"/>
                <w:spacing w:val="-1"/>
                <w:sz w:val="21"/>
              </w:rPr>
              <w:t>LIMITED</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1,014,140.84</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65,618.09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1,257,944.44</w:t>
            </w:r>
          </w:p>
        </w:tc>
      </w:tr>
      <w:tr>
        <w:trPr>
          <w:trHeight w:val="284"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长春泰豪房地产置业有限公司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63,068.63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7,803.42</w:t>
            </w: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贵州泰豪文创置业发展有限公司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33,400.05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4,454,604.47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2" w:type="dxa"/>
        <w:tblLayout w:type="fixed"/>
        <w:tblCellMar>
          <w:top w:w="0" w:type="dxa"/>
          <w:left w:w="0" w:type="dxa"/>
          <w:bottom w:w="0" w:type="dxa"/>
          <w:right w:w="0" w:type="dxa"/>
        </w:tblCellMar>
        <w:tblLook w:val="01E0"/>
      </w:tblPr>
      <w:tblGrid>
        <w:gridCol w:w="4282"/>
        <w:gridCol w:w="1697"/>
        <w:gridCol w:w="1417"/>
        <w:gridCol w:w="1500"/>
      </w:tblGrid>
      <w:tr>
        <w:trPr>
          <w:trHeight w:val="284"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北京泰豪太阳能电源技术有限公司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28,301.89</w:t>
            </w: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422,099.89</w:t>
            </w:r>
          </w:p>
        </w:tc>
      </w:tr>
      <w:tr>
        <w:trPr>
          <w:trHeight w:val="28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4"/>
                <w:sz w:val="21"/>
              </w:rPr>
              <w:t>31,111.11</w:t>
            </w: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吉林博泰节能技术有限公司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5,500.00</w:t>
            </w: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泰豪发电机有限公司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9,829.06</w:t>
            </w:r>
          </w:p>
        </w:tc>
      </w:tr>
      <w:tr>
        <w:trPr>
          <w:trHeight w:val="28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2,037,948.74</w:t>
            </w: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542,726.50</w:t>
            </w:r>
          </w:p>
        </w:tc>
      </w:tr>
      <w:tr>
        <w:trPr>
          <w:trHeight w:val="28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智慧能源产品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1,307,692.30</w:t>
            </w:r>
          </w:p>
        </w:tc>
      </w:tr>
      <w:tr>
        <w:trPr>
          <w:trHeight w:val="28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军工装备产品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549,900.00</w:t>
            </w:r>
          </w:p>
        </w:tc>
        <w:tc>
          <w:tcPr>
            <w:tcW w:w="15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78" w:right="142"/>
        <w:jc w:val="left"/>
      </w:pPr>
      <w:r>
        <w:rPr/>
        <w:t>购销商品、提供和接受劳务的关联交易说明</w:t>
      </w:r>
    </w:p>
    <w:p>
      <w:pPr>
        <w:pStyle w:val="BodyText"/>
        <w:spacing w:line="273" w:lineRule="exact"/>
        <w:ind w:left="178" w:right="142"/>
        <w:jc w:val="left"/>
      </w:pPr>
      <w:r>
        <w:rPr/>
        <w:t>□适用 √不适用</w:t>
      </w:r>
    </w:p>
    <w:p>
      <w:pPr>
        <w:spacing w:line="240" w:lineRule="auto" w:before="12"/>
        <w:rPr>
          <w:rFonts w:ascii="宋体" w:hAnsi="宋体" w:cs="宋体" w:eastAsia="宋体" w:hint="default"/>
          <w:sz w:val="22"/>
          <w:szCs w:val="22"/>
        </w:rPr>
      </w:pPr>
    </w:p>
    <w:p>
      <w:pPr>
        <w:spacing w:line="273" w:lineRule="auto" w:before="0"/>
        <w:ind w:left="17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22" w:lineRule="exact"/>
        <w:ind w:left="178" w:right="142"/>
        <w:jc w:val="left"/>
      </w:pPr>
      <w:r>
        <w:rPr/>
        <w:t>□适用 √不适用</w:t>
      </w:r>
    </w:p>
    <w:p>
      <w:pPr>
        <w:pStyle w:val="BodyText"/>
        <w:spacing w:line="280" w:lineRule="exact"/>
        <w:ind w:left="178" w:right="142"/>
        <w:jc w:val="left"/>
      </w:pPr>
      <w:r>
        <w:rPr/>
        <w:t>关联托管</w:t>
      </w:r>
      <w:r>
        <w:rPr>
          <w:rFonts w:ascii="Times New Roman" w:hAnsi="Times New Roman" w:cs="Times New Roman" w:eastAsia="Times New Roman" w:hint="default"/>
        </w:rPr>
        <w:t>/</w:t>
      </w:r>
      <w:r>
        <w:rPr/>
        <w:t>承包情况说明</w:t>
      </w:r>
    </w:p>
    <w:p>
      <w:pPr>
        <w:pStyle w:val="BodyText"/>
        <w:spacing w:line="265" w:lineRule="exact"/>
        <w:ind w:left="178" w:right="142"/>
        <w:jc w:val="left"/>
      </w:pPr>
      <w:r>
        <w:rPr/>
        <w:t>□适用 √不适用</w:t>
      </w:r>
    </w:p>
    <w:p>
      <w:pPr>
        <w:spacing w:line="240" w:lineRule="auto" w:before="3"/>
        <w:rPr>
          <w:rFonts w:ascii="宋体" w:hAnsi="宋体" w:cs="宋体" w:eastAsia="宋体" w:hint="default"/>
          <w:sz w:val="18"/>
          <w:szCs w:val="18"/>
        </w:rPr>
      </w:pPr>
    </w:p>
    <w:p>
      <w:pPr>
        <w:pStyle w:val="BodyText"/>
        <w:spacing w:line="282" w:lineRule="exact"/>
        <w:ind w:left="178" w:right="142"/>
        <w:jc w:val="left"/>
      </w:pPr>
      <w:r>
        <w:rPr/>
        <w:t>本公司委托管理</w:t>
      </w:r>
      <w:r>
        <w:rPr>
          <w:rFonts w:ascii="Times New Roman" w:hAnsi="Times New Roman" w:cs="Times New Roman" w:eastAsia="Times New Roman" w:hint="default"/>
        </w:rPr>
        <w:t>/</w:t>
      </w:r>
      <w:r>
        <w:rPr/>
        <w:t>出包情况表：</w:t>
      </w:r>
    </w:p>
    <w:p>
      <w:pPr>
        <w:pStyle w:val="BodyText"/>
        <w:spacing w:line="272" w:lineRule="exact" w:before="19"/>
        <w:ind w:left="178" w:right="5299"/>
        <w:jc w:val="left"/>
      </w:pPr>
      <w:r>
        <w:rPr/>
        <w:t>□适用</w:t>
      </w:r>
      <w:r>
        <w:rPr>
          <w:spacing w:val="-2"/>
        </w:rPr>
        <w:t> </w:t>
      </w:r>
      <w:r>
        <w:rPr/>
        <w:t>√不适用</w:t>
      </w:r>
      <w:r>
        <w:rPr>
          <w:spacing w:val="-103"/>
        </w:rPr>
        <w:t> </w:t>
      </w:r>
      <w:r>
        <w:rPr>
          <w:spacing w:val="-103"/>
        </w:rPr>
      </w:r>
      <w:r>
        <w:rPr>
          <w:spacing w:val="-2"/>
        </w:rPr>
        <w:t>关联管理</w:t>
      </w:r>
      <w:r>
        <w:rPr>
          <w:rFonts w:ascii="Times New Roman" w:hAnsi="Times New Roman" w:cs="Times New Roman" w:eastAsia="Times New Roman" w:hint="default"/>
          <w:spacing w:val="-2"/>
        </w:rPr>
        <w:t>/</w:t>
      </w:r>
      <w:r>
        <w:rPr>
          <w:spacing w:val="-2"/>
        </w:rPr>
        <w:t>出包情况说明</w:t>
      </w:r>
    </w:p>
    <w:p>
      <w:pPr>
        <w:pStyle w:val="BodyText"/>
        <w:spacing w:line="249" w:lineRule="exact"/>
        <w:ind w:left="178" w:right="142"/>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4"/>
          <w:pgSz w:w="11910" w:h="16840"/>
          <w:pgMar w:footer="1195" w:header="0" w:top="1120" w:bottom="1380" w:left="1620" w:right="1120"/>
        </w:sectPr>
      </w:pPr>
    </w:p>
    <w:p>
      <w:pPr>
        <w:spacing w:line="290" w:lineRule="auto" w:before="36"/>
        <w:ind w:left="17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45" w:lineRule="exact"/>
        <w:ind w:left="178" w:right="-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29" w:val="left" w:leader="none"/>
        </w:tabs>
        <w:spacing w:line="240" w:lineRule="auto"/>
        <w:ind w:left="178" w:right="0"/>
        <w:jc w:val="left"/>
      </w:pPr>
      <w:r>
        <w:rPr>
          <w:spacing w:val="-1"/>
        </w:rPr>
        <w:t>单位：元</w:t>
        <w:tab/>
      </w:r>
      <w:r>
        <w:rPr>
          <w:spacing w:val="-2"/>
        </w:rPr>
        <w:t>币种：人民币</w:t>
      </w:r>
    </w:p>
    <w:p>
      <w:pPr>
        <w:spacing w:after="0" w:line="240" w:lineRule="auto"/>
        <w:jc w:val="left"/>
        <w:sectPr>
          <w:type w:val="continuous"/>
          <w:pgSz w:w="11910" w:h="16840"/>
          <w:pgMar w:top="1120" w:bottom="1380" w:left="1620" w:right="1120"/>
          <w:cols w:num="2" w:equalWidth="0">
            <w:col w:w="2072" w:space="4449"/>
            <w:col w:w="2649"/>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177"/>
        <w:gridCol w:w="1419"/>
        <w:gridCol w:w="1702"/>
        <w:gridCol w:w="1632"/>
      </w:tblGrid>
      <w:tr>
        <w:trPr>
          <w:trHeight w:val="554"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本期确认的租赁</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上期确认的租赁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南昌小蓝创新创业基地管理有限公司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2,340,746.36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3,414,578.84</w:t>
            </w:r>
          </w:p>
        </w:tc>
      </w:tr>
      <w:tr>
        <w:trPr>
          <w:trHeight w:val="281"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上海信业智能科技股份有限公司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788,400.00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710,270.26</w:t>
            </w: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586,270.01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590,240.62</w:t>
            </w: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317,301.96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310,184.22</w:t>
            </w:r>
          </w:p>
        </w:tc>
      </w:tr>
      <w:tr>
        <w:trPr>
          <w:trHeight w:val="281"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289,734.84</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240,745.80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68,171.43</w:t>
            </w:r>
          </w:p>
        </w:tc>
      </w:tr>
      <w:tr>
        <w:trPr>
          <w:trHeight w:val="281"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赣资泰豪（上海）股权管理有限公司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190,084.86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91,039.19</w:t>
            </w: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172,232.64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186,600.14</w:t>
            </w: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江西汇水科技有限公司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124,748.47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114,165.41</w:t>
            </w:r>
          </w:p>
        </w:tc>
      </w:tr>
      <w:tr>
        <w:trPr>
          <w:trHeight w:val="281"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南昌泰豪文化创意产业园建设发展有限公司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69,247.24</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55,678.56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135,883.84</w:t>
            </w: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47,521.22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91,039.19</w:t>
            </w:r>
          </w:p>
        </w:tc>
      </w:tr>
      <w:tr>
        <w:trPr>
          <w:trHeight w:val="281"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江西大麦互娱科技股份有限公司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43,687.42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72,005.71</w:t>
            </w: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42,406.56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41,396.88</w:t>
            </w: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江西泰豪配售电有限公司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32,501.63</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泰豪园区投资有限公司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25,273.08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40,583.44</w:t>
            </w:r>
          </w:p>
        </w:tc>
      </w:tr>
      <w:tr>
        <w:trPr>
          <w:trHeight w:val="284"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20,786.64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25,210.08</w:t>
            </w:r>
          </w:p>
        </w:tc>
      </w:tr>
      <w:tr>
        <w:trPr>
          <w:trHeight w:val="283"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发电机有限公司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4,720,830.13</w:t>
            </w:r>
          </w:p>
        </w:tc>
      </w:tr>
      <w:tr>
        <w:trPr>
          <w:trHeight w:val="281" w:hRule="exact"/>
        </w:trPr>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江西泰豪科技广场有限公司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92,632.07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6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75"/>
          <w:pgSz w:w="11910" w:h="16840"/>
          <w:pgMar w:footer="1195" w:header="0" w:top="1120" w:bottom="1380" w:left="1660" w:right="1120"/>
          <w:pgNumType w:start="161"/>
        </w:sectPr>
      </w:pPr>
    </w:p>
    <w:p>
      <w:pPr>
        <w:pStyle w:val="BodyText"/>
        <w:spacing w:line="273" w:lineRule="exact" w:before="36"/>
        <w:ind w:right="-8"/>
        <w:jc w:val="left"/>
      </w:pPr>
      <w:r>
        <w:rPr>
          <w:spacing w:val="-1"/>
        </w:rPr>
        <w:t>本公司作为承租方：</w:t>
      </w:r>
    </w:p>
    <w:p>
      <w:pPr>
        <w:pStyle w:val="BodyText"/>
        <w:spacing w:line="289" w:lineRule="exact"/>
        <w:ind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4016"/>
        <w:gridCol w:w="1320"/>
        <w:gridCol w:w="1740"/>
        <w:gridCol w:w="1740"/>
      </w:tblGrid>
      <w:tr>
        <w:trPr>
          <w:trHeight w:val="322"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74"/>
              <w:jc w:val="right"/>
              <w:rPr>
                <w:rFonts w:ascii="宋体" w:hAnsi="宋体" w:cs="宋体" w:eastAsia="宋体" w:hint="default"/>
                <w:sz w:val="21"/>
                <w:szCs w:val="21"/>
              </w:rPr>
            </w:pPr>
            <w:r>
              <w:rPr>
                <w:rFonts w:ascii="宋体" w:hAnsi="宋体" w:cs="宋体" w:eastAsia="宋体" w:hint="default"/>
                <w:spacing w:val="-1"/>
                <w:sz w:val="21"/>
                <w:szCs w:val="21"/>
              </w:rPr>
              <w:t>出租方名称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本期确认的租赁费</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上期确认的租赁费</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7"/>
              <w:jc w:val="right"/>
              <w:rPr>
                <w:rFonts w:ascii="宋体" w:hAnsi="宋体" w:cs="宋体" w:eastAsia="宋体" w:hint="default"/>
                <w:sz w:val="21"/>
                <w:szCs w:val="21"/>
              </w:rPr>
            </w:pPr>
            <w:r>
              <w:rPr>
                <w:rFonts w:ascii="宋体" w:hAnsi="宋体" w:cs="宋体" w:eastAsia="宋体" w:hint="default"/>
                <w:spacing w:val="-2"/>
                <w:sz w:val="21"/>
                <w:szCs w:val="21"/>
              </w:rPr>
              <w:t>北京泰豪智能科技有限公司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675,180.25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353,800.68</w:t>
            </w:r>
          </w:p>
        </w:tc>
      </w:tr>
      <w:tr>
        <w:trPr>
          <w:trHeight w:val="252" w:hRule="exact"/>
        </w:trPr>
        <w:tc>
          <w:tcPr>
            <w:tcW w:w="401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0"/>
        <w:jc w:val="left"/>
      </w:pPr>
      <w:r>
        <w:rPr/>
        <w:t>关联租赁情况说明</w:t>
      </w:r>
    </w:p>
    <w:p>
      <w:pPr>
        <w:pStyle w:val="BodyText"/>
        <w:spacing w:line="273" w:lineRule="exact"/>
        <w:ind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spacing w:line="292" w:lineRule="auto" w:before="36"/>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41" w:lineRule="exact"/>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23" w:space="4499"/>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92"/>
        <w:gridCol w:w="1376"/>
        <w:gridCol w:w="1061"/>
        <w:gridCol w:w="1064"/>
        <w:gridCol w:w="1404"/>
      </w:tblGrid>
      <w:tr>
        <w:trPr>
          <w:trHeight w:val="554"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担保起始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担保到期</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履行完毕</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230,000,000.00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2012/11/3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2019/12/21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江西国科军工集团股份有限公司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2017/12/8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2018/12/7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19,860,000.00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2016/5/10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2019/10/30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13,950,000.00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2016/1/22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2019/11/14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21,020,000.00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2017/4/28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2018/4/25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42,430,000.00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2013/2/6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2020/9/15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74,720,000.00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2016/8/17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2018/12/31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2017/6/23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2018/6/22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22,130,000.00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2017/5/12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2020/12/30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143,660,000.00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2017/7/26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2018/12/7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1,530,000.00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2017/9/19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2019/11/29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2017/12/15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2018/6/15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2017/6/29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2018/6/28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25,480,000.00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2017/7/19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2018/5/30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2018/6/1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15,730,000.00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2017/12/27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2018/6/26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2017/12/18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2018/12/17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 w:right="0"/>
              <w:jc w:val="left"/>
              <w:rPr>
                <w:rFonts w:ascii="Times New Roman" w:hAnsi="Times New Roman" w:cs="Times New Roman" w:eastAsia="Times New Roman" w:hint="default"/>
                <w:sz w:val="21"/>
                <w:szCs w:val="21"/>
              </w:rPr>
            </w:pPr>
            <w:r>
              <w:rPr>
                <w:rFonts w:ascii="Times New Roman"/>
                <w:sz w:val="21"/>
              </w:rPr>
              <w:t>2017/12/7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3" w:right="0"/>
              <w:jc w:val="left"/>
              <w:rPr>
                <w:rFonts w:ascii="Times New Roman" w:hAnsi="Times New Roman" w:cs="Times New Roman" w:eastAsia="Times New Roman" w:hint="default"/>
                <w:sz w:val="21"/>
                <w:szCs w:val="21"/>
              </w:rPr>
            </w:pPr>
            <w:r>
              <w:rPr>
                <w:rFonts w:ascii="Times New Roman"/>
                <w:sz w:val="21"/>
              </w:rPr>
              <w:t>2018/12/6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39,250,000.00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2017/8/25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2018/8/24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9,090,000.00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2017/9/11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2018/5/22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4,740,000.00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2017/7/11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2018/1/26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2017/6/23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2018/6/22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16,020,000.00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2015/7/10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2018/7/10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2017/7/21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2018/1/21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18,030,000.00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2018/1/13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龙岩市海德鑫汽车有限公司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41,600,000.00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2017/4/11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2018/4/18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龙岩市海德鑫汽车有限公司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49,940,000.00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2018/7/11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龙岩市海德鑫汽车有限公司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2017/12/12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2018/12/12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龙岩市海德鑫汽车有限公司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2017/6/29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2018/11/22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2016/6/30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2018/6/29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60,000,000.00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2017/1/16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2018/7/6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3"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992"/>
        <w:gridCol w:w="1376"/>
        <w:gridCol w:w="1061"/>
        <w:gridCol w:w="1064"/>
        <w:gridCol w:w="1404"/>
      </w:tblGrid>
      <w:tr>
        <w:trPr>
          <w:trHeight w:val="284"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50,000,000.00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Times New Roman" w:hAnsi="Times New Roman" w:cs="Times New Roman" w:eastAsia="Times New Roman" w:hint="default"/>
                <w:sz w:val="21"/>
                <w:szCs w:val="21"/>
              </w:rPr>
            </w:pPr>
            <w:r>
              <w:rPr>
                <w:rFonts w:ascii="Times New Roman"/>
                <w:sz w:val="21"/>
              </w:rPr>
              <w:t>2017/8/11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Times New Roman" w:hAnsi="Times New Roman" w:cs="Times New Roman" w:eastAsia="Times New Roman" w:hint="default"/>
                <w:sz w:val="21"/>
                <w:szCs w:val="21"/>
              </w:rPr>
            </w:pPr>
            <w:r>
              <w:rPr>
                <w:rFonts w:ascii="Times New Roman"/>
                <w:sz w:val="21"/>
              </w:rPr>
              <w:t>2018/9/29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莱福士电力电子设备（深圳）有限公司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5,830,000.00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2018/6/25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2017/8/24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2018/2/28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1195" w:top="1120" w:bottom="1380" w:left="1580" w:right="1120"/>
        </w:sectPr>
      </w:pPr>
    </w:p>
    <w:p>
      <w:pPr>
        <w:pStyle w:val="BodyText"/>
        <w:spacing w:line="274" w:lineRule="exact" w:before="36"/>
        <w:ind w:left="218" w:right="-8"/>
        <w:jc w:val="left"/>
      </w:pPr>
      <w:r>
        <w:rPr>
          <w:spacing w:val="-1"/>
        </w:rPr>
        <w:t>本公司作为被担保方</w:t>
      </w:r>
    </w:p>
    <w:p>
      <w:pPr>
        <w:pStyle w:val="BodyText"/>
        <w:spacing w:line="290" w:lineRule="exact"/>
        <w:ind w:left="218"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120"/>
          <w:cols w:num="2" w:equalWidth="0">
            <w:col w:w="2112" w:space="4409"/>
            <w:col w:w="268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74"/>
        <w:gridCol w:w="1525"/>
        <w:gridCol w:w="1592"/>
        <w:gridCol w:w="1776"/>
        <w:gridCol w:w="2060"/>
      </w:tblGrid>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6"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3"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1" w:right="0"/>
              <w:jc w:val="center"/>
              <w:rPr>
                <w:rFonts w:ascii="Times New Roman" w:hAnsi="Times New Roman" w:cs="Times New Roman" w:eastAsia="Times New Roman" w:hint="default"/>
                <w:sz w:val="21"/>
                <w:szCs w:val="21"/>
              </w:rPr>
            </w:pPr>
            <w:r>
              <w:rPr>
                <w:rFonts w:ascii="Times New Roman"/>
                <w:sz w:val="21"/>
              </w:rPr>
              <w:t>494,000,000.00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2017/2/13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2018/2/13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52" w:hRule="exact"/>
        </w:trPr>
        <w:tc>
          <w:tcPr>
            <w:tcW w:w="18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3"/>
          <w:szCs w:val="13"/>
        </w:rPr>
      </w:pPr>
    </w:p>
    <w:p>
      <w:pPr>
        <w:pStyle w:val="BodyText"/>
        <w:spacing w:line="273" w:lineRule="exact" w:before="36"/>
        <w:ind w:left="218" w:right="331"/>
        <w:jc w:val="left"/>
      </w:pPr>
      <w:r>
        <w:rPr/>
        <w:t>关联担保情况说明</w:t>
      </w:r>
    </w:p>
    <w:p>
      <w:pPr>
        <w:pStyle w:val="BodyText"/>
        <w:spacing w:line="273" w:lineRule="exact"/>
        <w:ind w:left="218" w:right="331"/>
        <w:jc w:val="left"/>
      </w:pPr>
      <w:r>
        <w:rPr/>
        <w:t>□适用 √不适用</w:t>
      </w: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120"/>
        </w:sectPr>
      </w:pPr>
    </w:p>
    <w:p>
      <w:pPr>
        <w:pStyle w:val="Heading2"/>
        <w:spacing w:line="240" w:lineRule="auto"/>
        <w:ind w:left="218"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left="218" w:right="-18"/>
        <w:jc w:val="left"/>
      </w:pPr>
      <w:r>
        <w:rPr/>
        <w:t>□适用 √不适用</w:t>
      </w:r>
    </w:p>
    <w:p>
      <w:pPr>
        <w:pStyle w:val="Heading2"/>
        <w:spacing w:line="240" w:lineRule="auto" w:before="56"/>
        <w:ind w:left="218"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2"/>
        <w:spacing w:line="240" w:lineRule="auto" w:before="40"/>
        <w:ind w:left="218"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8" w:val="left" w:leader="none"/>
        </w:tabs>
        <w:spacing w:line="240" w:lineRule="auto" w:before="136"/>
        <w:ind w:left="218" w:right="0"/>
        <w:jc w:val="left"/>
      </w:pPr>
      <w:r>
        <w:rPr>
          <w:spacing w:val="-1"/>
        </w:rPr>
        <w:t>单位：万元</w:t>
        <w:tab/>
        <w:t>币种：人民币</w:t>
      </w:r>
    </w:p>
    <w:p>
      <w:pPr>
        <w:spacing w:after="0" w:line="240" w:lineRule="auto"/>
        <w:jc w:val="left"/>
        <w:sectPr>
          <w:type w:val="continuous"/>
          <w:pgSz w:w="11910" w:h="16840"/>
          <w:pgMar w:top="1120" w:bottom="1380" w:left="1580" w:right="1120"/>
          <w:cols w:num="2" w:equalWidth="0">
            <w:col w:w="3787" w:space="2523"/>
            <w:col w:w="290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3"/>
        <w:gridCol w:w="3192"/>
        <w:gridCol w:w="2439"/>
      </w:tblGrid>
      <w:tr>
        <w:trPr>
          <w:trHeight w:val="28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8"/>
              <w:jc w:val="right"/>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5"/>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396.10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373</w:t>
            </w:r>
          </w:p>
        </w:tc>
      </w:tr>
    </w:tbl>
    <w:p>
      <w:pPr>
        <w:spacing w:line="240" w:lineRule="auto" w:before="10"/>
        <w:rPr>
          <w:rFonts w:ascii="宋体" w:hAnsi="宋体" w:cs="宋体" w:eastAsia="宋体" w:hint="default"/>
          <w:sz w:val="17"/>
          <w:szCs w:val="17"/>
        </w:rPr>
      </w:pPr>
    </w:p>
    <w:p>
      <w:pPr>
        <w:pStyle w:val="Heading2"/>
        <w:spacing w:line="240" w:lineRule="auto"/>
        <w:ind w:left="218" w:right="331"/>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964" w:val="left" w:leader="none"/>
        </w:tabs>
        <w:spacing w:line="282" w:lineRule="exact" w:before="56"/>
        <w:ind w:left="218" w:right="33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ind w:left="638" w:right="331"/>
        <w:jc w:val="left"/>
      </w:pPr>
      <w:r>
        <w:rPr/>
        <w:t>（</w:t>
      </w:r>
      <w:r>
        <w:rPr>
          <w:rFonts w:ascii="Times New Roman" w:hAnsi="Times New Roman" w:cs="Times New Roman" w:eastAsia="Times New Roman" w:hint="default"/>
        </w:rPr>
        <w:t>1</w:t>
      </w:r>
      <w:r>
        <w:rPr/>
        <w:t>）公司投资代建贵州大学明德学院配网工程及基础设施事项</w:t>
      </w:r>
    </w:p>
    <w:p>
      <w:pPr>
        <w:pStyle w:val="BodyText"/>
        <w:spacing w:line="230" w:lineRule="auto"/>
        <w:ind w:left="218" w:right="147"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日，公司第六届董事会第二次会议审议通过了《关于拟签订</w:t>
      </w:r>
      <w:r>
        <w:rPr>
          <w:rFonts w:ascii="Times New Roman" w:hAnsi="Times New Roman" w:cs="Times New Roman" w:eastAsia="Times New Roman" w:hint="default"/>
        </w:rPr>
        <w:t>&lt;</w:t>
      </w:r>
      <w:r>
        <w:rPr/>
        <w:t>贵州大学明德学</w:t>
      </w:r>
      <w:r>
        <w:rPr>
          <w:w w:val="100"/>
        </w:rPr>
        <w:t> </w:t>
      </w:r>
      <w:r>
        <w:rPr>
          <w:spacing w:val="-4"/>
          <w:w w:val="100"/>
        </w:rPr>
        <w:t>院配网工程及基础设施建设总包合同</w:t>
      </w:r>
      <w:r>
        <w:rPr>
          <w:rFonts w:ascii="Times New Roman" w:hAnsi="Times New Roman" w:cs="Times New Roman" w:eastAsia="Times New Roman" w:hint="default"/>
          <w:spacing w:val="-4"/>
          <w:w w:val="100"/>
        </w:rPr>
        <w:t>&gt;</w:t>
      </w:r>
      <w:r>
        <w:rPr>
          <w:spacing w:val="-4"/>
          <w:w w:val="100"/>
        </w:rPr>
        <w:t>的议案》。根据公司与贵州大学明德学院正式签署《贵州大</w:t>
      </w:r>
      <w:r>
        <w:rPr>
          <w:spacing w:val="-99"/>
          <w:w w:val="100"/>
        </w:rPr>
        <w:t> </w:t>
      </w:r>
      <w:r>
        <w:rPr>
          <w:spacing w:val="-99"/>
          <w:w w:val="100"/>
        </w:rPr>
      </w:r>
      <w:r>
        <w:rPr>
          <w:spacing w:val="-1"/>
        </w:rPr>
        <w:t>学明德学院配网工程及基础设施项目投资代建合同》的约定，公司负责融资并代建，贵州大学明</w:t>
      </w:r>
      <w:r>
        <w:rPr>
          <w:spacing w:val="-55"/>
        </w:rPr>
        <w:t> </w:t>
      </w:r>
      <w:r>
        <w:rPr>
          <w:spacing w:val="-55"/>
        </w:rPr>
      </w:r>
      <w:r>
        <w:rPr>
          <w:spacing w:val="-1"/>
        </w:rPr>
        <w:t>德学院按约定期限支付代建费用及工程款，公司在本项目的收益由公司配网产品利润、项目工程</w:t>
      </w:r>
      <w:r>
        <w:rPr>
          <w:spacing w:val="-55"/>
        </w:rPr>
        <w:t> </w:t>
      </w:r>
      <w:r>
        <w:rPr>
          <w:spacing w:val="-55"/>
        </w:rPr>
      </w:r>
      <w:r>
        <w:rPr>
          <w:spacing w:val="-1"/>
        </w:rPr>
        <w:t>投资收益、项目管理代建收益以及代垫资金收益构成。其中：①公司配网产品销售利润，相关定</w:t>
      </w:r>
      <w:r>
        <w:rPr>
          <w:spacing w:val="-55"/>
        </w:rPr>
        <w:t> </w:t>
      </w:r>
      <w:r>
        <w:rPr>
          <w:spacing w:val="-55"/>
        </w:rPr>
      </w:r>
      <w:r>
        <w:rPr>
          <w:spacing w:val="-5"/>
        </w:rPr>
        <w:t>价参照行业市场价格确定；②项目工程投资收益：按照经第三方审计单位审定的建安工程费的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计取；③项目管理代建收益：按照经第三方审计单位审定的建安工程费的 </w:t>
      </w:r>
      <w:r>
        <w:rPr>
          <w:rFonts w:ascii="Times New Roman" w:hAnsi="Times New Roman" w:cs="Times New Roman" w:eastAsia="Times New Roman" w:hint="default"/>
        </w:rPr>
        <w:t>4%</w:t>
      </w:r>
      <w:r>
        <w:rPr/>
        <w:t>计取；</w:t>
      </w:r>
      <w:r>
        <w:rPr>
          <w:spacing w:val="-64"/>
        </w:rPr>
        <w:t> </w:t>
      </w:r>
      <w:r>
        <w:rPr/>
        <w:t>④代垫资金</w:t>
      </w:r>
      <w:r>
        <w:rPr>
          <w:w w:val="100"/>
        </w:rPr>
        <w:t> </w:t>
      </w:r>
      <w:r>
        <w:rPr>
          <w:spacing w:val="-2"/>
        </w:rPr>
        <w:t>收益：按三年期人民银行同类项目贷款基准利率上浮</w:t>
      </w:r>
      <w:r>
        <w:rPr>
          <w:spacing w:val="9"/>
        </w:rPr>
        <w:t> </w:t>
      </w:r>
      <w:r>
        <w:rPr>
          <w:rFonts w:ascii="Times New Roman" w:hAnsi="Times New Roman" w:cs="Times New Roman" w:eastAsia="Times New Roman" w:hint="default"/>
          <w:spacing w:val="-2"/>
        </w:rPr>
        <w:t>30%</w:t>
      </w:r>
      <w:r>
        <w:rPr>
          <w:spacing w:val="-2"/>
        </w:rPr>
        <w:t>计取财务费用。</w:t>
      </w:r>
    </w:p>
    <w:p>
      <w:pPr>
        <w:pStyle w:val="BodyText"/>
        <w:spacing w:line="225" w:lineRule="auto"/>
        <w:ind w:left="218" w:right="147" w:firstLine="419"/>
        <w:jc w:val="both"/>
      </w:pPr>
      <w:r>
        <w:rPr/>
        <w:t>代建款项的回收方式：贵州大学明德学院自工程交工验收合格之日起</w:t>
      </w:r>
      <w:r>
        <w:rPr>
          <w:spacing w:val="-51"/>
        </w:rPr>
        <w:t> </w:t>
      </w:r>
      <w:r>
        <w:rPr>
          <w:rFonts w:ascii="Times New Roman" w:hAnsi="Times New Roman" w:cs="Times New Roman" w:eastAsia="Times New Roman" w:hint="default"/>
        </w:rPr>
        <w:t>360</w:t>
      </w:r>
      <w:r>
        <w:rPr>
          <w:rFonts w:ascii="Times New Roman" w:hAnsi="Times New Roman" w:cs="Times New Roman" w:eastAsia="Times New Roman" w:hint="default"/>
          <w:spacing w:val="5"/>
        </w:rPr>
        <w:t> </w:t>
      </w:r>
      <w:r>
        <w:rPr/>
        <w:t>日内，支付投资款</w:t>
      </w:r>
      <w:r>
        <w:rPr>
          <w:w w:val="100"/>
        </w:rPr>
        <w:t> </w:t>
      </w:r>
      <w:r>
        <w:rPr/>
        <w:t>总额的</w:t>
      </w:r>
      <w:r>
        <w:rPr>
          <w:spacing w:val="-47"/>
        </w:rPr>
        <w:t> </w:t>
      </w:r>
      <w:r>
        <w:rPr>
          <w:rFonts w:ascii="Times New Roman" w:hAnsi="Times New Roman" w:cs="Times New Roman" w:eastAsia="Times New Roman" w:hint="default"/>
          <w:spacing w:val="-3"/>
        </w:rPr>
        <w:t>25%</w:t>
      </w:r>
      <w:r>
        <w:rPr>
          <w:spacing w:val="-3"/>
        </w:rPr>
        <w:t>；</w:t>
      </w:r>
      <w:r>
        <w:rPr>
          <w:rFonts w:ascii="Times New Roman" w:hAnsi="Times New Roman" w:cs="Times New Roman" w:eastAsia="Times New Roman" w:hint="default"/>
          <w:spacing w:val="-3"/>
        </w:rPr>
        <w:t>540</w:t>
      </w:r>
      <w:r>
        <w:rPr>
          <w:rFonts w:ascii="Times New Roman" w:hAnsi="Times New Roman" w:cs="Times New Roman" w:eastAsia="Times New Roman" w:hint="default"/>
          <w:spacing w:val="3"/>
        </w:rPr>
        <w:t> </w:t>
      </w:r>
      <w:r>
        <w:rPr/>
        <w:t>日内支付投资款总额的</w:t>
      </w:r>
      <w:r>
        <w:rPr>
          <w:spacing w:val="-46"/>
        </w:rPr>
        <w:t> </w:t>
      </w:r>
      <w:r>
        <w:rPr>
          <w:rFonts w:ascii="Times New Roman" w:hAnsi="Times New Roman" w:cs="Times New Roman" w:eastAsia="Times New Roman" w:hint="default"/>
          <w:spacing w:val="-4"/>
        </w:rPr>
        <w:t>75%</w:t>
      </w:r>
      <w:r>
        <w:rPr>
          <w:spacing w:val="-4"/>
        </w:rPr>
        <w:t>；</w:t>
      </w:r>
      <w:r>
        <w:rPr>
          <w:rFonts w:ascii="Times New Roman" w:hAnsi="Times New Roman" w:cs="Times New Roman" w:eastAsia="Times New Roman" w:hint="default"/>
          <w:spacing w:val="-4"/>
        </w:rPr>
        <w:t>720</w:t>
      </w:r>
      <w:r>
        <w:rPr>
          <w:rFonts w:ascii="Times New Roman" w:hAnsi="Times New Roman" w:cs="Times New Roman" w:eastAsia="Times New Roman" w:hint="default"/>
          <w:spacing w:val="6"/>
        </w:rPr>
        <w:t> </w:t>
      </w:r>
      <w:r>
        <w:rPr/>
        <w:t>日内支付投资款总额</w:t>
      </w:r>
      <w:r>
        <w:rPr>
          <w:spacing w:val="-47"/>
        </w:rPr>
        <w:t> </w:t>
      </w:r>
      <w:r>
        <w:rPr>
          <w:rFonts w:ascii="Times New Roman" w:hAnsi="Times New Roman" w:cs="Times New Roman" w:eastAsia="Times New Roman" w:hint="default"/>
          <w:spacing w:val="-3"/>
        </w:rPr>
        <w:t>100%</w:t>
      </w:r>
      <w:r>
        <w:rPr>
          <w:spacing w:val="-3"/>
        </w:rPr>
        <w:t>（其中利息每年支</w:t>
      </w:r>
      <w:r>
        <w:rPr>
          <w:spacing w:val="-102"/>
        </w:rPr>
        <w:t> </w:t>
      </w:r>
      <w:r>
        <w:rPr>
          <w:spacing w:val="-102"/>
        </w:rPr>
      </w:r>
      <w:r>
        <w:rPr>
          <w:spacing w:val="-22"/>
          <w:w w:val="100"/>
        </w:rPr>
        <w:t>付一次）。</w:t>
      </w:r>
    </w:p>
    <w:p>
      <w:pPr>
        <w:pStyle w:val="BodyText"/>
        <w:spacing w:line="281" w:lineRule="exact"/>
        <w:ind w:left="638" w:right="0"/>
        <w:jc w:val="left"/>
      </w:pPr>
      <w:r>
        <w:rPr/>
        <w:t>本项目总投资额暂定</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亿元，实际金额按照最终决算为准，泰豪集团为明德学院上述付款义</w:t>
      </w:r>
    </w:p>
    <w:p>
      <w:pPr>
        <w:pStyle w:val="BodyText"/>
        <w:spacing w:line="272" w:lineRule="exact"/>
        <w:ind w:left="218" w:right="0"/>
        <w:jc w:val="left"/>
      </w:pPr>
      <w:r>
        <w:rPr>
          <w:spacing w:val="-3"/>
        </w:rPr>
        <w:t>务提供连带责任担保。截至审计报告日，公司已累计支付项目代建款 </w:t>
      </w:r>
      <w:r>
        <w:rPr>
          <w:rFonts w:ascii="Times New Roman" w:hAnsi="Times New Roman" w:cs="Times New Roman" w:eastAsia="Times New Roman" w:hint="default"/>
        </w:rPr>
        <w:t>18,000</w:t>
      </w:r>
      <w:r>
        <w:rPr>
          <w:rFonts w:ascii="Times New Roman" w:hAnsi="Times New Roman" w:cs="Times New Roman" w:eastAsia="Times New Roman" w:hint="default"/>
          <w:spacing w:val="13"/>
        </w:rPr>
        <w:t> </w:t>
      </w:r>
      <w:r>
        <w:rPr>
          <w:spacing w:val="-3"/>
        </w:rPr>
        <w:t>万元，支付履约保证</w:t>
      </w:r>
    </w:p>
    <w:p>
      <w:pPr>
        <w:pStyle w:val="BodyText"/>
        <w:spacing w:line="272" w:lineRule="exact"/>
        <w:ind w:left="218" w:right="331"/>
        <w:jc w:val="left"/>
      </w:pPr>
      <w:r>
        <w:rPr/>
        <w:t>金</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万元，收回项目代垫资金收益</w:t>
      </w:r>
      <w:r>
        <w:rPr>
          <w:spacing w:val="-54"/>
        </w:rPr>
        <w:t> </w:t>
      </w:r>
      <w:r>
        <w:rPr>
          <w:rFonts w:ascii="Times New Roman" w:hAnsi="Times New Roman" w:cs="Times New Roman" w:eastAsia="Times New Roman" w:hint="default"/>
        </w:rPr>
        <w:t>21,529,602.74</w:t>
      </w:r>
      <w:r>
        <w:rPr>
          <w:rFonts w:ascii="Times New Roman" w:hAnsi="Times New Roman" w:cs="Times New Roman" w:eastAsia="Times New Roman" w:hint="default"/>
          <w:spacing w:val="-2"/>
        </w:rPr>
        <w:t> </w:t>
      </w:r>
      <w:r>
        <w:rPr/>
        <w:t>元。</w:t>
      </w:r>
    </w:p>
    <w:p>
      <w:pPr>
        <w:pStyle w:val="BodyText"/>
        <w:spacing w:line="272" w:lineRule="exact"/>
        <w:ind w:left="638" w:right="331"/>
        <w:jc w:val="left"/>
      </w:pPr>
      <w:r>
        <w:rPr/>
        <w:t>（</w:t>
      </w:r>
      <w:r>
        <w:rPr>
          <w:rFonts w:ascii="Times New Roman" w:hAnsi="Times New Roman" w:cs="Times New Roman" w:eastAsia="Times New Roman" w:hint="default"/>
        </w:rPr>
        <w:t>2</w:t>
      </w:r>
      <w:r>
        <w:rPr/>
        <w:t>）向关联公司发放委托贷款事项</w:t>
      </w:r>
    </w:p>
    <w:p>
      <w:pPr>
        <w:pStyle w:val="BodyText"/>
        <w:spacing w:line="272" w:lineRule="exact"/>
        <w:ind w:left="638" w:right="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3"/>
        </w:rPr>
        <w:t>月，本公司通过中国银行股份有限公司南昌市西湖支行向关联方紫荆公寓建设服务</w:t>
      </w:r>
    </w:p>
    <w:p>
      <w:pPr>
        <w:pStyle w:val="BodyText"/>
        <w:spacing w:line="271" w:lineRule="exact"/>
        <w:ind w:left="218" w:right="331"/>
        <w:jc w:val="left"/>
      </w:pPr>
      <w:r>
        <w:rPr/>
        <w:t>有限公司发放委托贷款</w:t>
      </w:r>
      <w:r>
        <w:rPr>
          <w:spacing w:val="-53"/>
        </w:rPr>
        <w:t> </w:t>
      </w:r>
      <w:r>
        <w:rPr>
          <w:rFonts w:ascii="Times New Roman" w:hAnsi="Times New Roman" w:cs="Times New Roman" w:eastAsia="Times New Roman" w:hint="default"/>
        </w:rPr>
        <w:t>170,000,000.00</w:t>
      </w:r>
      <w:r>
        <w:rPr>
          <w:rFonts w:ascii="Times New Roman" w:hAnsi="Times New Roman" w:cs="Times New Roman" w:eastAsia="Times New Roman" w:hint="default"/>
          <w:spacing w:val="-1"/>
        </w:rPr>
        <w:t> </w:t>
      </w:r>
      <w:r>
        <w:rPr/>
        <w:t>元，期限</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年，贷款利率</w:t>
      </w:r>
      <w:r>
        <w:rPr>
          <w:spacing w:val="-54"/>
        </w:rPr>
        <w:t> </w:t>
      </w:r>
      <w:r>
        <w:rPr>
          <w:rFonts w:ascii="Times New Roman" w:hAnsi="Times New Roman" w:cs="Times New Roman" w:eastAsia="Times New Roman" w:hint="default"/>
        </w:rPr>
        <w:t>6%</w:t>
      </w:r>
      <w:r>
        <w:rPr/>
        <w:t>。</w:t>
      </w:r>
    </w:p>
    <w:p>
      <w:pPr>
        <w:pStyle w:val="BodyText"/>
        <w:spacing w:line="274" w:lineRule="exact" w:before="16"/>
        <w:ind w:left="638" w:right="173"/>
        <w:jc w:val="left"/>
      </w:pPr>
      <w:r>
        <w:rPr/>
        <w:t>（</w:t>
      </w:r>
      <w:r>
        <w:rPr>
          <w:rFonts w:ascii="Times New Roman" w:hAnsi="Times New Roman" w:cs="Times New Roman" w:eastAsia="Times New Roman" w:hint="default"/>
        </w:rPr>
        <w:t>3</w:t>
      </w:r>
      <w:r>
        <w:rPr/>
        <w:t>）为关联公司提供代建厂房事项</w:t>
      </w:r>
      <w:r>
        <w:rPr>
          <w:w w:val="100"/>
        </w:rPr>
        <w:t> </w:t>
      </w:r>
      <w:r>
        <w:rPr>
          <w:spacing w:val="-2"/>
        </w:rPr>
        <w:t>公司第六届董事会第二十五次会议审议通过了《关于公司全资子公司泰豪电源技术的限公司</w:t>
      </w:r>
    </w:p>
    <w:p>
      <w:pPr>
        <w:pStyle w:val="BodyText"/>
        <w:spacing w:line="253" w:lineRule="exact"/>
        <w:ind w:left="218" w:right="0"/>
        <w:jc w:val="left"/>
      </w:pPr>
      <w:r>
        <w:rPr>
          <w:spacing w:val="2"/>
          <w:w w:val="100"/>
        </w:rPr>
        <w:t>拟</w:t>
      </w:r>
      <w:r>
        <w:rPr>
          <w:w w:val="100"/>
        </w:rPr>
        <w:t>签订</w:t>
      </w:r>
      <w:r>
        <w:rPr>
          <w:rFonts w:ascii="Times New Roman" w:hAnsi="Times New Roman" w:cs="Times New Roman" w:eastAsia="Times New Roman" w:hint="default"/>
          <w:spacing w:val="3"/>
          <w:w w:val="100"/>
        </w:rPr>
        <w:t>&lt;</w:t>
      </w:r>
      <w:r>
        <w:rPr>
          <w:w w:val="100"/>
        </w:rPr>
        <w:t>发</w:t>
      </w:r>
      <w:r>
        <w:rPr>
          <w:spacing w:val="2"/>
          <w:w w:val="100"/>
        </w:rPr>
        <w:t>电</w:t>
      </w:r>
      <w:r>
        <w:rPr>
          <w:w w:val="100"/>
        </w:rPr>
        <w:t>机</w:t>
      </w:r>
      <w:r>
        <w:rPr>
          <w:spacing w:val="2"/>
          <w:w w:val="100"/>
        </w:rPr>
        <w:t>组</w:t>
      </w:r>
      <w:r>
        <w:rPr>
          <w:w w:val="100"/>
        </w:rPr>
        <w:t>厂房</w:t>
      </w:r>
      <w:r>
        <w:rPr>
          <w:spacing w:val="2"/>
          <w:w w:val="100"/>
        </w:rPr>
        <w:t>建</w:t>
      </w:r>
      <w:r>
        <w:rPr>
          <w:w w:val="100"/>
        </w:rPr>
        <w:t>设</w:t>
      </w:r>
      <w:r>
        <w:rPr>
          <w:spacing w:val="2"/>
          <w:w w:val="100"/>
        </w:rPr>
        <w:t>代</w:t>
      </w:r>
      <w:r>
        <w:rPr>
          <w:w w:val="100"/>
        </w:rPr>
        <w:t>建</w:t>
      </w:r>
      <w:r>
        <w:rPr>
          <w:spacing w:val="2"/>
          <w:w w:val="100"/>
        </w:rPr>
        <w:t>合同</w:t>
      </w:r>
      <w:r>
        <w:rPr>
          <w:rFonts w:ascii="Times New Roman" w:hAnsi="Times New Roman" w:cs="Times New Roman" w:eastAsia="Times New Roman" w:hint="default"/>
          <w:w w:val="100"/>
        </w:rPr>
        <w:t>&gt;</w:t>
      </w:r>
      <w:r>
        <w:rPr>
          <w:spacing w:val="2"/>
          <w:w w:val="100"/>
        </w:rPr>
        <w:t>暨</w:t>
      </w:r>
      <w:r>
        <w:rPr>
          <w:w w:val="100"/>
        </w:rPr>
        <w:t>关</w:t>
      </w:r>
      <w:r>
        <w:rPr>
          <w:spacing w:val="2"/>
          <w:w w:val="100"/>
        </w:rPr>
        <w:t>联</w:t>
      </w:r>
      <w:r>
        <w:rPr>
          <w:w w:val="100"/>
        </w:rPr>
        <w:t>交易</w:t>
      </w:r>
      <w:r>
        <w:rPr>
          <w:spacing w:val="2"/>
          <w:w w:val="100"/>
        </w:rPr>
        <w:t>的</w:t>
      </w:r>
      <w:r>
        <w:rPr>
          <w:w w:val="100"/>
        </w:rPr>
        <w:t>议</w:t>
      </w:r>
      <w:r>
        <w:rPr>
          <w:spacing w:val="2"/>
          <w:w w:val="100"/>
        </w:rPr>
        <w:t>案</w:t>
      </w:r>
      <w:r>
        <w:rPr>
          <w:spacing w:val="-106"/>
          <w:w w:val="100"/>
        </w:rPr>
        <w:t>》</w:t>
      </w:r>
      <w:r>
        <w:rPr>
          <w:spacing w:val="2"/>
          <w:w w:val="100"/>
        </w:rPr>
        <w:t>，</w:t>
      </w:r>
      <w:r>
        <w:rPr>
          <w:w w:val="100"/>
        </w:rPr>
        <w:t>本</w:t>
      </w:r>
      <w:r>
        <w:rPr>
          <w:spacing w:val="2"/>
          <w:w w:val="100"/>
        </w:rPr>
        <w:t>公</w:t>
      </w:r>
      <w:r>
        <w:rPr>
          <w:w w:val="100"/>
        </w:rPr>
        <w:t>司</w:t>
      </w:r>
      <w:r>
        <w:rPr>
          <w:spacing w:val="2"/>
          <w:w w:val="100"/>
        </w:rPr>
        <w:t>子</w:t>
      </w:r>
      <w:r>
        <w:rPr>
          <w:w w:val="100"/>
        </w:rPr>
        <w:t>公司</w:t>
      </w:r>
      <w:r>
        <w:rPr>
          <w:spacing w:val="2"/>
          <w:w w:val="100"/>
        </w:rPr>
        <w:t>泰</w:t>
      </w:r>
      <w:r>
        <w:rPr>
          <w:w w:val="100"/>
        </w:rPr>
        <w:t>豪电</w:t>
      </w:r>
      <w:r>
        <w:rPr>
          <w:spacing w:val="2"/>
          <w:w w:val="100"/>
        </w:rPr>
        <w:t>源</w:t>
      </w:r>
      <w:r>
        <w:rPr>
          <w:w w:val="100"/>
        </w:rPr>
        <w:t>技</w:t>
      </w:r>
      <w:r>
        <w:rPr>
          <w:spacing w:val="2"/>
          <w:w w:val="100"/>
        </w:rPr>
        <w:t>术</w:t>
      </w:r>
      <w:r>
        <w:rPr>
          <w:w w:val="100"/>
        </w:rPr>
        <w:t>有限</w:t>
      </w:r>
      <w:r>
        <w:rPr>
          <w:spacing w:val="2"/>
          <w:w w:val="100"/>
        </w:rPr>
        <w:t>公</w:t>
      </w:r>
      <w:r>
        <w:rPr>
          <w:w w:val="100"/>
        </w:rPr>
        <w:t>司</w:t>
      </w:r>
    </w:p>
    <w:p>
      <w:pPr>
        <w:pStyle w:val="BodyText"/>
        <w:spacing w:line="266" w:lineRule="exact"/>
        <w:ind w:left="218" w:right="0"/>
        <w:jc w:val="left"/>
      </w:pPr>
      <w:r>
        <w:rPr>
          <w:w w:val="100"/>
        </w:rPr>
        <w:t>（以</w:t>
      </w:r>
      <w:r>
        <w:rPr>
          <w:spacing w:val="-3"/>
          <w:w w:val="100"/>
        </w:rPr>
        <w:t>下</w:t>
      </w:r>
      <w:r>
        <w:rPr>
          <w:w w:val="100"/>
        </w:rPr>
        <w:t>简</w:t>
      </w:r>
      <w:r>
        <w:rPr>
          <w:spacing w:val="-15"/>
          <w:w w:val="100"/>
        </w:rPr>
        <w:t>称</w:t>
      </w:r>
      <w:r>
        <w:rPr>
          <w:spacing w:val="-3"/>
          <w:w w:val="100"/>
        </w:rPr>
        <w:t>“</w:t>
      </w:r>
      <w:r>
        <w:rPr>
          <w:w w:val="100"/>
        </w:rPr>
        <w:t>泰</w:t>
      </w:r>
      <w:r>
        <w:rPr>
          <w:spacing w:val="-3"/>
          <w:w w:val="100"/>
        </w:rPr>
        <w:t>豪</w:t>
      </w:r>
      <w:r>
        <w:rPr>
          <w:w w:val="100"/>
        </w:rPr>
        <w:t>电</w:t>
      </w:r>
      <w:r>
        <w:rPr>
          <w:spacing w:val="-3"/>
          <w:w w:val="100"/>
        </w:rPr>
        <w:t>源</w:t>
      </w:r>
      <w:r>
        <w:rPr>
          <w:spacing w:val="-108"/>
          <w:w w:val="100"/>
        </w:rPr>
        <w:t>”</w:t>
      </w:r>
      <w:r>
        <w:rPr>
          <w:spacing w:val="-15"/>
          <w:w w:val="100"/>
        </w:rPr>
        <w:t>）</w:t>
      </w:r>
      <w:r>
        <w:rPr>
          <w:w w:val="100"/>
        </w:rPr>
        <w:t>与的</w:t>
      </w:r>
      <w:r>
        <w:rPr>
          <w:spacing w:val="-3"/>
          <w:w w:val="100"/>
        </w:rPr>
        <w:t>泰</w:t>
      </w:r>
      <w:r>
        <w:rPr>
          <w:w w:val="100"/>
        </w:rPr>
        <w:t>豪</w:t>
      </w:r>
      <w:r>
        <w:rPr>
          <w:spacing w:val="-3"/>
          <w:w w:val="100"/>
        </w:rPr>
        <w:t>沈</w:t>
      </w:r>
      <w:r>
        <w:rPr>
          <w:w w:val="100"/>
        </w:rPr>
        <w:t>阳</w:t>
      </w:r>
      <w:r>
        <w:rPr>
          <w:spacing w:val="-3"/>
          <w:w w:val="100"/>
        </w:rPr>
        <w:t>电</w:t>
      </w:r>
      <w:r>
        <w:rPr>
          <w:w w:val="100"/>
        </w:rPr>
        <w:t>机</w:t>
      </w:r>
      <w:r>
        <w:rPr>
          <w:spacing w:val="-3"/>
          <w:w w:val="100"/>
        </w:rPr>
        <w:t>有</w:t>
      </w:r>
      <w:r>
        <w:rPr>
          <w:w w:val="100"/>
        </w:rPr>
        <w:t>限</w:t>
      </w:r>
      <w:r>
        <w:rPr>
          <w:spacing w:val="-3"/>
          <w:w w:val="100"/>
        </w:rPr>
        <w:t>公</w:t>
      </w:r>
      <w:r>
        <w:rPr>
          <w:spacing w:val="-13"/>
          <w:w w:val="100"/>
        </w:rPr>
        <w:t>司</w:t>
      </w:r>
      <w:r>
        <w:rPr>
          <w:spacing w:val="-3"/>
          <w:w w:val="100"/>
        </w:rPr>
        <w:t>（</w:t>
      </w:r>
      <w:r>
        <w:rPr>
          <w:w w:val="100"/>
        </w:rPr>
        <w:t>以</w:t>
      </w:r>
      <w:r>
        <w:rPr>
          <w:spacing w:val="-3"/>
          <w:w w:val="100"/>
        </w:rPr>
        <w:t>下</w:t>
      </w:r>
      <w:r>
        <w:rPr>
          <w:w w:val="100"/>
        </w:rPr>
        <w:t>简</w:t>
      </w:r>
      <w:r>
        <w:rPr>
          <w:spacing w:val="-15"/>
          <w:w w:val="100"/>
        </w:rPr>
        <w:t>称</w:t>
      </w:r>
      <w:r>
        <w:rPr>
          <w:spacing w:val="-3"/>
          <w:w w:val="100"/>
        </w:rPr>
        <w:t>“</w:t>
      </w:r>
      <w:r>
        <w:rPr>
          <w:w w:val="100"/>
        </w:rPr>
        <w:t>沈</w:t>
      </w:r>
      <w:r>
        <w:rPr>
          <w:spacing w:val="-3"/>
          <w:w w:val="100"/>
        </w:rPr>
        <w:t>阳</w:t>
      </w:r>
      <w:r>
        <w:rPr>
          <w:w w:val="100"/>
        </w:rPr>
        <w:t>电</w:t>
      </w:r>
      <w:r>
        <w:rPr>
          <w:spacing w:val="-15"/>
          <w:w w:val="100"/>
        </w:rPr>
        <w:t>机</w:t>
      </w:r>
      <w:r>
        <w:rPr>
          <w:spacing w:val="-3"/>
          <w:w w:val="100"/>
        </w:rPr>
        <w:t>“</w:t>
      </w:r>
      <w:r>
        <w:rPr>
          <w:spacing w:val="-13"/>
          <w:w w:val="100"/>
        </w:rPr>
        <w:t>）</w:t>
      </w:r>
      <w:r>
        <w:rPr>
          <w:spacing w:val="-3"/>
          <w:w w:val="100"/>
        </w:rPr>
        <w:t>签</w:t>
      </w:r>
      <w:r>
        <w:rPr>
          <w:spacing w:val="-15"/>
          <w:w w:val="100"/>
        </w:rPr>
        <w:t>订</w:t>
      </w:r>
      <w:r>
        <w:rPr>
          <w:w w:val="100"/>
        </w:rPr>
        <w:t>《</w:t>
      </w:r>
      <w:r>
        <w:rPr>
          <w:spacing w:val="-3"/>
          <w:w w:val="100"/>
        </w:rPr>
        <w:t>发</w:t>
      </w:r>
      <w:r>
        <w:rPr>
          <w:w w:val="100"/>
        </w:rPr>
        <w:t>电</w:t>
      </w:r>
      <w:r>
        <w:rPr>
          <w:spacing w:val="-3"/>
          <w:w w:val="100"/>
        </w:rPr>
        <w:t>机</w:t>
      </w:r>
      <w:r>
        <w:rPr>
          <w:w w:val="100"/>
        </w:rPr>
        <w:t>组</w:t>
      </w:r>
    </w:p>
    <w:p>
      <w:pPr>
        <w:spacing w:after="0" w:line="266" w:lineRule="exact"/>
        <w:jc w:val="left"/>
        <w:sectPr>
          <w:type w:val="continuous"/>
          <w:pgSz w:w="11910" w:h="16840"/>
          <w:pgMar w:top="1120" w:bottom="1380" w:left="1580" w:right="1120"/>
        </w:sectPr>
      </w:pPr>
    </w:p>
    <w:p>
      <w:pPr>
        <w:spacing w:line="240" w:lineRule="auto" w:before="1"/>
        <w:rPr>
          <w:rFonts w:ascii="宋体" w:hAnsi="宋体" w:cs="宋体" w:eastAsia="宋体" w:hint="default"/>
          <w:sz w:val="25"/>
          <w:szCs w:val="25"/>
        </w:rPr>
      </w:pPr>
    </w:p>
    <w:p>
      <w:pPr>
        <w:pStyle w:val="BodyText"/>
        <w:spacing w:line="232" w:lineRule="auto" w:before="43"/>
        <w:ind w:right="287"/>
        <w:jc w:val="both"/>
      </w:pPr>
      <w:r>
        <w:rPr>
          <w:spacing w:val="-6"/>
          <w:w w:val="100"/>
        </w:rPr>
        <w:t>厂房建设代建合同》，根据合同约定泰豪电源负责融资并代建，沈阳电机按约定期限支付代建费用</w:t>
      </w:r>
      <w:r>
        <w:rPr>
          <w:w w:val="100"/>
        </w:rPr>
        <w:t> </w:t>
      </w:r>
      <w:r>
        <w:rPr>
          <w:spacing w:val="-1"/>
        </w:rPr>
        <w:t>及工程款，泰豪电源在本项目的收益由项目施工利润、项目工程投资收益、项目管理代建收益以</w:t>
      </w:r>
      <w:r>
        <w:rPr>
          <w:spacing w:val="-55"/>
        </w:rPr>
        <w:t> </w:t>
      </w:r>
      <w:r>
        <w:rPr>
          <w:spacing w:val="-55"/>
        </w:rPr>
      </w:r>
      <w:r>
        <w:rPr>
          <w:spacing w:val="-1"/>
        </w:rPr>
        <w:t>及代垫资金收益构成。项目代垫资金收益构成。其中：①项目施工利润，相关定价参照行业市场</w:t>
      </w:r>
      <w:r>
        <w:rPr>
          <w:spacing w:val="-55"/>
        </w:rPr>
        <w:t> </w:t>
      </w:r>
      <w:r>
        <w:rPr>
          <w:spacing w:val="-55"/>
        </w:rPr>
      </w:r>
      <w:r>
        <w:rPr/>
        <w:t>价格确定；②项目工程投资收益：按照经第三方审计单位审定的建安工程费的</w:t>
      </w:r>
      <w:r>
        <w:rPr>
          <w:spacing w:val="46"/>
        </w:rPr>
        <w:t> </w:t>
      </w:r>
      <w:r>
        <w:rPr>
          <w:rFonts w:ascii="Times New Roman" w:hAnsi="Times New Roman" w:cs="Times New Roman" w:eastAsia="Times New Roman" w:hint="default"/>
        </w:rPr>
        <w:t>2%</w:t>
      </w:r>
      <w:r>
        <w:rPr/>
        <w:t>计取；③项目</w:t>
      </w:r>
      <w:r>
        <w:rPr>
          <w:spacing w:val="-102"/>
        </w:rPr>
        <w:t> </w:t>
      </w:r>
      <w:r>
        <w:rPr/>
        <w:t>管理代建收益：按照经第三方审计单位审定的建安工程费的 </w:t>
      </w:r>
      <w:r>
        <w:rPr>
          <w:rFonts w:ascii="Times New Roman" w:hAnsi="Times New Roman" w:cs="Times New Roman" w:eastAsia="Times New Roman" w:hint="default"/>
        </w:rPr>
        <w:t>4%</w:t>
      </w:r>
      <w:r>
        <w:rPr/>
        <w:t>计取；</w:t>
      </w:r>
      <w:r>
        <w:rPr>
          <w:spacing w:val="-64"/>
        </w:rPr>
        <w:t> </w:t>
      </w:r>
      <w:r>
        <w:rPr/>
        <w:t>④代垫资金收益：按同期</w:t>
      </w:r>
      <w:r>
        <w:rPr>
          <w:w w:val="100"/>
        </w:rPr>
        <w:t> </w:t>
      </w:r>
      <w:r>
        <w:rPr/>
        <w:t>人民银行贷款基准利率上浮</w:t>
      </w:r>
      <w:r>
        <w:rPr>
          <w:spacing w:val="-56"/>
        </w:rPr>
        <w:t> </w:t>
      </w:r>
      <w:r>
        <w:rPr>
          <w:rFonts w:ascii="Times New Roman" w:hAnsi="Times New Roman" w:cs="Times New Roman" w:eastAsia="Times New Roman" w:hint="default"/>
        </w:rPr>
        <w:t>30%</w:t>
      </w:r>
      <w:r>
        <w:rPr/>
        <w:t>计取财务费用。</w:t>
      </w:r>
    </w:p>
    <w:p>
      <w:pPr>
        <w:pStyle w:val="BodyText"/>
        <w:spacing w:line="264" w:lineRule="exact"/>
        <w:ind w:left="558" w:right="0"/>
        <w:jc w:val="left"/>
        <w:rPr>
          <w:rFonts w:ascii="Times New Roman" w:hAnsi="Times New Roman" w:cs="Times New Roman" w:eastAsia="Times New Roman" w:hint="default"/>
        </w:rPr>
      </w:pPr>
      <w:r>
        <w:rPr>
          <w:spacing w:val="-3"/>
        </w:rPr>
        <w:t>代建款项的回收方式：沈阳电机自工程交工验收合格之日起每年第一季度按照投资总额的</w:t>
      </w:r>
      <w:r>
        <w:rPr>
          <w:spacing w:val="22"/>
        </w:rPr>
        <w:t> </w:t>
      </w:r>
      <w:r>
        <w:rPr>
          <w:rFonts w:ascii="Times New Roman" w:hAnsi="Times New Roman" w:cs="Times New Roman" w:eastAsia="Times New Roman" w:hint="default"/>
          <w:spacing w:val="-3"/>
        </w:rPr>
        <w:t>20%</w:t>
      </w:r>
      <w:r>
        <w:rPr>
          <w:rFonts w:ascii="Times New Roman" w:hAnsi="Times New Roman" w:cs="Times New Roman" w:eastAsia="Times New Roman" w:hint="default"/>
        </w:rPr>
      </w:r>
    </w:p>
    <w:p>
      <w:pPr>
        <w:pStyle w:val="BodyText"/>
        <w:spacing w:line="272" w:lineRule="exact"/>
        <w:ind w:right="0"/>
        <w:jc w:val="both"/>
      </w:pPr>
      <w:r>
        <w:rPr/>
        <w:t>支付给乙方</w:t>
      </w:r>
      <w:r>
        <w:rPr>
          <w:rFonts w:ascii="Times New Roman" w:hAnsi="Times New Roman" w:cs="Times New Roman" w:eastAsia="Times New Roman" w:hint="default"/>
        </w:rPr>
        <w:t>(</w:t>
      </w:r>
      <w:r>
        <w:rPr/>
        <w:t>其中利息每年支付一次</w:t>
      </w:r>
      <w:r>
        <w:rPr>
          <w:rFonts w:ascii="Times New Roman" w:hAnsi="Times New Roman" w:cs="Times New Roman" w:eastAsia="Times New Roman" w:hint="default"/>
        </w:rPr>
        <w:t>)</w:t>
      </w:r>
      <w:r>
        <w:rPr/>
        <w:t>。</w:t>
      </w:r>
    </w:p>
    <w:p>
      <w:pPr>
        <w:pStyle w:val="BodyText"/>
        <w:spacing w:line="274" w:lineRule="exact" w:before="16"/>
        <w:ind w:right="210" w:firstLine="419"/>
        <w:jc w:val="left"/>
      </w:pPr>
      <w:r>
        <w:rPr>
          <w:rFonts w:ascii="Times New Roman" w:hAnsi="Times New Roman" w:cs="Times New Roman" w:eastAsia="Times New Roman" w:hint="default"/>
        </w:rPr>
        <w:t>360</w:t>
      </w:r>
      <w:r>
        <w:rPr>
          <w:rFonts w:ascii="Times New Roman" w:hAnsi="Times New Roman" w:cs="Times New Roman" w:eastAsia="Times New Roman" w:hint="default"/>
          <w:spacing w:val="5"/>
        </w:rPr>
        <w:t> </w:t>
      </w:r>
      <w:r>
        <w:rPr>
          <w:spacing w:val="-4"/>
        </w:rPr>
        <w:t>日内，支付投资款总额的</w:t>
      </w:r>
      <w:r>
        <w:rPr>
          <w:spacing w:val="-47"/>
        </w:rPr>
        <w:t> </w:t>
      </w:r>
      <w:r>
        <w:rPr>
          <w:rFonts w:ascii="Times New Roman" w:hAnsi="Times New Roman" w:cs="Times New Roman" w:eastAsia="Times New Roman" w:hint="default"/>
          <w:spacing w:val="-5"/>
        </w:rPr>
        <w:t>25%</w:t>
      </w:r>
      <w:r>
        <w:rPr>
          <w:spacing w:val="-5"/>
        </w:rPr>
        <w:t>；</w:t>
      </w:r>
      <w:r>
        <w:rPr>
          <w:rFonts w:ascii="Times New Roman" w:hAnsi="Times New Roman" w:cs="Times New Roman" w:eastAsia="Times New Roman" w:hint="default"/>
          <w:spacing w:val="-5"/>
        </w:rPr>
        <w:t>540</w:t>
      </w:r>
      <w:r>
        <w:rPr>
          <w:rFonts w:ascii="Times New Roman" w:hAnsi="Times New Roman" w:cs="Times New Roman" w:eastAsia="Times New Roman" w:hint="default"/>
          <w:spacing w:val="5"/>
        </w:rPr>
        <w:t> </w:t>
      </w:r>
      <w:r>
        <w:rPr/>
        <w:t>日内支付投资款总额的</w:t>
      </w:r>
      <w:r>
        <w:rPr>
          <w:spacing w:val="-48"/>
        </w:rPr>
        <w:t> </w:t>
      </w:r>
      <w:r>
        <w:rPr>
          <w:rFonts w:ascii="Times New Roman" w:hAnsi="Times New Roman" w:cs="Times New Roman" w:eastAsia="Times New Roman" w:hint="default"/>
          <w:spacing w:val="-5"/>
        </w:rPr>
        <w:t>75%</w:t>
      </w:r>
      <w:r>
        <w:rPr>
          <w:spacing w:val="-5"/>
        </w:rPr>
        <w:t>；</w:t>
      </w:r>
      <w:r>
        <w:rPr>
          <w:rFonts w:ascii="Times New Roman" w:hAnsi="Times New Roman" w:cs="Times New Roman" w:eastAsia="Times New Roman" w:hint="default"/>
          <w:spacing w:val="-5"/>
        </w:rPr>
        <w:t>720</w:t>
      </w:r>
      <w:r>
        <w:rPr>
          <w:rFonts w:ascii="Times New Roman" w:hAnsi="Times New Roman" w:cs="Times New Roman" w:eastAsia="Times New Roman" w:hint="default"/>
          <w:spacing w:val="5"/>
        </w:rPr>
        <w:t> </w:t>
      </w:r>
      <w:r>
        <w:rPr/>
        <w:t>日内支付投资款总</w:t>
      </w:r>
      <w:r>
        <w:rPr>
          <w:w w:val="100"/>
        </w:rPr>
        <w:t> 额</w:t>
      </w:r>
      <w:r>
        <w:rPr>
          <w:spacing w:val="-43"/>
          <w:w w:val="100"/>
        </w:rPr>
        <w:t> </w:t>
      </w:r>
      <w:r>
        <w:rPr>
          <w:rFonts w:ascii="Times New Roman" w:hAnsi="Times New Roman" w:cs="Times New Roman" w:eastAsia="Times New Roman" w:hint="default"/>
          <w:spacing w:val="-8"/>
          <w:w w:val="100"/>
        </w:rPr>
        <w:t>100%</w:t>
      </w:r>
      <w:r>
        <w:rPr>
          <w:spacing w:val="-8"/>
          <w:w w:val="100"/>
        </w:rPr>
        <w:t>（其中利息每年支付一次）。</w:t>
      </w:r>
    </w:p>
    <w:p>
      <w:pPr>
        <w:pStyle w:val="BodyText"/>
        <w:spacing w:line="253" w:lineRule="exact"/>
        <w:ind w:left="558" w:right="0"/>
        <w:jc w:val="left"/>
      </w:pPr>
      <w:r>
        <w:rPr/>
        <w:t>本项目总投资额暂定 </w:t>
      </w:r>
      <w:r>
        <w:rPr>
          <w:rFonts w:ascii="Times New Roman" w:hAnsi="Times New Roman" w:cs="Times New Roman" w:eastAsia="Times New Roman" w:hint="default"/>
        </w:rPr>
        <w:t>6,000</w:t>
      </w:r>
      <w:r>
        <w:rPr>
          <w:rFonts w:ascii="Times New Roman" w:hAnsi="Times New Roman" w:cs="Times New Roman" w:eastAsia="Times New Roman" w:hint="default"/>
          <w:spacing w:val="4"/>
        </w:rPr>
        <w:t> </w:t>
      </w:r>
      <w:r>
        <w:rPr/>
        <w:t>万元，实际金额按照最终决算为准，泰豪集团为沈阳电机上述付</w:t>
      </w:r>
    </w:p>
    <w:p>
      <w:pPr>
        <w:pStyle w:val="BodyText"/>
        <w:spacing w:line="273" w:lineRule="exact"/>
        <w:ind w:right="0"/>
        <w:jc w:val="both"/>
      </w:pPr>
      <w:r>
        <w:rPr/>
        <w:t>款义务提供连带责任担保。截至审计报告日，公司已累计支付项目代建款 </w:t>
      </w:r>
      <w:r>
        <w:rPr>
          <w:rFonts w:ascii="Times New Roman" w:hAnsi="Times New Roman" w:cs="Times New Roman" w:eastAsia="Times New Roman" w:hint="default"/>
        </w:rPr>
        <w:t>4,630</w:t>
      </w:r>
      <w:r>
        <w:rPr>
          <w:rFonts w:ascii="Times New Roman" w:hAnsi="Times New Roman" w:cs="Times New Roman" w:eastAsia="Times New Roman" w:hint="default"/>
          <w:spacing w:val="4"/>
        </w:rPr>
        <w:t> </w:t>
      </w:r>
      <w:r>
        <w:rPr/>
        <w:t>万元，支付履约</w:t>
      </w:r>
    </w:p>
    <w:p>
      <w:pPr>
        <w:pStyle w:val="BodyText"/>
        <w:spacing w:line="273" w:lineRule="exact"/>
        <w:ind w:right="0"/>
        <w:jc w:val="both"/>
      </w:pPr>
      <w:r>
        <w:rPr/>
        <w:t>保证金</w:t>
      </w:r>
      <w:r>
        <w:rPr>
          <w:spacing w:val="-52"/>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w:t>
      </w:r>
    </w:p>
    <w:p>
      <w:pPr>
        <w:pStyle w:val="BodyText"/>
        <w:spacing w:line="272" w:lineRule="exact" w:before="19"/>
        <w:ind w:left="558" w:right="0"/>
        <w:jc w:val="left"/>
      </w:pPr>
      <w:r>
        <w:rPr/>
        <w:t>（</w:t>
      </w:r>
      <w:r>
        <w:rPr>
          <w:rFonts w:ascii="Times New Roman" w:hAnsi="Times New Roman" w:cs="Times New Roman" w:eastAsia="Times New Roman" w:hint="default"/>
        </w:rPr>
        <w:t>4</w:t>
      </w:r>
      <w:r>
        <w:rPr/>
        <w:t>）转让江西泰豪科技进出口有限公司股权事项</w:t>
      </w:r>
      <w:r>
        <w:rPr>
          <w:w w:val="100"/>
        </w:rPr>
        <w:t> </w:t>
      </w:r>
      <w:r>
        <w:rPr>
          <w:spacing w:val="-7"/>
          <w:w w:val="100"/>
        </w:rPr>
        <w:t>公司与泰豪园区投资有限公司签订《江西泰豪科技进出口有限公司股权转让协议》，将全资子</w:t>
      </w:r>
    </w:p>
    <w:p>
      <w:pPr>
        <w:pStyle w:val="BodyText"/>
        <w:spacing w:line="272" w:lineRule="exact" w:before="1"/>
        <w:ind w:right="288"/>
        <w:jc w:val="both"/>
      </w:pPr>
      <w:r>
        <w:rPr/>
        <w:t>公司江西泰豪科技进出口有限公司</w:t>
      </w:r>
      <w:r>
        <w:rPr>
          <w:spacing w:val="46"/>
        </w:rPr>
        <w:t> </w:t>
      </w:r>
      <w:r>
        <w:rPr>
          <w:rFonts w:ascii="Times New Roman" w:hAnsi="Times New Roman" w:cs="Times New Roman" w:eastAsia="Times New Roman" w:hint="default"/>
        </w:rPr>
        <w:t>100%</w:t>
      </w:r>
      <w:r>
        <w:rPr/>
        <w:t>股权转让给泰豪园区投资有限公司，经中铭国际资产评</w:t>
      </w:r>
      <w:r>
        <w:rPr>
          <w:spacing w:val="-102"/>
        </w:rPr>
        <w:t> </w:t>
      </w:r>
      <w:r>
        <w:rPr>
          <w:spacing w:val="-102"/>
        </w:rPr>
      </w:r>
      <w:r>
        <w:rPr>
          <w:spacing w:val="-1"/>
        </w:rPr>
        <w:t>估（北京）有限责任公司评估公司出具的《泰豪科技股份有限公司拟对外转让所持有的江西泰豪</w:t>
      </w:r>
    </w:p>
    <w:p>
      <w:pPr>
        <w:pStyle w:val="BodyText"/>
        <w:spacing w:line="272" w:lineRule="exact" w:before="1"/>
        <w:ind w:right="288"/>
        <w:jc w:val="both"/>
      </w:pPr>
      <w:r>
        <w:rPr>
          <w:spacing w:val="-1"/>
        </w:rPr>
        <w:t>科技进出口有限公司全部股权事宜涉及的江西泰豪科技进出口有限公司股东全部权益价值项目资</w:t>
      </w:r>
      <w:r>
        <w:rPr>
          <w:spacing w:val="-55"/>
        </w:rPr>
        <w:t> </w:t>
      </w:r>
      <w:r>
        <w:rPr>
          <w:spacing w:val="-55"/>
        </w:rPr>
      </w:r>
      <w:r>
        <w:rPr>
          <w:spacing w:val="-7"/>
          <w:w w:val="100"/>
        </w:rPr>
        <w:t>产评估报告书》（中铭评报字</w:t>
      </w:r>
      <w:r>
        <w:rPr>
          <w:rFonts w:ascii="Times New Roman" w:hAnsi="Times New Roman" w:cs="Times New Roman" w:eastAsia="Times New Roman" w:hint="default"/>
          <w:spacing w:val="-7"/>
          <w:w w:val="100"/>
        </w:rPr>
        <w:t>[2017]</w:t>
      </w:r>
      <w:r>
        <w:rPr>
          <w:spacing w:val="-7"/>
          <w:w w:val="100"/>
        </w:rPr>
        <w:t>第</w:t>
      </w:r>
      <w:r>
        <w:rPr>
          <w:spacing w:val="2"/>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spacing w:val="-2"/>
          <w:w w:val="100"/>
        </w:rPr>
        <w:t>号，评估基准日为</w:t>
      </w:r>
      <w:r>
        <w:rPr>
          <w:spacing w:val="-53"/>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1"/>
          <w:w w:val="100"/>
        </w:rPr>
        <w:t> </w:t>
      </w:r>
      <w:r>
        <w:rPr>
          <w:spacing w:val="-16"/>
          <w:w w:val="100"/>
        </w:rPr>
        <w:t>日），进出口公司</w:t>
      </w:r>
    </w:p>
    <w:p>
      <w:pPr>
        <w:pStyle w:val="BodyText"/>
        <w:spacing w:line="254" w:lineRule="exact"/>
        <w:ind w:right="0"/>
        <w:jc w:val="both"/>
      </w:pPr>
      <w:r>
        <w:rPr/>
        <w:t>全部股东全部权益价值 </w:t>
      </w:r>
      <w:r>
        <w:rPr>
          <w:rFonts w:ascii="Times New Roman" w:hAnsi="Times New Roman" w:cs="Times New Roman" w:eastAsia="Times New Roman" w:hint="default"/>
        </w:rPr>
        <w:t>16,260.15 </w:t>
      </w:r>
      <w:r>
        <w:rPr>
          <w:rFonts w:ascii="Times New Roman" w:hAnsi="Times New Roman" w:cs="Times New Roman" w:eastAsia="Times New Roman" w:hint="default"/>
          <w:spacing w:val="8"/>
        </w:rPr>
        <w:t> </w:t>
      </w:r>
      <w:r>
        <w:rPr/>
        <w:t>万元，经双方参考股东权益评估值并协商确定股权转让价为人</w:t>
      </w:r>
    </w:p>
    <w:p>
      <w:pPr>
        <w:pStyle w:val="BodyText"/>
        <w:spacing w:line="282" w:lineRule="exact"/>
        <w:ind w:right="0"/>
        <w:jc w:val="both"/>
      </w:pPr>
      <w:r>
        <w:rPr/>
        <w:t>民币</w:t>
      </w:r>
      <w:r>
        <w:rPr>
          <w:spacing w:val="-54"/>
        </w:rPr>
        <w:t> </w:t>
      </w:r>
      <w:r>
        <w:rPr>
          <w:rFonts w:ascii="Times New Roman" w:hAnsi="Times New Roman" w:cs="Times New Roman" w:eastAsia="Times New Roman" w:hint="default"/>
        </w:rPr>
        <w:t>16,300</w:t>
      </w:r>
      <w:r>
        <w:rPr>
          <w:rFonts w:ascii="Times New Roman" w:hAnsi="Times New Roman" w:cs="Times New Roman" w:eastAsia="Times New Roman" w:hint="default"/>
          <w:spacing w:val="-1"/>
        </w:rPr>
        <w:t> </w:t>
      </w:r>
      <w:r>
        <w:rPr/>
        <w:t>万元，于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日完成股权交割。</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660" w:right="980"/>
        </w:sectPr>
      </w:pPr>
    </w:p>
    <w:p>
      <w:pPr>
        <w:pStyle w:val="Heading2"/>
        <w:spacing w:line="290" w:lineRule="auto"/>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884" w:val="left" w:leader="none"/>
        </w:tabs>
        <w:spacing w:line="240" w:lineRule="auto" w:before="12"/>
        <w:ind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980"/>
          <w:cols w:num="2" w:equalWidth="0">
            <w:col w:w="2464" w:space="4362"/>
            <w:col w:w="2444"/>
          </w:cols>
        </w:sectPr>
      </w:pPr>
    </w:p>
    <w:tbl>
      <w:tblPr>
        <w:tblW w:w="0" w:type="auto"/>
        <w:jc w:val="left"/>
        <w:tblInd w:w="102" w:type="dxa"/>
        <w:tblLayout w:type="fixed"/>
        <w:tblCellMar>
          <w:top w:w="0" w:type="dxa"/>
          <w:left w:w="0" w:type="dxa"/>
          <w:bottom w:w="0" w:type="dxa"/>
          <w:right w:w="0" w:type="dxa"/>
        </w:tblCellMar>
        <w:tblLook w:val="01E0"/>
      </w:tblPr>
      <w:tblGrid>
        <w:gridCol w:w="1106"/>
        <w:gridCol w:w="2619"/>
        <w:gridCol w:w="1366"/>
        <w:gridCol w:w="1267"/>
        <w:gridCol w:w="1373"/>
        <w:gridCol w:w="1164"/>
      </w:tblGrid>
      <w:tr>
        <w:trPr>
          <w:trHeight w:val="283" w:hRule="exact"/>
        </w:trPr>
        <w:tc>
          <w:tcPr>
            <w:tcW w:w="1106" w:type="dxa"/>
            <w:vMerge w:val="restart"/>
            <w:tcBorders>
              <w:top w:val="single" w:sz="4" w:space="0" w:color="000000"/>
              <w:left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619"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106" w:type="dxa"/>
            <w:vMerge/>
            <w:tcBorders>
              <w:left w:val="single" w:sz="4" w:space="0" w:color="000000"/>
              <w:bottom w:val="single" w:sz="4" w:space="0" w:color="000000"/>
              <w:right w:val="single" w:sz="4" w:space="0" w:color="000000"/>
            </w:tcBorders>
          </w:tcPr>
          <w:p>
            <w:pPr/>
          </w:p>
        </w:tc>
        <w:tc>
          <w:tcPr>
            <w:tcW w:w="2619"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3,481,246.00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69,624.92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36,400.00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728</w:t>
            </w: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吉林博泰节能技术有限公司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2"/>
                <w:sz w:val="21"/>
              </w:rPr>
              <w:t>3,396,112.00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67,922.24</w:t>
            </w:r>
          </w:p>
        </w:tc>
      </w:tr>
      <w:tr>
        <w:trPr>
          <w:trHeight w:val="281"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北京泰豪智能工程有限公司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1,442,236.96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68,514.71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1,357,324.66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27,146.49</w:t>
            </w:r>
          </w:p>
        </w:tc>
      </w:tr>
      <w:tr>
        <w:trPr>
          <w:trHeight w:val="55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贵州泰豪文创置业发展有限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1,117,114.25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53,875.91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4,386,010.20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145,555.72</w:t>
            </w: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1,100,200.00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22,004.00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988,850.00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19,777.00</w:t>
            </w:r>
          </w:p>
        </w:tc>
      </w:tr>
      <w:tr>
        <w:trPr>
          <w:trHeight w:val="555"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同方（哈尔滨）水务有限公</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674,404.05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539,523.24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674,404.05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269,761.62</w:t>
            </w:r>
          </w:p>
        </w:tc>
      </w:tr>
      <w:tr>
        <w:trPr>
          <w:trHeight w:val="55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江西大麦互娱科技股份有限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587,207.48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58,720.75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587,207.48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11,744.15</w:t>
            </w: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568,023.55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11,360.47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2,045,000.00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40,900.00</w:t>
            </w:r>
          </w:p>
        </w:tc>
      </w:tr>
      <w:tr>
        <w:trPr>
          <w:trHeight w:val="281"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405,149.00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40,514.90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405,149.00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8,102.98</w:t>
            </w:r>
          </w:p>
        </w:tc>
      </w:tr>
      <w:tr>
        <w:trPr>
          <w:trHeight w:val="557"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江西泰豪紫荆公寓建设服务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231,691.00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4,633.82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5,272,142.30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105,442.85</w:t>
            </w:r>
          </w:p>
        </w:tc>
      </w:tr>
      <w:tr>
        <w:trPr>
          <w:trHeight w:val="281"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Times New Roman" w:hAnsi="Times New Roman" w:cs="Times New Roman" w:eastAsia="Times New Roman" w:hint="default"/>
                <w:sz w:val="21"/>
                <w:szCs w:val="21"/>
              </w:rPr>
              <w:t>ABB</w:t>
            </w:r>
            <w:r>
              <w:rPr>
                <w:rFonts w:ascii="宋体" w:hAnsi="宋体" w:cs="宋体" w:eastAsia="宋体" w:hint="default"/>
                <w:sz w:val="21"/>
                <w:szCs w:val="21"/>
              </w:rPr>
              <w:t>发电机有限公司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224,100.00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176,364.00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816,477.74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100,029.55</w:t>
            </w:r>
          </w:p>
        </w:tc>
      </w:tr>
      <w:tr>
        <w:trPr>
          <w:trHeight w:val="55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上海信业智能科技股份有限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197,100.00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3,942.00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赣资泰豪（上海）股权投资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190,084.86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3,801.70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长春泰豪房地产置业有限公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2"/>
                <w:sz w:val="21"/>
              </w:rPr>
              <w:t>112,260.69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10,759.21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pacing w:val="-1"/>
                <w:sz w:val="21"/>
              </w:rPr>
              <w:t>380,000.00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38,000.00</w:t>
            </w:r>
          </w:p>
        </w:tc>
      </w:tr>
    </w:tbl>
    <w:p>
      <w:pPr>
        <w:spacing w:after="0" w:line="238" w:lineRule="exact"/>
        <w:jc w:val="right"/>
        <w:rPr>
          <w:rFonts w:ascii="Times New Roman" w:hAnsi="Times New Roman" w:cs="Times New Roman" w:eastAsia="Times New Roman" w:hint="default"/>
          <w:sz w:val="21"/>
          <w:szCs w:val="21"/>
        </w:rPr>
        <w:sectPr>
          <w:type w:val="continuous"/>
          <w:pgSz w:w="11910" w:h="16840"/>
          <w:pgMar w:top="1120" w:bottom="1380" w:left="166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106"/>
        <w:gridCol w:w="2619"/>
        <w:gridCol w:w="1366"/>
        <w:gridCol w:w="1267"/>
        <w:gridCol w:w="1373"/>
        <w:gridCol w:w="1164"/>
      </w:tblGrid>
      <w:tr>
        <w:trPr>
          <w:trHeight w:val="557"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泰豪（上海）股权投资管理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Times New Roman" w:hAnsi="Times New Roman" w:cs="Times New Roman" w:eastAsia="Times New Roman" w:hint="default"/>
                <w:sz w:val="21"/>
                <w:szCs w:val="21"/>
              </w:rPr>
            </w:pPr>
            <w:r>
              <w:rPr>
                <w:rFonts w:ascii="Times New Roman"/>
                <w:spacing w:val="-1"/>
                <w:sz w:val="21"/>
              </w:rPr>
              <w:t>47,521.22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sz w:val="21"/>
              </w:rPr>
              <w:t>950.42</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25,153.87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2,515.39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549,087.70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106,537.32</w:t>
            </w:r>
          </w:p>
        </w:tc>
      </w:tr>
      <w:tr>
        <w:trPr>
          <w:trHeight w:val="281"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40,107.70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16,043.08</w:t>
            </w: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21,258,090.00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3,992,302.80</w:t>
            </w: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977,499.99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97,750.00</w:t>
            </w:r>
          </w:p>
        </w:tc>
      </w:tr>
      <w:tr>
        <w:trPr>
          <w:trHeight w:val="281"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江西笛卡传媒有限公司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400</w:t>
            </w: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7,659.00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153.18</w:t>
            </w:r>
          </w:p>
        </w:tc>
      </w:tr>
      <w:tr>
        <w:trPr>
          <w:trHeight w:val="55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8"/>
                <w:sz w:val="21"/>
                <w:szCs w:val="21"/>
              </w:rPr>
              <w:t> </w:t>
            </w:r>
            <w:r>
              <w:rPr>
                <w:rFonts w:ascii="宋体" w:hAnsi="宋体" w:cs="宋体" w:eastAsia="宋体" w:hint="default"/>
                <w:sz w:val="21"/>
                <w:szCs w:val="21"/>
              </w:rPr>
              <w:t>他</w:t>
            </w:r>
            <w:r>
              <w:rPr>
                <w:rFonts w:ascii="宋体" w:hAnsi="宋体" w:cs="宋体" w:eastAsia="宋体" w:hint="default"/>
                <w:spacing w:val="-38"/>
                <w:sz w:val="21"/>
                <w:szCs w:val="21"/>
              </w:rPr>
              <w:t> </w:t>
            </w:r>
            <w:r>
              <w:rPr>
                <w:rFonts w:ascii="宋体" w:hAnsi="宋体" w:cs="宋体" w:eastAsia="宋体" w:hint="default"/>
                <w:sz w:val="21"/>
                <w:szCs w:val="21"/>
              </w:rPr>
              <w:t>应</w:t>
            </w:r>
            <w:r>
              <w:rPr>
                <w:rFonts w:ascii="宋体" w:hAnsi="宋体" w:cs="宋体" w:eastAsia="宋体" w:hint="default"/>
                <w:spacing w:val="-35"/>
                <w:sz w:val="21"/>
                <w:szCs w:val="21"/>
              </w:rPr>
              <w:t> </w:t>
            </w:r>
            <w:r>
              <w:rPr>
                <w:rFonts w:ascii="宋体" w:hAnsi="宋体" w:cs="宋体" w:eastAsia="宋体" w:hint="default"/>
                <w:sz w:val="21"/>
                <w:szCs w:val="21"/>
              </w:rPr>
              <w:t>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泰豪园区投资有限公司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81,500,000.00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1,630,000.00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53,522,550.00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1,070,451.00</w:t>
            </w:r>
          </w:p>
        </w:tc>
      </w:tr>
      <w:tr>
        <w:trPr>
          <w:trHeight w:val="555"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8"/>
                <w:sz w:val="21"/>
                <w:szCs w:val="21"/>
              </w:rPr>
              <w:t> </w:t>
            </w:r>
            <w:r>
              <w:rPr>
                <w:rFonts w:ascii="宋体" w:hAnsi="宋体" w:cs="宋体" w:eastAsia="宋体" w:hint="default"/>
                <w:sz w:val="21"/>
                <w:szCs w:val="21"/>
              </w:rPr>
              <w:t>他</w:t>
            </w:r>
            <w:r>
              <w:rPr>
                <w:rFonts w:ascii="宋体" w:hAnsi="宋体" w:cs="宋体" w:eastAsia="宋体" w:hint="default"/>
                <w:spacing w:val="-38"/>
                <w:sz w:val="21"/>
                <w:szCs w:val="21"/>
              </w:rPr>
              <w:t> </w:t>
            </w:r>
            <w:r>
              <w:rPr>
                <w:rFonts w:ascii="宋体" w:hAnsi="宋体" w:cs="宋体" w:eastAsia="宋体" w:hint="default"/>
                <w:sz w:val="21"/>
                <w:szCs w:val="21"/>
              </w:rPr>
              <w:t>应</w:t>
            </w:r>
            <w:r>
              <w:rPr>
                <w:rFonts w:ascii="宋体" w:hAnsi="宋体" w:cs="宋体" w:eastAsia="宋体" w:hint="default"/>
                <w:spacing w:val="-35"/>
                <w:sz w:val="21"/>
                <w:szCs w:val="21"/>
              </w:rPr>
              <w:t> </w:t>
            </w:r>
            <w:r>
              <w:rPr>
                <w:rFonts w:ascii="宋体" w:hAnsi="宋体" w:cs="宋体" w:eastAsia="宋体" w:hint="default"/>
                <w:sz w:val="21"/>
                <w:szCs w:val="21"/>
              </w:rPr>
              <w:t>收</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江西希望科技有限公司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70,394,119.35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6,928,693.16</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8"/>
                <w:sz w:val="21"/>
                <w:szCs w:val="21"/>
              </w:rPr>
              <w:t> </w:t>
            </w:r>
            <w:r>
              <w:rPr>
                <w:rFonts w:ascii="宋体" w:hAnsi="宋体" w:cs="宋体" w:eastAsia="宋体" w:hint="default"/>
                <w:sz w:val="21"/>
                <w:szCs w:val="21"/>
              </w:rPr>
              <w:t>他</w:t>
            </w:r>
            <w:r>
              <w:rPr>
                <w:rFonts w:ascii="宋体" w:hAnsi="宋体" w:cs="宋体" w:eastAsia="宋体" w:hint="default"/>
                <w:spacing w:val="-38"/>
                <w:sz w:val="21"/>
                <w:szCs w:val="21"/>
              </w:rPr>
              <w:t> </w:t>
            </w:r>
            <w:r>
              <w:rPr>
                <w:rFonts w:ascii="宋体" w:hAnsi="宋体" w:cs="宋体" w:eastAsia="宋体" w:hint="default"/>
                <w:sz w:val="21"/>
                <w:szCs w:val="21"/>
              </w:rPr>
              <w:t>应</w:t>
            </w:r>
            <w:r>
              <w:rPr>
                <w:rFonts w:ascii="宋体" w:hAnsi="宋体" w:cs="宋体" w:eastAsia="宋体" w:hint="default"/>
                <w:spacing w:val="-35"/>
                <w:sz w:val="21"/>
                <w:szCs w:val="21"/>
              </w:rPr>
              <w:t> </w:t>
            </w:r>
            <w:r>
              <w:rPr>
                <w:rFonts w:ascii="宋体" w:hAnsi="宋体" w:cs="宋体" w:eastAsia="宋体" w:hint="default"/>
                <w:sz w:val="21"/>
                <w:szCs w:val="21"/>
              </w:rPr>
              <w:t>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吉林博泰节能技术有限公司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70,183,859.76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6,678,353.98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2"/>
                <w:sz w:val="21"/>
              </w:rPr>
              <w:t>87,117,723.26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1,742,354.47</w:t>
            </w:r>
          </w:p>
        </w:tc>
      </w:tr>
      <w:tr>
        <w:trPr>
          <w:trHeight w:val="55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8"/>
                <w:sz w:val="21"/>
                <w:szCs w:val="21"/>
              </w:rPr>
              <w:t> </w:t>
            </w:r>
            <w:r>
              <w:rPr>
                <w:rFonts w:ascii="宋体" w:hAnsi="宋体" w:cs="宋体" w:eastAsia="宋体" w:hint="default"/>
                <w:sz w:val="21"/>
                <w:szCs w:val="21"/>
              </w:rPr>
              <w:t>他</w:t>
            </w:r>
            <w:r>
              <w:rPr>
                <w:rFonts w:ascii="宋体" w:hAnsi="宋体" w:cs="宋体" w:eastAsia="宋体" w:hint="default"/>
                <w:spacing w:val="-38"/>
                <w:sz w:val="21"/>
                <w:szCs w:val="21"/>
              </w:rPr>
              <w:t> </w:t>
            </w:r>
            <w:r>
              <w:rPr>
                <w:rFonts w:ascii="宋体" w:hAnsi="宋体" w:cs="宋体" w:eastAsia="宋体" w:hint="default"/>
                <w:sz w:val="21"/>
                <w:szCs w:val="21"/>
              </w:rPr>
              <w:t>应</w:t>
            </w:r>
            <w:r>
              <w:rPr>
                <w:rFonts w:ascii="宋体" w:hAnsi="宋体" w:cs="宋体" w:eastAsia="宋体" w:hint="default"/>
                <w:spacing w:val="-35"/>
                <w:sz w:val="21"/>
                <w:szCs w:val="21"/>
              </w:rPr>
              <w:t> </w:t>
            </w:r>
            <w:r>
              <w:rPr>
                <w:rFonts w:ascii="宋体" w:hAnsi="宋体" w:cs="宋体" w:eastAsia="宋体" w:hint="default"/>
                <w:sz w:val="21"/>
                <w:szCs w:val="21"/>
              </w:rPr>
              <w:t>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463,974.00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463,974.00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250,000.00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193,365.38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373,440.83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1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256,388,811.42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20,604,152.58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204,925,209.91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9,861,102.45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120"/>
        </w:sectPr>
      </w:pPr>
    </w:p>
    <w:p>
      <w:pPr>
        <w:pStyle w:val="Heading2"/>
        <w:spacing w:line="240" w:lineRule="auto"/>
        <w:ind w:right="-14"/>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884" w:val="left" w:leader="none"/>
        </w:tabs>
        <w:spacing w:line="240" w:lineRule="auto" w:before="58"/>
        <w:ind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03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1120"/>
          <w:cols w:num="2" w:equalWidth="0">
            <w:col w:w="1643" w:space="5183"/>
            <w:col w:w="2304"/>
          </w:cols>
        </w:sectPr>
      </w:pPr>
    </w:p>
    <w:tbl>
      <w:tblPr>
        <w:tblW w:w="0" w:type="auto"/>
        <w:jc w:val="left"/>
        <w:tblInd w:w="102" w:type="dxa"/>
        <w:tblLayout w:type="fixed"/>
        <w:tblCellMar>
          <w:top w:w="0" w:type="dxa"/>
          <w:left w:w="0" w:type="dxa"/>
          <w:bottom w:w="0" w:type="dxa"/>
          <w:right w:w="0" w:type="dxa"/>
        </w:tblCellMar>
        <w:tblLook w:val="01E0"/>
      </w:tblPr>
      <w:tblGrid>
        <w:gridCol w:w="1308"/>
        <w:gridCol w:w="2835"/>
        <w:gridCol w:w="2033"/>
        <w:gridCol w:w="2650"/>
      </w:tblGrid>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Times New Roman" w:hAnsi="Times New Roman" w:cs="Times New Roman" w:eastAsia="Times New Roman" w:hint="default"/>
                <w:sz w:val="21"/>
                <w:szCs w:val="21"/>
              </w:rPr>
              <w:t>ABB</w:t>
            </w:r>
            <w:r>
              <w:rPr>
                <w:rFonts w:ascii="宋体" w:hAnsi="宋体" w:cs="宋体" w:eastAsia="宋体" w:hint="default"/>
                <w:sz w:val="21"/>
                <w:szCs w:val="21"/>
              </w:rPr>
              <w:t>发电机有限公司</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5,277,719.04</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3,283,163.86</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12,449.31</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4,368,455.15</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174,899.18</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24,899.18</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5,981.07</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5,981.07</w:t>
            </w: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p>
        </w:tc>
        <w:tc>
          <w:tcPr>
            <w:tcW w:w="203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489,596.72</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79,560.00</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79,560.00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41,550.00</w:t>
            </w: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9,692.30</w:t>
            </w: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1,096.40</w:t>
            </w:r>
          </w:p>
        </w:tc>
        <w:tc>
          <w:tcPr>
            <w:tcW w:w="26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南昌泰豪文化创意产业园建设</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033"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5,602,947.30</w:t>
            </w:r>
            <w:r>
              <w:rPr>
                <w:rFonts w:ascii="Times New Roman"/>
                <w:sz w:val="21"/>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8,751,655.98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6"/>
        <w:ind w:right="0"/>
        <w:jc w:val="left"/>
      </w:pPr>
      <w:r>
        <w:rPr/>
        <w:t>□适用</w:t>
        <w:tab/>
        <w:t>√不适用</w:t>
      </w:r>
    </w:p>
    <w:p>
      <w:pPr>
        <w:spacing w:line="240" w:lineRule="auto" w:before="4"/>
        <w:rPr>
          <w:rFonts w:ascii="宋体" w:hAnsi="宋体" w:cs="宋体" w:eastAsia="宋体" w:hint="default"/>
          <w:sz w:val="22"/>
          <w:szCs w:val="22"/>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8"/>
        <w:ind w:right="0"/>
        <w:jc w:val="left"/>
      </w:pPr>
      <w:r>
        <w:rPr/>
        <w:t>□适用</w:t>
        <w:tab/>
        <w:t>√不适用</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60" w:right="1040"/>
        </w:sectPr>
      </w:pPr>
    </w:p>
    <w:p>
      <w:pPr>
        <w:pStyle w:val="Heading2"/>
        <w:tabs>
          <w:tab w:pos="1077" w:val="left" w:leader="none"/>
        </w:tabs>
        <w:spacing w:line="240" w:lineRule="auto"/>
        <w:ind w:left="238" w:right="-20"/>
        <w:jc w:val="left"/>
        <w:rPr>
          <w:b w:val="0"/>
          <w:bCs w:val="0"/>
        </w:rPr>
      </w:pPr>
      <w:r>
        <w:rPr/>
        <w:t>十三、</w:t>
        <w:tab/>
        <w:t>股份支付</w:t>
      </w:r>
      <w:r>
        <w:rPr>
          <w:b w:val="0"/>
          <w:bCs w:val="0"/>
        </w:rPr>
      </w:r>
    </w:p>
    <w:p>
      <w:pPr>
        <w:pStyle w:val="Heading2"/>
        <w:spacing w:line="240" w:lineRule="auto" w:before="58"/>
        <w:ind w:left="238"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3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单位：股</w:t>
        <w:tab/>
      </w:r>
      <w:r>
        <w:rPr>
          <w:spacing w:val="-2"/>
        </w:rPr>
        <w:t>币种：人民币</w:t>
      </w:r>
    </w:p>
    <w:p>
      <w:pPr>
        <w:spacing w:after="0" w:line="240" w:lineRule="auto"/>
        <w:jc w:val="left"/>
        <w:sectPr>
          <w:type w:val="continuous"/>
          <w:pgSz w:w="11910" w:h="16840"/>
          <w:pgMar w:top="1120" w:bottom="1380" w:left="1560" w:right="1040"/>
          <w:cols w:num="2" w:equalWidth="0">
            <w:col w:w="2353" w:space="416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29"/>
        <w:gridCol w:w="4295"/>
      </w:tblGrid>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17,500,000</w:t>
            </w:r>
          </w:p>
        </w:tc>
      </w:tr>
      <w:tr>
        <w:trPr>
          <w:trHeight w:val="283"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2,240,000</w:t>
            </w:r>
          </w:p>
        </w:tc>
      </w:tr>
      <w:tr>
        <w:trPr>
          <w:trHeight w:val="281"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2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公司期末发行在外的股票期权行权价格的范围</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和合同剩余期限</w:t>
            </w:r>
          </w:p>
        </w:tc>
        <w:tc>
          <w:tcPr>
            <w:tcW w:w="42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股权激励剩余 </w:t>
            </w:r>
            <w:r>
              <w:rPr>
                <w:rFonts w:ascii="Times New Roman" w:hAnsi="Times New Roman" w:cs="Times New Roman" w:eastAsia="Times New Roman" w:hint="default"/>
                <w:sz w:val="21"/>
                <w:szCs w:val="21"/>
              </w:rPr>
              <w:t>19,999,918.00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股，行权价格：</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年到期行权</w:t>
            </w:r>
          </w:p>
        </w:tc>
      </w:tr>
      <w:tr>
        <w:trPr>
          <w:trHeight w:val="557" w:hRule="exact"/>
        </w:trPr>
        <w:tc>
          <w:tcPr>
            <w:tcW w:w="4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公司期末发行在外的其他权益工具行权价格的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范围和合同剩余期限</w:t>
            </w:r>
          </w:p>
        </w:tc>
        <w:tc>
          <w:tcPr>
            <w:tcW w:w="42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40"/>
        </w:sectPr>
      </w:pPr>
    </w:p>
    <w:p>
      <w:pPr>
        <w:pStyle w:val="Heading2"/>
        <w:spacing w:line="240" w:lineRule="auto"/>
        <w:ind w:left="238"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2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193" w:space="3329"/>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01"/>
        <w:gridCol w:w="4448"/>
      </w:tblGrid>
      <w:tr>
        <w:trPr>
          <w:trHeight w:val="554" w:hRule="exact"/>
        </w:trPr>
        <w:tc>
          <w:tcPr>
            <w:tcW w:w="4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以授予日的无限售条件流通股市场价值减授予</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价确定</w:t>
            </w:r>
          </w:p>
        </w:tc>
      </w:tr>
      <w:tr>
        <w:trPr>
          <w:trHeight w:val="281" w:hRule="exact"/>
        </w:trPr>
        <w:tc>
          <w:tcPr>
            <w:tcW w:w="4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pacing w:val="-2"/>
                <w:sz w:val="21"/>
                <w:szCs w:val="21"/>
              </w:rPr>
              <w:t>预计可以达到行权条件的被授予对象均会行权</w:t>
            </w:r>
          </w:p>
        </w:tc>
      </w:tr>
      <w:tr>
        <w:trPr>
          <w:trHeight w:val="283" w:hRule="exact"/>
        </w:trPr>
        <w:tc>
          <w:tcPr>
            <w:tcW w:w="4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以权益结算的股份支付计入资本公积的累计金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14,190,500.00</w:t>
            </w:r>
          </w:p>
        </w:tc>
      </w:tr>
      <w:tr>
        <w:trPr>
          <w:trHeight w:val="283" w:hRule="exact"/>
        </w:trPr>
        <w:tc>
          <w:tcPr>
            <w:tcW w:w="4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2,150,500.00</w:t>
            </w:r>
          </w:p>
        </w:tc>
      </w:tr>
    </w:tbl>
    <w:p>
      <w:pPr>
        <w:spacing w:line="240" w:lineRule="auto" w:before="10"/>
        <w:rPr>
          <w:rFonts w:ascii="宋体" w:hAnsi="宋体" w:cs="宋体" w:eastAsia="宋体" w:hint="default"/>
          <w:sz w:val="17"/>
          <w:szCs w:val="17"/>
        </w:rPr>
      </w:pPr>
    </w:p>
    <w:p>
      <w:pPr>
        <w:pStyle w:val="Heading2"/>
        <w:spacing w:line="240" w:lineRule="auto"/>
        <w:ind w:left="2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238"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0"/>
        <w:ind w:left="238" w:right="0"/>
        <w:jc w:val="left"/>
        <w:rPr>
          <w:b w:val="0"/>
          <w:bCs w:val="0"/>
        </w:rPr>
      </w:pPr>
      <w:r>
        <w:rPr>
          <w:rFonts w:ascii="宋体" w:hAnsi="宋体" w:cs="宋体" w:eastAsia="宋体" w:hint="default"/>
        </w:rPr>
        <w:t>4</w:t>
      </w:r>
      <w:r>
        <w:rPr/>
        <w:t>、 股份支付的修改、终止情况</w:t>
      </w:r>
      <w:r>
        <w:rPr>
          <w:b w:val="0"/>
          <w:bCs w:val="0"/>
        </w:rPr>
      </w:r>
    </w:p>
    <w:p>
      <w:pPr>
        <w:pStyle w:val="BodyText"/>
        <w:tabs>
          <w:tab w:pos="1080" w:val="left" w:leader="none"/>
        </w:tabs>
        <w:spacing w:line="240" w:lineRule="auto" w:before="56"/>
        <w:ind w:left="238"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left="2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984" w:val="left" w:leader="none"/>
        </w:tabs>
        <w:spacing w:line="281" w:lineRule="exact" w:before="58"/>
        <w:ind w:left="2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6538" w:val="left" w:leader="none"/>
        </w:tabs>
        <w:spacing w:line="265" w:lineRule="exact"/>
        <w:ind w:left="238" w:right="0"/>
        <w:jc w:val="left"/>
      </w:pPr>
      <w:r>
        <w:rPr>
          <w:spacing w:val="-1"/>
        </w:rPr>
        <w:t>以股份支付服务情况</w:t>
        <w:tab/>
        <w:t>单位：元</w:t>
      </w:r>
      <w:r>
        <w:rPr>
          <w:spacing w:val="9"/>
        </w:rPr>
        <w:t> </w:t>
      </w:r>
      <w:r>
        <w:rPr>
          <w:spacing w:val="-1"/>
        </w:rPr>
        <w:t>币种：人民币</w:t>
      </w:r>
    </w:p>
    <w:p>
      <w:pPr>
        <w:spacing w:line="240" w:lineRule="auto" w:before="9"/>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4563"/>
        <w:gridCol w:w="4172"/>
      </w:tblGrid>
      <w:tr>
        <w:trPr>
          <w:trHeight w:val="361" w:hRule="exact"/>
        </w:trPr>
        <w:tc>
          <w:tcPr>
            <w:tcW w:w="45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1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Arial Narrow" w:hAnsi="Arial Narrow" w:cs="Arial Narrow" w:eastAsia="Arial Narrow" w:hint="default"/>
                <w:sz w:val="18"/>
                <w:szCs w:val="18"/>
              </w:rPr>
            </w:pPr>
            <w:r>
              <w:rPr>
                <w:rFonts w:ascii="Arial Narrow"/>
                <w:spacing w:val="-1"/>
                <w:sz w:val="18"/>
              </w:rPr>
              <w:t>14,190,500.00</w:t>
            </w:r>
          </w:p>
        </w:tc>
      </w:tr>
      <w:tr>
        <w:trPr>
          <w:trHeight w:val="360" w:hRule="exact"/>
        </w:trPr>
        <w:tc>
          <w:tcPr>
            <w:tcW w:w="45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17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7"/>
          <w:szCs w:val="17"/>
        </w:rPr>
      </w:pPr>
    </w:p>
    <w:p>
      <w:pPr>
        <w:pStyle w:val="Heading2"/>
        <w:tabs>
          <w:tab w:pos="1077" w:val="left" w:leader="none"/>
        </w:tabs>
        <w:spacing w:line="290" w:lineRule="auto"/>
        <w:ind w:left="238"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238" w:right="438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资产负债表日存在的对外重要承诺、性质、金额</w:t>
      </w:r>
    </w:p>
    <w:p>
      <w:pPr>
        <w:pStyle w:val="BodyText"/>
        <w:spacing w:line="225" w:lineRule="auto"/>
        <w:ind w:left="238" w:right="227" w:firstLine="41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日，公司第五届董事会第四次临时会议审议通过了《关于全资子公司泰豪</w:t>
      </w:r>
      <w:r>
        <w:rPr>
          <w:w w:val="100"/>
        </w:rPr>
        <w:t> </w:t>
      </w:r>
      <w:r>
        <w:rPr>
          <w:spacing w:val="-2"/>
          <w:w w:val="100"/>
        </w:rPr>
        <w:t>电源技术有限公司收购龙岩市海德馨汽车有限公司</w:t>
      </w:r>
      <w:r>
        <w:rPr>
          <w:spacing w:val="-53"/>
          <w:w w:val="100"/>
        </w:rPr>
        <w:t> </w:t>
      </w:r>
      <w:r>
        <w:rPr>
          <w:rFonts w:ascii="Times New Roman" w:hAnsi="Times New Roman" w:cs="Times New Roman" w:eastAsia="Times New Roman" w:hint="default"/>
          <w:spacing w:val="-11"/>
          <w:w w:val="100"/>
        </w:rPr>
        <w:t>20%</w:t>
      </w:r>
      <w:r>
        <w:rPr>
          <w:spacing w:val="-11"/>
          <w:w w:val="100"/>
        </w:rPr>
        <w:t>股权的议案》，</w:t>
      </w:r>
      <w:r>
        <w:rPr>
          <w:rFonts w:ascii="Times New Roman" w:hAnsi="Times New Roman" w:cs="Times New Roman" w:eastAsia="Times New Roman" w:hint="default"/>
          <w:spacing w:val="-11"/>
          <w:w w:val="100"/>
        </w:rPr>
        <w:t>2015</w:t>
      </w:r>
      <w:r>
        <w:rPr>
          <w:rFonts w:ascii="Times New Roman" w:hAnsi="Times New Roman" w:cs="Times New Roman" w:eastAsia="Times New Roman" w:hint="default"/>
          <w:spacing w:val="-1"/>
          <w:w w:val="100"/>
        </w:rPr>
        <w:t> </w:t>
      </w:r>
      <w:r>
        <w:rPr>
          <w:w w:val="100"/>
        </w:rPr>
        <w:t>年</w:t>
      </w:r>
      <w:r>
        <w:rPr>
          <w:spacing w:val="-50"/>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14</w:t>
      </w:r>
      <w:r>
        <w:rPr>
          <w:rFonts w:ascii="Times New Roman" w:hAnsi="Times New Roman" w:cs="Times New Roman" w:eastAsia="Times New Roman" w:hint="default"/>
          <w:spacing w:val="-1"/>
          <w:w w:val="100"/>
        </w:rPr>
        <w:t> </w:t>
      </w:r>
      <w:r>
        <w:rPr>
          <w:spacing w:val="-7"/>
          <w:w w:val="100"/>
        </w:rPr>
        <w:t>日，公司第</w:t>
      </w:r>
      <w:r>
        <w:rPr>
          <w:w w:val="100"/>
        </w:rPr>
        <w:t> </w:t>
      </w:r>
      <w:r>
        <w:rPr>
          <w:spacing w:val="-5"/>
          <w:w w:val="100"/>
        </w:rPr>
        <w:t>五届董事会第三十一次会议审议通过了《关于收购龙岩市海德馨汽车有限公司</w:t>
      </w:r>
      <w:r>
        <w:rPr>
          <w:spacing w:val="-44"/>
          <w:w w:val="100"/>
        </w:rPr>
        <w:t> </w:t>
      </w:r>
      <w:r>
        <w:rPr>
          <w:rFonts w:ascii="Times New Roman" w:hAnsi="Times New Roman" w:cs="Times New Roman" w:eastAsia="Times New Roman" w:hint="default"/>
          <w:spacing w:val="-12"/>
          <w:w w:val="100"/>
        </w:rPr>
        <w:t>31%</w:t>
      </w:r>
      <w:r>
        <w:rPr>
          <w:spacing w:val="-12"/>
          <w:w w:val="100"/>
        </w:rPr>
        <w:t>股权的议案》，</w:t>
      </w:r>
      <w:r>
        <w:rPr>
          <w:spacing w:val="-99"/>
          <w:w w:val="100"/>
        </w:rPr>
        <w:t> </w:t>
      </w:r>
      <w:r>
        <w:rPr>
          <w:spacing w:val="-99"/>
          <w:w w:val="100"/>
        </w:rPr>
      </w:r>
      <w:r>
        <w:rPr>
          <w:spacing w:val="-2"/>
        </w:rPr>
        <w:t>收购完成后，公司合计持有龙岩市海德馨汽车有限公司</w:t>
      </w:r>
      <w:r>
        <w:rPr>
          <w:spacing w:val="4"/>
        </w:rPr>
        <w:t> </w:t>
      </w:r>
      <w:r>
        <w:rPr>
          <w:rFonts w:ascii="Times New Roman" w:hAnsi="Times New Roman" w:cs="Times New Roman" w:eastAsia="Times New Roman" w:hint="default"/>
          <w:spacing w:val="-2"/>
        </w:rPr>
        <w:t>51%</w:t>
      </w:r>
      <w:r>
        <w:rPr>
          <w:spacing w:val="-2"/>
        </w:rPr>
        <w:t>股权。</w:t>
      </w:r>
    </w:p>
    <w:p>
      <w:pPr>
        <w:pStyle w:val="BodyText"/>
        <w:spacing w:line="237" w:lineRule="auto"/>
        <w:ind w:left="238" w:right="228" w:firstLine="419"/>
        <w:jc w:val="both"/>
      </w:pPr>
      <w:r>
        <w:rPr>
          <w:spacing w:val="-2"/>
        </w:rPr>
        <w:t>补偿责任人李钦龙、廖秀金、徐海涛、任志强、程少通、厦门万漉得金股权投资管理合伙企</w:t>
      </w:r>
      <w:r>
        <w:rPr>
          <w:w w:val="100"/>
        </w:rPr>
        <w:t> </w:t>
      </w:r>
      <w:r>
        <w:rPr>
          <w:spacing w:val="-6"/>
          <w:w w:val="100"/>
        </w:rPr>
        <w:t>业（有限合伙）、厦门精诚合力股权投资管理合伙企业（有限合伙）、厦门百举百全股权投资管理</w:t>
      </w:r>
      <w:r>
        <w:rPr>
          <w:spacing w:val="-100"/>
          <w:w w:val="100"/>
        </w:rPr>
        <w:t> </w:t>
      </w:r>
      <w:r>
        <w:rPr>
          <w:spacing w:val="-100"/>
          <w:w w:val="100"/>
        </w:rPr>
      </w:r>
      <w:r>
        <w:rPr/>
        <w:t>合伙企业（有限合伙）承诺：龙岩市海德馨汽车有限公司在 </w:t>
      </w:r>
      <w:r>
        <w:rPr>
          <w:rFonts w:ascii="Times New Roman" w:hAnsi="Times New Roman" w:cs="Times New Roman" w:eastAsia="Times New Roman" w:hint="default"/>
        </w:rPr>
        <w:t>2015-2017</w:t>
      </w:r>
      <w:r>
        <w:rPr>
          <w:rFonts w:ascii="Times New Roman" w:hAnsi="Times New Roman" w:cs="Times New Roman" w:eastAsia="Times New Roman" w:hint="default"/>
          <w:spacing w:val="-15"/>
        </w:rPr>
        <w:t> </w:t>
      </w:r>
      <w:r>
        <w:rPr/>
        <w:t>年实现的扣除非经常性损</w:t>
      </w:r>
    </w:p>
    <w:p>
      <w:pPr>
        <w:spacing w:after="0" w:line="237" w:lineRule="auto"/>
        <w:jc w:val="both"/>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pStyle w:val="BodyText"/>
        <w:spacing w:line="230" w:lineRule="auto" w:before="46"/>
        <w:ind w:right="128"/>
        <w:jc w:val="both"/>
      </w:pPr>
      <w:r>
        <w:rPr/>
        <w:t>益后净利润分别不低于人民币</w:t>
      </w:r>
      <w:r>
        <w:rPr>
          <w:spacing w:val="-51"/>
        </w:rPr>
        <w:t> </w:t>
      </w:r>
      <w:r>
        <w:rPr>
          <w:rFonts w:ascii="Times New Roman" w:hAnsi="Times New Roman" w:cs="Times New Roman" w:eastAsia="Times New Roman" w:hint="default"/>
        </w:rPr>
        <w:t>3,600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5,400</w:t>
      </w:r>
      <w:r>
        <w:rPr>
          <w:rFonts w:ascii="Times New Roman" w:hAnsi="Times New Roman" w:cs="Times New Roman" w:eastAsia="Times New Roman" w:hint="default"/>
          <w:spacing w:val="1"/>
        </w:rPr>
        <w:t> </w:t>
      </w:r>
      <w:r>
        <w:rPr/>
        <w:t>万元和</w:t>
      </w:r>
      <w:r>
        <w:rPr>
          <w:spacing w:val="-51"/>
        </w:rPr>
        <w:t> </w:t>
      </w:r>
      <w:r>
        <w:rPr>
          <w:rFonts w:ascii="Times New Roman" w:hAnsi="Times New Roman" w:cs="Times New Roman" w:eastAsia="Times New Roman" w:hint="default"/>
        </w:rPr>
        <w:t>7,600</w:t>
      </w:r>
      <w:r>
        <w:rPr>
          <w:rFonts w:ascii="Times New Roman" w:hAnsi="Times New Roman" w:cs="Times New Roman" w:eastAsia="Times New Roman" w:hint="default"/>
          <w:spacing w:val="-1"/>
        </w:rPr>
        <w:t> </w:t>
      </w:r>
      <w:r>
        <w:rPr/>
        <w:t>万元。如果实际利润低于上述承诺</w:t>
      </w:r>
      <w:r>
        <w:rPr>
          <w:w w:val="100"/>
        </w:rPr>
        <w:t> </w:t>
      </w:r>
      <w:r>
        <w:rPr>
          <w:spacing w:val="-1"/>
        </w:rPr>
        <w:t>利润的，则上述补偿责任人将按照签署的《关于龙岩市海德馨汽车有限公司之股权收购协议》的</w:t>
      </w:r>
      <w:r>
        <w:rPr>
          <w:spacing w:val="-55"/>
        </w:rPr>
        <w:t> </w:t>
      </w:r>
      <w:r>
        <w:rPr>
          <w:spacing w:val="-55"/>
        </w:rPr>
      </w:r>
      <w:r>
        <w:rPr/>
        <w:t>相关约定进行补偿。除李钦龙外的其他补偿责任人无法补偿的部分由李钦龙负责补足。</w:t>
      </w:r>
    </w:p>
    <w:p>
      <w:pPr>
        <w:pStyle w:val="BodyText"/>
        <w:spacing w:line="228" w:lineRule="auto" w:before="12"/>
        <w:ind w:right="127" w:firstLine="419"/>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日，本公司全资子公司泰豪国际投资有限公司（</w:t>
      </w:r>
      <w:r>
        <w:rPr>
          <w:rFonts w:ascii="Times New Roman" w:hAnsi="Times New Roman" w:cs="Times New Roman" w:eastAsia="Times New Roman" w:hint="default"/>
        </w:rPr>
        <w:t>BVI</w:t>
      </w:r>
      <w:r>
        <w:rPr>
          <w:rFonts w:ascii="Times New Roman" w:hAnsi="Times New Roman" w:cs="Times New Roman" w:eastAsia="Times New Roman" w:hint="default"/>
          <w:spacing w:val="9"/>
        </w:rPr>
        <w:t> </w:t>
      </w:r>
      <w:r>
        <w:rPr/>
        <w:t>公司）与莱福士控</w:t>
      </w:r>
      <w:r>
        <w:rPr>
          <w:w w:val="100"/>
        </w:rPr>
        <w:t> </w:t>
      </w:r>
      <w:r>
        <w:rPr>
          <w:spacing w:val="-1"/>
        </w:rPr>
        <w:t>股集团有限公司（注册地：中国香港）签订《莱福士电力电子设备（深圳）有限公司股权转让协</w:t>
      </w:r>
      <w:r>
        <w:rPr>
          <w:spacing w:val="-55"/>
        </w:rPr>
        <w:t> </w:t>
      </w:r>
      <w:r>
        <w:rPr>
          <w:spacing w:val="-55"/>
        </w:rPr>
      </w:r>
      <w:r>
        <w:rPr>
          <w:spacing w:val="-28"/>
          <w:w w:val="100"/>
        </w:rPr>
        <w:t>议》，双方约定以</w:t>
      </w:r>
      <w:r>
        <w:rPr>
          <w:spacing w:val="-65"/>
          <w:w w:val="100"/>
        </w:rPr>
        <w:t> </w:t>
      </w:r>
      <w:r>
        <w:rPr>
          <w:rFonts w:ascii="Times New Roman" w:hAnsi="Times New Roman" w:cs="Times New Roman" w:eastAsia="Times New Roman" w:hint="default"/>
          <w:spacing w:val="-1"/>
          <w:w w:val="100"/>
        </w:rPr>
        <w:t>5,358</w:t>
      </w:r>
      <w:r>
        <w:rPr>
          <w:rFonts w:ascii="Times New Roman" w:hAnsi="Times New Roman" w:cs="Times New Roman" w:eastAsia="Times New Roman" w:hint="default"/>
          <w:spacing w:val="-14"/>
          <w:w w:val="100"/>
        </w:rPr>
        <w:t> </w:t>
      </w:r>
      <w:r>
        <w:rPr>
          <w:spacing w:val="-5"/>
          <w:w w:val="100"/>
        </w:rPr>
        <w:t>万元的价格收购莱福士控股集团有限公司所属莱福士电力电子设备（深圳）</w:t>
      </w:r>
      <w:r>
        <w:rPr>
          <w:spacing w:val="-101"/>
          <w:w w:val="100"/>
        </w:rPr>
        <w:t> </w:t>
      </w:r>
      <w:r>
        <w:rPr>
          <w:spacing w:val="-101"/>
          <w:w w:val="100"/>
        </w:rPr>
      </w:r>
      <w:r>
        <w:rPr/>
        <w:t>有限公司</w:t>
      </w:r>
      <w:r>
        <w:rPr>
          <w:spacing w:val="45"/>
        </w:rPr>
        <w:t> </w:t>
      </w:r>
      <w:r>
        <w:rPr>
          <w:rFonts w:ascii="Times New Roman" w:hAnsi="Times New Roman" w:cs="Times New Roman" w:eastAsia="Times New Roman" w:hint="default"/>
        </w:rPr>
        <w:t>100%</w:t>
      </w:r>
      <w:r>
        <w:rPr/>
        <w:t>股权。莱福士控股集团有限公司承诺：莱福士电力电子设备（深圳）有限公司在</w:t>
      </w:r>
      <w:r>
        <w:rPr>
          <w:spacing w:val="-101"/>
        </w:rPr>
        <w:t> </w:t>
      </w:r>
      <w:r>
        <w:rPr>
          <w:spacing w:val="-101"/>
        </w:rPr>
      </w:r>
      <w:r>
        <w:rPr>
          <w:rFonts w:ascii="Times New Roman" w:hAnsi="Times New Roman" w:cs="Times New Roman" w:eastAsia="Times New Roman" w:hint="default"/>
        </w:rPr>
        <w:t>2016-2018 </w:t>
      </w:r>
      <w:r>
        <w:rPr/>
        <w:t>年实现的扣除非经常性损益后净利润分别不低于人民币 </w:t>
      </w:r>
      <w:r>
        <w:rPr>
          <w:rFonts w:ascii="Times New Roman" w:hAnsi="Times New Roman" w:cs="Times New Roman" w:eastAsia="Times New Roman" w:hint="default"/>
        </w:rPr>
        <w:t>536 </w:t>
      </w:r>
      <w:r>
        <w:rPr/>
        <w:t>万元、人民币 </w:t>
      </w:r>
      <w:r>
        <w:rPr>
          <w:rFonts w:ascii="Times New Roman" w:hAnsi="Times New Roman" w:cs="Times New Roman" w:eastAsia="Times New Roman" w:hint="default"/>
        </w:rPr>
        <w:t>584</w:t>
      </w:r>
      <w:r>
        <w:rPr>
          <w:rFonts w:ascii="Times New Roman" w:hAnsi="Times New Roman" w:cs="Times New Roman" w:eastAsia="Times New Roman" w:hint="default"/>
          <w:spacing w:val="-13"/>
        </w:rPr>
        <w:t> </w:t>
      </w:r>
      <w:r>
        <w:rPr/>
        <w:t>万元、</w:t>
      </w:r>
    </w:p>
    <w:p>
      <w:pPr>
        <w:pStyle w:val="BodyText"/>
        <w:spacing w:line="274" w:lineRule="exact" w:before="9"/>
        <w:ind w:right="128"/>
        <w:jc w:val="both"/>
      </w:pPr>
      <w:r>
        <w:rPr/>
        <w:t>人民币 </w:t>
      </w:r>
      <w:r>
        <w:rPr>
          <w:rFonts w:ascii="Times New Roman" w:hAnsi="Times New Roman" w:cs="Times New Roman" w:eastAsia="Times New Roman" w:hint="default"/>
        </w:rPr>
        <w:t>653 </w:t>
      </w:r>
      <w:r>
        <w:rPr>
          <w:spacing w:val="-7"/>
        </w:rPr>
        <w:t>万元。如果实际利润低于上述承诺利润的，莱福士控股集团有限公司将按照签署的《莱</w:t>
      </w:r>
      <w:r>
        <w:rPr>
          <w:spacing w:val="-99"/>
        </w:rPr>
        <w:t> </w:t>
      </w:r>
      <w:r>
        <w:rPr>
          <w:spacing w:val="-99"/>
        </w:rPr>
      </w:r>
      <w:r>
        <w:rPr/>
        <w:t>福士电力电子设备（深圳）有限公司股权转让协议之补充协议》的规定进行补偿。</w:t>
      </w:r>
    </w:p>
    <w:p>
      <w:pPr>
        <w:pStyle w:val="BodyText"/>
        <w:spacing w:line="253" w:lineRule="exact"/>
        <w:ind w:right="0" w:firstLine="419"/>
        <w:jc w:val="both"/>
      </w:pPr>
      <w:r>
        <w:rPr>
          <w:rFonts w:ascii="Times New Roman" w:hAnsi="Times New Roman" w:cs="Times New Roman" w:eastAsia="Times New Roman" w:hint="default"/>
          <w:spacing w:val="-5"/>
        </w:rPr>
        <w:t>3</w:t>
      </w:r>
      <w:r>
        <w:rPr>
          <w:spacing w:val="-5"/>
        </w:rPr>
        <w:t>、中国证券监督管理委员会于</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spacing w:val="-4"/>
        </w:rPr>
        <w:t>日核准公司发行股份购买资产的交易方案，并</w:t>
      </w:r>
    </w:p>
    <w:p>
      <w:pPr>
        <w:pStyle w:val="BodyText"/>
        <w:spacing w:line="272" w:lineRule="exact" w:before="19"/>
        <w:ind w:right="128"/>
        <w:jc w:val="both"/>
      </w:pPr>
      <w:r>
        <w:rPr>
          <w:w w:val="100"/>
        </w:rPr>
        <w:t>出具</w:t>
      </w:r>
      <w:r>
        <w:rPr>
          <w:spacing w:val="-48"/>
          <w:w w:val="100"/>
        </w:rPr>
        <w:t>了</w:t>
      </w:r>
      <w:r>
        <w:rPr>
          <w:spacing w:val="-3"/>
          <w:w w:val="100"/>
        </w:rPr>
        <w:t>《</w:t>
      </w:r>
      <w:r>
        <w:rPr>
          <w:w w:val="100"/>
        </w:rPr>
        <w:t>关</w:t>
      </w:r>
      <w:r>
        <w:rPr>
          <w:spacing w:val="-3"/>
          <w:w w:val="100"/>
        </w:rPr>
        <w:t>于</w:t>
      </w:r>
      <w:r>
        <w:rPr>
          <w:w w:val="100"/>
        </w:rPr>
        <w:t>核</w:t>
      </w:r>
      <w:r>
        <w:rPr>
          <w:spacing w:val="-3"/>
          <w:w w:val="100"/>
        </w:rPr>
        <w:t>准</w:t>
      </w:r>
      <w:r>
        <w:rPr>
          <w:w w:val="100"/>
        </w:rPr>
        <w:t>泰</w:t>
      </w:r>
      <w:r>
        <w:rPr>
          <w:spacing w:val="-3"/>
          <w:w w:val="100"/>
        </w:rPr>
        <w:t>豪科</w:t>
      </w:r>
      <w:r>
        <w:rPr>
          <w:w w:val="100"/>
        </w:rPr>
        <w:t>技股</w:t>
      </w:r>
      <w:r>
        <w:rPr>
          <w:spacing w:val="-3"/>
          <w:w w:val="100"/>
        </w:rPr>
        <w:t>份</w:t>
      </w:r>
      <w:r>
        <w:rPr>
          <w:w w:val="100"/>
        </w:rPr>
        <w:t>有</w:t>
      </w:r>
      <w:r>
        <w:rPr>
          <w:spacing w:val="-3"/>
          <w:w w:val="100"/>
        </w:rPr>
        <w:t>限</w:t>
      </w:r>
      <w:r>
        <w:rPr>
          <w:w w:val="100"/>
        </w:rPr>
        <w:t>公</w:t>
      </w:r>
      <w:r>
        <w:rPr>
          <w:spacing w:val="-3"/>
          <w:w w:val="100"/>
        </w:rPr>
        <w:t>司</w:t>
      </w:r>
      <w:r>
        <w:rPr>
          <w:w w:val="100"/>
        </w:rPr>
        <w:t>向</w:t>
      </w:r>
      <w:r>
        <w:rPr>
          <w:spacing w:val="-3"/>
          <w:w w:val="100"/>
        </w:rPr>
        <w:t>胡</w:t>
      </w:r>
      <w:r>
        <w:rPr>
          <w:w w:val="100"/>
        </w:rPr>
        <w:t>健</w:t>
      </w:r>
      <w:r>
        <w:rPr>
          <w:spacing w:val="-3"/>
          <w:w w:val="100"/>
        </w:rPr>
        <w:t>等</w:t>
      </w:r>
      <w:r>
        <w:rPr>
          <w:w w:val="100"/>
        </w:rPr>
        <w:t>发行</w:t>
      </w:r>
      <w:r>
        <w:rPr>
          <w:spacing w:val="-3"/>
          <w:w w:val="100"/>
        </w:rPr>
        <w:t>股</w:t>
      </w:r>
      <w:r>
        <w:rPr>
          <w:w w:val="100"/>
        </w:rPr>
        <w:t>份</w:t>
      </w:r>
      <w:r>
        <w:rPr>
          <w:spacing w:val="-3"/>
          <w:w w:val="100"/>
        </w:rPr>
        <w:t>购</w:t>
      </w:r>
      <w:r>
        <w:rPr>
          <w:w w:val="100"/>
        </w:rPr>
        <w:t>买</w:t>
      </w:r>
      <w:r>
        <w:rPr>
          <w:spacing w:val="-3"/>
          <w:w w:val="100"/>
        </w:rPr>
        <w:t>资</w:t>
      </w:r>
      <w:r>
        <w:rPr>
          <w:w w:val="100"/>
        </w:rPr>
        <w:t>产</w:t>
      </w:r>
      <w:r>
        <w:rPr>
          <w:spacing w:val="-3"/>
          <w:w w:val="100"/>
        </w:rPr>
        <w:t>并</w:t>
      </w:r>
      <w:r>
        <w:rPr>
          <w:w w:val="100"/>
        </w:rPr>
        <w:t>募</w:t>
      </w:r>
      <w:r>
        <w:rPr>
          <w:spacing w:val="-3"/>
          <w:w w:val="100"/>
        </w:rPr>
        <w:t>集</w:t>
      </w:r>
      <w:r>
        <w:rPr>
          <w:w w:val="100"/>
        </w:rPr>
        <w:t>配套</w:t>
      </w:r>
      <w:r>
        <w:rPr>
          <w:spacing w:val="-3"/>
          <w:w w:val="100"/>
        </w:rPr>
        <w:t>资</w:t>
      </w:r>
      <w:r>
        <w:rPr>
          <w:w w:val="100"/>
        </w:rPr>
        <w:t>金</w:t>
      </w:r>
      <w:r>
        <w:rPr>
          <w:spacing w:val="-3"/>
          <w:w w:val="100"/>
        </w:rPr>
        <w:t>的</w:t>
      </w:r>
      <w:r>
        <w:rPr>
          <w:w w:val="100"/>
        </w:rPr>
        <w:t>批</w:t>
      </w:r>
      <w:r>
        <w:rPr>
          <w:spacing w:val="-3"/>
          <w:w w:val="100"/>
        </w:rPr>
        <w:t>复</w:t>
      </w:r>
      <w:r>
        <w:rPr>
          <w:spacing w:val="-152"/>
          <w:w w:val="100"/>
        </w:rPr>
        <w:t>》</w:t>
      </w:r>
      <w:r>
        <w:rPr>
          <w:spacing w:val="-3"/>
          <w:w w:val="100"/>
        </w:rPr>
        <w:t>（</w:t>
      </w:r>
      <w:r>
        <w:rPr>
          <w:w w:val="100"/>
        </w:rPr>
        <w:t>证</w:t>
      </w:r>
      <w:r>
        <w:rPr>
          <w:w w:val="100"/>
        </w:rPr>
        <w:t> 监许</w:t>
      </w:r>
      <w:r>
        <w:rPr>
          <w:spacing w:val="-1"/>
          <w:w w:val="100"/>
        </w:rPr>
        <w:t>可</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05</w:t>
      </w:r>
      <w:r>
        <w:rPr>
          <w:rFonts w:ascii="Times New Roman" w:hAnsi="Times New Roman" w:cs="Times New Roman" w:eastAsia="Times New Roman" w:hint="default"/>
          <w:spacing w:val="-3"/>
        </w:rPr>
        <w:t> </w:t>
      </w:r>
      <w:r>
        <w:rPr>
          <w:w w:val="100"/>
        </w:rPr>
        <w:t>号</w:t>
      </w:r>
      <w:r>
        <w:rPr>
          <w:spacing w:val="-106"/>
          <w:w w:val="100"/>
        </w:rPr>
        <w:t>）</w:t>
      </w:r>
      <w:r>
        <w:rPr>
          <w:w w:val="100"/>
        </w:rPr>
        <w:t>。</w:t>
      </w:r>
    </w:p>
    <w:p>
      <w:pPr>
        <w:pStyle w:val="BodyText"/>
        <w:spacing w:line="272" w:lineRule="exact" w:before="1"/>
        <w:ind w:right="128" w:firstLine="419"/>
        <w:jc w:val="both"/>
      </w:pPr>
      <w:r>
        <w:rPr>
          <w:spacing w:val="-4"/>
        </w:rPr>
        <w:t>（</w:t>
      </w:r>
      <w:r>
        <w:rPr>
          <w:rFonts w:ascii="Times New Roman" w:hAnsi="Times New Roman" w:cs="Times New Roman" w:eastAsia="Times New Roman" w:hint="default"/>
          <w:spacing w:val="-4"/>
        </w:rPr>
        <w:t>1</w:t>
      </w:r>
      <w:r>
        <w:rPr>
          <w:spacing w:val="-4"/>
        </w:rPr>
        <w:t>）根据交易对方在《关于发行股份购买资产之协议书》及《关于股份锁定的承诺函》中做</w:t>
      </w:r>
      <w:r>
        <w:rPr>
          <w:w w:val="100"/>
        </w:rPr>
        <w:t> </w:t>
      </w:r>
      <w:r>
        <w:rPr/>
        <w:t>出的承诺：</w:t>
      </w:r>
    </w:p>
    <w:p>
      <w:pPr>
        <w:pStyle w:val="BodyText"/>
        <w:spacing w:line="255" w:lineRule="exact"/>
        <w:ind w:left="558" w:right="0"/>
        <w:jc w:val="left"/>
      </w:pPr>
      <w:r>
        <w:rPr/>
        <w:t>胡健、余弓卜、成海林对</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年至</w:t>
      </w:r>
      <w:r>
        <w:rPr>
          <w:spacing w:val="-50"/>
        </w:rPr>
        <w:t> </w:t>
      </w:r>
      <w:r>
        <w:rPr>
          <w:rFonts w:ascii="Times New Roman" w:hAnsi="Times New Roman" w:cs="Times New Roman" w:eastAsia="Times New Roman" w:hint="default"/>
        </w:rPr>
        <w:t>2020 </w:t>
      </w:r>
      <w:r>
        <w:rPr/>
        <w:t>年上海博辕信息技术服务有限公司业绩作出承诺，</w:t>
      </w:r>
    </w:p>
    <w:p>
      <w:pPr>
        <w:pStyle w:val="BodyText"/>
        <w:spacing w:line="272" w:lineRule="exact"/>
        <w:ind w:right="0"/>
        <w:jc w:val="both"/>
      </w:pPr>
      <w:r>
        <w:rPr/>
        <w:t>因本次发行股份购买资产持有的股票自上市之日起</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个月不能转让，自上市之日起满</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3"/>
        </w:rPr>
        <w:t>个月且</w:t>
      </w:r>
      <w:r>
        <w:rPr/>
      </w:r>
    </w:p>
    <w:p>
      <w:pPr>
        <w:pStyle w:val="BodyText"/>
        <w:spacing w:line="272" w:lineRule="exact"/>
        <w:ind w:right="0"/>
        <w:jc w:val="both"/>
      </w:pPr>
      <w:r>
        <w:rPr>
          <w:rFonts w:ascii="Times New Roman" w:hAnsi="Times New Roman" w:cs="Times New Roman" w:eastAsia="Times New Roman" w:hint="default"/>
        </w:rPr>
        <w:t>2016 </w:t>
      </w:r>
      <w:r>
        <w:rPr/>
        <w:t>年度的上海博辕信息技术服务有限公司《专项审核报告》出具后至自上市之日起满 </w:t>
      </w:r>
      <w:r>
        <w:rPr>
          <w:rFonts w:ascii="Times New Roman" w:hAnsi="Times New Roman" w:cs="Times New Roman" w:eastAsia="Times New Roman" w:hint="default"/>
        </w:rPr>
        <w:t>60</w:t>
      </w:r>
      <w:r>
        <w:rPr>
          <w:rFonts w:ascii="Times New Roman" w:hAnsi="Times New Roman" w:cs="Times New Roman" w:eastAsia="Times New Roman" w:hint="default"/>
          <w:spacing w:val="9"/>
        </w:rPr>
        <w:t> </w:t>
      </w:r>
      <w:r>
        <w:rPr>
          <w:spacing w:val="-3"/>
        </w:rPr>
        <w:t>个月</w:t>
      </w:r>
      <w:r>
        <w:rPr/>
      </w:r>
    </w:p>
    <w:p>
      <w:pPr>
        <w:pStyle w:val="BodyText"/>
        <w:spacing w:line="272" w:lineRule="exact" w:before="18"/>
        <w:ind w:right="130"/>
        <w:jc w:val="both"/>
      </w:pPr>
      <w:r>
        <w:rPr/>
        <w:t>且</w:t>
      </w:r>
      <w:r>
        <w:rPr>
          <w:spacing w:val="-3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0"/>
        </w:rPr>
        <w:t> </w:t>
      </w:r>
      <w:r>
        <w:rPr>
          <w:spacing w:val="-4"/>
        </w:rPr>
        <w:t>年度的上海博辕信息技术服务有限公司《专项审核报告》和《减值测试报告》出具后分五</w:t>
      </w:r>
      <w:r>
        <w:rPr>
          <w:spacing w:val="-96"/>
        </w:rPr>
        <w:t> </w:t>
      </w:r>
      <w:r>
        <w:rPr>
          <w:spacing w:val="-96"/>
        </w:rPr>
      </w:r>
      <w:r>
        <w:rPr/>
        <w:t>次解禁。</w:t>
      </w:r>
    </w:p>
    <w:p>
      <w:pPr>
        <w:pStyle w:val="BodyText"/>
        <w:spacing w:line="272" w:lineRule="exact" w:before="1"/>
        <w:ind w:right="127" w:firstLine="419"/>
        <w:jc w:val="both"/>
      </w:pPr>
      <w:r>
        <w:rPr>
          <w:spacing w:val="-11"/>
          <w:w w:val="100"/>
        </w:rPr>
        <w:t>李爱明、郭兆滨、张磊、宁波杰赢投资管理合伙企业（有限合伙）、宁波杰宝投资合伙企业（有</w:t>
      </w:r>
      <w:r>
        <w:rPr>
          <w:w w:val="100"/>
        </w:rPr>
        <w:t> </w:t>
      </w:r>
      <w:r>
        <w:rPr/>
        <w:t>限合伙）对</w:t>
      </w:r>
      <w:r>
        <w:rPr>
          <w:spacing w:val="-52"/>
        </w:rPr>
        <w:t> </w:t>
      </w:r>
      <w:r>
        <w:rPr>
          <w:rFonts w:ascii="Times New Roman" w:hAnsi="Times New Roman" w:cs="Times New Roman" w:eastAsia="Times New Roman" w:hint="default"/>
        </w:rPr>
        <w:t>2015 </w:t>
      </w:r>
      <w:r>
        <w:rPr/>
        <w:t>年至</w:t>
      </w:r>
      <w:r>
        <w:rPr>
          <w:spacing w:val="-52"/>
        </w:rPr>
        <w:t> </w:t>
      </w:r>
      <w:r>
        <w:rPr>
          <w:rFonts w:ascii="Times New Roman" w:hAnsi="Times New Roman" w:cs="Times New Roman" w:eastAsia="Times New Roman" w:hint="default"/>
        </w:rPr>
        <w:t>2018 </w:t>
      </w:r>
      <w:r>
        <w:rPr/>
        <w:t>年上海博辕信息技术服务有限公司业绩作出承诺，因本次发行股份购</w:t>
      </w:r>
    </w:p>
    <w:p>
      <w:pPr>
        <w:pStyle w:val="BodyText"/>
        <w:spacing w:line="255" w:lineRule="exact"/>
        <w:ind w:right="0"/>
        <w:jc w:val="both"/>
      </w:pPr>
      <w:r>
        <w:rPr>
          <w:w w:val="100"/>
        </w:rPr>
        <w:t>买资</w:t>
      </w:r>
      <w:r>
        <w:rPr>
          <w:spacing w:val="-3"/>
          <w:w w:val="100"/>
        </w:rPr>
        <w:t>产</w:t>
      </w:r>
      <w:r>
        <w:rPr>
          <w:w w:val="100"/>
        </w:rPr>
        <w:t>持</w:t>
      </w:r>
      <w:r>
        <w:rPr>
          <w:spacing w:val="-3"/>
          <w:w w:val="100"/>
        </w:rPr>
        <w:t>有</w:t>
      </w:r>
      <w:r>
        <w:rPr>
          <w:w w:val="100"/>
        </w:rPr>
        <w:t>的</w:t>
      </w:r>
      <w:r>
        <w:rPr>
          <w:spacing w:val="-3"/>
          <w:w w:val="100"/>
        </w:rPr>
        <w:t>股</w:t>
      </w:r>
      <w:r>
        <w:rPr>
          <w:w w:val="100"/>
        </w:rPr>
        <w:t>票</w:t>
      </w:r>
      <w:r>
        <w:rPr>
          <w:spacing w:val="-3"/>
          <w:w w:val="100"/>
        </w:rPr>
        <w:t>自</w:t>
      </w:r>
      <w:r>
        <w:rPr>
          <w:w w:val="100"/>
        </w:rPr>
        <w:t>上</w:t>
      </w:r>
      <w:r>
        <w:rPr>
          <w:spacing w:val="-3"/>
          <w:w w:val="100"/>
        </w:rPr>
        <w:t>市</w:t>
      </w:r>
      <w:r>
        <w:rPr>
          <w:w w:val="100"/>
        </w:rPr>
        <w:t>之</w:t>
      </w:r>
      <w:r>
        <w:rPr>
          <w:spacing w:val="-3"/>
          <w:w w:val="100"/>
        </w:rPr>
        <w:t>日</w:t>
      </w:r>
      <w:r>
        <w:rPr>
          <w:w w:val="100"/>
        </w:rPr>
        <w:t>起</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个</w:t>
      </w:r>
      <w:r>
        <w:rPr>
          <w:spacing w:val="-3"/>
          <w:w w:val="100"/>
        </w:rPr>
        <w:t>月</w:t>
      </w:r>
      <w:r>
        <w:rPr>
          <w:w w:val="100"/>
        </w:rPr>
        <w:t>内</w:t>
      </w:r>
      <w:r>
        <w:rPr>
          <w:spacing w:val="-3"/>
          <w:w w:val="100"/>
        </w:rPr>
        <w:t>不</w:t>
      </w:r>
      <w:r>
        <w:rPr>
          <w:w w:val="100"/>
        </w:rPr>
        <w:t>能</w:t>
      </w:r>
      <w:r>
        <w:rPr>
          <w:spacing w:val="-3"/>
          <w:w w:val="100"/>
        </w:rPr>
        <w:t>转让</w:t>
      </w:r>
      <w:r>
        <w:rPr>
          <w:spacing w:val="-92"/>
          <w:w w:val="100"/>
        </w:rPr>
        <w:t>，</w:t>
      </w:r>
      <w:r>
        <w:rPr>
          <w:spacing w:val="-3"/>
          <w:w w:val="100"/>
        </w:rPr>
        <w:t>自</w:t>
      </w:r>
      <w:r>
        <w:rPr>
          <w:w w:val="100"/>
        </w:rPr>
        <w:t>上</w:t>
      </w:r>
      <w:r>
        <w:rPr>
          <w:spacing w:val="-3"/>
          <w:w w:val="100"/>
        </w:rPr>
        <w:t>市</w:t>
      </w:r>
      <w:r>
        <w:rPr>
          <w:w w:val="100"/>
        </w:rPr>
        <w:t>之</w:t>
      </w:r>
      <w:r>
        <w:rPr>
          <w:spacing w:val="-3"/>
          <w:w w:val="100"/>
        </w:rPr>
        <w:t>日</w:t>
      </w:r>
      <w:r>
        <w:rPr>
          <w:w w:val="100"/>
        </w:rPr>
        <w:t>起满</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个</w:t>
      </w:r>
      <w:r>
        <w:rPr>
          <w:spacing w:val="-3"/>
          <w:w w:val="100"/>
        </w:rPr>
        <w:t>月</w:t>
      </w:r>
      <w:r>
        <w:rPr>
          <w:w w:val="100"/>
        </w:rPr>
        <w:t>且</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spacing w:val="-3"/>
          <w:w w:val="100"/>
        </w:rPr>
        <w:t>年</w:t>
      </w:r>
      <w:r>
        <w:rPr>
          <w:w w:val="100"/>
        </w:rPr>
        <w:t>度</w:t>
      </w:r>
      <w:r>
        <w:rPr>
          <w:spacing w:val="-3"/>
          <w:w w:val="100"/>
        </w:rPr>
        <w:t>的</w:t>
      </w:r>
      <w:r>
        <w:rPr>
          <w:w w:val="100"/>
        </w:rPr>
        <w:t>上海</w:t>
      </w:r>
    </w:p>
    <w:p>
      <w:pPr>
        <w:pStyle w:val="BodyText"/>
        <w:spacing w:line="274" w:lineRule="exact" w:before="16"/>
        <w:ind w:right="127"/>
        <w:jc w:val="both"/>
      </w:pPr>
      <w:r>
        <w:rPr/>
        <w:t>博辕信息技术服务有限公司《专项审核报告》出具后至自上市之日起满</w:t>
      </w:r>
      <w:r>
        <w:rPr>
          <w:spacing w:val="-51"/>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个月且</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年度的上</w:t>
      </w:r>
      <w:r>
        <w:rPr>
          <w:w w:val="100"/>
        </w:rPr>
        <w:t> </w:t>
      </w:r>
      <w:r>
        <w:rPr/>
        <w:t>海博辕信息技术服务有限公司《专项审核报告》出具后分三次解禁。</w:t>
      </w:r>
    </w:p>
    <w:p>
      <w:pPr>
        <w:pStyle w:val="BodyText"/>
        <w:spacing w:line="245" w:lineRule="exact"/>
        <w:ind w:right="0" w:firstLine="419"/>
        <w:jc w:val="both"/>
      </w:pPr>
      <w:r>
        <w:rPr>
          <w:w w:val="100"/>
        </w:rPr>
        <w:t>浙江赛</w:t>
      </w:r>
      <w:r>
        <w:rPr>
          <w:spacing w:val="-3"/>
          <w:w w:val="100"/>
        </w:rPr>
        <w:t>盛</w:t>
      </w:r>
      <w:r>
        <w:rPr>
          <w:w w:val="100"/>
        </w:rPr>
        <w:t>投资</w:t>
      </w:r>
      <w:r>
        <w:rPr>
          <w:spacing w:val="-3"/>
          <w:w w:val="100"/>
        </w:rPr>
        <w:t>合</w:t>
      </w:r>
      <w:r>
        <w:rPr>
          <w:w w:val="100"/>
        </w:rPr>
        <w:t>伙</w:t>
      </w:r>
      <w:r>
        <w:rPr>
          <w:spacing w:val="-3"/>
          <w:w w:val="100"/>
        </w:rPr>
        <w:t>企</w:t>
      </w:r>
      <w:r>
        <w:rPr>
          <w:w w:val="100"/>
        </w:rPr>
        <w:t>业</w:t>
      </w:r>
      <w:r>
        <w:rPr>
          <w:spacing w:val="-3"/>
          <w:w w:val="100"/>
        </w:rPr>
        <w:t>（</w:t>
      </w:r>
      <w:r>
        <w:rPr>
          <w:w w:val="100"/>
        </w:rPr>
        <w:t>有限合</w:t>
      </w:r>
      <w:r>
        <w:rPr>
          <w:spacing w:val="-3"/>
          <w:w w:val="100"/>
        </w:rPr>
        <w:t>伙</w:t>
      </w:r>
      <w:r>
        <w:rPr>
          <w:spacing w:val="-106"/>
          <w:w w:val="100"/>
        </w:rPr>
        <w:t>）</w:t>
      </w:r>
      <w:r>
        <w:rPr>
          <w:w w:val="100"/>
        </w:rPr>
        <w:t>、</w:t>
      </w:r>
      <w:r>
        <w:rPr>
          <w:spacing w:val="-3"/>
          <w:w w:val="100"/>
        </w:rPr>
        <w:t>宁</w:t>
      </w:r>
      <w:r>
        <w:rPr>
          <w:w w:val="100"/>
        </w:rPr>
        <w:t>波赛</w:t>
      </w:r>
      <w:r>
        <w:rPr>
          <w:spacing w:val="-3"/>
          <w:w w:val="100"/>
        </w:rPr>
        <w:t>伯</w:t>
      </w:r>
      <w:r>
        <w:rPr>
          <w:w w:val="100"/>
        </w:rPr>
        <w:t>乐</w:t>
      </w:r>
      <w:r>
        <w:rPr>
          <w:spacing w:val="-3"/>
          <w:w w:val="100"/>
        </w:rPr>
        <w:t>甬</w:t>
      </w:r>
      <w:r>
        <w:rPr>
          <w:w w:val="100"/>
        </w:rPr>
        <w:t>科股权</w:t>
      </w:r>
      <w:r>
        <w:rPr>
          <w:spacing w:val="-3"/>
          <w:w w:val="100"/>
        </w:rPr>
        <w:t>投</w:t>
      </w:r>
      <w:r>
        <w:rPr>
          <w:w w:val="100"/>
        </w:rPr>
        <w:t>资</w:t>
      </w:r>
      <w:r>
        <w:rPr>
          <w:spacing w:val="-3"/>
          <w:w w:val="100"/>
        </w:rPr>
        <w:t>合</w:t>
      </w:r>
      <w:r>
        <w:rPr>
          <w:w w:val="100"/>
        </w:rPr>
        <w:t>伙企</w:t>
      </w:r>
      <w:r>
        <w:rPr>
          <w:spacing w:val="-3"/>
          <w:w w:val="100"/>
        </w:rPr>
        <w:t>业</w:t>
      </w:r>
      <w:r>
        <w:rPr>
          <w:w w:val="100"/>
        </w:rPr>
        <w:t>（</w:t>
      </w:r>
      <w:r>
        <w:rPr>
          <w:spacing w:val="-3"/>
          <w:w w:val="100"/>
        </w:rPr>
        <w:t>有</w:t>
      </w:r>
      <w:r>
        <w:rPr>
          <w:w w:val="100"/>
        </w:rPr>
        <w:t>限合伙</w:t>
      </w:r>
      <w:r>
        <w:rPr>
          <w:spacing w:val="-108"/>
          <w:w w:val="100"/>
        </w:rPr>
        <w:t>）</w:t>
      </w:r>
      <w:r>
        <w:rPr>
          <w:w w:val="100"/>
        </w:rPr>
        <w:t>、杭州</w:t>
      </w:r>
    </w:p>
    <w:p>
      <w:pPr>
        <w:pStyle w:val="BodyText"/>
        <w:spacing w:line="237" w:lineRule="auto" w:before="2"/>
        <w:ind w:right="128"/>
        <w:jc w:val="both"/>
      </w:pPr>
      <w:r>
        <w:rPr>
          <w:spacing w:val="-6"/>
          <w:w w:val="100"/>
        </w:rPr>
        <w:t>赛伯乐晨星投资合伙企业（有限合伙）、宁波市科发股权投资基金合伙企业（有限合伙）、宁波市</w:t>
      </w:r>
      <w:r>
        <w:rPr>
          <w:spacing w:val="-102"/>
          <w:w w:val="100"/>
        </w:rPr>
        <w:t> </w:t>
      </w:r>
      <w:r>
        <w:rPr>
          <w:spacing w:val="-102"/>
          <w:w w:val="100"/>
        </w:rPr>
      </w:r>
      <w:r>
        <w:rPr>
          <w:spacing w:val="-6"/>
          <w:w w:val="100"/>
        </w:rPr>
        <w:t>科发二号股权投资基金合伙企业（有限合伙）、杭州科发创业投资合伙企业（有限合伙）、谢建军</w:t>
      </w:r>
      <w:r>
        <w:rPr>
          <w:spacing w:val="-102"/>
          <w:w w:val="100"/>
        </w:rPr>
        <w:t> </w:t>
      </w:r>
      <w:r>
        <w:rPr>
          <w:spacing w:val="-102"/>
          <w:w w:val="100"/>
        </w:rPr>
      </w:r>
      <w:r>
        <w:rPr/>
        <w:t>承诺，因本次发行股份购买资产持有的股票自上市之日起</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个月内不能转让。</w:t>
      </w:r>
    </w:p>
    <w:p>
      <w:pPr>
        <w:pStyle w:val="BodyText"/>
        <w:spacing w:line="274" w:lineRule="exact" w:before="7"/>
        <w:ind w:right="130" w:firstLine="419"/>
        <w:jc w:val="both"/>
      </w:pPr>
      <w:r>
        <w:rPr>
          <w:spacing w:val="-2"/>
        </w:rPr>
        <w:t>浙江中赢资本投资合伙企业（有限合伙）承诺，因本次发行股份购买资产持有的股票自上市</w:t>
      </w:r>
      <w:r>
        <w:rPr>
          <w:w w:val="100"/>
        </w:rPr>
        <w:t> </w:t>
      </w:r>
      <w:r>
        <w:rPr/>
        <w:t>之日起</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4"/>
        </w:rPr>
        <w:t> </w:t>
      </w:r>
      <w:r>
        <w:rPr/>
        <w:t>个月内不能转让。</w:t>
      </w:r>
    </w:p>
    <w:p>
      <w:pPr>
        <w:pStyle w:val="BodyText"/>
        <w:spacing w:line="253" w:lineRule="exact"/>
        <w:ind w:right="0" w:firstLine="419"/>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2015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1"/>
        </w:rPr>
        <w:t> </w:t>
      </w:r>
      <w:r>
        <w:rPr>
          <w:spacing w:val="-3"/>
        </w:rPr>
        <w:t>月，根据公司与上海博辕信息技术服务有限公司原股东签订的《利润承诺补</w:t>
      </w:r>
    </w:p>
    <w:p>
      <w:pPr>
        <w:pStyle w:val="BodyText"/>
        <w:spacing w:line="230" w:lineRule="auto" w:before="1"/>
        <w:ind w:right="128"/>
        <w:jc w:val="both"/>
      </w:pPr>
      <w:r>
        <w:rPr>
          <w:spacing w:val="-1"/>
        </w:rPr>
        <w:t>偿协议书》的规定，利润补偿责任人胡健、余弓卜、成海林、李爱明、郭兆滨、张磊、宁波杰赢</w:t>
      </w:r>
      <w:r>
        <w:rPr>
          <w:spacing w:val="-55"/>
        </w:rPr>
        <w:t> </w:t>
      </w:r>
      <w:r>
        <w:rPr>
          <w:spacing w:val="-55"/>
        </w:rPr>
      </w:r>
      <w:r>
        <w:rPr>
          <w:spacing w:val="-6"/>
          <w:w w:val="100"/>
        </w:rPr>
        <w:t>投资管理合伙企业（有限合伙）、宁波杰宝投资合伙企业（有限合伙）承诺：上海博辕信息技术服</w:t>
      </w:r>
      <w:r>
        <w:rPr>
          <w:w w:val="100"/>
        </w:rPr>
        <w:t> </w:t>
      </w:r>
      <w:r>
        <w:rPr/>
        <w:t>务有限公司 </w:t>
      </w:r>
      <w:r>
        <w:rPr>
          <w:rFonts w:ascii="Times New Roman" w:hAnsi="Times New Roman" w:cs="Times New Roman" w:eastAsia="Times New Roman" w:hint="default"/>
        </w:rPr>
        <w:t>2015 </w:t>
      </w:r>
      <w:r>
        <w:rPr/>
        <w:t>年度、</w:t>
      </w:r>
      <w:r>
        <w:rPr>
          <w:rFonts w:ascii="Times New Roman" w:hAnsi="Times New Roman" w:cs="Times New Roman" w:eastAsia="Times New Roman" w:hint="default"/>
        </w:rPr>
        <w:t>2016 </w:t>
      </w:r>
      <w:r>
        <w:rPr/>
        <w:t>年度、</w:t>
      </w:r>
      <w:r>
        <w:rPr>
          <w:rFonts w:ascii="Times New Roman" w:hAnsi="Times New Roman" w:cs="Times New Roman" w:eastAsia="Times New Roman" w:hint="default"/>
        </w:rPr>
        <w:t>2017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年度实现的扣除非经常性损益后归属于母</w:t>
      </w:r>
      <w:r>
        <w:rPr>
          <w:w w:val="100"/>
        </w:rPr>
        <w:t> </w:t>
      </w:r>
      <w:r>
        <w:rPr/>
        <w:t>公司所有者的净利润数分别为人民币 </w:t>
      </w:r>
      <w:r>
        <w:rPr>
          <w:rFonts w:ascii="Times New Roman" w:hAnsi="Times New Roman" w:cs="Times New Roman" w:eastAsia="Times New Roman" w:hint="default"/>
        </w:rPr>
        <w:t>3,500.00 </w:t>
      </w:r>
      <w:r>
        <w:rPr>
          <w:spacing w:val="-3"/>
        </w:rPr>
        <w:t>万元、</w:t>
      </w:r>
      <w:r>
        <w:rPr>
          <w:rFonts w:ascii="Times New Roman" w:hAnsi="Times New Roman" w:cs="Times New Roman" w:eastAsia="Times New Roman" w:hint="default"/>
          <w:spacing w:val="-3"/>
        </w:rPr>
        <w:t>5,500.00 </w:t>
      </w:r>
      <w:r>
        <w:rPr>
          <w:spacing w:val="-3"/>
        </w:rPr>
        <w:t>万元、</w:t>
      </w:r>
      <w:r>
        <w:rPr>
          <w:rFonts w:ascii="Times New Roman" w:hAnsi="Times New Roman" w:cs="Times New Roman" w:eastAsia="Times New Roman" w:hint="default"/>
          <w:spacing w:val="-3"/>
        </w:rPr>
        <w:t>7,150.00 </w:t>
      </w:r>
      <w:r>
        <w:rPr/>
        <w:t>万元、</w:t>
      </w:r>
      <w:r>
        <w:rPr>
          <w:rFonts w:ascii="Times New Roman" w:hAnsi="Times New Roman" w:cs="Times New Roman" w:eastAsia="Times New Roman" w:hint="default"/>
        </w:rPr>
        <w:t>9,295.00</w:t>
      </w:r>
      <w:r>
        <w:rPr>
          <w:rFonts w:ascii="Times New Roman" w:hAnsi="Times New Roman" w:cs="Times New Roman" w:eastAsia="Times New Roman" w:hint="default"/>
          <w:spacing w:val="24"/>
        </w:rPr>
        <w:t> </w:t>
      </w:r>
      <w:r>
        <w:rPr/>
        <w:t>万</w:t>
      </w:r>
      <w:r>
        <w:rPr>
          <w:w w:val="100"/>
        </w:rPr>
        <w:t> </w:t>
      </w:r>
      <w:r>
        <w:rPr/>
        <w:t>元；利润补偿责任人胡健、余弓卜、成海林承诺：上海博辕信息技术服务有限公司 </w:t>
      </w:r>
      <w:r>
        <w:rPr>
          <w:rFonts w:ascii="Times New Roman" w:hAnsi="Times New Roman" w:cs="Times New Roman" w:eastAsia="Times New Roman" w:hint="default"/>
        </w:rPr>
        <w:t>2019 </w:t>
      </w:r>
      <w:r>
        <w:rPr>
          <w:rFonts w:ascii="Times New Roman" w:hAnsi="Times New Roman" w:cs="Times New Roman" w:eastAsia="Times New Roman" w:hint="default"/>
          <w:spacing w:val="6"/>
        </w:rPr>
        <w:t> </w:t>
      </w:r>
      <w:r>
        <w:rPr/>
        <w:t>年度、</w:t>
      </w:r>
    </w:p>
    <w:p>
      <w:pPr>
        <w:pStyle w:val="BodyText"/>
        <w:spacing w:line="264" w:lineRule="exact"/>
        <w:ind w:right="0"/>
        <w:jc w:val="both"/>
      </w:pPr>
      <w:r>
        <w:rPr>
          <w:rFonts w:ascii="Times New Roman" w:hAnsi="Times New Roman" w:cs="Times New Roman" w:eastAsia="Times New Roman" w:hint="default"/>
        </w:rPr>
        <w:t>2020   </w:t>
      </w:r>
      <w:r>
        <w:rPr/>
        <w:t>年度实现的扣除非经常性损益后归属于母公司所有者的净利润数分别为 </w:t>
      </w:r>
      <w:r>
        <w:rPr>
          <w:rFonts w:ascii="Times New Roman" w:hAnsi="Times New Roman" w:cs="Times New Roman" w:eastAsia="Times New Roman" w:hint="default"/>
        </w:rPr>
        <w:t>10,689.25  </w:t>
      </w:r>
      <w:r>
        <w:rPr>
          <w:rFonts w:ascii="Times New Roman" w:hAnsi="Times New Roman" w:cs="Times New Roman" w:eastAsia="Times New Roman" w:hint="default"/>
          <w:spacing w:val="6"/>
        </w:rPr>
        <w:t> </w:t>
      </w:r>
      <w:r>
        <w:rPr>
          <w:spacing w:val="2"/>
        </w:rPr>
        <w:t>万元、</w:t>
      </w:r>
      <w:r>
        <w:rPr/>
      </w:r>
    </w:p>
    <w:p>
      <w:pPr>
        <w:pStyle w:val="BodyText"/>
        <w:spacing w:line="272" w:lineRule="exact" w:before="19"/>
        <w:ind w:right="128"/>
        <w:jc w:val="both"/>
      </w:pPr>
      <w:r>
        <w:rPr>
          <w:rFonts w:ascii="Times New Roman" w:hAnsi="Times New Roman" w:cs="Times New Roman" w:eastAsia="Times New Roman" w:hint="default"/>
        </w:rPr>
        <w:t>12,292.64</w:t>
      </w:r>
      <w:r>
        <w:rPr>
          <w:rFonts w:ascii="Times New Roman" w:hAnsi="Times New Roman" w:cs="Times New Roman" w:eastAsia="Times New Roman" w:hint="default"/>
          <w:spacing w:val="43"/>
        </w:rPr>
        <w:t> </w:t>
      </w:r>
      <w:r>
        <w:rPr>
          <w:spacing w:val="-4"/>
        </w:rPr>
        <w:t>万元。如果实际利润低于上述承诺利润的，则上海博辕信息技术服务有限公司原股东将</w:t>
      </w:r>
      <w:r>
        <w:rPr>
          <w:spacing w:val="-97"/>
        </w:rPr>
        <w:t> </w:t>
      </w:r>
      <w:r>
        <w:rPr>
          <w:spacing w:val="-97"/>
        </w:rPr>
      </w:r>
      <w:r>
        <w:rPr/>
        <w:t>按照签署的《利润承诺补偿协议书》的规定进行补偿。</w:t>
      </w:r>
    </w:p>
    <w:p>
      <w:pPr>
        <w:pStyle w:val="BodyText"/>
        <w:spacing w:line="254" w:lineRule="exact"/>
        <w:ind w:right="0" w:firstLine="419"/>
        <w:jc w:val="both"/>
      </w:pPr>
      <w:r>
        <w:rPr>
          <w:rFonts w:ascii="Times New Roman" w:hAnsi="Times New Roman" w:cs="Times New Roman" w:eastAsia="Times New Roman" w:hint="default"/>
          <w:spacing w:val="-7"/>
        </w:rPr>
        <w:t>4</w:t>
      </w:r>
      <w:r>
        <w:rPr>
          <w:spacing w:val="-7"/>
        </w:rPr>
        <w:t>、本公司于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spacing w:val="-4"/>
        </w:rPr>
        <w:t>日召开第六届董事会第二十五次会议，审议通过了《关于收购上</w:t>
      </w:r>
    </w:p>
    <w:p>
      <w:pPr>
        <w:pStyle w:val="BodyText"/>
        <w:spacing w:line="272" w:lineRule="exact" w:before="19"/>
        <w:ind w:right="127"/>
        <w:jc w:val="both"/>
      </w:pPr>
      <w:r>
        <w:rPr>
          <w:spacing w:val="-1"/>
          <w:w w:val="100"/>
        </w:rPr>
        <w:t>海</w:t>
      </w:r>
      <w:r>
        <w:rPr>
          <w:w w:val="100"/>
        </w:rPr>
        <w:t>红</w:t>
      </w:r>
      <w:r>
        <w:rPr>
          <w:spacing w:val="-3"/>
          <w:w w:val="100"/>
        </w:rPr>
        <w:t>生</w:t>
      </w:r>
      <w:r>
        <w:rPr>
          <w:w w:val="100"/>
        </w:rPr>
        <w:t>系</w:t>
      </w:r>
      <w:r>
        <w:rPr>
          <w:spacing w:val="-3"/>
          <w:w w:val="100"/>
        </w:rPr>
        <w:t>统</w:t>
      </w:r>
      <w:r>
        <w:rPr>
          <w:w w:val="100"/>
        </w:rPr>
        <w:t>工</w:t>
      </w:r>
      <w:r>
        <w:rPr>
          <w:spacing w:val="-3"/>
          <w:w w:val="100"/>
        </w:rPr>
        <w:t>程</w:t>
      </w:r>
      <w:r>
        <w:rPr>
          <w:w w:val="100"/>
        </w:rPr>
        <w:t>有</w:t>
      </w:r>
      <w:r>
        <w:rPr>
          <w:spacing w:val="-3"/>
          <w:w w:val="100"/>
        </w:rPr>
        <w:t>限公</w:t>
      </w:r>
      <w:r>
        <w:rPr>
          <w:w w:val="100"/>
        </w:rPr>
        <w:t>司</w:t>
      </w:r>
      <w:r>
        <w:rPr>
          <w:spacing w:val="-55"/>
        </w:rPr>
        <w:t> </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1"/>
          <w:w w:val="100"/>
        </w:rPr>
        <w:t>%</w:t>
      </w:r>
      <w:r>
        <w:rPr>
          <w:spacing w:val="-3"/>
          <w:w w:val="100"/>
        </w:rPr>
        <w:t>股</w:t>
      </w:r>
      <w:r>
        <w:rPr>
          <w:w w:val="100"/>
        </w:rPr>
        <w:t>权</w:t>
      </w:r>
      <w:r>
        <w:rPr>
          <w:spacing w:val="-3"/>
          <w:w w:val="100"/>
        </w:rPr>
        <w:t>的</w:t>
      </w:r>
      <w:r>
        <w:rPr>
          <w:w w:val="100"/>
        </w:rPr>
        <w:t>议</w:t>
      </w:r>
      <w:r>
        <w:rPr>
          <w:spacing w:val="-3"/>
          <w:w w:val="100"/>
        </w:rPr>
        <w:t>案</w:t>
      </w:r>
      <w:r>
        <w:rPr>
          <w:spacing w:val="-106"/>
          <w:w w:val="100"/>
        </w:rPr>
        <w:t>》</w:t>
      </w:r>
      <w:r>
        <w:rPr>
          <w:spacing w:val="-3"/>
          <w:w w:val="100"/>
        </w:rPr>
        <w:t>。根</w:t>
      </w:r>
      <w:r>
        <w:rPr>
          <w:spacing w:val="-5"/>
          <w:w w:val="100"/>
        </w:rPr>
        <w:t>据</w:t>
      </w:r>
      <w:r>
        <w:rPr>
          <w:w w:val="100"/>
        </w:rPr>
        <w:t>《泰</w:t>
      </w:r>
      <w:r>
        <w:rPr>
          <w:spacing w:val="-3"/>
          <w:w w:val="100"/>
        </w:rPr>
        <w:t>豪</w:t>
      </w:r>
      <w:r>
        <w:rPr>
          <w:w w:val="100"/>
        </w:rPr>
        <w:t>科</w:t>
      </w:r>
      <w:r>
        <w:rPr>
          <w:spacing w:val="-3"/>
          <w:w w:val="100"/>
        </w:rPr>
        <w:t>技</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与上</w:t>
      </w:r>
      <w:r>
        <w:rPr>
          <w:spacing w:val="-3"/>
          <w:w w:val="100"/>
        </w:rPr>
        <w:t>海</w:t>
      </w:r>
      <w:r>
        <w:rPr>
          <w:w w:val="100"/>
        </w:rPr>
        <w:t>红</w:t>
      </w:r>
      <w:r>
        <w:rPr>
          <w:spacing w:val="-3"/>
          <w:w w:val="100"/>
        </w:rPr>
        <w:t>生</w:t>
      </w:r>
      <w:r>
        <w:rPr>
          <w:w w:val="100"/>
        </w:rPr>
        <w:t>系</w:t>
      </w:r>
      <w:r>
        <w:rPr>
          <w:spacing w:val="-3"/>
          <w:w w:val="100"/>
        </w:rPr>
        <w:t>统</w:t>
      </w:r>
      <w:r>
        <w:rPr>
          <w:w w:val="100"/>
        </w:rPr>
        <w:t>工程</w:t>
      </w:r>
      <w:r>
        <w:rPr>
          <w:w w:val="100"/>
        </w:rPr>
        <w:t> 有限</w:t>
      </w:r>
      <w:r>
        <w:rPr>
          <w:spacing w:val="-3"/>
          <w:w w:val="100"/>
        </w:rPr>
        <w:t>公</w:t>
      </w:r>
      <w:r>
        <w:rPr>
          <w:w w:val="100"/>
        </w:rPr>
        <w:t>司</w:t>
      </w:r>
      <w:r>
        <w:rPr>
          <w:spacing w:val="-3"/>
          <w:w w:val="100"/>
        </w:rPr>
        <w:t>全</w:t>
      </w:r>
      <w:r>
        <w:rPr>
          <w:w w:val="100"/>
        </w:rPr>
        <w:t>体</w:t>
      </w:r>
      <w:r>
        <w:rPr>
          <w:spacing w:val="-3"/>
          <w:w w:val="100"/>
        </w:rPr>
        <w:t>股</w:t>
      </w:r>
      <w:r>
        <w:rPr>
          <w:w w:val="100"/>
        </w:rPr>
        <w:t>东</w:t>
      </w:r>
      <w:r>
        <w:rPr>
          <w:spacing w:val="-3"/>
          <w:w w:val="100"/>
        </w:rPr>
        <w:t>之</w:t>
      </w:r>
      <w:r>
        <w:rPr>
          <w:w w:val="100"/>
        </w:rPr>
        <w:t>股</w:t>
      </w:r>
      <w:r>
        <w:rPr>
          <w:spacing w:val="-3"/>
          <w:w w:val="100"/>
        </w:rPr>
        <w:t>权</w:t>
      </w:r>
      <w:r>
        <w:rPr>
          <w:w w:val="100"/>
        </w:rPr>
        <w:t>收购</w:t>
      </w:r>
      <w:r>
        <w:rPr>
          <w:spacing w:val="-3"/>
          <w:w w:val="100"/>
        </w:rPr>
        <w:t>协</w:t>
      </w:r>
      <w:r>
        <w:rPr>
          <w:w w:val="100"/>
        </w:rPr>
        <w:t>议</w:t>
      </w:r>
      <w:r>
        <w:rPr>
          <w:spacing w:val="-108"/>
          <w:w w:val="100"/>
        </w:rPr>
        <w:t>》</w:t>
      </w:r>
      <w:r>
        <w:rPr>
          <w:w w:val="100"/>
        </w:rPr>
        <w:t>，</w:t>
      </w:r>
      <w:r>
        <w:rPr>
          <w:spacing w:val="-3"/>
          <w:w w:val="100"/>
        </w:rPr>
        <w:t>经</w:t>
      </w:r>
      <w:r>
        <w:rPr>
          <w:w w:val="100"/>
        </w:rPr>
        <w:t>交</w:t>
      </w:r>
      <w:r>
        <w:rPr>
          <w:spacing w:val="-3"/>
          <w:w w:val="100"/>
        </w:rPr>
        <w:t>易</w:t>
      </w:r>
      <w:r>
        <w:rPr>
          <w:w w:val="100"/>
        </w:rPr>
        <w:t>各</w:t>
      </w:r>
      <w:r>
        <w:rPr>
          <w:spacing w:val="-3"/>
          <w:w w:val="100"/>
        </w:rPr>
        <w:t>方协</w:t>
      </w:r>
      <w:r>
        <w:rPr>
          <w:w w:val="100"/>
        </w:rPr>
        <w:t>商确</w:t>
      </w:r>
      <w:r>
        <w:rPr>
          <w:spacing w:val="-3"/>
          <w:w w:val="100"/>
        </w:rPr>
        <w:t>定</w:t>
      </w:r>
      <w:r>
        <w:rPr>
          <w:w w:val="100"/>
        </w:rPr>
        <w:t>，</w:t>
      </w:r>
      <w:r>
        <w:rPr>
          <w:spacing w:val="-3"/>
          <w:w w:val="100"/>
        </w:rPr>
        <w:t>本</w:t>
      </w:r>
      <w:r>
        <w:rPr>
          <w:w w:val="100"/>
        </w:rPr>
        <w:t>公</w:t>
      </w:r>
      <w:r>
        <w:rPr>
          <w:spacing w:val="-3"/>
          <w:w w:val="100"/>
        </w:rPr>
        <w:t>司</w:t>
      </w:r>
      <w:r>
        <w:rPr>
          <w:w w:val="100"/>
        </w:rPr>
        <w:t>以</w:t>
      </w:r>
      <w:r>
        <w:rPr>
          <w:spacing w:val="-22"/>
        </w:rPr>
        <w:t> </w:t>
      </w:r>
      <w:r>
        <w:rPr>
          <w:rFonts w:ascii="Times New Roman" w:hAnsi="Times New Roman" w:cs="Times New Roman" w:eastAsia="Times New Roman" w:hint="default"/>
          <w:w w:val="100"/>
        </w:rPr>
        <w:t>49,</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w w:val="100"/>
        </w:rPr>
        <w:t>万元</w:t>
      </w:r>
      <w:r>
        <w:rPr>
          <w:spacing w:val="-3"/>
          <w:w w:val="100"/>
        </w:rPr>
        <w:t>人</w:t>
      </w:r>
      <w:r>
        <w:rPr>
          <w:w w:val="100"/>
        </w:rPr>
        <w:t>民</w:t>
      </w:r>
      <w:r>
        <w:rPr>
          <w:spacing w:val="-3"/>
          <w:w w:val="100"/>
        </w:rPr>
        <w:t>币</w:t>
      </w:r>
      <w:r>
        <w:rPr>
          <w:w w:val="100"/>
        </w:rPr>
        <w:t>的</w:t>
      </w:r>
      <w:r>
        <w:rPr>
          <w:spacing w:val="-3"/>
          <w:w w:val="100"/>
        </w:rPr>
        <w:t>价</w:t>
      </w:r>
      <w:r>
        <w:rPr>
          <w:w w:val="100"/>
        </w:rPr>
        <w:t>格</w:t>
      </w:r>
    </w:p>
    <w:p>
      <w:pPr>
        <w:pStyle w:val="BodyText"/>
        <w:spacing w:line="272" w:lineRule="exact" w:before="1"/>
        <w:ind w:right="128"/>
        <w:jc w:val="both"/>
      </w:pPr>
      <w:r>
        <w:rPr>
          <w:spacing w:val="-7"/>
          <w:w w:val="100"/>
        </w:rPr>
        <w:t>收购上海赫甄企业发展中心（有限合伙）、宁波裕辉股权投资中心（有限合伙）和潘红生等</w:t>
      </w:r>
      <w:r>
        <w:rPr>
          <w:spacing w:val="-4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w w:val="100"/>
        </w:rPr>
        <w:t> </w:t>
      </w:r>
      <w:r>
        <w:rPr>
          <w:w w:val="100"/>
        </w:rPr>
        <w:t>位股</w:t>
      </w:r>
      <w:r>
        <w:rPr>
          <w:spacing w:val="-102"/>
          <w:w w:val="100"/>
        </w:rPr>
        <w:t> </w:t>
      </w:r>
      <w:r>
        <w:rPr/>
        <w:t>东合计持有的上海红生系统工程有限公司</w:t>
      </w:r>
      <w:r>
        <w:rPr>
          <w:spacing w:val="-55"/>
        </w:rPr>
        <w:t> </w:t>
      </w:r>
      <w:r>
        <w:rPr>
          <w:rFonts w:ascii="Times New Roman" w:hAnsi="Times New Roman" w:cs="Times New Roman" w:eastAsia="Times New Roman" w:hint="default"/>
        </w:rPr>
        <w:t>100%</w:t>
      </w:r>
      <w:r>
        <w:rPr/>
        <w:t>的股权。</w:t>
      </w:r>
    </w:p>
    <w:p>
      <w:pPr>
        <w:pStyle w:val="BodyText"/>
        <w:spacing w:line="272" w:lineRule="exact" w:before="1"/>
        <w:ind w:right="128" w:firstLine="419"/>
        <w:jc w:val="both"/>
      </w:pPr>
      <w:r>
        <w:rPr>
          <w:spacing w:val="-1"/>
        </w:rPr>
        <w:t>赫甄合伙和潘红生（合称</w:t>
      </w:r>
      <w:r>
        <w:rPr>
          <w:rFonts w:ascii="Times New Roman" w:hAnsi="Times New Roman" w:cs="Times New Roman" w:eastAsia="Times New Roman" w:hint="default"/>
          <w:spacing w:val="-1"/>
        </w:rPr>
        <w:t>“</w:t>
      </w:r>
      <w:r>
        <w:rPr>
          <w:spacing w:val="-1"/>
        </w:rPr>
        <w:t>盈利补偿主体</w:t>
      </w:r>
      <w:r>
        <w:rPr>
          <w:rFonts w:ascii="Times New Roman" w:hAnsi="Times New Roman" w:cs="Times New Roman" w:eastAsia="Times New Roman" w:hint="default"/>
          <w:spacing w:val="-1"/>
        </w:rPr>
        <w:t>”</w:t>
      </w:r>
      <w:r>
        <w:rPr>
          <w:spacing w:val="-1"/>
        </w:rPr>
        <w:t>）承诺上海红生系统工程有限公司在盈利承诺期内</w:t>
      </w:r>
      <w:r>
        <w:rPr>
          <w:w w:val="100"/>
        </w:rPr>
        <w:t> </w:t>
      </w:r>
      <w:r>
        <w:rPr>
          <w:spacing w:val="-1"/>
        </w:rPr>
        <w:t>净利润数不低于承诺净利润数，否则盈利补偿主体应按照协议约定对本公司予以补偿。盈利补偿</w:t>
      </w:r>
    </w:p>
    <w:p>
      <w:pPr>
        <w:pStyle w:val="BodyText"/>
        <w:spacing w:line="272" w:lineRule="exact" w:before="1"/>
        <w:ind w:right="132"/>
        <w:jc w:val="both"/>
      </w:pPr>
      <w:r>
        <w:rPr/>
        <w:t>主体承诺上海红生系统工程有限公司在盈利承诺期内各年度的净利润数如下：</w:t>
      </w:r>
      <w:r>
        <w:rPr>
          <w:rFonts w:ascii="Times New Roman" w:hAnsi="Times New Roman" w:cs="Times New Roman" w:eastAsia="Times New Roman" w:hint="default"/>
        </w:rPr>
        <w:t>2017 </w:t>
      </w:r>
      <w:r>
        <w:rPr/>
        <w:t>年度：</w:t>
      </w:r>
      <w:r>
        <w:rPr>
          <w:rFonts w:ascii="Times New Roman" w:hAnsi="Times New Roman" w:cs="Times New Roman" w:eastAsia="Times New Roman" w:hint="default"/>
        </w:rPr>
        <w:t>4,000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万元；</w:t>
      </w:r>
      <w:r>
        <w:rPr>
          <w:rFonts w:ascii="Times New Roman" w:hAnsi="Times New Roman" w:cs="Times New Roman" w:eastAsia="Times New Roman" w:hint="default"/>
        </w:rPr>
        <w:t>2018 </w:t>
      </w:r>
      <w:r>
        <w:rPr/>
        <w:t>年度：</w:t>
      </w:r>
      <w:r>
        <w:rPr>
          <w:rFonts w:ascii="Times New Roman" w:hAnsi="Times New Roman" w:cs="Times New Roman" w:eastAsia="Times New Roman" w:hint="default"/>
        </w:rPr>
        <w:t>4,800 </w:t>
      </w:r>
      <w:r>
        <w:rPr/>
        <w:t>万元；</w:t>
      </w:r>
      <w:r>
        <w:rPr>
          <w:rFonts w:ascii="Times New Roman" w:hAnsi="Times New Roman" w:cs="Times New Roman" w:eastAsia="Times New Roman" w:hint="default"/>
        </w:rPr>
        <w:t>2019 </w:t>
      </w:r>
      <w:r>
        <w:rPr/>
        <w:t>年度：</w:t>
      </w: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万元。</w:t>
      </w:r>
    </w:p>
    <w:p>
      <w:pPr>
        <w:spacing w:after="0" w:line="272" w:lineRule="exact"/>
        <w:jc w:val="both"/>
        <w:sectPr>
          <w:pgSz w:w="11910" w:h="16840"/>
          <w:pgMar w:header="0"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ind w:left="218" w:right="10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40" w:lineRule="auto" w:before="58"/>
        <w:ind w:left="218" w:right="10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964" w:val="left" w:leader="none"/>
        </w:tabs>
        <w:spacing w:line="274" w:lineRule="exact" w:before="82"/>
        <w:ind w:left="638" w:right="1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4"/>
        </w:rPr>
        <w:t>1</w:t>
      </w:r>
      <w:r>
        <w:rPr>
          <w:spacing w:val="-4"/>
        </w:rPr>
        <w:t>、根据本公司与中国工商银行宜春分行签订的保证合同的约定，本公司为江西特种电机股份</w:t>
      </w:r>
    </w:p>
    <w:p>
      <w:pPr>
        <w:pStyle w:val="BodyText"/>
        <w:spacing w:line="253" w:lineRule="exact"/>
        <w:ind w:left="218" w:right="100"/>
        <w:jc w:val="left"/>
      </w:pPr>
      <w:r>
        <w:rPr>
          <w:w w:val="100"/>
        </w:rPr>
        <w:t>有限</w:t>
      </w:r>
      <w:r>
        <w:rPr>
          <w:spacing w:val="-3"/>
          <w:w w:val="100"/>
        </w:rPr>
        <w:t>公</w:t>
      </w:r>
      <w:r>
        <w:rPr>
          <w:w w:val="100"/>
        </w:rPr>
        <w:t>司</w:t>
      </w:r>
      <w:r>
        <w:rPr>
          <w:spacing w:val="-3"/>
          <w:w w:val="100"/>
        </w:rPr>
        <w:t>向</w:t>
      </w:r>
      <w:r>
        <w:rPr>
          <w:w w:val="100"/>
        </w:rPr>
        <w:t>中</w:t>
      </w:r>
      <w:r>
        <w:rPr>
          <w:spacing w:val="-3"/>
          <w:w w:val="100"/>
        </w:rPr>
        <w:t>国</w:t>
      </w:r>
      <w:r>
        <w:rPr>
          <w:w w:val="100"/>
        </w:rPr>
        <w:t>工</w:t>
      </w:r>
      <w:r>
        <w:rPr>
          <w:spacing w:val="-3"/>
          <w:w w:val="100"/>
        </w:rPr>
        <w:t>商</w:t>
      </w:r>
      <w:r>
        <w:rPr>
          <w:w w:val="100"/>
        </w:rPr>
        <w:t>银</w:t>
      </w:r>
      <w:r>
        <w:rPr>
          <w:spacing w:val="-3"/>
          <w:w w:val="100"/>
        </w:rPr>
        <w:t>行</w:t>
      </w:r>
      <w:r>
        <w:rPr>
          <w:w w:val="100"/>
        </w:rPr>
        <w:t>宜春</w:t>
      </w:r>
      <w:r>
        <w:rPr>
          <w:spacing w:val="-3"/>
          <w:w w:val="100"/>
        </w:rPr>
        <w:t>分</w:t>
      </w:r>
      <w:r>
        <w:rPr>
          <w:w w:val="100"/>
        </w:rPr>
        <w:t>行</w:t>
      </w:r>
      <w:r>
        <w:rPr>
          <w:spacing w:val="-3"/>
          <w:w w:val="100"/>
        </w:rPr>
        <w:t>流</w:t>
      </w:r>
      <w:r>
        <w:rPr>
          <w:w w:val="100"/>
        </w:rPr>
        <w:t>动</w:t>
      </w:r>
      <w:r>
        <w:rPr>
          <w:spacing w:val="-3"/>
          <w:w w:val="100"/>
        </w:rPr>
        <w:t>资</w:t>
      </w:r>
      <w:r>
        <w:rPr>
          <w:w w:val="100"/>
        </w:rPr>
        <w:t>金</w:t>
      </w:r>
      <w:r>
        <w:rPr>
          <w:spacing w:val="-3"/>
          <w:w w:val="100"/>
        </w:rPr>
        <w:t>借</w:t>
      </w:r>
      <w:r>
        <w:rPr>
          <w:w w:val="100"/>
        </w:rPr>
        <w:t>款</w:t>
      </w:r>
      <w:r>
        <w:rPr>
          <w:spacing w:val="-53"/>
        </w:rPr>
        <w:t> </w:t>
      </w:r>
      <w:r>
        <w:rPr>
          <w:rFonts w:ascii="Times New Roman" w:hAnsi="Times New Roman" w:cs="Times New Roman" w:eastAsia="Times New Roman" w:hint="default"/>
          <w:spacing w:val="-3"/>
          <w:w w:val="100"/>
        </w:rPr>
        <w:t>25</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spacing w:val="-3"/>
          <w:w w:val="100"/>
        </w:rPr>
        <w:t>万</w:t>
      </w:r>
      <w:r>
        <w:rPr>
          <w:w w:val="100"/>
        </w:rPr>
        <w:t>提</w:t>
      </w:r>
      <w:r>
        <w:rPr>
          <w:spacing w:val="-3"/>
          <w:w w:val="100"/>
        </w:rPr>
        <w:t>供</w:t>
      </w:r>
      <w:r>
        <w:rPr>
          <w:w w:val="100"/>
        </w:rPr>
        <w:t>连</w:t>
      </w:r>
      <w:r>
        <w:rPr>
          <w:spacing w:val="-3"/>
          <w:w w:val="100"/>
        </w:rPr>
        <w:t>带</w:t>
      </w:r>
      <w:r>
        <w:rPr>
          <w:w w:val="100"/>
        </w:rPr>
        <w:t>责</w:t>
      </w:r>
      <w:r>
        <w:rPr>
          <w:spacing w:val="-3"/>
          <w:w w:val="100"/>
        </w:rPr>
        <w:t>任</w:t>
      </w:r>
      <w:r>
        <w:rPr>
          <w:w w:val="100"/>
        </w:rPr>
        <w:t>保</w:t>
      </w:r>
      <w:r>
        <w:rPr>
          <w:spacing w:val="-3"/>
          <w:w w:val="100"/>
        </w:rPr>
        <w:t>证</w:t>
      </w:r>
      <w:r>
        <w:rPr>
          <w:spacing w:val="-94"/>
          <w:w w:val="100"/>
        </w:rPr>
        <w:t>，</w:t>
      </w:r>
      <w:r>
        <w:rPr>
          <w:w w:val="100"/>
        </w:rPr>
        <w:t>担保</w:t>
      </w:r>
      <w:r>
        <w:rPr>
          <w:spacing w:val="-3"/>
          <w:w w:val="100"/>
        </w:rPr>
        <w:t>期</w:t>
      </w:r>
      <w:r>
        <w:rPr>
          <w:w w:val="100"/>
        </w:rPr>
        <w:t>限</w:t>
      </w:r>
      <w:r>
        <w:rPr>
          <w:spacing w:val="-3"/>
          <w:w w:val="100"/>
        </w:rPr>
        <w:t>自</w:t>
      </w:r>
      <w:r>
        <w:rPr>
          <w:w w:val="100"/>
        </w:rPr>
        <w:t>借</w:t>
      </w:r>
      <w:r>
        <w:rPr>
          <w:spacing w:val="-3"/>
          <w:w w:val="100"/>
        </w:rPr>
        <w:t>款</w:t>
      </w:r>
      <w:r>
        <w:rPr>
          <w:spacing w:val="-1"/>
          <w:w w:val="100"/>
        </w:rPr>
        <w:t>合</w:t>
      </w:r>
      <w:r>
        <w:rPr>
          <w:w w:val="100"/>
        </w:rPr>
        <w:t>同</w:t>
      </w:r>
    </w:p>
    <w:p>
      <w:pPr>
        <w:pStyle w:val="BodyText"/>
        <w:spacing w:line="272" w:lineRule="exact" w:before="19"/>
        <w:ind w:left="638" w:right="100" w:hanging="420"/>
        <w:jc w:val="left"/>
      </w:pPr>
      <w:r>
        <w:rPr/>
        <w:t>项上的借款期限届满之次日起两年。</w:t>
      </w:r>
      <w:r>
        <w:rPr>
          <w:w w:val="100"/>
        </w:rPr>
        <w:t> </w:t>
      </w:r>
      <w:r>
        <w:rPr>
          <w:spacing w:val="-2"/>
        </w:rPr>
        <w:t>江西特种电机股份有限公司与招商银行南昌分行签订授信协议，招商银行向江西特种电机股</w:t>
      </w:r>
    </w:p>
    <w:p>
      <w:pPr>
        <w:pStyle w:val="BodyText"/>
        <w:spacing w:line="255" w:lineRule="exact"/>
        <w:ind w:left="218" w:right="100"/>
        <w:jc w:val="left"/>
      </w:pPr>
      <w:r>
        <w:rPr/>
        <w:t>份有限公司提供</w:t>
      </w:r>
      <w:r>
        <w:rPr>
          <w:spacing w:val="-48"/>
        </w:rPr>
        <w:t> </w:t>
      </w:r>
      <w:r>
        <w:rPr>
          <w:rFonts w:ascii="Times New Roman" w:hAnsi="Times New Roman" w:cs="Times New Roman" w:eastAsia="Times New Roman" w:hint="default"/>
        </w:rPr>
        <w:t>6,000</w:t>
      </w:r>
      <w:r>
        <w:rPr>
          <w:rFonts w:ascii="Times New Roman" w:hAnsi="Times New Roman" w:cs="Times New Roman" w:eastAsia="Times New Roman" w:hint="default"/>
          <w:spacing w:val="5"/>
        </w:rPr>
        <w:t> </w:t>
      </w:r>
      <w:r>
        <w:rPr/>
        <w:t>万循环授信额度，授信期间自</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日至</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日。本</w:t>
      </w:r>
    </w:p>
    <w:p>
      <w:pPr>
        <w:pStyle w:val="BodyText"/>
        <w:spacing w:line="272" w:lineRule="exact"/>
        <w:ind w:left="218" w:right="100"/>
        <w:jc w:val="left"/>
      </w:pPr>
      <w:r>
        <w:rPr>
          <w:spacing w:val="-5"/>
        </w:rPr>
        <w:t>公司出具最高额不可撤销担保书，同意为其中的 </w:t>
      </w:r>
      <w:r>
        <w:rPr>
          <w:rFonts w:ascii="Times New Roman" w:hAnsi="Times New Roman" w:cs="Times New Roman" w:eastAsia="Times New Roman" w:hint="default"/>
        </w:rPr>
        <w:t>3,000</w:t>
      </w:r>
      <w:r>
        <w:rPr>
          <w:rFonts w:ascii="Times New Roman" w:hAnsi="Times New Roman" w:cs="Times New Roman" w:eastAsia="Times New Roman" w:hint="default"/>
          <w:spacing w:val="17"/>
        </w:rPr>
        <w:t> </w:t>
      </w:r>
      <w:r>
        <w:rPr>
          <w:spacing w:val="-6"/>
        </w:rPr>
        <w:t>万授信额度提供连带保证责任担保。同时，</w:t>
      </w:r>
    </w:p>
    <w:p>
      <w:pPr>
        <w:pStyle w:val="BodyText"/>
        <w:spacing w:line="272" w:lineRule="exact" w:before="19"/>
        <w:ind w:left="218" w:right="100"/>
        <w:jc w:val="left"/>
      </w:pPr>
      <w:r>
        <w:rPr>
          <w:spacing w:val="-2"/>
          <w:w w:val="100"/>
        </w:rPr>
        <w:t>江西特种电机股份有限公司为本公司向中国进出口银行江西省分行借款</w:t>
      </w:r>
      <w:r>
        <w:rPr>
          <w:spacing w:val="-43"/>
          <w:w w:val="100"/>
        </w:rPr>
        <w:t> </w:t>
      </w:r>
      <w:r>
        <w:rPr>
          <w:rFonts w:ascii="Times New Roman" w:hAnsi="Times New Roman" w:cs="Times New Roman" w:eastAsia="Times New Roman" w:hint="default"/>
          <w:spacing w:val="-1"/>
          <w:w w:val="100"/>
        </w:rPr>
        <w:t>2000</w:t>
      </w:r>
      <w:r>
        <w:rPr>
          <w:rFonts w:ascii="Times New Roman" w:hAnsi="Times New Roman" w:cs="Times New Roman" w:eastAsia="Times New Roman" w:hint="default"/>
          <w:spacing w:val="7"/>
          <w:w w:val="100"/>
        </w:rPr>
        <w:t> </w:t>
      </w:r>
      <w:r>
        <w:rPr>
          <w:spacing w:val="-12"/>
          <w:w w:val="100"/>
        </w:rPr>
        <w:t>万、向中国进出口银</w:t>
      </w:r>
      <w:r>
        <w:rPr>
          <w:spacing w:val="-102"/>
          <w:w w:val="100"/>
        </w:rPr>
        <w:t> </w:t>
      </w:r>
      <w:r>
        <w:rPr>
          <w:spacing w:val="-102"/>
          <w:w w:val="100"/>
        </w:rPr>
      </w:r>
      <w:r>
        <w:rPr/>
        <w:t>行江西省分行最高不超过</w:t>
      </w:r>
      <w:r>
        <w:rPr>
          <w:spacing w:val="-54"/>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万的</w:t>
      </w:r>
      <w:r>
        <w:rPr>
          <w:rFonts w:ascii="Times New Roman" w:hAnsi="Times New Roman" w:cs="Times New Roman" w:eastAsia="Times New Roman" w:hint="default"/>
        </w:rPr>
        <w:t>“PSL</w:t>
      </w:r>
      <w:r>
        <w:rPr>
          <w:rFonts w:ascii="Times New Roman" w:hAnsi="Times New Roman" w:cs="Times New Roman" w:eastAsia="Times New Roman" w:hint="default"/>
          <w:spacing w:val="-3"/>
        </w:rPr>
        <w:t> </w:t>
      </w:r>
      <w:r>
        <w:rPr/>
        <w:t>特定贷款</w:t>
      </w:r>
      <w:r>
        <w:rPr>
          <w:rFonts w:ascii="Times New Roman" w:hAnsi="Times New Roman" w:cs="Times New Roman" w:eastAsia="Times New Roman" w:hint="default"/>
        </w:rPr>
        <w:t>”</w:t>
      </w:r>
      <w:r>
        <w:rPr/>
        <w:t>提供连带责任保证担保。</w:t>
      </w:r>
    </w:p>
    <w:p>
      <w:pPr>
        <w:pStyle w:val="BodyText"/>
        <w:spacing w:line="272" w:lineRule="exact" w:before="1"/>
        <w:ind w:left="218" w:right="100" w:firstLine="419"/>
        <w:jc w:val="left"/>
      </w:pPr>
      <w:r>
        <w:rPr>
          <w:rFonts w:ascii="Times New Roman" w:hAnsi="Times New Roman" w:cs="Times New Roman" w:eastAsia="Times New Roman" w:hint="default"/>
          <w:spacing w:val="-4"/>
        </w:rPr>
        <w:t>2</w:t>
      </w:r>
      <w:r>
        <w:rPr>
          <w:spacing w:val="-4"/>
        </w:rPr>
        <w:t>、根据本公司与中国建设银行南昌住房城市建设支行签订的最高额保证合同约定，本公司为</w:t>
      </w:r>
      <w:r>
        <w:rPr>
          <w:w w:val="100"/>
        </w:rPr>
        <w:t> </w:t>
      </w:r>
      <w:r>
        <w:rPr>
          <w:spacing w:val="2"/>
        </w:rPr>
        <w:t>江西国科军工集团股份有限公司向建设银行连续办理人民币贷款及其他授信业务提供最高限额</w:t>
      </w:r>
    </w:p>
    <w:p>
      <w:pPr>
        <w:pStyle w:val="BodyText"/>
        <w:spacing w:line="272" w:lineRule="exact" w:before="1"/>
        <w:ind w:left="218" w:right="100"/>
        <w:jc w:val="left"/>
      </w:pPr>
      <w:r>
        <w:rPr>
          <w:rFonts w:ascii="Times New Roman" w:hAnsi="Times New Roman" w:cs="Times New Roman" w:eastAsia="Times New Roman" w:hint="default"/>
        </w:rPr>
        <w:t>3,000 </w:t>
      </w:r>
      <w:r>
        <w:rPr>
          <w:spacing w:val="-4"/>
        </w:rPr>
        <w:t>万的连带保证责任担保。担保期限按银行为江西国科办理单笔授信业务分别计算，即自单笔</w:t>
      </w:r>
      <w:r>
        <w:rPr>
          <w:spacing w:val="-49"/>
        </w:rPr>
        <w:t> </w:t>
      </w:r>
      <w:r>
        <w:rPr>
          <w:spacing w:val="-49"/>
        </w:rPr>
      </w:r>
      <w:r>
        <w:rPr/>
        <w:t>授信业务主合同签订之日起至债务人在该合同项下的债务履行期限届满日后三年止。</w:t>
      </w:r>
    </w:p>
    <w:p>
      <w:pPr>
        <w:spacing w:line="240" w:lineRule="auto" w:before="12"/>
        <w:rPr>
          <w:rFonts w:ascii="宋体" w:hAnsi="宋体" w:cs="宋体" w:eastAsia="宋体" w:hint="default"/>
          <w:sz w:val="20"/>
          <w:szCs w:val="20"/>
        </w:rPr>
      </w:pPr>
    </w:p>
    <w:p>
      <w:pPr>
        <w:pStyle w:val="Heading2"/>
        <w:spacing w:line="240" w:lineRule="auto" w:before="0"/>
        <w:ind w:left="218" w:right="100"/>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1060" w:val="left" w:leader="none"/>
        </w:tabs>
        <w:spacing w:line="240" w:lineRule="auto" w:before="58"/>
        <w:ind w:left="218" w:right="100"/>
        <w:jc w:val="left"/>
      </w:pPr>
      <w:r>
        <w:rPr/>
        <w:t>□适用</w:t>
        <w:tab/>
        <w:t>√不适用</w:t>
      </w:r>
    </w:p>
    <w:p>
      <w:pPr>
        <w:spacing w:line="240" w:lineRule="auto" w:before="12"/>
        <w:rPr>
          <w:rFonts w:ascii="宋体" w:hAnsi="宋体" w:cs="宋体" w:eastAsia="宋体" w:hint="default"/>
          <w:sz w:val="23"/>
          <w:szCs w:val="23"/>
        </w:rPr>
      </w:pPr>
    </w:p>
    <w:p>
      <w:pPr>
        <w:pStyle w:val="Heading2"/>
        <w:spacing w:line="240" w:lineRule="auto" w:before="0"/>
        <w:ind w:left="218" w:right="10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6"/>
        <w:ind w:left="218" w:right="100"/>
        <w:jc w:val="left"/>
      </w:pPr>
      <w:r>
        <w:rPr/>
        <w:t>□适用</w:t>
        <w:tab/>
        <w:t>√不适用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140"/>
        </w:sectPr>
      </w:pPr>
    </w:p>
    <w:p>
      <w:pPr>
        <w:pStyle w:val="Heading2"/>
        <w:tabs>
          <w:tab w:pos="1057" w:val="left" w:leader="none"/>
        </w:tabs>
        <w:spacing w:line="240" w:lineRule="auto"/>
        <w:ind w:left="218" w:right="-16"/>
        <w:jc w:val="left"/>
        <w:rPr>
          <w:b w:val="0"/>
          <w:bCs w:val="0"/>
        </w:rPr>
      </w:pPr>
      <w:r>
        <w:rPr/>
        <w:t>十五、</w:t>
        <w:tab/>
        <w:t>资产负债表日后事项</w:t>
      </w:r>
      <w:r>
        <w:rPr>
          <w:b w:val="0"/>
          <w:bCs w:val="0"/>
        </w:rPr>
      </w:r>
    </w:p>
    <w:p>
      <w:pPr>
        <w:pStyle w:val="Heading2"/>
        <w:spacing w:line="240" w:lineRule="auto" w:before="56"/>
        <w:ind w:left="21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218" w:right="-16"/>
        <w:jc w:val="left"/>
      </w:pPr>
      <w:r>
        <w:rPr/>
        <w:t>□适用 √不适用</w:t>
      </w:r>
    </w:p>
    <w:p>
      <w:pPr>
        <w:pStyle w:val="Heading2"/>
        <w:spacing w:line="240" w:lineRule="auto" w:before="58"/>
        <w:ind w:left="218"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21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2959" w:space="3562"/>
            <w:col w:w="26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32"/>
        <w:gridCol w:w="5192"/>
      </w:tblGrid>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79,735,279.92</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1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79,735,279.92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left="21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0"/>
        <w:ind w:left="218" w:right="0"/>
        <w:jc w:val="both"/>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left="21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32"/>
        <w:ind w:left="218" w:right="0"/>
        <w:jc w:val="both"/>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90" w:lineRule="auto" w:before="0"/>
        <w:ind w:left="21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2"/>
        <w:ind w:left="21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pStyle w:val="BodyText"/>
        <w:spacing w:line="240" w:lineRule="auto" w:before="12"/>
        <w:ind w:left="218" w:right="0"/>
        <w:jc w:val="both"/>
      </w:pPr>
      <w:r>
        <w:rPr/>
        <w:t>□适用 √不适用</w:t>
      </w:r>
    </w:p>
    <w:p>
      <w:pPr>
        <w:spacing w:after="0" w:line="240" w:lineRule="auto"/>
        <w:jc w:val="both"/>
        <w:sectPr>
          <w:type w:val="continuous"/>
          <w:pgSz w:w="11910" w:h="16840"/>
          <w:pgMar w:top="1120" w:bottom="1380" w:left="1580" w:right="1140"/>
        </w:sectPr>
      </w:pP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right="0"/>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2"/>
        <w:tabs>
          <w:tab w:pos="781" w:val="left" w:leader="none"/>
        </w:tabs>
        <w:spacing w:line="240" w:lineRule="auto" w:before="56"/>
        <w:ind w:right="0"/>
        <w:jc w:val="left"/>
        <w:rPr>
          <w:b w:val="0"/>
          <w:bCs w:val="0"/>
        </w:rPr>
      </w:pPr>
      <w:r>
        <w:rPr>
          <w:rFonts w:ascii="宋体" w:hAnsi="宋体" w:cs="宋体" w:eastAsia="宋体" w:hint="default"/>
          <w:w w:val="95"/>
        </w:rPr>
        <w:t>(1).</w:t>
        <w:tab/>
      </w:r>
      <w:r>
        <w:rPr/>
        <w:t>非货币性资产交换</w:t>
      </w:r>
      <w:r>
        <w:rPr>
          <w:b w:val="0"/>
          <w:bCs w:val="0"/>
        </w:rPr>
      </w:r>
    </w:p>
    <w:p>
      <w:pPr>
        <w:pStyle w:val="BodyText"/>
        <w:tabs>
          <w:tab w:pos="980" w:val="left" w:leader="none"/>
        </w:tabs>
        <w:spacing w:line="240" w:lineRule="auto" w:before="135"/>
        <w:ind w:right="0"/>
        <w:jc w:val="left"/>
      </w:pPr>
      <w:r>
        <w:rPr/>
        <w:t>□适用</w:t>
        <w:tab/>
        <w:t>√不适用</w:t>
      </w:r>
    </w:p>
    <w:p>
      <w:pPr>
        <w:spacing w:line="240" w:lineRule="auto" w:before="10"/>
        <w:rPr>
          <w:rFonts w:ascii="宋体" w:hAnsi="宋体" w:cs="宋体" w:eastAsia="宋体" w:hint="default"/>
          <w:sz w:val="23"/>
          <w:szCs w:val="23"/>
        </w:rPr>
      </w:pPr>
    </w:p>
    <w:p>
      <w:pPr>
        <w:pStyle w:val="Heading2"/>
        <w:tabs>
          <w:tab w:pos="781" w:val="left" w:leader="none"/>
        </w:tabs>
        <w:spacing w:line="240" w:lineRule="auto" w:before="0"/>
        <w:ind w:right="0"/>
        <w:jc w:val="left"/>
        <w:rPr>
          <w:b w:val="0"/>
          <w:bCs w:val="0"/>
        </w:rPr>
      </w:pPr>
      <w:r>
        <w:rPr>
          <w:rFonts w:ascii="宋体" w:hAnsi="宋体" w:cs="宋体" w:eastAsia="宋体" w:hint="default"/>
          <w:w w:val="95"/>
        </w:rPr>
        <w:t>(2).</w:t>
        <w:tab/>
      </w:r>
      <w:r>
        <w:rPr/>
        <w:t>其他资产置换</w:t>
      </w:r>
      <w:r>
        <w:rPr>
          <w:b w:val="0"/>
          <w:bCs w:val="0"/>
        </w:rPr>
      </w:r>
    </w:p>
    <w:p>
      <w:pPr>
        <w:pStyle w:val="BodyText"/>
        <w:tabs>
          <w:tab w:pos="980" w:val="left" w:leader="none"/>
        </w:tabs>
        <w:spacing w:line="240" w:lineRule="auto" w:before="56"/>
        <w:ind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9"/>
        <w:ind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120"/>
        </w:sectPr>
      </w:pPr>
    </w:p>
    <w:p>
      <w:pPr>
        <w:pStyle w:val="Heading2"/>
        <w:spacing w:line="240" w:lineRule="auto"/>
        <w:ind w:right="-18"/>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538" w:space="4984"/>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19"/>
        <w:gridCol w:w="1051"/>
        <w:gridCol w:w="1479"/>
        <w:gridCol w:w="1445"/>
        <w:gridCol w:w="466"/>
        <w:gridCol w:w="1769"/>
        <w:gridCol w:w="1766"/>
      </w:tblGrid>
      <w:tr>
        <w:trPr>
          <w:trHeight w:val="710"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费用</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left"/>
              <w:rPr>
                <w:rFonts w:ascii="宋体" w:hAnsi="宋体" w:cs="宋体" w:eastAsia="宋体" w:hint="default"/>
                <w:sz w:val="18"/>
                <w:szCs w:val="18"/>
              </w:rPr>
            </w:pPr>
            <w:r>
              <w:rPr>
                <w:rFonts w:ascii="宋体" w:hAnsi="宋体" w:cs="宋体" w:eastAsia="宋体" w:hint="default"/>
                <w:sz w:val="18"/>
                <w:szCs w:val="18"/>
              </w:rPr>
              <w:t>所得</w:t>
            </w:r>
          </w:p>
          <w:p>
            <w:pPr>
              <w:pStyle w:val="TableParagraph"/>
              <w:spacing w:line="232" w:lineRule="exact" w:before="24"/>
              <w:ind w:left="139" w:right="47" w:hanging="92"/>
              <w:jc w:val="left"/>
              <w:rPr>
                <w:rFonts w:ascii="宋体" w:hAnsi="宋体" w:cs="宋体" w:eastAsia="宋体" w:hint="default"/>
                <w:sz w:val="18"/>
                <w:szCs w:val="18"/>
              </w:rPr>
            </w:pPr>
            <w:r>
              <w:rPr>
                <w:rFonts w:ascii="宋体" w:hAnsi="宋体" w:cs="宋体" w:eastAsia="宋体" w:hint="default"/>
                <w:sz w:val="18"/>
                <w:szCs w:val="18"/>
              </w:rPr>
              <w:t>税费 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7" w:right="67" w:hanging="180"/>
              <w:jc w:val="left"/>
              <w:rPr>
                <w:rFonts w:ascii="宋体" w:hAnsi="宋体" w:cs="宋体" w:eastAsia="宋体" w:hint="default"/>
                <w:sz w:val="18"/>
                <w:szCs w:val="18"/>
              </w:rPr>
            </w:pPr>
            <w:r>
              <w:rPr>
                <w:rFonts w:ascii="宋体" w:hAnsi="宋体" w:cs="宋体" w:eastAsia="宋体" w:hint="default"/>
                <w:sz w:val="18"/>
                <w:szCs w:val="18"/>
              </w:rPr>
              <w:t>归属于母公司所有者 的终止经营利润</w:t>
            </w:r>
          </w:p>
        </w:tc>
      </w:tr>
      <w:tr>
        <w:trPr>
          <w:trHeight w:val="943"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33"/>
                <w:sz w:val="18"/>
                <w:szCs w:val="18"/>
              </w:rPr>
              <w:t>江西泰豪</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2" w:lineRule="exact" w:before="24"/>
              <w:ind w:left="26" w:right="-20"/>
              <w:jc w:val="both"/>
              <w:rPr>
                <w:rFonts w:ascii="宋体" w:hAnsi="宋体" w:cs="宋体" w:eastAsia="宋体" w:hint="default"/>
                <w:sz w:val="18"/>
                <w:szCs w:val="18"/>
              </w:rPr>
            </w:pPr>
            <w:r>
              <w:rPr>
                <w:rFonts w:ascii="宋体" w:hAnsi="宋体" w:cs="宋体" w:eastAsia="宋体" w:hint="default"/>
                <w:spacing w:val="33"/>
                <w:sz w:val="18"/>
                <w:szCs w:val="18"/>
              </w:rPr>
              <w:t>科技进出</w:t>
            </w:r>
            <w:r>
              <w:rPr>
                <w:rFonts w:ascii="宋体" w:hAnsi="宋体" w:cs="宋体" w:eastAsia="宋体" w:hint="default"/>
                <w:spacing w:val="-87"/>
                <w:sz w:val="18"/>
                <w:szCs w:val="18"/>
              </w:rPr>
              <w:t> </w:t>
            </w:r>
            <w:r>
              <w:rPr>
                <w:rFonts w:ascii="宋体" w:hAnsi="宋体" w:cs="宋体" w:eastAsia="宋体" w:hint="default"/>
                <w:spacing w:val="33"/>
                <w:sz w:val="18"/>
                <w:szCs w:val="18"/>
              </w:rPr>
              <w:t>口有限公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5,804,634.6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0" w:right="0"/>
              <w:jc w:val="left"/>
              <w:rPr>
                <w:rFonts w:ascii="宋体" w:hAnsi="宋体" w:cs="宋体" w:eastAsia="宋体" w:hint="default"/>
                <w:sz w:val="18"/>
                <w:szCs w:val="18"/>
              </w:rPr>
            </w:pPr>
            <w:r>
              <w:rPr>
                <w:rFonts w:ascii="宋体"/>
                <w:sz w:val="18"/>
              </w:rPr>
              <w:t>6,339,064.82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9" w:right="0"/>
              <w:jc w:val="left"/>
              <w:rPr>
                <w:rFonts w:ascii="宋体" w:hAnsi="宋体" w:cs="宋体" w:eastAsia="宋体" w:hint="default"/>
                <w:sz w:val="18"/>
                <w:szCs w:val="18"/>
              </w:rPr>
            </w:pPr>
            <w:r>
              <w:rPr>
                <w:rFonts w:ascii="宋体"/>
                <w:sz w:val="18"/>
              </w:rPr>
              <w:t>-534,430.22</w:t>
            </w:r>
          </w:p>
        </w:tc>
        <w:tc>
          <w:tcPr>
            <w:tcW w:w="46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61" w:right="0"/>
              <w:jc w:val="left"/>
              <w:rPr>
                <w:rFonts w:ascii="宋体" w:hAnsi="宋体" w:cs="宋体" w:eastAsia="宋体" w:hint="default"/>
                <w:sz w:val="18"/>
                <w:szCs w:val="18"/>
              </w:rPr>
            </w:pPr>
            <w:r>
              <w:rPr>
                <w:rFonts w:ascii="宋体"/>
                <w:sz w:val="18"/>
              </w:rPr>
              <w:t>46,183,328.21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46,183,328.21</w:t>
            </w:r>
          </w:p>
        </w:tc>
      </w:tr>
      <w:tr>
        <w:trPr>
          <w:trHeight w:val="711"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20"/>
              <w:jc w:val="left"/>
              <w:rPr>
                <w:rFonts w:ascii="宋体" w:hAnsi="宋体" w:cs="宋体" w:eastAsia="宋体" w:hint="default"/>
                <w:sz w:val="18"/>
                <w:szCs w:val="18"/>
              </w:rPr>
            </w:pPr>
            <w:r>
              <w:rPr>
                <w:rFonts w:ascii="宋体" w:hAnsi="宋体" w:cs="宋体" w:eastAsia="宋体" w:hint="default"/>
                <w:spacing w:val="33"/>
                <w:sz w:val="18"/>
                <w:szCs w:val="18"/>
              </w:rPr>
              <w:t>江西希望</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2" w:lineRule="exact" w:before="24"/>
              <w:ind w:left="26" w:right="-20"/>
              <w:jc w:val="left"/>
              <w:rPr>
                <w:rFonts w:ascii="宋体" w:hAnsi="宋体" w:cs="宋体" w:eastAsia="宋体" w:hint="default"/>
                <w:sz w:val="18"/>
                <w:szCs w:val="18"/>
              </w:rPr>
            </w:pPr>
            <w:r>
              <w:rPr>
                <w:rFonts w:ascii="宋体" w:hAnsi="宋体" w:cs="宋体" w:eastAsia="宋体" w:hint="default"/>
                <w:spacing w:val="33"/>
                <w:sz w:val="18"/>
                <w:szCs w:val="18"/>
              </w:rPr>
              <w:t>科技有限</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1051"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sz w:val="18"/>
              </w:rPr>
              <w:t>11,433,380.57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11,433,380.57</w:t>
            </w:r>
          </w:p>
        </w:tc>
      </w:tr>
    </w:tbl>
    <w:p>
      <w:pPr>
        <w:spacing w:line="240" w:lineRule="auto" w:before="4"/>
        <w:rPr>
          <w:rFonts w:ascii="宋体" w:hAnsi="宋体" w:cs="宋体" w:eastAsia="宋体" w:hint="default"/>
          <w:sz w:val="22"/>
          <w:szCs w:val="22"/>
        </w:rPr>
      </w:pPr>
    </w:p>
    <w:p>
      <w:pPr>
        <w:pStyle w:val="Heading2"/>
        <w:spacing w:line="240" w:lineRule="auto"/>
        <w:ind w:right="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2"/>
        <w:tabs>
          <w:tab w:pos="781" w:val="left" w:leader="none"/>
        </w:tabs>
        <w:spacing w:line="240" w:lineRule="auto" w:before="58"/>
        <w:ind w:right="0"/>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tabs>
          <w:tab w:pos="884" w:val="left" w:leader="none"/>
        </w:tabs>
        <w:spacing w:line="272" w:lineRule="exact" w:before="84"/>
        <w:ind w:right="573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、分部报告的确定依据与会计政策</w:t>
      </w:r>
    </w:p>
    <w:p>
      <w:pPr>
        <w:pStyle w:val="BodyText"/>
        <w:spacing w:line="273" w:lineRule="auto" w:before="14"/>
        <w:ind w:right="0"/>
        <w:jc w:val="left"/>
      </w:pPr>
      <w:r>
        <w:rPr>
          <w:spacing w:val="-1"/>
        </w:rPr>
        <w:t>本公司根据产品所属的细分行业，以内部组织结构、管理要求、内部报告制度为依据确定经营分</w:t>
      </w:r>
      <w:r>
        <w:rPr>
          <w:spacing w:val="-55"/>
        </w:rPr>
        <w:t> </w:t>
      </w:r>
      <w:r>
        <w:rPr>
          <w:spacing w:val="-55"/>
        </w:rPr>
      </w:r>
      <w:r>
        <w:rPr/>
        <w:t>部，以经营分部为基础确定报告分部。经营分部，是指公司内同时满足下列条件的组成部分：</w:t>
      </w:r>
    </w:p>
    <w:p>
      <w:pPr>
        <w:pStyle w:val="BodyText"/>
        <w:spacing w:line="240" w:lineRule="auto" w:before="10"/>
        <w:ind w:right="0"/>
        <w:jc w:val="left"/>
      </w:pPr>
      <w:r>
        <w:rPr/>
        <w:t>（</w:t>
      </w: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22"/>
        <w:ind w:right="0"/>
        <w:jc w:val="left"/>
      </w:pPr>
      <w:r>
        <w:rPr/>
        <w:t>（</w:t>
      </w:r>
      <w:r>
        <w:rPr>
          <w:rFonts w:ascii="Times New Roman" w:hAnsi="Times New Roman" w:cs="Times New Roman" w:eastAsia="Times New Roman" w:hint="default"/>
        </w:rPr>
        <w:t>2</w:t>
      </w:r>
      <w:r>
        <w:rPr/>
        <w:t>）公司管理层能够定期评价该组成部分的经营成果，以决定向其配置资源、评价其业绩；</w:t>
      </w:r>
    </w:p>
    <w:p>
      <w:pPr>
        <w:pStyle w:val="BodyText"/>
        <w:spacing w:line="266" w:lineRule="auto" w:before="23"/>
        <w:ind w:right="0"/>
        <w:jc w:val="left"/>
      </w:pPr>
      <w:r>
        <w:rPr/>
        <w:t>（</w:t>
      </w:r>
      <w:r>
        <w:rPr>
          <w:rFonts w:ascii="Times New Roman" w:hAnsi="Times New Roman" w:cs="Times New Roman" w:eastAsia="Times New Roman" w:hint="default"/>
        </w:rPr>
        <w:t>3</w:t>
      </w:r>
      <w:r>
        <w:rPr/>
        <w:t>）公司能够取得该组成部分的财务状况、经营成果和现金流量等有关会计信息。</w:t>
      </w:r>
      <w:r>
        <w:rPr>
          <w:w w:val="100"/>
        </w:rPr>
        <w:t> </w:t>
      </w:r>
      <w:r>
        <w:rPr>
          <w:spacing w:val="-1"/>
        </w:rPr>
        <w:t>如果两个或多个经营分部存在相似经济特征且同时在以下方面具有相同或相似性的，可以合并为</w:t>
      </w:r>
      <w:r>
        <w:rPr>
          <w:spacing w:val="-55"/>
        </w:rPr>
        <w:t> </w:t>
      </w:r>
      <w:r>
        <w:rPr>
          <w:spacing w:val="-55"/>
        </w:rPr>
      </w:r>
      <w:r>
        <w:rPr/>
        <w:t>一个经营分部：</w:t>
      </w:r>
    </w:p>
    <w:p>
      <w:pPr>
        <w:pStyle w:val="BodyText"/>
        <w:spacing w:line="240" w:lineRule="auto" w:before="14"/>
        <w:ind w:right="0"/>
        <w:jc w:val="left"/>
      </w:pPr>
      <w:r>
        <w:rPr/>
        <w:t>（</w:t>
      </w:r>
      <w:r>
        <w:rPr>
          <w:rFonts w:ascii="Times New Roman" w:hAnsi="Times New Roman" w:cs="Times New Roman" w:eastAsia="Times New Roman" w:hint="default"/>
        </w:rPr>
        <w:t>1</w:t>
      </w:r>
      <w:r>
        <w:rPr/>
        <w:t>）各单项产品或劳务的性质；</w:t>
      </w:r>
    </w:p>
    <w:p>
      <w:pPr>
        <w:pStyle w:val="BodyText"/>
        <w:spacing w:line="240" w:lineRule="auto" w:before="23"/>
        <w:ind w:right="0"/>
        <w:jc w:val="left"/>
      </w:pPr>
      <w:r>
        <w:rPr/>
        <w:t>（</w:t>
      </w:r>
      <w:r>
        <w:rPr>
          <w:rFonts w:ascii="Times New Roman" w:hAnsi="Times New Roman" w:cs="Times New Roman" w:eastAsia="Times New Roman" w:hint="default"/>
        </w:rPr>
        <w:t>2</w:t>
      </w:r>
      <w:r>
        <w:rPr/>
        <w:t>）生产过程的性质；</w:t>
      </w:r>
    </w:p>
    <w:p>
      <w:pPr>
        <w:pStyle w:val="BodyText"/>
        <w:spacing w:line="240" w:lineRule="auto" w:before="21"/>
        <w:ind w:right="0"/>
        <w:jc w:val="left"/>
      </w:pPr>
      <w:r>
        <w:rPr/>
        <w:t>（</w:t>
      </w:r>
      <w:r>
        <w:rPr>
          <w:rFonts w:ascii="Times New Roman" w:hAnsi="Times New Roman" w:cs="Times New Roman" w:eastAsia="Times New Roman" w:hint="default"/>
        </w:rPr>
        <w:t>3</w:t>
      </w:r>
      <w:r>
        <w:rPr/>
        <w:t>）产品或劳务的客户类型；</w:t>
      </w:r>
    </w:p>
    <w:p>
      <w:pPr>
        <w:pStyle w:val="BodyText"/>
        <w:spacing w:line="240" w:lineRule="auto" w:before="23"/>
        <w:ind w:right="0"/>
        <w:jc w:val="left"/>
      </w:pPr>
      <w:r>
        <w:rPr/>
        <w:t>（</w:t>
      </w:r>
      <w:r>
        <w:rPr>
          <w:rFonts w:ascii="Times New Roman" w:hAnsi="Times New Roman" w:cs="Times New Roman" w:eastAsia="Times New Roman" w:hint="default"/>
        </w:rPr>
        <w:t>4</w:t>
      </w:r>
      <w:r>
        <w:rPr/>
        <w:t>）销售产品或提供劳务的方式；</w:t>
      </w:r>
    </w:p>
    <w:p>
      <w:pPr>
        <w:pStyle w:val="BodyText"/>
        <w:spacing w:line="240" w:lineRule="auto" w:before="21"/>
        <w:ind w:right="0"/>
        <w:jc w:val="left"/>
      </w:pPr>
      <w:r>
        <w:rPr/>
        <w:t>（</w:t>
      </w:r>
      <w:r>
        <w:rPr>
          <w:rFonts w:ascii="Times New Roman" w:hAnsi="Times New Roman" w:cs="Times New Roman" w:eastAsia="Times New Roman" w:hint="default"/>
        </w:rPr>
        <w:t>5</w:t>
      </w:r>
      <w:r>
        <w:rPr/>
        <w:t>）生产产品及提供劳务受法律、行政法规的影响。</w:t>
      </w:r>
    </w:p>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pStyle w:val="Heading2"/>
        <w:tabs>
          <w:tab w:pos="781" w:val="left" w:leader="none"/>
        </w:tabs>
        <w:spacing w:line="240" w:lineRule="auto"/>
        <w:ind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980" w:val="left" w:leader="none"/>
        </w:tabs>
        <w:spacing w:line="240" w:lineRule="auto" w:before="56"/>
        <w:ind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683" w:space="3839"/>
            <w:col w:w="260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207"/>
        <w:gridCol w:w="1630"/>
        <w:gridCol w:w="1526"/>
        <w:gridCol w:w="1371"/>
        <w:gridCol w:w="1527"/>
        <w:gridCol w:w="1630"/>
      </w:tblGrid>
      <w:tr>
        <w:trPr>
          <w:trHeight w:val="28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7" w:right="0"/>
              <w:jc w:val="left"/>
              <w:rPr>
                <w:rFonts w:ascii="宋体" w:hAnsi="宋体" w:cs="宋体" w:eastAsia="宋体" w:hint="default"/>
                <w:sz w:val="21"/>
                <w:szCs w:val="21"/>
              </w:rPr>
            </w:pPr>
            <w:r>
              <w:rPr>
                <w:rFonts w:ascii="宋体" w:hAnsi="宋体" w:cs="宋体" w:eastAsia="宋体" w:hint="default"/>
                <w:sz w:val="21"/>
                <w:szCs w:val="21"/>
              </w:rPr>
              <w:t>智慧能源业务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军工装备业务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0"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
              <w:jc w:val="left"/>
              <w:rPr>
                <w:rFonts w:ascii="宋体" w:hAnsi="宋体" w:cs="宋体" w:eastAsia="宋体" w:hint="default"/>
                <w:sz w:val="21"/>
                <w:szCs w:val="21"/>
              </w:rPr>
            </w:pPr>
            <w:r>
              <w:rPr>
                <w:rFonts w:ascii="宋体" w:hAnsi="宋体" w:cs="宋体" w:eastAsia="宋体" w:hint="default"/>
                <w:spacing w:val="18"/>
                <w:sz w:val="21"/>
                <w:szCs w:val="21"/>
              </w:rPr>
              <w:t>一、主营业</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务收入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5,084,402,057.56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686,210,942.54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6"/>
              <w:jc w:val="right"/>
              <w:rPr>
                <w:rFonts w:ascii="Times New Roman" w:hAnsi="Times New Roman" w:cs="Times New Roman" w:eastAsia="Times New Roman" w:hint="default"/>
                <w:sz w:val="21"/>
                <w:szCs w:val="21"/>
              </w:rPr>
            </w:pPr>
            <w:r>
              <w:rPr>
                <w:rFonts w:ascii="Times New Roman"/>
                <w:w w:val="100"/>
                <w:sz w:val="21"/>
              </w:rPr>
              <w:t>-</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669,994,835.45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5,100,618,164.65</w:t>
            </w:r>
          </w:p>
        </w:tc>
      </w:tr>
      <w:tr>
        <w:trPr>
          <w:trHeight w:val="5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
              <w:jc w:val="left"/>
              <w:rPr>
                <w:rFonts w:ascii="宋体" w:hAnsi="宋体" w:cs="宋体" w:eastAsia="宋体" w:hint="default"/>
                <w:sz w:val="21"/>
                <w:szCs w:val="21"/>
              </w:rPr>
            </w:pPr>
            <w:r>
              <w:rPr>
                <w:rFonts w:ascii="宋体" w:hAnsi="宋体" w:cs="宋体" w:eastAsia="宋体" w:hint="default"/>
                <w:spacing w:val="18"/>
                <w:sz w:val="21"/>
                <w:szCs w:val="21"/>
              </w:rPr>
              <w:t>二、主营业</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务成本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4,380,576,596.69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538,258,524.68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6"/>
              <w:jc w:val="right"/>
              <w:rPr>
                <w:rFonts w:ascii="Times New Roman" w:hAnsi="Times New Roman" w:cs="Times New Roman" w:eastAsia="Times New Roman" w:hint="default"/>
                <w:sz w:val="21"/>
                <w:szCs w:val="21"/>
              </w:rPr>
            </w:pPr>
            <w:r>
              <w:rPr>
                <w:rFonts w:ascii="Times New Roman"/>
                <w:w w:val="100"/>
                <w:sz w:val="21"/>
              </w:rPr>
              <w:t>-</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669,500,808.48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4,249,334,312.89</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
              <w:jc w:val="left"/>
              <w:rPr>
                <w:rFonts w:ascii="宋体" w:hAnsi="宋体" w:cs="宋体" w:eastAsia="宋体" w:hint="default"/>
                <w:sz w:val="21"/>
                <w:szCs w:val="21"/>
              </w:rPr>
            </w:pPr>
            <w:r>
              <w:rPr>
                <w:rFonts w:ascii="宋体" w:hAnsi="宋体" w:cs="宋体" w:eastAsia="宋体" w:hint="default"/>
                <w:spacing w:val="18"/>
                <w:sz w:val="21"/>
                <w:szCs w:val="21"/>
              </w:rPr>
              <w:t>三、对联营</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23" w:right="-3"/>
              <w:jc w:val="left"/>
              <w:rPr>
                <w:rFonts w:ascii="宋体" w:hAnsi="宋体" w:cs="宋体" w:eastAsia="宋体" w:hint="default"/>
                <w:sz w:val="21"/>
                <w:szCs w:val="21"/>
              </w:rPr>
            </w:pPr>
            <w:r>
              <w:rPr>
                <w:rFonts w:ascii="宋体" w:hAnsi="宋体" w:cs="宋体" w:eastAsia="宋体" w:hint="default"/>
                <w:spacing w:val="18"/>
                <w:sz w:val="21"/>
                <w:szCs w:val="21"/>
              </w:rPr>
              <w:t>和合营企业</w:t>
            </w:r>
            <w:r>
              <w:rPr>
                <w:rFonts w:ascii="宋体" w:hAnsi="宋体" w:cs="宋体" w:eastAsia="宋体" w:hint="default"/>
                <w:spacing w:val="-94"/>
                <w:sz w:val="21"/>
                <w:szCs w:val="21"/>
              </w:rPr>
              <w:t> </w:t>
            </w:r>
            <w:r>
              <w:rPr>
                <w:rFonts w:ascii="宋体" w:hAnsi="宋体" w:cs="宋体" w:eastAsia="宋体" w:hint="default"/>
                <w:sz w:val="21"/>
                <w:szCs w:val="21"/>
              </w:rPr>
              <w:t>的投资收益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24,051,207.53</w:t>
            </w:r>
          </w:p>
        </w:tc>
        <w:tc>
          <w:tcPr>
            <w:tcW w:w="15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24,051,207.53</w:t>
            </w:r>
          </w:p>
        </w:tc>
      </w:tr>
      <w:tr>
        <w:trPr>
          <w:trHeight w:val="5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
              <w:jc w:val="left"/>
              <w:rPr>
                <w:rFonts w:ascii="宋体" w:hAnsi="宋体" w:cs="宋体" w:eastAsia="宋体" w:hint="default"/>
                <w:sz w:val="21"/>
                <w:szCs w:val="21"/>
              </w:rPr>
            </w:pPr>
            <w:r>
              <w:rPr>
                <w:rFonts w:ascii="宋体" w:hAnsi="宋体" w:cs="宋体" w:eastAsia="宋体" w:hint="default"/>
                <w:spacing w:val="18"/>
                <w:sz w:val="21"/>
                <w:szCs w:val="21"/>
              </w:rPr>
              <w:t>四、资产减</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值损失</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79,751,931.21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617,313.55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14,743.94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80,383,988.70</w:t>
            </w:r>
          </w:p>
        </w:tc>
      </w:tr>
      <w:tr>
        <w:trPr>
          <w:trHeight w:val="5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
              <w:jc w:val="left"/>
              <w:rPr>
                <w:rFonts w:ascii="宋体" w:hAnsi="宋体" w:cs="宋体" w:eastAsia="宋体" w:hint="default"/>
                <w:sz w:val="21"/>
                <w:szCs w:val="21"/>
              </w:rPr>
            </w:pPr>
            <w:r>
              <w:rPr>
                <w:rFonts w:ascii="宋体" w:hAnsi="宋体" w:cs="宋体" w:eastAsia="宋体" w:hint="default"/>
                <w:spacing w:val="18"/>
                <w:sz w:val="21"/>
                <w:szCs w:val="21"/>
              </w:rPr>
              <w:t>五、折旧费</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和摊销费</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73,923,153.60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26,592,421.06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50,004.79</w:t>
            </w:r>
          </w:p>
        </w:tc>
        <w:tc>
          <w:tcPr>
            <w:tcW w:w="152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100,565,579.45</w:t>
            </w:r>
          </w:p>
        </w:tc>
      </w:tr>
      <w:tr>
        <w:trPr>
          <w:trHeight w:val="555"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3"/>
              <w:jc w:val="left"/>
              <w:rPr>
                <w:rFonts w:ascii="宋体" w:hAnsi="宋体" w:cs="宋体" w:eastAsia="宋体" w:hint="default"/>
                <w:sz w:val="21"/>
                <w:szCs w:val="21"/>
              </w:rPr>
            </w:pPr>
            <w:r>
              <w:rPr>
                <w:rFonts w:ascii="宋体" w:hAnsi="宋体" w:cs="宋体" w:eastAsia="宋体" w:hint="default"/>
                <w:spacing w:val="18"/>
                <w:sz w:val="21"/>
                <w:szCs w:val="21"/>
              </w:rPr>
              <w:t>六、利润总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
              <w:jc w:val="right"/>
              <w:rPr>
                <w:rFonts w:ascii="Times New Roman" w:hAnsi="Times New Roman" w:cs="Times New Roman" w:eastAsia="Times New Roman" w:hint="default"/>
                <w:sz w:val="21"/>
                <w:szCs w:val="21"/>
              </w:rPr>
            </w:pPr>
            <w:r>
              <w:rPr>
                <w:rFonts w:ascii="Times New Roman"/>
                <w:spacing w:val="-1"/>
                <w:sz w:val="21"/>
              </w:rPr>
              <w:t>233,162,381.26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73,606,748.99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2,009,346.50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
              <w:jc w:val="right"/>
              <w:rPr>
                <w:rFonts w:ascii="Times New Roman" w:hAnsi="Times New Roman" w:cs="Times New Roman" w:eastAsia="Times New Roman" w:hint="default"/>
                <w:sz w:val="21"/>
                <w:szCs w:val="21"/>
              </w:rPr>
            </w:pPr>
            <w:r>
              <w:rPr>
                <w:rFonts w:ascii="Times New Roman"/>
                <w:spacing w:val="-1"/>
                <w:sz w:val="21"/>
              </w:rPr>
              <w:t>4,927,374.14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303,851,102.61</w:t>
            </w:r>
          </w:p>
        </w:tc>
      </w:tr>
      <w:tr>
        <w:trPr>
          <w:trHeight w:val="5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
              <w:jc w:val="left"/>
              <w:rPr>
                <w:rFonts w:ascii="宋体" w:hAnsi="宋体" w:cs="宋体" w:eastAsia="宋体" w:hint="default"/>
                <w:sz w:val="21"/>
                <w:szCs w:val="21"/>
              </w:rPr>
            </w:pPr>
            <w:r>
              <w:rPr>
                <w:rFonts w:ascii="宋体" w:hAnsi="宋体" w:cs="宋体" w:eastAsia="宋体" w:hint="default"/>
                <w:spacing w:val="18"/>
                <w:sz w:val="21"/>
                <w:szCs w:val="21"/>
              </w:rPr>
              <w:t>七、所得税</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29,872,585.30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16,298,878.31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-880,116.89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765,566.48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44,525,780.24</w:t>
            </w:r>
          </w:p>
        </w:tc>
      </w:tr>
      <w:tr>
        <w:trPr>
          <w:trHeight w:val="28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center"/>
              <w:rPr>
                <w:rFonts w:ascii="宋体" w:hAnsi="宋体" w:cs="宋体" w:eastAsia="宋体" w:hint="default"/>
                <w:sz w:val="21"/>
                <w:szCs w:val="21"/>
              </w:rPr>
            </w:pPr>
            <w:r>
              <w:rPr>
                <w:rFonts w:ascii="宋体" w:hAnsi="宋体" w:cs="宋体" w:eastAsia="宋体" w:hint="default"/>
                <w:sz w:val="21"/>
                <w:szCs w:val="21"/>
              </w:rPr>
              <w:t>八、净利润</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203,289,795.96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57,307,870.68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2,889,463.39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4,161,807.66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259,325,322.37</w:t>
            </w:r>
          </w:p>
        </w:tc>
      </w:tr>
      <w:tr>
        <w:trPr>
          <w:trHeight w:val="5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
              <w:jc w:val="left"/>
              <w:rPr>
                <w:rFonts w:ascii="宋体" w:hAnsi="宋体" w:cs="宋体" w:eastAsia="宋体" w:hint="default"/>
                <w:sz w:val="21"/>
                <w:szCs w:val="21"/>
              </w:rPr>
            </w:pPr>
            <w:r>
              <w:rPr>
                <w:rFonts w:ascii="宋体" w:hAnsi="宋体" w:cs="宋体" w:eastAsia="宋体" w:hint="default"/>
                <w:spacing w:val="18"/>
                <w:sz w:val="21"/>
                <w:szCs w:val="21"/>
              </w:rPr>
              <w:t>九、资产总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12,321,985,361.78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1,318,620,963.45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163,898,072.69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3,290,550,150.78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10,513,954,247.14</w:t>
            </w:r>
          </w:p>
        </w:tc>
      </w:tr>
      <w:tr>
        <w:trPr>
          <w:trHeight w:val="5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
              <w:jc w:val="left"/>
              <w:rPr>
                <w:rFonts w:ascii="宋体" w:hAnsi="宋体" w:cs="宋体" w:eastAsia="宋体" w:hint="default"/>
                <w:sz w:val="21"/>
                <w:szCs w:val="21"/>
              </w:rPr>
            </w:pPr>
            <w:r>
              <w:rPr>
                <w:rFonts w:ascii="宋体" w:hAnsi="宋体" w:cs="宋体" w:eastAsia="宋体" w:hint="default"/>
                <w:spacing w:val="18"/>
                <w:sz w:val="21"/>
                <w:szCs w:val="21"/>
              </w:rPr>
              <w:t>十、负债总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7,495,953,878.34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896,257,752.71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11,755,282.99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1,770,834,476.32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6,633,132,437.72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2"/>
        <w:tabs>
          <w:tab w:pos="781" w:val="left" w:leader="none"/>
        </w:tabs>
        <w:spacing w:line="240" w:lineRule="auto"/>
        <w:ind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980" w:val="left" w:leader="none"/>
        </w:tabs>
        <w:spacing w:line="240" w:lineRule="auto" w:before="56"/>
        <w:ind w:right="0"/>
        <w:jc w:val="left"/>
      </w:pPr>
      <w:r>
        <w:rPr/>
        <w:t>□适用</w:t>
        <w:tab/>
        <w:t>√不适用</w:t>
      </w:r>
    </w:p>
    <w:p>
      <w:pPr>
        <w:spacing w:line="240" w:lineRule="auto" w:before="11"/>
        <w:rPr>
          <w:rFonts w:ascii="宋体" w:hAnsi="宋体" w:cs="宋体" w:eastAsia="宋体" w:hint="default"/>
          <w:sz w:val="22"/>
          <w:szCs w:val="22"/>
        </w:rPr>
      </w:pPr>
    </w:p>
    <w:p>
      <w:pPr>
        <w:pStyle w:val="Heading2"/>
        <w:tabs>
          <w:tab w:pos="781" w:val="left" w:leader="none"/>
        </w:tabs>
        <w:spacing w:line="240" w:lineRule="auto" w:before="0"/>
        <w:ind w:right="0"/>
        <w:jc w:val="left"/>
        <w:rPr>
          <w:b w:val="0"/>
          <w:bCs w:val="0"/>
        </w:rPr>
      </w:pPr>
      <w:r>
        <w:rPr>
          <w:rFonts w:ascii="宋体" w:hAnsi="宋体" w:cs="宋体" w:eastAsia="宋体" w:hint="default"/>
          <w:w w:val="95"/>
        </w:rPr>
        <w:t>(4).</w:t>
        <w:tab/>
      </w:r>
      <w:r>
        <w:rPr/>
        <w:t>其他说明：</w:t>
      </w:r>
      <w:r>
        <w:rPr>
          <w:b w:val="0"/>
          <w:bCs w:val="0"/>
        </w:rPr>
      </w:r>
    </w:p>
    <w:p>
      <w:pPr>
        <w:pStyle w:val="BodyText"/>
        <w:tabs>
          <w:tab w:pos="980" w:val="left" w:leader="none"/>
        </w:tabs>
        <w:spacing w:line="240" w:lineRule="auto" w:before="58"/>
        <w:ind w:right="0"/>
        <w:jc w:val="left"/>
      </w:pPr>
      <w:r>
        <w:rPr/>
        <w:t>□适用</w:t>
        <w:tab/>
        <w:t>√不适用</w:t>
      </w:r>
    </w:p>
    <w:p>
      <w:pPr>
        <w:spacing w:line="240" w:lineRule="auto" w:before="11"/>
        <w:rPr>
          <w:rFonts w:ascii="宋体" w:hAnsi="宋体" w:cs="宋体" w:eastAsia="宋体" w:hint="default"/>
          <w:sz w:val="22"/>
          <w:szCs w:val="22"/>
        </w:rPr>
      </w:pPr>
    </w:p>
    <w:p>
      <w:pPr>
        <w:pStyle w:val="Heading2"/>
        <w:spacing w:line="240" w:lineRule="auto" w:before="0"/>
        <w:ind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tabs>
          <w:tab w:pos="884" w:val="left" w:leader="none"/>
        </w:tabs>
        <w:spacing w:line="287" w:lineRule="exact" w:before="133"/>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35" w:lineRule="auto" w:before="1"/>
        <w:ind w:right="148"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日，公司第六届董事会第九次会议审议通过了《关于全资子公司泰豪软件股</w:t>
      </w:r>
      <w:r>
        <w:rPr>
          <w:w w:val="100"/>
        </w:rPr>
        <w:t> </w:t>
      </w:r>
      <w:r>
        <w:rPr>
          <w:spacing w:val="-6"/>
          <w:w w:val="100"/>
        </w:rPr>
        <w:t>份有限公司拟解散其控股子公司杭州乾龙伟业电器成套有限公司的议案》。为整合资源、降低投资</w:t>
      </w:r>
      <w:r>
        <w:rPr>
          <w:w w:val="100"/>
        </w:rPr>
        <w:t> </w:t>
      </w:r>
      <w:r>
        <w:rPr>
          <w:spacing w:val="-1"/>
        </w:rPr>
        <w:t>风险、提高运营效率，公司全资子公司泰豪软件股份有限公司拟解散其控股子公司杭州乾龙伟业</w:t>
      </w:r>
      <w:r>
        <w:rPr>
          <w:spacing w:val="-55"/>
        </w:rPr>
        <w:t> </w:t>
      </w:r>
      <w:r>
        <w:rPr>
          <w:spacing w:val="-55"/>
        </w:rPr>
      </w:r>
      <w:r>
        <w:rPr/>
        <w:t>电器成套有限公司。截至审计报告日，该事项尚在办理中。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6"/>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884" w:val="left" w:leader="none"/>
        </w:tabs>
        <w:spacing w:line="282" w:lineRule="exact" w:before="56"/>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4" w:lineRule="exact"/>
        <w:ind w:left="558" w:right="0"/>
        <w:jc w:val="left"/>
      </w:pPr>
      <w:r>
        <w:rPr>
          <w:w w:val="100"/>
        </w:rPr>
        <w:t>根据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第</w:t>
      </w:r>
      <w:r>
        <w:rPr>
          <w:w w:val="100"/>
        </w:rPr>
        <w:t>三</w:t>
      </w:r>
      <w:r>
        <w:rPr>
          <w:spacing w:val="-3"/>
          <w:w w:val="100"/>
        </w:rPr>
        <w:t>次临</w:t>
      </w:r>
      <w:r>
        <w:rPr>
          <w:w w:val="100"/>
        </w:rPr>
        <w:t>时股</w:t>
      </w:r>
      <w:r>
        <w:rPr>
          <w:spacing w:val="-3"/>
          <w:w w:val="100"/>
        </w:rPr>
        <w:t>东</w:t>
      </w:r>
      <w:r>
        <w:rPr>
          <w:w w:val="100"/>
        </w:rPr>
        <w:t>大</w:t>
      </w:r>
      <w:r>
        <w:rPr>
          <w:spacing w:val="-3"/>
          <w:w w:val="100"/>
        </w:rPr>
        <w:t>会</w:t>
      </w:r>
      <w:r>
        <w:rPr>
          <w:w w:val="100"/>
        </w:rPr>
        <w:t>审</w:t>
      </w:r>
      <w:r>
        <w:rPr>
          <w:spacing w:val="-3"/>
          <w:w w:val="100"/>
        </w:rPr>
        <w:t>议</w:t>
      </w:r>
      <w:r>
        <w:rPr>
          <w:w w:val="100"/>
        </w:rPr>
        <w:t>通</w:t>
      </w:r>
      <w:r>
        <w:rPr>
          <w:spacing w:val="-3"/>
          <w:w w:val="100"/>
        </w:rPr>
        <w:t>过</w:t>
      </w:r>
      <w:r>
        <w:rPr>
          <w:spacing w:val="-94"/>
          <w:w w:val="100"/>
        </w:rPr>
        <w:t>的</w:t>
      </w:r>
      <w:r>
        <w:rPr>
          <w:w w:val="100"/>
        </w:rPr>
        <w:t>《</w:t>
      </w:r>
      <w:r>
        <w:rPr>
          <w:spacing w:val="-3"/>
          <w:w w:val="100"/>
        </w:rPr>
        <w:t>关</w:t>
      </w:r>
      <w:r>
        <w:rPr>
          <w:w w:val="100"/>
        </w:rPr>
        <w:t>于回</w:t>
      </w:r>
      <w:r>
        <w:rPr>
          <w:spacing w:val="-3"/>
          <w:w w:val="100"/>
        </w:rPr>
        <w:t>购</w:t>
      </w:r>
      <w:r>
        <w:rPr>
          <w:w w:val="100"/>
        </w:rPr>
        <w:t>公</w:t>
      </w:r>
      <w:r>
        <w:rPr>
          <w:spacing w:val="-3"/>
          <w:w w:val="100"/>
        </w:rPr>
        <w:t>司</w:t>
      </w:r>
      <w:r>
        <w:rPr>
          <w:w w:val="100"/>
        </w:rPr>
        <w:t>股</w:t>
      </w:r>
      <w:r>
        <w:rPr>
          <w:spacing w:val="-3"/>
          <w:w w:val="100"/>
        </w:rPr>
        <w:t>份</w:t>
      </w:r>
      <w:r>
        <w:rPr>
          <w:w w:val="100"/>
        </w:rPr>
        <w:t>以</w:t>
      </w:r>
      <w:r>
        <w:rPr>
          <w:spacing w:val="-3"/>
          <w:w w:val="100"/>
        </w:rPr>
        <w:t>实</w:t>
      </w:r>
      <w:r>
        <w:rPr>
          <w:w w:val="100"/>
        </w:rPr>
        <w:t>施</w:t>
      </w:r>
      <w:r>
        <w:rPr>
          <w:spacing w:val="-3"/>
          <w:w w:val="100"/>
        </w:rPr>
        <w:t>股</w:t>
      </w:r>
      <w:r>
        <w:rPr>
          <w:w w:val="100"/>
        </w:rPr>
        <w:t>权激</w:t>
      </w:r>
      <w:r>
        <w:rPr>
          <w:spacing w:val="-3"/>
          <w:w w:val="100"/>
        </w:rPr>
        <w:t>励</w:t>
      </w:r>
      <w:r>
        <w:rPr>
          <w:w w:val="100"/>
        </w:rPr>
        <w:t>计</w:t>
      </w:r>
      <w:r>
        <w:rPr>
          <w:spacing w:val="-3"/>
          <w:w w:val="100"/>
        </w:rPr>
        <w:t>划</w:t>
      </w:r>
      <w:r>
        <w:rPr>
          <w:w w:val="100"/>
        </w:rPr>
        <w:t>的</w:t>
      </w:r>
    </w:p>
    <w:p>
      <w:pPr>
        <w:pStyle w:val="BodyText"/>
        <w:spacing w:line="237" w:lineRule="auto"/>
        <w:ind w:right="0"/>
        <w:jc w:val="left"/>
      </w:pPr>
      <w:r>
        <w:rPr/>
        <w:t>议案》，公司拟从二级市场回购发行的</w:t>
      </w:r>
      <w:r>
        <w:rPr>
          <w:spacing w:val="-54"/>
        </w:rPr>
        <w:t> </w:t>
      </w:r>
      <w:r>
        <w:rPr>
          <w:rFonts w:ascii="宋体" w:hAnsi="宋体" w:cs="宋体" w:eastAsia="宋体" w:hint="default"/>
        </w:rPr>
        <w:t>A</w:t>
      </w:r>
      <w:r>
        <w:rPr>
          <w:rFonts w:ascii="宋体" w:hAnsi="宋体" w:cs="宋体" w:eastAsia="宋体" w:hint="default"/>
          <w:spacing w:val="-56"/>
        </w:rPr>
        <w:t> </w:t>
      </w:r>
      <w:r>
        <w:rPr/>
        <w:t>股社会公众股</w:t>
      </w:r>
      <w:r>
        <w:rPr>
          <w:spacing w:val="-53"/>
        </w:rPr>
        <w:t> </w:t>
      </w:r>
      <w:r>
        <w:rPr>
          <w:rFonts w:ascii="宋体" w:hAnsi="宋体" w:cs="宋体" w:eastAsia="宋体" w:hint="default"/>
        </w:rPr>
        <w:t>2000</w:t>
      </w:r>
      <w:r>
        <w:rPr>
          <w:rFonts w:ascii="宋体" w:hAnsi="宋体" w:cs="宋体" w:eastAsia="宋体" w:hint="default"/>
          <w:spacing w:val="-56"/>
        </w:rPr>
        <w:t> </w:t>
      </w:r>
      <w:r>
        <w:rPr/>
        <w:t>万股，回购股份价格不超过</w:t>
      </w:r>
      <w:r>
        <w:rPr>
          <w:spacing w:val="-54"/>
        </w:rPr>
        <w:t> </w:t>
      </w:r>
      <w:r>
        <w:rPr>
          <w:rFonts w:ascii="宋体" w:hAnsi="宋体" w:cs="宋体" w:eastAsia="宋体" w:hint="default"/>
        </w:rPr>
        <w:t>19.10</w:t>
      </w:r>
      <w:r>
        <w:rPr>
          <w:rFonts w:ascii="宋体" w:hAnsi="宋体" w:cs="宋体" w:eastAsia="宋体" w:hint="default"/>
          <w:w w:val="100"/>
        </w:rPr>
        <w:t> </w:t>
      </w:r>
      <w:r>
        <w:rPr>
          <w:spacing w:val="-4"/>
        </w:rPr>
        <w:t>元</w:t>
      </w:r>
      <w:r>
        <w:rPr>
          <w:rFonts w:ascii="宋体" w:hAnsi="宋体" w:cs="宋体" w:eastAsia="宋体" w:hint="default"/>
          <w:spacing w:val="-4"/>
        </w:rPr>
        <w:t>/</w:t>
      </w:r>
      <w:r>
        <w:rPr>
          <w:spacing w:val="-4"/>
        </w:rPr>
        <w:t>股。公司实际回购公司股票</w:t>
      </w:r>
      <w:r>
        <w:rPr>
          <w:spacing w:val="-42"/>
        </w:rPr>
        <w:t> </w:t>
      </w:r>
      <w:r>
        <w:rPr>
          <w:rFonts w:ascii="宋体" w:hAnsi="宋体" w:cs="宋体" w:eastAsia="宋体" w:hint="default"/>
        </w:rPr>
        <w:t>19,999,918</w:t>
      </w:r>
      <w:r>
        <w:rPr>
          <w:rFonts w:ascii="宋体" w:hAnsi="宋体" w:cs="宋体" w:eastAsia="宋体" w:hint="default"/>
          <w:spacing w:val="-43"/>
        </w:rPr>
        <w:t> </w:t>
      </w:r>
      <w:r>
        <w:rPr>
          <w:spacing w:val="-5"/>
        </w:rPr>
        <w:t>股，实际使用资金总额为</w:t>
      </w:r>
      <w:r>
        <w:rPr>
          <w:spacing w:val="-43"/>
        </w:rPr>
        <w:t> </w:t>
      </w:r>
      <w:r>
        <w:rPr>
          <w:rFonts w:ascii="宋体" w:hAnsi="宋体" w:cs="宋体" w:eastAsia="宋体" w:hint="default"/>
        </w:rPr>
        <w:t>268,960,699.04</w:t>
      </w:r>
      <w:r>
        <w:rPr>
          <w:rFonts w:ascii="宋体" w:hAnsi="宋体" w:cs="宋体" w:eastAsia="宋体" w:hint="default"/>
          <w:spacing w:val="-42"/>
        </w:rPr>
        <w:t> </w:t>
      </w:r>
      <w:r>
        <w:rPr>
          <w:spacing w:val="-8"/>
        </w:rPr>
        <w:t>元（含各种</w:t>
      </w:r>
      <w:r>
        <w:rPr>
          <w:spacing w:val="-101"/>
        </w:rPr>
        <w:t> </w:t>
      </w:r>
      <w:r>
        <w:rPr>
          <w:spacing w:val="-101"/>
        </w:rPr>
      </w:r>
      <w:r>
        <w:rPr>
          <w:spacing w:val="-8"/>
        </w:rPr>
        <w:t>交易费用）。已收到首次授予的</w:t>
      </w:r>
      <w:r>
        <w:rPr>
          <w:spacing w:val="-50"/>
        </w:rPr>
        <w:t> </w:t>
      </w:r>
      <w:r>
        <w:rPr>
          <w:rFonts w:ascii="宋体" w:hAnsi="宋体" w:cs="宋体" w:eastAsia="宋体" w:hint="default"/>
        </w:rPr>
        <w:t>110</w:t>
      </w:r>
      <w:r>
        <w:rPr>
          <w:rFonts w:ascii="宋体" w:hAnsi="宋体" w:cs="宋体" w:eastAsia="宋体" w:hint="default"/>
          <w:spacing w:val="-50"/>
        </w:rPr>
        <w:t> </w:t>
      </w:r>
      <w:r>
        <w:rPr/>
        <w:t>名被激励对象认缴的限制性股票</w:t>
      </w:r>
      <w:r>
        <w:rPr>
          <w:spacing w:val="-50"/>
        </w:rPr>
        <w:t> </w:t>
      </w:r>
      <w:r>
        <w:rPr>
          <w:rFonts w:ascii="宋体" w:hAnsi="宋体" w:cs="宋体" w:eastAsia="宋体" w:hint="default"/>
        </w:rPr>
        <w:t>1,750.00</w:t>
      </w:r>
      <w:r>
        <w:rPr>
          <w:rFonts w:ascii="宋体" w:hAnsi="宋体" w:cs="宋体" w:eastAsia="宋体" w:hint="default"/>
          <w:spacing w:val="-52"/>
        </w:rPr>
        <w:t> </w:t>
      </w:r>
      <w:r>
        <w:rPr/>
        <w:t>万股缴纳的认购款</w:t>
      </w:r>
    </w:p>
    <w:p>
      <w:pPr>
        <w:pStyle w:val="BodyText"/>
        <w:spacing w:line="274" w:lineRule="exact"/>
        <w:ind w:right="0"/>
        <w:jc w:val="left"/>
      </w:pPr>
      <w:r>
        <w:rPr/>
        <w:t>合计人民币</w:t>
      </w:r>
      <w:r>
        <w:rPr>
          <w:spacing w:val="-53"/>
        </w:rPr>
        <w:t> </w:t>
      </w:r>
      <w:r>
        <w:rPr>
          <w:rFonts w:ascii="宋体" w:hAnsi="宋体" w:cs="宋体" w:eastAsia="宋体" w:hint="default"/>
        </w:rPr>
        <w:t>11,900</w:t>
      </w:r>
      <w:r>
        <w:rPr>
          <w:rFonts w:ascii="宋体" w:hAnsi="宋体" w:cs="宋体" w:eastAsia="宋体" w:hint="default"/>
          <w:spacing w:val="-55"/>
        </w:rPr>
        <w:t> </w:t>
      </w:r>
      <w:r>
        <w:rPr/>
        <w:t>万元。</w:t>
      </w:r>
    </w:p>
    <w:p>
      <w:pPr>
        <w:spacing w:after="0" w:line="274" w:lineRule="exact"/>
        <w:jc w:val="left"/>
        <w:sectPr>
          <w:pgSz w:w="11910" w:h="16840"/>
          <w:pgMar w:header="0" w:footer="1195" w:top="1120" w:bottom="1380" w:left="1660" w:right="1120"/>
        </w:sectPr>
      </w:pPr>
    </w:p>
    <w:p>
      <w:pPr>
        <w:spacing w:before="20"/>
        <w:ind w:left="6433" w:right="6417"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6"/>
          <w:footerReference w:type="default" r:id="rId77"/>
          <w:pgSz w:w="16840" w:h="11910" w:orient="landscape"/>
          <w:pgMar w:header="0" w:footer="0" w:top="800" w:bottom="280" w:left="1260" w:right="1380"/>
        </w:sectPr>
      </w:pPr>
    </w:p>
    <w:p>
      <w:pPr>
        <w:pStyle w:val="Heading2"/>
        <w:tabs>
          <w:tab w:pos="1020" w:val="left" w:leader="none"/>
        </w:tabs>
        <w:spacing w:line="290" w:lineRule="auto" w:before="169"/>
        <w:ind w:left="180"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020" w:val="left" w:leader="none"/>
        </w:tabs>
        <w:spacing w:line="240" w:lineRule="auto" w:before="14"/>
        <w:ind w:left="321"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926" w:val="left" w:leader="none"/>
        </w:tabs>
        <w:spacing w:line="240" w:lineRule="auto" w:before="56"/>
        <w:ind w:left="18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31" w:val="left" w:leader="none"/>
        </w:tabs>
        <w:spacing w:line="240" w:lineRule="auto"/>
        <w:ind w:left="180" w:right="0"/>
        <w:jc w:val="left"/>
      </w:pPr>
      <w:r>
        <w:rPr>
          <w:spacing w:val="-1"/>
        </w:rPr>
        <w:t>单位：元</w:t>
        <w:tab/>
        <w:t>币种：人民币</w:t>
      </w:r>
    </w:p>
    <w:p>
      <w:pPr>
        <w:spacing w:after="0" w:line="240" w:lineRule="auto"/>
        <w:jc w:val="left"/>
        <w:sectPr>
          <w:type w:val="continuous"/>
          <w:pgSz w:w="16840" w:h="11910" w:orient="landscape"/>
          <w:pgMar w:top="1120" w:bottom="1380" w:left="1260" w:right="1380"/>
          <w:cols w:num="2" w:equalWidth="0">
            <w:col w:w="3762" w:space="7801"/>
            <w:col w:w="263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24"/>
        <w:gridCol w:w="1323"/>
        <w:gridCol w:w="653"/>
        <w:gridCol w:w="1188"/>
        <w:gridCol w:w="948"/>
        <w:gridCol w:w="1322"/>
        <w:gridCol w:w="1322"/>
        <w:gridCol w:w="668"/>
        <w:gridCol w:w="1188"/>
        <w:gridCol w:w="950"/>
        <w:gridCol w:w="1186"/>
      </w:tblGrid>
      <w:tr>
        <w:trPr>
          <w:trHeight w:val="269" w:hRule="exact"/>
        </w:trPr>
        <w:tc>
          <w:tcPr>
            <w:tcW w:w="32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5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3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3224" w:type="dxa"/>
            <w:vMerge/>
            <w:tcBorders>
              <w:left w:val="single" w:sz="4" w:space="0" w:color="000000"/>
              <w:right w:val="single" w:sz="4" w:space="0" w:color="000000"/>
            </w:tcBorders>
          </w:tcPr>
          <w:p>
            <w:pPr/>
          </w:p>
        </w:tc>
        <w:tc>
          <w:tcPr>
            <w:tcW w:w="1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2" w:type="dxa"/>
            <w:vMerge w:val="restart"/>
            <w:tcBorders>
              <w:top w:val="single" w:sz="4" w:space="0" w:color="000000"/>
              <w:left w:val="single" w:sz="4" w:space="0" w:color="000000"/>
              <w:right w:val="single" w:sz="4" w:space="0" w:color="000000"/>
            </w:tcBorders>
          </w:tcPr>
          <w:p>
            <w:pPr>
              <w:pStyle w:val="TableParagraph"/>
              <w:spacing w:line="232" w:lineRule="exact" w:before="105"/>
              <w:ind w:left="475" w:right="475"/>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6" w:type="dxa"/>
            <w:vMerge w:val="restart"/>
            <w:tcBorders>
              <w:top w:val="single" w:sz="4" w:space="0" w:color="000000"/>
              <w:left w:val="single" w:sz="4" w:space="0" w:color="000000"/>
              <w:right w:val="single" w:sz="4" w:space="0" w:color="000000"/>
            </w:tcBorders>
          </w:tcPr>
          <w:p>
            <w:pPr>
              <w:pStyle w:val="TableParagraph"/>
              <w:spacing w:line="232" w:lineRule="exact" w:before="105"/>
              <w:ind w:left="408" w:right="406"/>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49" w:hRule="exact"/>
        </w:trPr>
        <w:tc>
          <w:tcPr>
            <w:tcW w:w="3224"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87"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1322"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95"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1186" w:type="dxa"/>
            <w:vMerge/>
            <w:tcBorders>
              <w:left w:val="single" w:sz="4" w:space="0" w:color="000000"/>
              <w:bottom w:val="single" w:sz="4" w:space="0" w:color="000000"/>
              <w:right w:val="single" w:sz="4" w:space="0" w:color="000000"/>
            </w:tcBorders>
          </w:tcPr>
          <w:p>
            <w:pPr/>
          </w:p>
        </w:tc>
      </w:tr>
      <w:tr>
        <w:trPr>
          <w:trHeight w:val="478"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5"/>
                <w:sz w:val="18"/>
                <w:szCs w:val="18"/>
              </w:rPr>
              <w:t>单项金额重大并单独计提坏账准备的应</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32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5"/>
                <w:sz w:val="18"/>
                <w:szCs w:val="18"/>
              </w:rPr>
              <w:t>按信用风险特征组合计提坏账准备的应</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1,321,139,560.17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145,608,022.36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13" w:right="0"/>
              <w:jc w:val="left"/>
              <w:rPr>
                <w:rFonts w:ascii="Times New Roman" w:hAnsi="Times New Roman" w:cs="Times New Roman" w:eastAsia="Times New Roman" w:hint="default"/>
                <w:sz w:val="18"/>
                <w:szCs w:val="18"/>
              </w:rPr>
            </w:pPr>
            <w:r>
              <w:rPr>
                <w:rFonts w:ascii="Times New Roman"/>
                <w:sz w:val="18"/>
              </w:rPr>
              <w:t>11.02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1,175,531,537.81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1,087,138,964.08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141,435,704.94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13.01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945,703,259.14</w:t>
            </w:r>
          </w:p>
        </w:tc>
      </w:tr>
      <w:tr>
        <w:trPr>
          <w:trHeight w:val="24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账龄风险组合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1,231,206,271.18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93.19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145,608,022.36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13" w:right="0"/>
              <w:jc w:val="left"/>
              <w:rPr>
                <w:rFonts w:ascii="Times New Roman" w:hAnsi="Times New Roman" w:cs="Times New Roman" w:eastAsia="Times New Roman" w:hint="default"/>
                <w:sz w:val="18"/>
                <w:szCs w:val="18"/>
              </w:rPr>
            </w:pPr>
            <w:r>
              <w:rPr>
                <w:rFonts w:ascii="Times New Roman"/>
                <w:sz w:val="18"/>
              </w:rPr>
              <w:t>11.83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1,085,598,248.82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1,053,513,375.57</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96.91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141,435,704.94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13.43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912,077,670.63</w:t>
            </w:r>
          </w:p>
        </w:tc>
      </w:tr>
      <w:tr>
        <w:trPr>
          <w:trHeight w:val="245"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89,933,288.99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6.81</w:t>
            </w:r>
          </w:p>
        </w:tc>
        <w:tc>
          <w:tcPr>
            <w:tcW w:w="118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89,933,288.99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33,625,588.51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3.09</w:t>
            </w:r>
          </w:p>
        </w:tc>
        <w:tc>
          <w:tcPr>
            <w:tcW w:w="118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33,625,588.51</w:t>
            </w:r>
          </w:p>
        </w:tc>
      </w:tr>
      <w:tr>
        <w:trPr>
          <w:trHeight w:val="475"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5"/>
                <w:sz w:val="18"/>
                <w:szCs w:val="18"/>
              </w:rPr>
              <w:t>单项金额不重大但单独计提坏账准备的</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5"/>
              <w:jc w:val="right"/>
              <w:rPr>
                <w:rFonts w:ascii="Times New Roman" w:hAnsi="Times New Roman" w:cs="Times New Roman" w:eastAsia="Times New Roman" w:hint="default"/>
                <w:sz w:val="18"/>
                <w:szCs w:val="18"/>
              </w:rPr>
            </w:pPr>
            <w:r>
              <w:rPr>
                <w:rFonts w:ascii="Times New Roman"/>
                <w:spacing w:val="-1"/>
                <w:sz w:val="18"/>
              </w:rPr>
              <w:t>1,321,139,560.17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145,608,022.36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41"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1,175,531,537.81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1,087,138,964.08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141,435,704.94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945,703,259.14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63"/>
        <w:ind w:left="6433" w:right="6400" w:firstLine="0"/>
        <w:jc w:val="center"/>
        <w:rPr>
          <w:rFonts w:ascii="Calibri" w:hAnsi="Calibri" w:cs="Calibri" w:eastAsia="Calibri" w:hint="default"/>
          <w:sz w:val="18"/>
          <w:szCs w:val="18"/>
        </w:rPr>
      </w:pPr>
      <w:r>
        <w:rPr>
          <w:rFonts w:ascii="Calibri"/>
          <w:b/>
          <w:sz w:val="18"/>
        </w:rPr>
        <w:t>170</w:t>
      </w:r>
      <w:r>
        <w:rPr>
          <w:rFonts w:ascii="Calibri"/>
          <w:sz w:val="18"/>
        </w:rPr>
        <w:t>/</w:t>
      </w:r>
      <w:r>
        <w:rPr>
          <w:rFonts w:ascii="Calibri"/>
          <w:b/>
          <w:sz w:val="18"/>
        </w:rPr>
        <w:t>180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6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78"/>
          <w:pgSz w:w="11910" w:h="16840"/>
          <w:pgMar w:footer="1195" w:header="0" w:top="1120" w:bottom="1380" w:left="1580" w:right="1040"/>
          <w:pgNumType w:start="171"/>
        </w:sectPr>
      </w:pPr>
    </w:p>
    <w:p>
      <w:pPr>
        <w:pStyle w:val="BodyText"/>
        <w:spacing w:line="240" w:lineRule="auto" w:before="179"/>
        <w:ind w:left="218" w:right="0"/>
        <w:jc w:val="left"/>
      </w:pPr>
      <w:r>
        <w:rPr>
          <w:spacing w:val="-2"/>
        </w:rPr>
        <w:t>期末单项金额重大并单项计提坏账准备的应收账款：</w:t>
      </w:r>
    </w:p>
    <w:p>
      <w:pPr>
        <w:pStyle w:val="BodyText"/>
        <w:spacing w:line="273" w:lineRule="auto" w:before="58"/>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spacing w:line="240" w:lineRule="auto" w:before="27"/>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40"/>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2609"/>
        <w:gridCol w:w="2110"/>
        <w:gridCol w:w="2062"/>
        <w:gridCol w:w="2043"/>
      </w:tblGrid>
      <w:tr>
        <w:trPr>
          <w:trHeight w:val="310" w:hRule="exact"/>
        </w:trPr>
        <w:tc>
          <w:tcPr>
            <w:tcW w:w="2609" w:type="dxa"/>
            <w:vMerge w:val="restart"/>
            <w:tcBorders>
              <w:top w:val="single" w:sz="4" w:space="0" w:color="000000"/>
              <w:left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2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09" w:type="dxa"/>
            <w:vMerge/>
            <w:tcBorders>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9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817,354,053.60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16,347,081.08</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817,354,053.60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16,347,081.08</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817,354,053.60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16,347,081.08</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4"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224,859,653.03</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22,485,965.30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81,057,304.39</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16,211,460.88</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10"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17,377,963.17</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6,951,185.27</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34,724,835.79</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27,779,868.63</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80</w:t>
            </w:r>
          </w:p>
        </w:tc>
      </w:tr>
      <w:tr>
        <w:trPr>
          <w:trHeight w:val="281"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55,832,461.20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55,832,461.20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1,231,206,271.18</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145,608,022.36</w:t>
            </w:r>
          </w:p>
        </w:tc>
        <w:tc>
          <w:tcPr>
            <w:tcW w:w="20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2"/>
          <w:szCs w:val="22"/>
        </w:rPr>
      </w:pPr>
    </w:p>
    <w:p>
      <w:pPr>
        <w:pStyle w:val="BodyText"/>
        <w:spacing w:line="240" w:lineRule="auto" w:before="36"/>
        <w:ind w:left="218" w:right="0"/>
        <w:jc w:val="left"/>
      </w:pPr>
      <w:r>
        <w:rPr/>
        <w:t>组合中，采用余额百分比法计提坏账准备的应收账款：</w:t>
      </w:r>
    </w:p>
    <w:p>
      <w:pPr>
        <w:pStyle w:val="BodyText"/>
        <w:spacing w:line="240" w:lineRule="auto" w:before="56"/>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BodyText"/>
        <w:spacing w:line="240" w:lineRule="auto"/>
        <w:ind w:left="218" w:right="0"/>
        <w:jc w:val="left"/>
      </w:pPr>
      <w:r>
        <w:rPr/>
        <w:t>组合中，采用其他方法计提坏账准备的应收账款：</w:t>
      </w:r>
    </w:p>
    <w:p>
      <w:pPr>
        <w:pStyle w:val="BodyText"/>
        <w:spacing w:line="240" w:lineRule="auto" w:before="58"/>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tbl>
      <w:tblPr>
        <w:tblW w:w="0" w:type="auto"/>
        <w:jc w:val="left"/>
        <w:tblInd w:w="366" w:type="dxa"/>
        <w:tblLayout w:type="fixed"/>
        <w:tblCellMar>
          <w:top w:w="0" w:type="dxa"/>
          <w:left w:w="0" w:type="dxa"/>
          <w:bottom w:w="0" w:type="dxa"/>
          <w:right w:w="0" w:type="dxa"/>
        </w:tblCellMar>
        <w:tblLook w:val="01E0"/>
      </w:tblPr>
      <w:tblGrid>
        <w:gridCol w:w="1282"/>
        <w:gridCol w:w="1318"/>
        <w:gridCol w:w="1231"/>
        <w:gridCol w:w="1056"/>
        <w:gridCol w:w="1318"/>
        <w:gridCol w:w="1232"/>
        <w:gridCol w:w="1056"/>
      </w:tblGrid>
      <w:tr>
        <w:trPr>
          <w:trHeight w:val="360" w:hRule="exact"/>
        </w:trPr>
        <w:tc>
          <w:tcPr>
            <w:tcW w:w="1282" w:type="dxa"/>
            <w:vMerge w:val="restart"/>
            <w:tcBorders>
              <w:top w:val="single" w:sz="12" w:space="0" w:color="000000"/>
              <w:left w:val="nil" w:sz="6" w:space="0" w:color="auto"/>
              <w:right w:val="single" w:sz="4" w:space="0" w:color="000000"/>
            </w:tcBorders>
          </w:tcPr>
          <w:p>
            <w:pPr>
              <w:pStyle w:val="TableParagraph"/>
              <w:spacing w:line="240" w:lineRule="auto" w:before="174"/>
              <w:ind w:left="227"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60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05" w:type="dxa"/>
            <w:gridSpan w:val="3"/>
            <w:tcBorders>
              <w:top w:val="single" w:sz="12" w:space="0" w:color="000000"/>
              <w:left w:val="single" w:sz="4" w:space="0" w:color="000000"/>
              <w:bottom w:val="single" w:sz="4" w:space="0" w:color="000000"/>
              <w:right w:val="nil" w:sz="6" w:space="0" w:color="auto"/>
            </w:tcBorders>
          </w:tcPr>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282" w:type="dxa"/>
            <w:vMerge/>
            <w:tcBorders>
              <w:left w:val="nil" w:sz="6" w:space="0" w:color="auto"/>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0" w:hRule="exact"/>
        </w:trPr>
        <w:tc>
          <w:tcPr>
            <w:tcW w:w="128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关联方组合</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Arial Narrow" w:hAnsi="Arial Narrow" w:cs="Arial Narrow" w:eastAsia="Arial Narrow" w:hint="default"/>
                <w:sz w:val="21"/>
                <w:szCs w:val="21"/>
              </w:rPr>
            </w:pPr>
            <w:r>
              <w:rPr>
                <w:rFonts w:ascii="Arial Narrow"/>
                <w:sz w:val="21"/>
              </w:rPr>
              <w:t>89,933,288.99</w:t>
            </w:r>
          </w:p>
        </w:tc>
        <w:tc>
          <w:tcPr>
            <w:tcW w:w="1231"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sz w:val="21"/>
              </w:rPr>
              <w:t>33,625,588.51</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82"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
              <w:jc w:val="center"/>
              <w:rPr>
                <w:rFonts w:ascii="Arial Narrow" w:hAnsi="Arial Narrow" w:cs="Arial Narrow" w:eastAsia="Arial Narrow" w:hint="default"/>
                <w:sz w:val="21"/>
                <w:szCs w:val="21"/>
              </w:rPr>
            </w:pPr>
            <w:r>
              <w:rPr>
                <w:rFonts w:ascii="Arial Narrow"/>
                <w:sz w:val="21"/>
              </w:rPr>
              <w:t>89,933,288.99</w:t>
            </w:r>
          </w:p>
        </w:tc>
        <w:tc>
          <w:tcPr>
            <w:tcW w:w="1231" w:type="dxa"/>
            <w:tcBorders>
              <w:top w:val="single" w:sz="4" w:space="0" w:color="000000"/>
              <w:left w:val="single" w:sz="4" w:space="0" w:color="000000"/>
              <w:bottom w:val="single" w:sz="12" w:space="0" w:color="000000"/>
              <w:right w:val="single" w:sz="4" w:space="0" w:color="000000"/>
            </w:tcBorders>
          </w:tcPr>
          <w:p>
            <w:pPr/>
          </w:p>
        </w:tc>
        <w:tc>
          <w:tcPr>
            <w:tcW w:w="1056" w:type="dxa"/>
            <w:tcBorders>
              <w:top w:val="single" w:sz="4" w:space="0" w:color="000000"/>
              <w:left w:val="single" w:sz="4" w:space="0" w:color="000000"/>
              <w:bottom w:val="single" w:sz="12" w:space="0" w:color="000000"/>
              <w:right w:val="single" w:sz="4" w:space="0" w:color="000000"/>
            </w:tcBorders>
          </w:tcPr>
          <w:p>
            <w:pP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0"/>
              <w:jc w:val="center"/>
              <w:rPr>
                <w:rFonts w:ascii="Arial Narrow" w:hAnsi="Arial Narrow" w:cs="Arial Narrow" w:eastAsia="Arial Narrow" w:hint="default"/>
                <w:sz w:val="21"/>
                <w:szCs w:val="21"/>
              </w:rPr>
            </w:pPr>
            <w:r>
              <w:rPr>
                <w:rFonts w:ascii="Arial Narrow"/>
                <w:sz w:val="21"/>
              </w:rPr>
              <w:t>33,625,588.51</w:t>
            </w:r>
          </w:p>
        </w:tc>
        <w:tc>
          <w:tcPr>
            <w:tcW w:w="1232" w:type="dxa"/>
            <w:tcBorders>
              <w:top w:val="single" w:sz="4" w:space="0" w:color="000000"/>
              <w:left w:val="single" w:sz="4" w:space="0" w:color="000000"/>
              <w:bottom w:val="single" w:sz="12" w:space="0" w:color="000000"/>
              <w:right w:val="single" w:sz="4" w:space="0" w:color="000000"/>
            </w:tcBorders>
          </w:tcPr>
          <w:p>
            <w:pPr/>
          </w:p>
        </w:tc>
        <w:tc>
          <w:tcPr>
            <w:tcW w:w="1056" w:type="dxa"/>
            <w:tcBorders>
              <w:top w:val="single" w:sz="4" w:space="0" w:color="000000"/>
              <w:left w:val="single" w:sz="4" w:space="0" w:color="000000"/>
              <w:bottom w:val="single" w:sz="12" w:space="0" w:color="000000"/>
              <w:right w:val="nil" w:sz="6" w:space="0" w:color="auto"/>
            </w:tcBorders>
          </w:tcPr>
          <w:p>
            <w:pPr/>
          </w:p>
        </w:tc>
      </w:tr>
    </w:tbl>
    <w:p>
      <w:pPr>
        <w:pStyle w:val="BodyText"/>
        <w:spacing w:line="241" w:lineRule="exact"/>
        <w:ind w:left="218" w:right="0"/>
        <w:jc w:val="left"/>
      </w:pPr>
      <w:r>
        <w:rPr>
          <w:w w:val="100"/>
        </w:rPr>
        <w:t>注</w:t>
      </w:r>
      <w:r>
        <w:rPr>
          <w:spacing w:val="-101"/>
          <w:w w:val="100"/>
        </w:rPr>
        <w:t>：</w:t>
      </w:r>
      <w:r>
        <w:rPr>
          <w:w w:val="100"/>
        </w:rPr>
        <w:t>在</w:t>
      </w:r>
      <w:r>
        <w:rPr>
          <w:spacing w:val="-3"/>
          <w:w w:val="100"/>
        </w:rPr>
        <w:t>正</w:t>
      </w:r>
      <w:r>
        <w:rPr>
          <w:w w:val="100"/>
        </w:rPr>
        <w:t>常情</w:t>
      </w:r>
      <w:r>
        <w:rPr>
          <w:spacing w:val="-3"/>
          <w:w w:val="100"/>
        </w:rPr>
        <w:t>况下</w:t>
      </w:r>
      <w:r>
        <w:rPr>
          <w:spacing w:val="-99"/>
          <w:w w:val="100"/>
        </w:rPr>
        <w:t>，</w:t>
      </w:r>
      <w:r>
        <w:rPr>
          <w:spacing w:val="-3"/>
          <w:w w:val="100"/>
        </w:rPr>
        <w:t>本</w:t>
      </w:r>
      <w:r>
        <w:rPr>
          <w:w w:val="100"/>
        </w:rPr>
        <w:t>公</w:t>
      </w:r>
      <w:r>
        <w:rPr>
          <w:spacing w:val="-3"/>
          <w:w w:val="100"/>
        </w:rPr>
        <w:t>司</w:t>
      </w:r>
      <w:r>
        <w:rPr>
          <w:w w:val="100"/>
        </w:rPr>
        <w:t>纳入</w:t>
      </w:r>
      <w:r>
        <w:rPr>
          <w:spacing w:val="-3"/>
          <w:w w:val="100"/>
        </w:rPr>
        <w:t>合</w:t>
      </w:r>
      <w:r>
        <w:rPr>
          <w:w w:val="100"/>
        </w:rPr>
        <w:t>并</w:t>
      </w:r>
      <w:r>
        <w:rPr>
          <w:spacing w:val="-3"/>
          <w:w w:val="100"/>
        </w:rPr>
        <w:t>范</w:t>
      </w:r>
      <w:r>
        <w:rPr>
          <w:w w:val="100"/>
        </w:rPr>
        <w:t>围</w:t>
      </w:r>
      <w:r>
        <w:rPr>
          <w:spacing w:val="-3"/>
          <w:w w:val="100"/>
        </w:rPr>
        <w:t>内</w:t>
      </w:r>
      <w:r>
        <w:rPr>
          <w:w w:val="100"/>
        </w:rPr>
        <w:t>公</w:t>
      </w:r>
      <w:r>
        <w:rPr>
          <w:spacing w:val="-3"/>
          <w:w w:val="100"/>
        </w:rPr>
        <w:t>司</w:t>
      </w:r>
      <w:r>
        <w:rPr>
          <w:w w:val="100"/>
        </w:rPr>
        <w:t>的</w:t>
      </w:r>
      <w:r>
        <w:rPr>
          <w:spacing w:val="-3"/>
          <w:w w:val="100"/>
        </w:rPr>
        <w:t>应</w:t>
      </w:r>
      <w:r>
        <w:rPr>
          <w:w w:val="100"/>
        </w:rPr>
        <w:t>收款</w:t>
      </w:r>
      <w:r>
        <w:rPr>
          <w:spacing w:val="-3"/>
          <w:w w:val="100"/>
        </w:rPr>
        <w:t>项</w:t>
      </w:r>
      <w:r>
        <w:rPr>
          <w:w w:val="100"/>
        </w:rPr>
        <w:t>不</w:t>
      </w:r>
      <w:r>
        <w:rPr>
          <w:spacing w:val="-3"/>
          <w:w w:val="100"/>
        </w:rPr>
        <w:t>存</w:t>
      </w:r>
      <w:r>
        <w:rPr>
          <w:w w:val="100"/>
        </w:rPr>
        <w:t>在</w:t>
      </w:r>
      <w:r>
        <w:rPr>
          <w:spacing w:val="-3"/>
          <w:w w:val="100"/>
        </w:rPr>
        <w:t>现</w:t>
      </w:r>
      <w:r>
        <w:rPr>
          <w:w w:val="100"/>
        </w:rPr>
        <w:t>金</w:t>
      </w:r>
      <w:r>
        <w:rPr>
          <w:spacing w:val="-3"/>
          <w:w w:val="100"/>
        </w:rPr>
        <w:t>流</w:t>
      </w:r>
      <w:r>
        <w:rPr>
          <w:w w:val="100"/>
        </w:rPr>
        <w:t>量</w:t>
      </w:r>
      <w:r>
        <w:rPr>
          <w:spacing w:val="-3"/>
          <w:w w:val="100"/>
        </w:rPr>
        <w:t>不</w:t>
      </w:r>
      <w:r>
        <w:rPr>
          <w:w w:val="100"/>
        </w:rPr>
        <w:t>能按</w:t>
      </w:r>
      <w:r>
        <w:rPr>
          <w:spacing w:val="-3"/>
          <w:w w:val="100"/>
        </w:rPr>
        <w:t>期</w:t>
      </w:r>
      <w:r>
        <w:rPr>
          <w:w w:val="100"/>
        </w:rPr>
        <w:t>收</w:t>
      </w:r>
      <w:r>
        <w:rPr>
          <w:spacing w:val="-3"/>
          <w:w w:val="100"/>
        </w:rPr>
        <w:t>回</w:t>
      </w:r>
      <w:r>
        <w:rPr>
          <w:w w:val="100"/>
        </w:rPr>
        <w:t>的</w:t>
      </w:r>
      <w:r>
        <w:rPr>
          <w:spacing w:val="-3"/>
          <w:w w:val="100"/>
        </w:rPr>
        <w:t>风险</w:t>
      </w:r>
      <w:r>
        <w:rPr>
          <w:w w:val="100"/>
        </w:rPr>
        <w:t>，</w:t>
      </w:r>
    </w:p>
    <w:p>
      <w:pPr>
        <w:pStyle w:val="BodyText"/>
        <w:spacing w:line="240" w:lineRule="auto" w:before="37"/>
        <w:ind w:left="218" w:right="0"/>
        <w:jc w:val="left"/>
      </w:pPr>
      <w:r>
        <w:rPr/>
        <w:t>故对纳入合并范围内公司的应收款项除有证据表明存在不能收回风险的以外，不计提坏账准备。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2"/>
        <w:tabs>
          <w:tab w:pos="1057" w:val="left" w:leader="none"/>
        </w:tabs>
        <w:spacing w:line="240" w:lineRule="auto" w:before="0"/>
        <w:ind w:left="35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218" w:right="0"/>
        <w:jc w:val="left"/>
      </w:pPr>
      <w:r>
        <w:rPr/>
        <w:t>本期计提坏账准备金额</w:t>
      </w:r>
      <w:r>
        <w:rPr>
          <w:spacing w:val="-53"/>
        </w:rPr>
        <w:t> </w:t>
      </w:r>
      <w:r>
        <w:rPr>
          <w:rFonts w:ascii="Times New Roman" w:hAnsi="Times New Roman" w:cs="Times New Roman" w:eastAsia="Times New Roman" w:hint="default"/>
        </w:rPr>
        <w:t>4,187,317.42</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17"/>
          <w:szCs w:val="17"/>
        </w:rPr>
      </w:pPr>
    </w:p>
    <w:p>
      <w:pPr>
        <w:pStyle w:val="BodyText"/>
        <w:spacing w:line="273" w:lineRule="exact"/>
        <w:ind w:left="218" w:right="0"/>
        <w:jc w:val="left"/>
      </w:pPr>
      <w:r>
        <w:rPr/>
        <w:t>其中本期坏账准备收回或转回金额重要的：</w:t>
      </w:r>
    </w:p>
    <w:p>
      <w:pPr>
        <w:pStyle w:val="BodyText"/>
        <w:spacing w:line="273" w:lineRule="exact"/>
        <w:ind w:left="218" w:right="0"/>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tabs>
          <w:tab w:pos="1057" w:val="left" w:leader="none"/>
        </w:tabs>
        <w:spacing w:line="240" w:lineRule="auto"/>
        <w:ind w:left="359" w:right="-6"/>
        <w:jc w:val="left"/>
        <w:rPr>
          <w:b w:val="0"/>
          <w:bCs w:val="0"/>
        </w:rPr>
      </w:pPr>
      <w:r>
        <w:rPr>
          <w:rFonts w:ascii="宋体" w:hAnsi="宋体" w:cs="宋体" w:eastAsia="宋体" w:hint="default"/>
          <w:w w:val="95"/>
        </w:rPr>
        <w:t>(3).</w:t>
        <w:tab/>
      </w:r>
      <w:r>
        <w:rPr>
          <w:spacing w:val="-1"/>
        </w:rPr>
        <w:t>本期实际核销的应收账款情况</w:t>
      </w:r>
      <w:r>
        <w:rPr>
          <w:b w:val="0"/>
          <w:bCs w:val="0"/>
          <w:spacing w:val="-1"/>
        </w:rPr>
      </w:r>
    </w:p>
    <w:p>
      <w:pPr>
        <w:pStyle w:val="BodyText"/>
        <w:spacing w:line="240" w:lineRule="auto" w:before="56"/>
        <w:ind w:left="218" w:right="-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0" w:space="272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60" w:right="1120"/>
        </w:sectPr>
      </w:pPr>
    </w:p>
    <w:p>
      <w:pPr>
        <w:pStyle w:val="BodyText"/>
        <w:spacing w:line="274" w:lineRule="exact" w:before="36"/>
        <w:ind w:left="238" w:right="0"/>
        <w:jc w:val="left"/>
      </w:pPr>
      <w:r>
        <w:rPr>
          <w:spacing w:val="-2"/>
        </w:rPr>
        <w:t>其中重要的应收账款核销情况</w:t>
      </w:r>
    </w:p>
    <w:p>
      <w:pPr>
        <w:pStyle w:val="BodyText"/>
        <w:spacing w:line="274" w:lineRule="exact"/>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20"/>
          <w:cols w:num="2" w:equalWidth="0">
            <w:col w:w="2973" w:space="3549"/>
            <w:col w:w="2708"/>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866"/>
        <w:gridCol w:w="1277"/>
        <w:gridCol w:w="992"/>
        <w:gridCol w:w="994"/>
        <w:gridCol w:w="1275"/>
        <w:gridCol w:w="1493"/>
      </w:tblGrid>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8"/>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2"/>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3" w:lineRule="exact"/>
              <w:ind w:right="74"/>
              <w:jc w:val="center"/>
              <w:rPr>
                <w:rFonts w:ascii="宋体" w:hAnsi="宋体" w:cs="宋体" w:eastAsia="宋体" w:hint="default"/>
                <w:sz w:val="21"/>
                <w:szCs w:val="21"/>
              </w:rPr>
            </w:pPr>
            <w:r>
              <w:rPr>
                <w:rFonts w:ascii="宋体" w:hAnsi="宋体" w:cs="宋体" w:eastAsia="宋体" w:hint="default"/>
                <w:w w:val="100"/>
                <w:sz w:val="21"/>
                <w:szCs w:val="21"/>
              </w:rPr>
              <w:t>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核销金额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程序</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联交易产生</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哈尔滨电气国际工程有限公司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对方拒付</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管理层审批</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3"/>
              <w:jc w:val="right"/>
              <w:rPr>
                <w:rFonts w:ascii="宋体" w:hAnsi="宋体" w:cs="宋体" w:eastAsia="宋体" w:hint="default"/>
                <w:sz w:val="21"/>
                <w:szCs w:val="21"/>
              </w:rPr>
            </w:pPr>
            <w:r>
              <w:rPr>
                <w:rFonts w:ascii="宋体"/>
                <w:w w:val="100"/>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38" w:right="0"/>
        <w:jc w:val="left"/>
      </w:pPr>
      <w:r>
        <w:rPr/>
        <w:t>应收账款核销说明：</w:t>
      </w:r>
    </w:p>
    <w:p>
      <w:pPr>
        <w:pStyle w:val="BodyText"/>
        <w:tabs>
          <w:tab w:pos="1080" w:val="left" w:leader="none"/>
        </w:tabs>
        <w:spacing w:line="273" w:lineRule="exact"/>
        <w:ind w:left="2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tabs>
          <w:tab w:pos="1077" w:val="left" w:leader="none"/>
        </w:tabs>
        <w:spacing w:line="240" w:lineRule="auto" w:before="0"/>
        <w:ind w:left="37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984" w:val="left" w:leader="none"/>
        </w:tabs>
        <w:spacing w:line="240" w:lineRule="auto" w:before="58"/>
        <w:ind w:left="2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957"/>
        <w:gridCol w:w="1418"/>
        <w:gridCol w:w="2180"/>
        <w:gridCol w:w="2180"/>
      </w:tblGrid>
      <w:tr>
        <w:trPr>
          <w:trHeight w:val="461" w:hRule="exact"/>
        </w:trPr>
        <w:tc>
          <w:tcPr>
            <w:tcW w:w="29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3"/>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3"/>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8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22"/>
              <w:ind w:right="2"/>
              <w:jc w:val="center"/>
              <w:rPr>
                <w:rFonts w:ascii="Times New Roman" w:hAnsi="Times New Roman" w:cs="Times New Roman" w:eastAsia="Times New Roman" w:hint="default"/>
                <w:sz w:val="18"/>
                <w:szCs w:val="18"/>
              </w:rPr>
            </w:pPr>
            <w:r>
              <w:rPr>
                <w:rFonts w:ascii="Times New Roman"/>
                <w:sz w:val="18"/>
              </w:rPr>
              <w:t>(%)</w:t>
            </w:r>
          </w:p>
        </w:tc>
        <w:tc>
          <w:tcPr>
            <w:tcW w:w="21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3"/>
              <w:ind w:left="544"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4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Arial Narrow" w:hAnsi="Arial Narrow" w:cs="Arial Narrow" w:eastAsia="Arial Narrow" w:hint="default"/>
                <w:sz w:val="18"/>
                <w:szCs w:val="18"/>
              </w:rPr>
            </w:pPr>
            <w:r>
              <w:rPr>
                <w:rFonts w:ascii="Arial Narrow"/>
                <w:sz w:val="18"/>
              </w:rPr>
              <w:t>SUNISLAND HOLDING</w:t>
            </w:r>
            <w:r>
              <w:rPr>
                <w:rFonts w:ascii="Arial Narrow"/>
                <w:spacing w:val="-10"/>
                <w:sz w:val="18"/>
              </w:rPr>
              <w:t> </w:t>
            </w:r>
            <w:r>
              <w:rPr>
                <w:rFonts w:ascii="Arial Narrow"/>
                <w:sz w:val="18"/>
              </w:rPr>
              <w:t>CO.,LIMITED</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0" w:right="0"/>
              <w:jc w:val="left"/>
              <w:rPr>
                <w:rFonts w:ascii="Arial Narrow" w:hAnsi="Arial Narrow" w:cs="Arial Narrow" w:eastAsia="Arial Narrow" w:hint="default"/>
                <w:sz w:val="18"/>
                <w:szCs w:val="18"/>
              </w:rPr>
            </w:pPr>
            <w:r>
              <w:rPr>
                <w:rFonts w:ascii="Arial Narrow"/>
                <w:sz w:val="18"/>
              </w:rPr>
              <w:t>50,781,552.84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38" w:right="0"/>
              <w:jc w:val="left"/>
              <w:rPr>
                <w:rFonts w:ascii="Arial Narrow" w:hAnsi="Arial Narrow" w:cs="Arial Narrow" w:eastAsia="Arial Narrow" w:hint="default"/>
                <w:sz w:val="18"/>
                <w:szCs w:val="18"/>
              </w:rPr>
            </w:pPr>
            <w:r>
              <w:rPr>
                <w:rFonts w:ascii="Arial Narrow"/>
                <w:sz w:val="18"/>
              </w:rPr>
              <w:t>3.84</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1,015,631.06</w:t>
            </w:r>
          </w:p>
        </w:tc>
      </w:tr>
      <w:tr>
        <w:trPr>
          <w:trHeight w:val="35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扬州市奥克发电设备有限公司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0" w:right="0"/>
              <w:jc w:val="left"/>
              <w:rPr>
                <w:rFonts w:ascii="Arial Narrow" w:hAnsi="Arial Narrow" w:cs="Arial Narrow" w:eastAsia="Arial Narrow" w:hint="default"/>
                <w:sz w:val="18"/>
                <w:szCs w:val="18"/>
              </w:rPr>
            </w:pPr>
            <w:r>
              <w:rPr>
                <w:rFonts w:ascii="Arial Narrow"/>
                <w:sz w:val="18"/>
              </w:rPr>
              <w:t>42,553,883.00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38" w:right="0"/>
              <w:jc w:val="left"/>
              <w:rPr>
                <w:rFonts w:ascii="Arial Narrow" w:hAnsi="Arial Narrow" w:cs="Arial Narrow" w:eastAsia="Arial Narrow" w:hint="default"/>
                <w:sz w:val="18"/>
                <w:szCs w:val="18"/>
              </w:rPr>
            </w:pPr>
            <w:r>
              <w:rPr>
                <w:rFonts w:ascii="Arial Narrow"/>
                <w:sz w:val="18"/>
              </w:rPr>
              <w:t>3.22</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851,077.66</w:t>
            </w:r>
          </w:p>
        </w:tc>
      </w:tr>
      <w:tr>
        <w:trPr>
          <w:trHeight w:val="35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南昌市亿达建筑材料有限公司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9" w:right="0"/>
              <w:jc w:val="left"/>
              <w:rPr>
                <w:rFonts w:ascii="Arial Narrow" w:hAnsi="Arial Narrow" w:cs="Arial Narrow" w:eastAsia="Arial Narrow" w:hint="default"/>
                <w:sz w:val="18"/>
                <w:szCs w:val="18"/>
              </w:rPr>
            </w:pPr>
            <w:r>
              <w:rPr>
                <w:rFonts w:ascii="Arial Narrow"/>
                <w:sz w:val="18"/>
              </w:rPr>
              <w:t>41,635,399.11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38" w:right="0"/>
              <w:jc w:val="left"/>
              <w:rPr>
                <w:rFonts w:ascii="Arial Narrow" w:hAnsi="Arial Narrow" w:cs="Arial Narrow" w:eastAsia="Arial Narrow" w:hint="default"/>
                <w:sz w:val="18"/>
                <w:szCs w:val="18"/>
              </w:rPr>
            </w:pPr>
            <w:r>
              <w:rPr>
                <w:rFonts w:ascii="Arial Narrow"/>
                <w:sz w:val="18"/>
              </w:rPr>
              <w:t>3.15</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832,707.98</w:t>
            </w:r>
          </w:p>
        </w:tc>
      </w:tr>
      <w:tr>
        <w:trPr>
          <w:trHeight w:val="350"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南昌市欣鼎建筑材料有限公司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0" w:right="0"/>
              <w:jc w:val="left"/>
              <w:rPr>
                <w:rFonts w:ascii="Arial Narrow" w:hAnsi="Arial Narrow" w:cs="Arial Narrow" w:eastAsia="Arial Narrow" w:hint="default"/>
                <w:sz w:val="18"/>
                <w:szCs w:val="18"/>
              </w:rPr>
            </w:pPr>
            <w:r>
              <w:rPr>
                <w:rFonts w:ascii="Arial Narrow"/>
                <w:sz w:val="18"/>
              </w:rPr>
              <w:t>38,922,808.59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38" w:right="0"/>
              <w:jc w:val="left"/>
              <w:rPr>
                <w:rFonts w:ascii="Arial Narrow" w:hAnsi="Arial Narrow" w:cs="Arial Narrow" w:eastAsia="Arial Narrow" w:hint="default"/>
                <w:sz w:val="18"/>
                <w:szCs w:val="18"/>
              </w:rPr>
            </w:pPr>
            <w:r>
              <w:rPr>
                <w:rFonts w:ascii="Arial Narrow"/>
                <w:sz w:val="18"/>
              </w:rPr>
              <w:t>2.95</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778,456.17</w:t>
            </w:r>
          </w:p>
        </w:tc>
      </w:tr>
      <w:tr>
        <w:trPr>
          <w:trHeight w:val="478" w:hRule="exact"/>
        </w:trPr>
        <w:tc>
          <w:tcPr>
            <w:tcW w:w="295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中建三局第一建设工程有限责任公</w:t>
            </w:r>
          </w:p>
          <w:p>
            <w:pPr>
              <w:pStyle w:val="TableParagraph"/>
              <w:spacing w:line="247" w:lineRule="exact"/>
              <w:ind w:left="122" w:right="0"/>
              <w:jc w:val="left"/>
              <w:rPr>
                <w:rFonts w:ascii="宋体" w:hAnsi="宋体" w:cs="宋体" w:eastAsia="宋体" w:hint="default"/>
                <w:sz w:val="18"/>
                <w:szCs w:val="18"/>
              </w:rPr>
            </w:pPr>
            <w:r>
              <w:rPr>
                <w:rFonts w:ascii="宋体" w:hAnsi="宋体" w:cs="宋体" w:eastAsia="宋体" w:hint="default"/>
                <w:sz w:val="18"/>
                <w:szCs w:val="18"/>
              </w:rPr>
              <w:t>司深圳分公司（深圳机场</w:t>
            </w:r>
            <w:r>
              <w:rPr>
                <w:rFonts w:ascii="宋体" w:hAnsi="宋体" w:cs="宋体" w:eastAsia="宋体" w:hint="default"/>
                <w:spacing w:val="-45"/>
                <w:sz w:val="18"/>
                <w:szCs w:val="18"/>
              </w:rPr>
              <w:t> </w:t>
            </w:r>
            <w:r>
              <w:rPr>
                <w:rFonts w:ascii="Arial Narrow" w:hAnsi="Arial Narrow" w:cs="Arial Narrow" w:eastAsia="Arial Narrow" w:hint="default"/>
                <w:sz w:val="18"/>
                <w:szCs w:val="18"/>
              </w:rPr>
              <w:t>T3</w:t>
            </w:r>
            <w:r>
              <w:rPr>
                <w:rFonts w:ascii="Arial Narrow" w:hAnsi="Arial Narrow" w:cs="Arial Narrow" w:eastAsia="Arial Narrow" w:hint="default"/>
                <w:spacing w:val="3"/>
                <w:sz w:val="18"/>
                <w:szCs w:val="18"/>
              </w:rPr>
              <w:t> </w:t>
            </w:r>
            <w:r>
              <w:rPr>
                <w:rFonts w:ascii="宋体" w:hAnsi="宋体" w:cs="宋体" w:eastAsia="宋体" w:hint="default"/>
                <w:sz w:val="18"/>
                <w:szCs w:val="18"/>
              </w:rPr>
              <w:t>消防）</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60" w:right="0"/>
              <w:jc w:val="left"/>
              <w:rPr>
                <w:rFonts w:ascii="Arial Narrow" w:hAnsi="Arial Narrow" w:cs="Arial Narrow" w:eastAsia="Arial Narrow" w:hint="default"/>
                <w:sz w:val="18"/>
                <w:szCs w:val="18"/>
              </w:rPr>
            </w:pPr>
            <w:r>
              <w:rPr>
                <w:rFonts w:ascii="Arial Narrow"/>
                <w:sz w:val="18"/>
              </w:rPr>
              <w:t>37,439,942.57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38" w:right="0"/>
              <w:jc w:val="left"/>
              <w:rPr>
                <w:rFonts w:ascii="Arial Narrow" w:hAnsi="Arial Narrow" w:cs="Arial Narrow" w:eastAsia="Arial Narrow" w:hint="default"/>
                <w:sz w:val="18"/>
                <w:szCs w:val="18"/>
              </w:rPr>
            </w:pPr>
            <w:r>
              <w:rPr>
                <w:rFonts w:ascii="Arial Narrow"/>
                <w:sz w:val="18"/>
              </w:rPr>
              <w:t>2.83</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Arial Narrow" w:hAnsi="Arial Narrow" w:cs="Arial Narrow" w:eastAsia="Arial Narrow" w:hint="default"/>
                <w:sz w:val="18"/>
                <w:szCs w:val="18"/>
              </w:rPr>
            </w:pPr>
            <w:r>
              <w:rPr>
                <w:rFonts w:ascii="Arial Narrow"/>
                <w:spacing w:val="-1"/>
                <w:sz w:val="18"/>
              </w:rPr>
              <w:t>7,208,658.39</w:t>
            </w:r>
          </w:p>
        </w:tc>
      </w:tr>
      <w:tr>
        <w:trPr>
          <w:trHeight w:val="360"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297" w:right="0"/>
              <w:jc w:val="left"/>
              <w:rPr>
                <w:rFonts w:ascii="Arial Narrow" w:hAnsi="Arial Narrow" w:cs="Arial Narrow" w:eastAsia="Arial Narrow" w:hint="default"/>
                <w:sz w:val="18"/>
                <w:szCs w:val="18"/>
              </w:rPr>
            </w:pPr>
            <w:r>
              <w:rPr>
                <w:rFonts w:ascii="Arial Narrow"/>
                <w:sz w:val="18"/>
              </w:rPr>
              <w:t>211,333,586.11</w:t>
            </w:r>
          </w:p>
        </w:tc>
        <w:tc>
          <w:tcPr>
            <w:tcW w:w="21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93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p>
        </w:tc>
        <w:tc>
          <w:tcPr>
            <w:tcW w:w="21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7"/>
              <w:jc w:val="right"/>
              <w:rPr>
                <w:rFonts w:ascii="Arial Narrow" w:hAnsi="Arial Narrow" w:cs="Arial Narrow" w:eastAsia="Arial Narrow" w:hint="default"/>
                <w:sz w:val="18"/>
                <w:szCs w:val="18"/>
              </w:rPr>
            </w:pPr>
            <w:r>
              <w:rPr>
                <w:rFonts w:ascii="Arial Narrow"/>
                <w:spacing w:val="-1"/>
                <w:sz w:val="18"/>
              </w:rPr>
              <w:t>10,686,531.26</w:t>
            </w:r>
          </w:p>
        </w:tc>
      </w:tr>
    </w:tbl>
    <w:p>
      <w:pPr>
        <w:spacing w:line="240" w:lineRule="auto" w:before="10"/>
        <w:rPr>
          <w:rFonts w:ascii="宋体" w:hAnsi="宋体" w:cs="宋体" w:eastAsia="宋体" w:hint="default"/>
          <w:sz w:val="17"/>
          <w:szCs w:val="17"/>
        </w:rPr>
      </w:pPr>
    </w:p>
    <w:p>
      <w:pPr>
        <w:pStyle w:val="Heading2"/>
        <w:tabs>
          <w:tab w:pos="1077" w:val="left" w:leader="none"/>
        </w:tabs>
        <w:spacing w:line="240" w:lineRule="auto"/>
        <w:ind w:left="37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080" w:val="left" w:leader="none"/>
        </w:tabs>
        <w:spacing w:line="240" w:lineRule="auto" w:before="56"/>
        <w:ind w:left="238" w:right="0"/>
        <w:jc w:val="left"/>
      </w:pPr>
      <w:r>
        <w:rPr/>
        <w:t>□适用</w:t>
        <w:tab/>
        <w:t>√不适用</w:t>
      </w:r>
    </w:p>
    <w:p>
      <w:pPr>
        <w:spacing w:line="240" w:lineRule="auto" w:before="11"/>
        <w:rPr>
          <w:rFonts w:ascii="宋体" w:hAnsi="宋体" w:cs="宋体" w:eastAsia="宋体" w:hint="default"/>
          <w:sz w:val="22"/>
          <w:szCs w:val="22"/>
        </w:rPr>
      </w:pPr>
    </w:p>
    <w:p>
      <w:pPr>
        <w:pStyle w:val="Heading2"/>
        <w:tabs>
          <w:tab w:pos="1077" w:val="left" w:leader="none"/>
        </w:tabs>
        <w:spacing w:line="240" w:lineRule="auto" w:before="0"/>
        <w:ind w:left="37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080" w:val="left" w:leader="none"/>
        </w:tabs>
        <w:spacing w:line="240" w:lineRule="auto" w:before="58"/>
        <w:ind w:left="238"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238" w:right="0"/>
        <w:jc w:val="left"/>
      </w:pPr>
      <w:r>
        <w:rPr/>
        <w:t>其他说明：</w:t>
      </w:r>
    </w:p>
    <w:p>
      <w:pPr>
        <w:pStyle w:val="BodyText"/>
        <w:spacing w:line="273" w:lineRule="exact"/>
        <w:ind w:left="238" w:right="0"/>
        <w:jc w:val="left"/>
      </w:pPr>
      <w:r>
        <w:rPr/>
        <w:t>□适用 √不适用</w:t>
      </w:r>
    </w:p>
    <w:p>
      <w:pPr>
        <w:spacing w:after="0" w:line="273" w:lineRule="exact"/>
        <w:jc w:val="left"/>
        <w:sectPr>
          <w:type w:val="continuous"/>
          <w:pgSz w:w="11910" w:h="16840"/>
          <w:pgMar w:top="1120" w:bottom="1380" w:left="1560" w:right="112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9"/>
          <w:footerReference w:type="default" r:id="rId80"/>
          <w:pgSz w:w="16840" w:h="11910" w:orient="landscape"/>
          <w:pgMar w:header="0" w:footer="0" w:top="800" w:bottom="280" w:left="1300" w:right="1380"/>
        </w:sectPr>
      </w:pPr>
    </w:p>
    <w:p>
      <w:pPr>
        <w:pStyle w:val="Heading2"/>
        <w:spacing w:line="240" w:lineRule="auto"/>
        <w:ind w:left="140" w:right="-18"/>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6"/>
        <w:ind w:left="140" w:right="-1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pStyle w:val="BodyText"/>
        <w:tabs>
          <w:tab w:pos="886" w:val="left" w:leader="none"/>
        </w:tabs>
        <w:spacing w:line="240" w:lineRule="auto" w:before="58"/>
        <w:ind w:left="140"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2779" w:space="8784"/>
            <w:col w:w="25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43"/>
        <w:gridCol w:w="1534"/>
        <w:gridCol w:w="658"/>
        <w:gridCol w:w="1270"/>
        <w:gridCol w:w="854"/>
        <w:gridCol w:w="1534"/>
        <w:gridCol w:w="1426"/>
        <w:gridCol w:w="716"/>
        <w:gridCol w:w="1322"/>
        <w:gridCol w:w="854"/>
        <w:gridCol w:w="1426"/>
      </w:tblGrid>
      <w:tr>
        <w:trPr>
          <w:trHeight w:val="293" w:hRule="exact"/>
        </w:trPr>
        <w:tc>
          <w:tcPr>
            <w:tcW w:w="23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7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343" w:type="dxa"/>
            <w:vMerge/>
            <w:tcBorders>
              <w:left w:val="single" w:sz="4" w:space="0" w:color="000000"/>
              <w:right w:val="single" w:sz="4" w:space="0" w:color="000000"/>
            </w:tcBorders>
          </w:tcPr>
          <w:p>
            <w:pP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4" w:type="dxa"/>
            <w:vMerge w:val="restart"/>
            <w:tcBorders>
              <w:top w:val="single" w:sz="4" w:space="0" w:color="000000"/>
              <w:left w:val="single" w:sz="4" w:space="0" w:color="000000"/>
              <w:right w:val="single" w:sz="4" w:space="0" w:color="000000"/>
            </w:tcBorders>
          </w:tcPr>
          <w:p>
            <w:pPr>
              <w:pStyle w:val="TableParagraph"/>
              <w:spacing w:line="272" w:lineRule="exact" w:before="135"/>
              <w:ind w:left="552" w:right="54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2343"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1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65" w:right="0"/>
              <w:jc w:val="left"/>
              <w:rPr>
                <w:rFonts w:ascii="Times New Roman" w:hAnsi="Times New Roman" w:cs="Times New Roman" w:eastAsia="Times New Roman" w:hint="default"/>
                <w:sz w:val="21"/>
                <w:szCs w:val="21"/>
              </w:rPr>
            </w:pPr>
            <w:r>
              <w:rPr>
                <w:rFonts w:ascii="Times New Roman"/>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34"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4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94" w:right="0"/>
              <w:jc w:val="left"/>
              <w:rPr>
                <w:rFonts w:ascii="Times New Roman" w:hAnsi="Times New Roman" w:cs="Times New Roman" w:eastAsia="Times New Roman" w:hint="default"/>
                <w:sz w:val="21"/>
                <w:szCs w:val="21"/>
              </w:rPr>
            </w:pPr>
            <w:r>
              <w:rPr>
                <w:rFonts w:ascii="Times New Roman"/>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5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826" w:hRule="exact"/>
        </w:trPr>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单项金额重大并单独计</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pacing w:val="15"/>
                <w:sz w:val="21"/>
                <w:szCs w:val="21"/>
              </w:rPr>
              <w:t>提坏账准备的其他应收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款</w:t>
            </w:r>
          </w:p>
        </w:tc>
        <w:tc>
          <w:tcPr>
            <w:tcW w:w="153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按信用风险特征组合计</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pacing w:val="15"/>
                <w:sz w:val="21"/>
                <w:szCs w:val="21"/>
              </w:rPr>
              <w:t>提坏账准备的其他应收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1,156,596,525.17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48,259,840.55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51" w:right="0"/>
              <w:jc w:val="left"/>
              <w:rPr>
                <w:rFonts w:ascii="Times New Roman" w:hAnsi="Times New Roman" w:cs="Times New Roman" w:eastAsia="Times New Roman" w:hint="default"/>
                <w:sz w:val="21"/>
                <w:szCs w:val="21"/>
              </w:rPr>
            </w:pPr>
            <w:r>
              <w:rPr>
                <w:rFonts w:ascii="Times New Roman"/>
                <w:sz w:val="21"/>
              </w:rPr>
              <w:t>4.17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1,108,336,684.62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center"/>
              <w:rPr>
                <w:rFonts w:ascii="Times New Roman" w:hAnsi="Times New Roman" w:cs="Times New Roman" w:eastAsia="Times New Roman" w:hint="default"/>
                <w:sz w:val="21"/>
                <w:szCs w:val="21"/>
              </w:rPr>
            </w:pPr>
            <w:r>
              <w:rPr>
                <w:rFonts w:ascii="Times New Roman"/>
                <w:sz w:val="21"/>
              </w:rPr>
              <w:t>963,915,294.98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5" w:right="0"/>
              <w:jc w:val="center"/>
              <w:rPr>
                <w:rFonts w:ascii="Times New Roman" w:hAnsi="Times New Roman" w:cs="Times New Roman" w:eastAsia="Times New Roman" w:hint="default"/>
                <w:sz w:val="21"/>
                <w:szCs w:val="21"/>
              </w:rPr>
            </w:pPr>
            <w:r>
              <w:rPr>
                <w:rFonts w:ascii="Times New Roman"/>
                <w:sz w:val="21"/>
              </w:rPr>
              <w:t>32,832,407.07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48" w:right="0"/>
              <w:jc w:val="left"/>
              <w:rPr>
                <w:rFonts w:ascii="Times New Roman" w:hAnsi="Times New Roman" w:cs="Times New Roman" w:eastAsia="Times New Roman" w:hint="default"/>
                <w:sz w:val="21"/>
                <w:szCs w:val="21"/>
              </w:rPr>
            </w:pPr>
            <w:r>
              <w:rPr>
                <w:rFonts w:ascii="Times New Roman"/>
                <w:sz w:val="21"/>
              </w:rPr>
              <w:t>3.41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931,082,887.91</w:t>
            </w:r>
          </w:p>
        </w:tc>
      </w:tr>
      <w:tr>
        <w:trPr>
          <w:trHeight w:val="281" w:hRule="exact"/>
        </w:trPr>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账龄风险组合</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298,684,744.12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25.82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48,259,840.55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45" w:right="0"/>
              <w:jc w:val="left"/>
              <w:rPr>
                <w:rFonts w:ascii="Times New Roman" w:hAnsi="Times New Roman" w:cs="Times New Roman" w:eastAsia="Times New Roman" w:hint="default"/>
                <w:sz w:val="21"/>
                <w:szCs w:val="21"/>
              </w:rPr>
            </w:pPr>
            <w:r>
              <w:rPr>
                <w:rFonts w:ascii="Times New Roman"/>
                <w:sz w:val="21"/>
              </w:rPr>
              <w:t>16.16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250,424,903.57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5"/>
              <w:jc w:val="center"/>
              <w:rPr>
                <w:rFonts w:ascii="Times New Roman" w:hAnsi="Times New Roman" w:cs="Times New Roman" w:eastAsia="Times New Roman" w:hint="default"/>
                <w:sz w:val="21"/>
                <w:szCs w:val="21"/>
              </w:rPr>
            </w:pPr>
            <w:r>
              <w:rPr>
                <w:rFonts w:ascii="Times New Roman"/>
                <w:sz w:val="21"/>
              </w:rPr>
              <w:t>187,985,437.91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5"/>
              <w:jc w:val="right"/>
              <w:rPr>
                <w:rFonts w:ascii="Times New Roman" w:hAnsi="Times New Roman" w:cs="Times New Roman" w:eastAsia="Times New Roman" w:hint="default"/>
                <w:sz w:val="21"/>
                <w:szCs w:val="21"/>
              </w:rPr>
            </w:pPr>
            <w:r>
              <w:rPr>
                <w:rFonts w:ascii="Times New Roman"/>
                <w:sz w:val="21"/>
              </w:rPr>
              <w:t>19.50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8"/>
              <w:jc w:val="center"/>
              <w:rPr>
                <w:rFonts w:ascii="Times New Roman" w:hAnsi="Times New Roman" w:cs="Times New Roman" w:eastAsia="Times New Roman" w:hint="default"/>
                <w:sz w:val="21"/>
                <w:szCs w:val="21"/>
              </w:rPr>
            </w:pPr>
            <w:r>
              <w:rPr>
                <w:rFonts w:ascii="Times New Roman"/>
                <w:sz w:val="21"/>
              </w:rPr>
              <w:t>32,832,407.07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43" w:right="0"/>
              <w:jc w:val="left"/>
              <w:rPr>
                <w:rFonts w:ascii="Times New Roman" w:hAnsi="Times New Roman" w:cs="Times New Roman" w:eastAsia="Times New Roman" w:hint="default"/>
                <w:sz w:val="21"/>
                <w:szCs w:val="21"/>
              </w:rPr>
            </w:pPr>
            <w:r>
              <w:rPr>
                <w:rFonts w:ascii="Times New Roman"/>
                <w:sz w:val="21"/>
              </w:rPr>
              <w:t>17.47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155,153,030.84</w:t>
            </w:r>
          </w:p>
        </w:tc>
      </w:tr>
      <w:tr>
        <w:trPr>
          <w:trHeight w:val="284" w:hRule="exact"/>
        </w:trPr>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857,911,781.05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74.18</w:t>
            </w: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857,911,781.05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5"/>
              <w:jc w:val="center"/>
              <w:rPr>
                <w:rFonts w:ascii="Times New Roman" w:hAnsi="Times New Roman" w:cs="Times New Roman" w:eastAsia="Times New Roman" w:hint="default"/>
                <w:sz w:val="21"/>
                <w:szCs w:val="21"/>
              </w:rPr>
            </w:pPr>
            <w:r>
              <w:rPr>
                <w:rFonts w:ascii="Times New Roman"/>
                <w:sz w:val="21"/>
              </w:rPr>
              <w:t>775,929,857.07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z w:val="21"/>
              </w:rPr>
              <w:t>80.5</w:t>
            </w:r>
          </w:p>
        </w:tc>
        <w:tc>
          <w:tcPr>
            <w:tcW w:w="132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2"/>
              <w:jc w:val="right"/>
              <w:rPr>
                <w:rFonts w:ascii="Times New Roman" w:hAnsi="Times New Roman" w:cs="Times New Roman" w:eastAsia="Times New Roman" w:hint="default"/>
                <w:sz w:val="21"/>
                <w:szCs w:val="21"/>
              </w:rPr>
            </w:pPr>
            <w:r>
              <w:rPr>
                <w:rFonts w:ascii="Times New Roman"/>
                <w:spacing w:val="-1"/>
                <w:sz w:val="21"/>
              </w:rPr>
              <w:t>775,929,857.07</w:t>
            </w:r>
          </w:p>
        </w:tc>
      </w:tr>
      <w:tr>
        <w:trPr>
          <w:trHeight w:val="828" w:hRule="exact"/>
        </w:trPr>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单项金额不重大但单独</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pacing w:val="15"/>
                <w:sz w:val="21"/>
                <w:szCs w:val="21"/>
              </w:rPr>
              <w:t>计提坏账准备的其他应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收款</w:t>
            </w:r>
          </w:p>
        </w:tc>
        <w:tc>
          <w:tcPr>
            <w:tcW w:w="1534"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1,156,596,525.17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48,259,840.55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3" w:right="0"/>
              <w:jc w:val="left"/>
              <w:rPr>
                <w:rFonts w:ascii="Times New Roman" w:hAnsi="Times New Roman" w:cs="Times New Roman" w:eastAsia="Times New Roman" w:hint="default"/>
                <w:sz w:val="21"/>
                <w:szCs w:val="21"/>
              </w:rPr>
            </w:pPr>
            <w:r>
              <w:rPr>
                <w:rFonts w:ascii="Times New Roman"/>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1,108,336,684.62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center"/>
              <w:rPr>
                <w:rFonts w:ascii="Times New Roman" w:hAnsi="Times New Roman" w:cs="Times New Roman" w:eastAsia="Times New Roman" w:hint="default"/>
                <w:sz w:val="21"/>
                <w:szCs w:val="21"/>
              </w:rPr>
            </w:pPr>
            <w:r>
              <w:rPr>
                <w:rFonts w:ascii="Times New Roman"/>
                <w:sz w:val="21"/>
              </w:rPr>
              <w:t>963,915,294.98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5" w:right="0"/>
              <w:jc w:val="center"/>
              <w:rPr>
                <w:rFonts w:ascii="Times New Roman" w:hAnsi="Times New Roman" w:cs="Times New Roman" w:eastAsia="Times New Roman" w:hint="default"/>
                <w:sz w:val="21"/>
                <w:szCs w:val="21"/>
              </w:rPr>
            </w:pPr>
            <w:r>
              <w:rPr>
                <w:rFonts w:ascii="Times New Roman"/>
                <w:sz w:val="21"/>
              </w:rPr>
              <w:t>32,832,407.07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1" w:right="0"/>
              <w:jc w:val="left"/>
              <w:rPr>
                <w:rFonts w:ascii="Times New Roman" w:hAnsi="Times New Roman" w:cs="Times New Roman" w:eastAsia="Times New Roman" w:hint="default"/>
                <w:sz w:val="21"/>
                <w:szCs w:val="21"/>
              </w:rPr>
            </w:pPr>
            <w:r>
              <w:rPr>
                <w:rFonts w:ascii="Times New Roman"/>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931,082,887.91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63"/>
        <w:ind w:left="6395" w:right="6399" w:firstLine="0"/>
        <w:jc w:val="center"/>
        <w:rPr>
          <w:rFonts w:ascii="Calibri" w:hAnsi="Calibri" w:cs="Calibri" w:eastAsia="Calibri" w:hint="default"/>
          <w:sz w:val="18"/>
          <w:szCs w:val="18"/>
        </w:rPr>
      </w:pPr>
      <w:r>
        <w:rPr>
          <w:rFonts w:ascii="Calibri"/>
          <w:b/>
          <w:sz w:val="18"/>
        </w:rPr>
        <w:t>173</w:t>
      </w:r>
      <w:r>
        <w:rPr>
          <w:rFonts w:ascii="Calibri"/>
          <w:sz w:val="18"/>
        </w:rPr>
        <w:t>/</w:t>
      </w:r>
      <w:r>
        <w:rPr>
          <w:rFonts w:ascii="Calibri"/>
          <w:b/>
          <w:sz w:val="18"/>
        </w:rPr>
        <w:t>180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81"/>
          <w:pgSz w:w="11910" w:h="16840"/>
          <w:pgMar w:footer="1195" w:header="0" w:top="1120" w:bottom="1380" w:left="1560" w:right="1140"/>
          <w:pgNumType w:start="174"/>
        </w:sectPr>
      </w:pPr>
    </w:p>
    <w:p>
      <w:pPr>
        <w:pStyle w:val="BodyText"/>
        <w:spacing w:line="240" w:lineRule="auto" w:before="179"/>
        <w:ind w:left="238" w:right="0"/>
        <w:jc w:val="left"/>
      </w:pPr>
      <w:r>
        <w:rPr>
          <w:spacing w:val="-2"/>
        </w:rPr>
        <w:t>期末单项金额重大并单项计提坏账准备的其他应收款：</w:t>
      </w:r>
    </w:p>
    <w:p>
      <w:pPr>
        <w:pStyle w:val="BodyText"/>
        <w:spacing w:line="273" w:lineRule="auto" w:before="58"/>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spacing w:line="240" w:lineRule="auto" w:before="27"/>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40"/>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40"/>
          <w:cols w:num="2" w:equalWidth="0">
            <w:col w:w="5284" w:space="1237"/>
            <w:col w:w="2689"/>
          </w:cols>
        </w:sectPr>
      </w:pPr>
    </w:p>
    <w:p>
      <w:pPr>
        <w:spacing w:line="240" w:lineRule="auto" w:before="4"/>
        <w:rPr>
          <w:rFonts w:ascii="宋体" w:hAnsi="宋体" w:cs="宋体" w:eastAsia="宋体" w:hint="default"/>
          <w:sz w:val="2"/>
          <w:szCs w:val="2"/>
        </w:rPr>
      </w:pPr>
    </w:p>
    <w:tbl>
      <w:tblPr>
        <w:tblW w:w="0" w:type="auto"/>
        <w:jc w:val="left"/>
        <w:tblInd w:w="238" w:type="dxa"/>
        <w:tblLayout w:type="fixed"/>
        <w:tblCellMar>
          <w:top w:w="0" w:type="dxa"/>
          <w:left w:w="0" w:type="dxa"/>
          <w:bottom w:w="0" w:type="dxa"/>
          <w:right w:w="0" w:type="dxa"/>
        </w:tblCellMar>
        <w:tblLook w:val="01E0"/>
      </w:tblPr>
      <w:tblGrid>
        <w:gridCol w:w="3195"/>
        <w:gridCol w:w="1887"/>
        <w:gridCol w:w="1798"/>
        <w:gridCol w:w="1945"/>
      </w:tblGrid>
      <w:tr>
        <w:trPr>
          <w:trHeight w:val="283" w:hRule="exact"/>
        </w:trPr>
        <w:tc>
          <w:tcPr>
            <w:tcW w:w="3195"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195" w:type="dxa"/>
            <w:vMerge/>
            <w:tcBorders>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5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142,552,795.53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2,851,055.90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142,552,795.53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2,851,055.90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142,552,795.53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2,851,055.90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89,774,036.59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8,977,403.65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33,512,259.23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6,702,451.85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87"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2,586,415.84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1,034,566.33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7,824,370.56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6,259,496.45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22,434,866.37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22,434,866.37</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298,684,744.12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48,259,840.55</w:t>
            </w:r>
          </w:p>
        </w:tc>
        <w:tc>
          <w:tcPr>
            <w:tcW w:w="19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BodyText"/>
        <w:spacing w:line="240" w:lineRule="auto" w:before="36"/>
        <w:ind w:left="238" w:right="331"/>
        <w:jc w:val="left"/>
      </w:pPr>
      <w:r>
        <w:rPr/>
        <w:t>组合中，采用余额百分比法计提坏账准备的其他应收款：</w:t>
      </w:r>
    </w:p>
    <w:p>
      <w:pPr>
        <w:pStyle w:val="BodyText"/>
        <w:spacing w:line="240" w:lineRule="auto" w:before="58"/>
        <w:ind w:left="238" w:right="33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BodyText"/>
        <w:spacing w:line="240" w:lineRule="auto"/>
        <w:ind w:left="238" w:right="331"/>
        <w:jc w:val="left"/>
      </w:pPr>
      <w:r>
        <w:rPr/>
        <w:t>组合中，采用其他方法计提坏账准备的其他应收款：</w:t>
      </w:r>
    </w:p>
    <w:p>
      <w:pPr>
        <w:pStyle w:val="BodyText"/>
        <w:tabs>
          <w:tab w:pos="984" w:val="left" w:leader="none"/>
        </w:tabs>
        <w:spacing w:line="240" w:lineRule="auto" w:before="58"/>
        <w:ind w:left="238" w:right="33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399"/>
        <w:gridCol w:w="1700"/>
        <w:gridCol w:w="710"/>
        <w:gridCol w:w="1277"/>
        <w:gridCol w:w="1841"/>
        <w:gridCol w:w="709"/>
        <w:gridCol w:w="1099"/>
      </w:tblGrid>
      <w:tr>
        <w:trPr>
          <w:trHeight w:val="360" w:hRule="exact"/>
        </w:trPr>
        <w:tc>
          <w:tcPr>
            <w:tcW w:w="1399"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组合名称</w:t>
            </w:r>
          </w:p>
        </w:tc>
        <w:tc>
          <w:tcPr>
            <w:tcW w:w="368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sz w:val="20"/>
                <w:szCs w:val="20"/>
              </w:rPr>
              <w:t>期末数</w:t>
            </w:r>
          </w:p>
        </w:tc>
        <w:tc>
          <w:tcPr>
            <w:tcW w:w="364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1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528" w:hRule="exact"/>
        </w:trPr>
        <w:tc>
          <w:tcPr>
            <w:tcW w:w="1399"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8" w:right="0"/>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ind w:left="1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8" w:right="0"/>
              <w:jc w:val="left"/>
              <w:rPr>
                <w:rFonts w:ascii="宋体" w:hAnsi="宋体" w:cs="宋体" w:eastAsia="宋体" w:hint="default"/>
                <w:sz w:val="20"/>
                <w:szCs w:val="20"/>
              </w:rPr>
            </w:pPr>
            <w:r>
              <w:rPr>
                <w:rFonts w:ascii="宋体" w:hAnsi="宋体" w:cs="宋体" w:eastAsia="宋体" w:hint="default"/>
                <w:sz w:val="20"/>
                <w:szCs w:val="20"/>
              </w:rPr>
              <w:t>计提</w:t>
            </w:r>
          </w:p>
          <w:p>
            <w:pPr>
              <w:pStyle w:val="TableParagraph"/>
              <w:spacing w:line="260" w:lineRule="exact"/>
              <w:ind w:left="148"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1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4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0" w:hRule="exact"/>
        </w:trPr>
        <w:tc>
          <w:tcPr>
            <w:tcW w:w="1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sz w:val="20"/>
                <w:szCs w:val="20"/>
              </w:rPr>
              <w:t>关联方组合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Times New Roman" w:hAnsi="Times New Roman" w:cs="Times New Roman" w:eastAsia="Times New Roman" w:hint="default"/>
                <w:sz w:val="20"/>
                <w:szCs w:val="20"/>
              </w:rPr>
            </w:pPr>
            <w:r>
              <w:rPr>
                <w:rFonts w:ascii="Times New Roman"/>
                <w:sz w:val="20"/>
              </w:rPr>
              <w:t>857,911,781.05</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Times New Roman" w:hAnsi="Times New Roman" w:cs="Times New Roman" w:eastAsia="Times New Roman" w:hint="default"/>
                <w:sz w:val="20"/>
                <w:szCs w:val="20"/>
              </w:rPr>
            </w:pPr>
            <w:r>
              <w:rPr>
                <w:rFonts w:ascii="Times New Roman"/>
                <w:sz w:val="20"/>
              </w:rPr>
              <w:t>775,929,857.07</w:t>
            </w:r>
          </w:p>
        </w:tc>
        <w:tc>
          <w:tcPr>
            <w:tcW w:w="70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399" w:type="dxa"/>
            <w:tcBorders>
              <w:top w:val="single" w:sz="4" w:space="0" w:color="000000"/>
              <w:left w:val="nil" w:sz="6" w:space="0" w:color="auto"/>
              <w:bottom w:val="single" w:sz="12" w:space="0" w:color="000000"/>
              <w:right w:val="single" w:sz="4" w:space="0" w:color="000000"/>
            </w:tcBorders>
          </w:tcPr>
          <w:p>
            <w:pPr>
              <w:pStyle w:val="TableParagraph"/>
              <w:tabs>
                <w:tab w:pos="623" w:val="left" w:leader="none"/>
              </w:tabs>
              <w:spacing w:line="240" w:lineRule="auto" w:before="9"/>
              <w:ind w:left="21"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5"/>
              <w:jc w:val="center"/>
              <w:rPr>
                <w:rFonts w:ascii="Times New Roman" w:hAnsi="Times New Roman" w:cs="Times New Roman" w:eastAsia="Times New Roman" w:hint="default"/>
                <w:sz w:val="20"/>
                <w:szCs w:val="20"/>
              </w:rPr>
            </w:pPr>
            <w:r>
              <w:rPr>
                <w:rFonts w:ascii="Times New Roman"/>
                <w:sz w:val="20"/>
              </w:rPr>
              <w:t>857,911,781.05</w:t>
            </w:r>
          </w:p>
        </w:tc>
        <w:tc>
          <w:tcPr>
            <w:tcW w:w="710"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3"/>
              <w:jc w:val="center"/>
              <w:rPr>
                <w:rFonts w:ascii="Times New Roman" w:hAnsi="Times New Roman" w:cs="Times New Roman" w:eastAsia="Times New Roman" w:hint="default"/>
                <w:sz w:val="20"/>
                <w:szCs w:val="20"/>
              </w:rPr>
            </w:pPr>
            <w:r>
              <w:rPr>
                <w:rFonts w:ascii="Times New Roman"/>
                <w:sz w:val="20"/>
              </w:rPr>
              <w:t>775,929,857.07</w:t>
            </w:r>
          </w:p>
        </w:tc>
        <w:tc>
          <w:tcPr>
            <w:tcW w:w="709" w:type="dxa"/>
            <w:tcBorders>
              <w:top w:val="single" w:sz="4" w:space="0" w:color="000000"/>
              <w:left w:val="single" w:sz="4" w:space="0" w:color="000000"/>
              <w:bottom w:val="single" w:sz="12" w:space="0" w:color="000000"/>
              <w:right w:val="single" w:sz="4" w:space="0" w:color="000000"/>
            </w:tcBorders>
          </w:tcPr>
          <w:p>
            <w:pPr/>
          </w:p>
        </w:tc>
        <w:tc>
          <w:tcPr>
            <w:tcW w:w="1099" w:type="dxa"/>
            <w:tcBorders>
              <w:top w:val="single" w:sz="4" w:space="0" w:color="000000"/>
              <w:left w:val="single" w:sz="4" w:space="0" w:color="000000"/>
              <w:bottom w:val="single" w:sz="12" w:space="0" w:color="000000"/>
              <w:right w:val="nil" w:sz="6" w:space="0" w:color="auto"/>
            </w:tcBorders>
          </w:tcPr>
          <w:p>
            <w:pPr/>
          </w:p>
        </w:tc>
      </w:tr>
    </w:tbl>
    <w:p>
      <w:pPr>
        <w:pStyle w:val="BodyText"/>
        <w:spacing w:line="241" w:lineRule="exact"/>
        <w:ind w:left="238" w:right="0"/>
        <w:jc w:val="left"/>
      </w:pPr>
      <w:r>
        <w:rPr>
          <w:w w:val="100"/>
        </w:rPr>
        <w:t>注</w:t>
      </w:r>
      <w:r>
        <w:rPr>
          <w:spacing w:val="-101"/>
          <w:w w:val="100"/>
        </w:rPr>
        <w:t>：</w:t>
      </w:r>
      <w:r>
        <w:rPr>
          <w:w w:val="100"/>
        </w:rPr>
        <w:t>在</w:t>
      </w:r>
      <w:r>
        <w:rPr>
          <w:spacing w:val="-3"/>
          <w:w w:val="100"/>
        </w:rPr>
        <w:t>正</w:t>
      </w:r>
      <w:r>
        <w:rPr>
          <w:w w:val="100"/>
        </w:rPr>
        <w:t>常情</w:t>
      </w:r>
      <w:r>
        <w:rPr>
          <w:spacing w:val="-3"/>
          <w:w w:val="100"/>
        </w:rPr>
        <w:t>况下</w:t>
      </w:r>
      <w:r>
        <w:rPr>
          <w:spacing w:val="-99"/>
          <w:w w:val="100"/>
        </w:rPr>
        <w:t>，</w:t>
      </w:r>
      <w:r>
        <w:rPr>
          <w:spacing w:val="-3"/>
          <w:w w:val="100"/>
        </w:rPr>
        <w:t>本</w:t>
      </w:r>
      <w:r>
        <w:rPr>
          <w:w w:val="100"/>
        </w:rPr>
        <w:t>公</w:t>
      </w:r>
      <w:r>
        <w:rPr>
          <w:spacing w:val="-3"/>
          <w:w w:val="100"/>
        </w:rPr>
        <w:t>司</w:t>
      </w:r>
      <w:r>
        <w:rPr>
          <w:w w:val="100"/>
        </w:rPr>
        <w:t>纳入</w:t>
      </w:r>
      <w:r>
        <w:rPr>
          <w:spacing w:val="-3"/>
          <w:w w:val="100"/>
        </w:rPr>
        <w:t>合</w:t>
      </w:r>
      <w:r>
        <w:rPr>
          <w:w w:val="100"/>
        </w:rPr>
        <w:t>并</w:t>
      </w:r>
      <w:r>
        <w:rPr>
          <w:spacing w:val="-3"/>
          <w:w w:val="100"/>
        </w:rPr>
        <w:t>范</w:t>
      </w:r>
      <w:r>
        <w:rPr>
          <w:w w:val="100"/>
        </w:rPr>
        <w:t>围</w:t>
      </w:r>
      <w:r>
        <w:rPr>
          <w:spacing w:val="-3"/>
          <w:w w:val="100"/>
        </w:rPr>
        <w:t>内</w:t>
      </w:r>
      <w:r>
        <w:rPr>
          <w:w w:val="100"/>
        </w:rPr>
        <w:t>公</w:t>
      </w:r>
      <w:r>
        <w:rPr>
          <w:spacing w:val="-3"/>
          <w:w w:val="100"/>
        </w:rPr>
        <w:t>司</w:t>
      </w:r>
      <w:r>
        <w:rPr>
          <w:w w:val="100"/>
        </w:rPr>
        <w:t>的</w:t>
      </w:r>
      <w:r>
        <w:rPr>
          <w:spacing w:val="-3"/>
          <w:w w:val="100"/>
        </w:rPr>
        <w:t>应</w:t>
      </w:r>
      <w:r>
        <w:rPr>
          <w:w w:val="100"/>
        </w:rPr>
        <w:t>收款</w:t>
      </w:r>
      <w:r>
        <w:rPr>
          <w:spacing w:val="-3"/>
          <w:w w:val="100"/>
        </w:rPr>
        <w:t>项</w:t>
      </w:r>
      <w:r>
        <w:rPr>
          <w:w w:val="100"/>
        </w:rPr>
        <w:t>不</w:t>
      </w:r>
      <w:r>
        <w:rPr>
          <w:spacing w:val="-3"/>
          <w:w w:val="100"/>
        </w:rPr>
        <w:t>存</w:t>
      </w:r>
      <w:r>
        <w:rPr>
          <w:w w:val="100"/>
        </w:rPr>
        <w:t>在</w:t>
      </w:r>
      <w:r>
        <w:rPr>
          <w:spacing w:val="-3"/>
          <w:w w:val="100"/>
        </w:rPr>
        <w:t>现</w:t>
      </w:r>
      <w:r>
        <w:rPr>
          <w:w w:val="100"/>
        </w:rPr>
        <w:t>金</w:t>
      </w:r>
      <w:r>
        <w:rPr>
          <w:spacing w:val="-3"/>
          <w:w w:val="100"/>
        </w:rPr>
        <w:t>流</w:t>
      </w:r>
      <w:r>
        <w:rPr>
          <w:w w:val="100"/>
        </w:rPr>
        <w:t>量</w:t>
      </w:r>
      <w:r>
        <w:rPr>
          <w:spacing w:val="-3"/>
          <w:w w:val="100"/>
        </w:rPr>
        <w:t>不</w:t>
      </w:r>
      <w:r>
        <w:rPr>
          <w:w w:val="100"/>
        </w:rPr>
        <w:t>能按</w:t>
      </w:r>
      <w:r>
        <w:rPr>
          <w:spacing w:val="-3"/>
          <w:w w:val="100"/>
        </w:rPr>
        <w:t>期</w:t>
      </w:r>
      <w:r>
        <w:rPr>
          <w:w w:val="100"/>
        </w:rPr>
        <w:t>收</w:t>
      </w:r>
      <w:r>
        <w:rPr>
          <w:spacing w:val="-3"/>
          <w:w w:val="100"/>
        </w:rPr>
        <w:t>回</w:t>
      </w:r>
      <w:r>
        <w:rPr>
          <w:w w:val="100"/>
        </w:rPr>
        <w:t>的</w:t>
      </w:r>
      <w:r>
        <w:rPr>
          <w:spacing w:val="-3"/>
          <w:w w:val="100"/>
        </w:rPr>
        <w:t>风险</w:t>
      </w:r>
      <w:r>
        <w:rPr>
          <w:w w:val="100"/>
        </w:rPr>
        <w:t>，</w:t>
      </w:r>
    </w:p>
    <w:p>
      <w:pPr>
        <w:pStyle w:val="BodyText"/>
        <w:spacing w:line="240" w:lineRule="auto" w:before="37"/>
        <w:ind w:left="238" w:right="0"/>
        <w:jc w:val="left"/>
      </w:pPr>
      <w:r>
        <w:rPr/>
        <w:t>故对纳入合并范围内公司的应收款项除有证据表明存在不能收回风险的以外，不计提坏账准备。</w:t>
      </w:r>
    </w:p>
    <w:p>
      <w:pPr>
        <w:spacing w:line="240" w:lineRule="auto" w:before="13"/>
        <w:rPr>
          <w:rFonts w:ascii="宋体" w:hAnsi="宋体" w:cs="宋体" w:eastAsia="宋体" w:hint="default"/>
          <w:sz w:val="25"/>
          <w:szCs w:val="25"/>
        </w:rPr>
      </w:pPr>
    </w:p>
    <w:p>
      <w:pPr>
        <w:pStyle w:val="Heading2"/>
        <w:spacing w:line="240" w:lineRule="auto" w:before="0"/>
        <w:ind w:left="238" w:right="331"/>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38" w:right="1768"/>
        <w:jc w:val="left"/>
      </w:pPr>
      <w:r>
        <w:rPr/>
        <w:t>本期计提坏账准备金额</w:t>
      </w:r>
      <w:r>
        <w:rPr>
          <w:spacing w:val="-53"/>
        </w:rPr>
        <w:t> </w:t>
      </w:r>
      <w:r>
        <w:rPr>
          <w:rFonts w:ascii="Times New Roman" w:hAnsi="Times New Roman" w:cs="Times New Roman" w:eastAsia="Times New Roman" w:hint="default"/>
        </w:rPr>
        <w:t>15,547,433.48</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spacing w:val="-3"/>
          <w:w w:val="100"/>
        </w:rPr>
        <w:t> </w:t>
      </w:r>
      <w:r>
        <w:rPr/>
        <w:t>其中本期坏账准备转回或收回金额重要的：</w:t>
      </w:r>
    </w:p>
    <w:p>
      <w:pPr>
        <w:pStyle w:val="BodyText"/>
        <w:spacing w:line="249" w:lineRule="exact"/>
        <w:ind w:left="238" w:right="331"/>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before="0"/>
        <w:ind w:left="238" w:right="331"/>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238" w:right="331"/>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140"/>
        </w:sectPr>
      </w:pPr>
    </w:p>
    <w:p>
      <w:pPr>
        <w:pStyle w:val="Heading2"/>
        <w:spacing w:line="240" w:lineRule="auto"/>
        <w:ind w:left="238"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2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140"/>
          <w:cols w:num="2" w:equalWidth="0">
            <w:col w:w="3719" w:space="2803"/>
            <w:col w:w="26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01"/>
        <w:gridCol w:w="2907"/>
        <w:gridCol w:w="291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spacing w:after="0" w:line="243" w:lineRule="exact"/>
        <w:jc w:val="left"/>
        <w:rPr>
          <w:rFonts w:ascii="宋体" w:hAnsi="宋体" w:cs="宋体" w:eastAsia="宋体" w:hint="default"/>
          <w:sz w:val="21"/>
          <w:szCs w:val="21"/>
        </w:rPr>
        <w:sectPr>
          <w:type w:val="continuous"/>
          <w:pgSz w:w="11910" w:h="16840"/>
          <w:pgMar w:top="1120" w:bottom="1380" w:left="15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3001"/>
        <w:gridCol w:w="2907"/>
        <w:gridCol w:w="2917"/>
      </w:tblGrid>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与子公司往来款</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857,911,781.05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775,929,857.07</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81,500,000.00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55,522,550.00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49,785,170.02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35,199,529.05</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员工往来及备用金</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28,759,326.58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28,122,774.76</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138,640,247.52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69,140,584.10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1,156,596,525.17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963,915,294.98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260" w:right="1120"/>
        </w:sectPr>
      </w:pPr>
    </w:p>
    <w:p>
      <w:pPr>
        <w:pStyle w:val="Heading2"/>
        <w:spacing w:line="240" w:lineRule="auto"/>
        <w:ind w:left="53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53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120"/>
          <w:cols w:num="2" w:equalWidth="0">
            <w:col w:w="5915" w:space="607"/>
            <w:col w:w="3008"/>
          </w:cols>
        </w:sectPr>
      </w:pPr>
    </w:p>
    <w:p>
      <w:pPr>
        <w:spacing w:line="240" w:lineRule="auto" w:before="4"/>
        <w:rPr>
          <w:rFonts w:ascii="宋体" w:hAnsi="宋体" w:cs="宋体" w:eastAsia="宋体" w:hint="default"/>
          <w:sz w:val="2"/>
          <w:szCs w:val="2"/>
        </w:rPr>
      </w:pPr>
    </w:p>
    <w:tbl>
      <w:tblPr>
        <w:tblW w:w="0" w:type="auto"/>
        <w:jc w:val="left"/>
        <w:tblInd w:w="466" w:type="dxa"/>
        <w:tblLayout w:type="fixed"/>
        <w:tblCellMar>
          <w:top w:w="0" w:type="dxa"/>
          <w:left w:w="0" w:type="dxa"/>
          <w:bottom w:w="0" w:type="dxa"/>
          <w:right w:w="0" w:type="dxa"/>
        </w:tblCellMar>
        <w:tblLook w:val="01E0"/>
      </w:tblPr>
      <w:tblGrid>
        <w:gridCol w:w="2336"/>
        <w:gridCol w:w="960"/>
        <w:gridCol w:w="1450"/>
        <w:gridCol w:w="994"/>
        <w:gridCol w:w="2029"/>
        <w:gridCol w:w="1164"/>
      </w:tblGrid>
      <w:tr>
        <w:trPr>
          <w:trHeight w:val="555"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0"/>
              <w:jc w:val="center"/>
              <w:rPr>
                <w:rFonts w:ascii="宋体" w:hAnsi="宋体" w:cs="宋体" w:eastAsia="宋体" w:hint="default"/>
                <w:sz w:val="21"/>
                <w:szCs w:val="21"/>
              </w:rPr>
            </w:pPr>
            <w:r>
              <w:rPr>
                <w:rFonts w:ascii="宋体" w:hAnsi="宋体" w:cs="宋体" w:eastAsia="宋体" w:hint="default"/>
                <w:sz w:val="21"/>
                <w:szCs w:val="21"/>
              </w:rPr>
              <w:t>款项的</w:t>
            </w:r>
          </w:p>
          <w:p>
            <w:pPr>
              <w:pStyle w:val="TableParagraph"/>
              <w:spacing w:line="275" w:lineRule="exact"/>
              <w:ind w:right="70"/>
              <w:jc w:val="center"/>
              <w:rPr>
                <w:rFonts w:ascii="宋体" w:hAnsi="宋体" w:cs="宋体" w:eastAsia="宋体" w:hint="default"/>
                <w:sz w:val="21"/>
                <w:szCs w:val="21"/>
              </w:rPr>
            </w:pPr>
            <w:r>
              <w:rPr>
                <w:rFonts w:ascii="宋体" w:hAnsi="宋体" w:cs="宋体" w:eastAsia="宋体" w:hint="default"/>
                <w:sz w:val="21"/>
                <w:szCs w:val="21"/>
              </w:rPr>
              <w:t>性质</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center"/>
              <w:rPr>
                <w:rFonts w:ascii="宋体" w:hAnsi="宋体" w:cs="宋体" w:eastAsia="宋体" w:hint="default"/>
                <w:sz w:val="21"/>
                <w:szCs w:val="21"/>
              </w:rPr>
            </w:pPr>
            <w:r>
              <w:rPr>
                <w:rFonts w:ascii="宋体" w:hAnsi="宋体" w:cs="宋体" w:eastAsia="宋体" w:hint="default"/>
                <w:sz w:val="21"/>
                <w:szCs w:val="21"/>
              </w:rPr>
              <w:t>账龄</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hanging="53"/>
              <w:jc w:val="left"/>
              <w:rPr>
                <w:rFonts w:ascii="宋体" w:hAnsi="宋体" w:cs="宋体" w:eastAsia="宋体" w:hint="default"/>
                <w:sz w:val="21"/>
                <w:szCs w:val="21"/>
              </w:rPr>
            </w:pPr>
            <w:r>
              <w:rPr>
                <w:rFonts w:ascii="宋体" w:hAnsi="宋体" w:cs="宋体" w:eastAsia="宋体" w:hint="default"/>
                <w:sz w:val="21"/>
                <w:szCs w:val="21"/>
              </w:rPr>
              <w:t>占其他应收款期末余</w:t>
            </w:r>
          </w:p>
          <w:p>
            <w:pPr>
              <w:pStyle w:val="TableParagraph"/>
              <w:spacing w:line="290"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额合计数的比例</w:t>
            </w:r>
            <w:r>
              <w:rPr>
                <w:rFonts w:ascii="Times New Roman" w:hAnsi="Times New Roman" w:cs="Times New Roman" w:eastAsia="Times New Roman" w:hint="default"/>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5" w:lineRule="exact"/>
              <w:ind w:left="15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江西泰豪军工集团有限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225,631,219.31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19.51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上海博辕信息技术服务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113,000,000.00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3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9.77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
              <w:jc w:val="center"/>
              <w:rPr>
                <w:rFonts w:ascii="宋体" w:hAnsi="宋体" w:cs="宋体" w:eastAsia="宋体" w:hint="default"/>
                <w:sz w:val="21"/>
                <w:szCs w:val="21"/>
              </w:rPr>
            </w:pPr>
            <w:r>
              <w:rPr>
                <w:rFonts w:ascii="宋体" w:hAnsi="宋体" w:cs="宋体" w:eastAsia="宋体" w:hint="default"/>
                <w:sz w:val="21"/>
                <w:szCs w:val="21"/>
              </w:rPr>
              <w:t>泰豪电源技术有限公司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89,920,644.95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3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7.77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衡阳泰豪通信车辆有限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89,168,832.08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7.71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center"/>
              <w:rPr>
                <w:rFonts w:ascii="宋体" w:hAnsi="宋体" w:cs="宋体" w:eastAsia="宋体" w:hint="default"/>
                <w:sz w:val="21"/>
                <w:szCs w:val="21"/>
              </w:rPr>
            </w:pPr>
            <w:r>
              <w:rPr>
                <w:rFonts w:ascii="宋体" w:hAnsi="宋体" w:cs="宋体" w:eastAsia="宋体" w:hint="default"/>
                <w:sz w:val="21"/>
                <w:szCs w:val="21"/>
              </w:rPr>
              <w:t>泰豪园区投资有限公司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14"/>
                <w:sz w:val="21"/>
                <w:szCs w:val="21"/>
              </w:rPr>
              <w:t> </w:t>
            </w:r>
            <w:r>
              <w:rPr>
                <w:rFonts w:ascii="宋体" w:hAnsi="宋体" w:cs="宋体" w:eastAsia="宋体" w:hint="default"/>
                <w:sz w:val="21"/>
                <w:szCs w:val="21"/>
              </w:rPr>
              <w:t>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置款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81,500,000.00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3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7.05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1,630,000.00</w:t>
            </w:r>
          </w:p>
        </w:tc>
      </w:tr>
      <w:tr>
        <w:trPr>
          <w:trHeight w:val="28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68"/>
              <w:jc w:val="center"/>
              <w:rPr>
                <w:rFonts w:ascii="Times New Roman" w:hAnsi="Times New Roman" w:cs="Times New Roman" w:eastAsia="Times New Roman" w:hint="default"/>
                <w:sz w:val="21"/>
                <w:szCs w:val="21"/>
              </w:rPr>
            </w:pPr>
            <w:r>
              <w:rPr>
                <w:rFonts w:ascii="Times New Roman"/>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599,220,696.34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3"/>
              <w:jc w:val="center"/>
              <w:rPr>
                <w:rFonts w:ascii="Times New Roman" w:hAnsi="Times New Roman" w:cs="Times New Roman" w:eastAsia="Times New Roman" w:hint="default"/>
                <w:sz w:val="21"/>
                <w:szCs w:val="21"/>
              </w:rPr>
            </w:pPr>
            <w:r>
              <w:rPr>
                <w:rFonts w:ascii="Times New Roman"/>
                <w:w w:val="100"/>
                <w:sz w:val="21"/>
              </w:rPr>
              <w:t>/</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51.81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1,630,000.00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2"/>
        <w:spacing w:line="240" w:lineRule="auto"/>
        <w:ind w:left="538" w:right="228"/>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538" w:right="228"/>
        <w:jc w:val="left"/>
      </w:pPr>
      <w:r>
        <w:rPr/>
        <w:t>□适用 √不适用</w:t>
      </w:r>
    </w:p>
    <w:p>
      <w:pPr>
        <w:spacing w:line="240" w:lineRule="auto" w:before="11"/>
        <w:rPr>
          <w:rFonts w:ascii="宋体" w:hAnsi="宋体" w:cs="宋体" w:eastAsia="宋体" w:hint="default"/>
          <w:sz w:val="22"/>
          <w:szCs w:val="22"/>
        </w:rPr>
      </w:pPr>
    </w:p>
    <w:p>
      <w:pPr>
        <w:pStyle w:val="Heading2"/>
        <w:spacing w:line="240" w:lineRule="auto" w:before="0"/>
        <w:ind w:left="538" w:right="228"/>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380" w:val="left" w:leader="none"/>
        </w:tabs>
        <w:spacing w:line="240" w:lineRule="auto" w:before="56"/>
        <w:ind w:left="538" w:right="228"/>
        <w:jc w:val="left"/>
      </w:pPr>
      <w:r>
        <w:rPr/>
        <w:t>□适用</w:t>
        <w:tab/>
        <w:t>√不适用</w:t>
      </w:r>
    </w:p>
    <w:p>
      <w:pPr>
        <w:spacing w:line="240" w:lineRule="auto" w:before="0"/>
        <w:rPr>
          <w:rFonts w:ascii="宋体" w:hAnsi="宋体" w:cs="宋体" w:eastAsia="宋体" w:hint="default"/>
          <w:sz w:val="23"/>
          <w:szCs w:val="23"/>
        </w:rPr>
      </w:pPr>
    </w:p>
    <w:p>
      <w:pPr>
        <w:pStyle w:val="Heading2"/>
        <w:spacing w:line="240" w:lineRule="auto" w:before="0"/>
        <w:ind w:left="538" w:right="228"/>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380" w:val="left" w:leader="none"/>
        </w:tabs>
        <w:spacing w:line="240" w:lineRule="auto" w:before="56"/>
        <w:ind w:left="538" w:right="228"/>
        <w:jc w:val="left"/>
      </w:pPr>
      <w:r>
        <w:rPr/>
        <w:t>□适用</w:t>
        <w:tab/>
        <w:t>√不适用</w:t>
      </w:r>
    </w:p>
    <w:p>
      <w:pPr>
        <w:spacing w:line="240" w:lineRule="auto" w:before="4"/>
        <w:rPr>
          <w:rFonts w:ascii="宋体" w:hAnsi="宋体" w:cs="宋体" w:eastAsia="宋体" w:hint="default"/>
          <w:sz w:val="18"/>
          <w:szCs w:val="18"/>
        </w:rPr>
      </w:pPr>
    </w:p>
    <w:p>
      <w:pPr>
        <w:pStyle w:val="BodyText"/>
        <w:spacing w:line="274" w:lineRule="exact"/>
        <w:ind w:left="538" w:right="228"/>
        <w:jc w:val="left"/>
      </w:pPr>
      <w:r>
        <w:rPr/>
        <w:t>其他说明：</w:t>
      </w:r>
    </w:p>
    <w:p>
      <w:pPr>
        <w:pStyle w:val="BodyText"/>
        <w:tabs>
          <w:tab w:pos="1380" w:val="left" w:leader="none"/>
        </w:tabs>
        <w:spacing w:line="274" w:lineRule="exact"/>
        <w:ind w:left="538" w:right="228"/>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60" w:right="1120"/>
        </w:sectPr>
      </w:pPr>
    </w:p>
    <w:p>
      <w:pPr>
        <w:pStyle w:val="Heading2"/>
        <w:spacing w:line="240" w:lineRule="auto"/>
        <w:ind w:left="53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53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120"/>
          <w:cols w:num="2" w:equalWidth="0">
            <w:col w:w="2231" w:space="4291"/>
            <w:col w:w="300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71"/>
        <w:gridCol w:w="1534"/>
        <w:gridCol w:w="502"/>
        <w:gridCol w:w="1534"/>
        <w:gridCol w:w="1531"/>
        <w:gridCol w:w="517"/>
        <w:gridCol w:w="1531"/>
      </w:tblGrid>
      <w:tr>
        <w:trPr>
          <w:trHeight w:val="283" w:hRule="exact"/>
        </w:trPr>
        <w:tc>
          <w:tcPr>
            <w:tcW w:w="20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071"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3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2,610,267,834.87</w:t>
            </w:r>
          </w:p>
        </w:tc>
        <w:tc>
          <w:tcPr>
            <w:tcW w:w="50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2,610,267,834.87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2,137,117,083.34</w:t>
            </w:r>
          </w:p>
        </w:tc>
        <w:tc>
          <w:tcPr>
            <w:tcW w:w="51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2,137,117,083.34</w:t>
            </w:r>
          </w:p>
        </w:tc>
      </w:tr>
      <w:tr>
        <w:trPr>
          <w:trHeight w:val="281"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对联</w:t>
            </w:r>
            <w:r>
              <w:rPr>
                <w:rFonts w:ascii="宋体" w:hAnsi="宋体" w:cs="宋体" w:eastAsia="宋体" w:hint="default"/>
                <w:spacing w:val="-3"/>
                <w:w w:val="100"/>
                <w:sz w:val="21"/>
                <w:szCs w:val="21"/>
              </w:rPr>
              <w:t>营</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合</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232,266,542.8</w:t>
            </w:r>
          </w:p>
        </w:tc>
        <w:tc>
          <w:tcPr>
            <w:tcW w:w="50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232,266,542.8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238,840,759.81</w:t>
            </w:r>
          </w:p>
        </w:tc>
        <w:tc>
          <w:tcPr>
            <w:tcW w:w="51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238,840,759.81</w:t>
            </w:r>
          </w:p>
        </w:tc>
      </w:tr>
      <w:tr>
        <w:trPr>
          <w:trHeight w:val="283"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2,842,534,377.67</w:t>
            </w:r>
          </w:p>
        </w:tc>
        <w:tc>
          <w:tcPr>
            <w:tcW w:w="50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2,842,534,377.67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2,375,957,843.15</w:t>
            </w:r>
          </w:p>
        </w:tc>
        <w:tc>
          <w:tcPr>
            <w:tcW w:w="51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2,375,957,843.15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2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460" w:right="1040"/>
        </w:sectPr>
      </w:pPr>
    </w:p>
    <w:p>
      <w:pPr>
        <w:pStyle w:val="Heading2"/>
        <w:spacing w:line="240" w:lineRule="auto"/>
        <w:ind w:left="33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338" w:right="-2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2031" w:space="4491"/>
            <w:col w:w="2888"/>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26"/>
        <w:gridCol w:w="1469"/>
        <w:gridCol w:w="1342"/>
        <w:gridCol w:w="1342"/>
        <w:gridCol w:w="1476"/>
        <w:gridCol w:w="1004"/>
        <w:gridCol w:w="1003"/>
      </w:tblGrid>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4" w:lineRule="exact"/>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江西泰豪军工集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218,352,655.34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218,352,655.34</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江西泰豪电源技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江西泰豪科技进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127,975,000.00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127,975,000.00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上海博辕信息技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术服务有限公司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637,956,518.00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30,775,751.53</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668,732,269.53</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上海泰豪智能节</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能技术有限公司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149,880,000.00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149,880,000.00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深圳泰豪晟大创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业投资有限公司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125,000,000.00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125,000,000.00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泰豪软件股份有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399,150,000.00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399,150,000.00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龙岩市海德馨汽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车有限公司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80,600,000.00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80,600,000.00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泰豪国际投资有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93,202,910.00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93,202,910.00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广东泰豪能源科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上海泰豪迈能能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源科技有限公司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上海红生系统工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490,000,000.00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490,000,000.00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江西泰豪能源互</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联网有限公司</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泰豪国际工程有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贵州泰豪宝碳智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慧能源有限公司</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2,137,117,083.34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601,125,751.53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127,975,000.00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2,610,267,834.87</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60" w:right="1040"/>
        </w:sectPr>
      </w:pPr>
    </w:p>
    <w:p>
      <w:pPr>
        <w:spacing w:before="20"/>
        <w:ind w:left="6693" w:right="6497"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82"/>
          <w:footerReference w:type="default" r:id="rId83"/>
          <w:pgSz w:w="16840" w:h="11910" w:orient="landscape"/>
          <w:pgMar w:header="0" w:footer="0" w:top="800" w:bottom="280" w:left="1000" w:right="1300"/>
        </w:sectPr>
      </w:pPr>
    </w:p>
    <w:p>
      <w:pPr>
        <w:pStyle w:val="Heading2"/>
        <w:spacing w:line="240" w:lineRule="auto"/>
        <w:ind w:left="440"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44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1" w:val="left" w:leader="none"/>
        </w:tabs>
        <w:spacing w:line="240" w:lineRule="auto"/>
        <w:ind w:left="440" w:right="0"/>
        <w:jc w:val="left"/>
      </w:pPr>
      <w:r>
        <w:rPr>
          <w:spacing w:val="-1"/>
        </w:rPr>
        <w:t>单位：元</w:t>
        <w:tab/>
        <w:t>币种：人民币</w:t>
      </w:r>
    </w:p>
    <w:p>
      <w:pPr>
        <w:spacing w:after="0" w:line="240" w:lineRule="auto"/>
        <w:jc w:val="left"/>
        <w:sectPr>
          <w:type w:val="continuous"/>
          <w:pgSz w:w="16840" w:h="11910" w:orient="landscape"/>
          <w:pgMar w:top="1120" w:bottom="1380" w:left="1000" w:right="1300"/>
          <w:cols w:num="2" w:equalWidth="0">
            <w:col w:w="2975" w:space="8587"/>
            <w:col w:w="297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330"/>
        <w:gridCol w:w="1339"/>
        <w:gridCol w:w="1253"/>
        <w:gridCol w:w="1243"/>
        <w:gridCol w:w="1697"/>
        <w:gridCol w:w="992"/>
        <w:gridCol w:w="1224"/>
        <w:gridCol w:w="1697"/>
        <w:gridCol w:w="818"/>
        <w:gridCol w:w="482"/>
        <w:gridCol w:w="1250"/>
        <w:gridCol w:w="989"/>
      </w:tblGrid>
      <w:tr>
        <w:trPr>
          <w:trHeight w:val="242" w:hRule="exact"/>
        </w:trPr>
        <w:tc>
          <w:tcPr>
            <w:tcW w:w="1330" w:type="dxa"/>
            <w:vMerge w:val="restart"/>
            <w:tcBorders>
              <w:top w:val="single" w:sz="4" w:space="0" w:color="000000"/>
              <w:left w:val="single" w:sz="4" w:space="0" w:color="000000"/>
              <w:right w:val="single" w:sz="4" w:space="0" w:color="000000"/>
            </w:tcBorders>
          </w:tcPr>
          <w:p>
            <w:pPr>
              <w:pStyle w:val="TableParagraph"/>
              <w:spacing w:line="232" w:lineRule="exact" w:before="117"/>
              <w:ind w:left="480" w:right="478"/>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339" w:type="dxa"/>
            <w:vMerge w:val="restart"/>
            <w:tcBorders>
              <w:top w:val="single" w:sz="4" w:space="0" w:color="000000"/>
              <w:left w:val="single" w:sz="4" w:space="0" w:color="000000"/>
              <w:right w:val="single" w:sz="4" w:space="0" w:color="000000"/>
            </w:tcBorders>
          </w:tcPr>
          <w:p>
            <w:pPr>
              <w:pStyle w:val="TableParagraph"/>
              <w:spacing w:line="232" w:lineRule="exact" w:before="117"/>
              <w:ind w:left="484" w:right="482"/>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4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50" w:type="dxa"/>
            <w:vMerge w:val="restart"/>
            <w:tcBorders>
              <w:top w:val="single" w:sz="4" w:space="0" w:color="000000"/>
              <w:left w:val="single" w:sz="4" w:space="0" w:color="000000"/>
              <w:right w:val="single" w:sz="4" w:space="0" w:color="000000"/>
            </w:tcBorders>
          </w:tcPr>
          <w:p>
            <w:pPr>
              <w:pStyle w:val="TableParagraph"/>
              <w:spacing w:line="232" w:lineRule="exact" w:before="117"/>
              <w:ind w:left="439" w:right="439"/>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989" w:type="dxa"/>
            <w:vMerge w:val="restart"/>
            <w:tcBorders>
              <w:top w:val="single" w:sz="4" w:space="0" w:color="000000"/>
              <w:left w:val="single" w:sz="4" w:space="0" w:color="000000"/>
              <w:right w:val="single" w:sz="4" w:space="0" w:color="000000"/>
            </w:tcBorders>
          </w:tcPr>
          <w:p>
            <w:pPr>
              <w:pStyle w:val="TableParagraph"/>
              <w:spacing w:line="232" w:lineRule="exact" w:before="117"/>
              <w:ind w:left="129" w:right="12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78" w:hRule="exact"/>
        </w:trPr>
        <w:tc>
          <w:tcPr>
            <w:tcW w:w="1330"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权益法下确认的投</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资损益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其他权益变</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宣告发放现金股利</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或利润</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计提减</w:t>
            </w: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25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r>
      <w:tr>
        <w:trPr>
          <w:trHeight w:val="243" w:hRule="exact"/>
        </w:trPr>
        <w:tc>
          <w:tcPr>
            <w:tcW w:w="1431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18"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3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31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7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江西国科军工</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115,943,253.66</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23,935,117.09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14,512,029.08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1,513,026.51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14,599,269.51</w:t>
            </w: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93,433,922.65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北京泰豪装备</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21,052,679.10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3,312,958.43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24,365,637.53</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南昌创业投资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61,519,904.03</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1,762,835.83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63,282,739.86</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成都华太航空</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40,324,923.02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5,227,168.93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45,552,091.95</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上海朋迈能源</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3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10,000,000.00</w:t>
            </w:r>
          </w:p>
        </w:tc>
        <w:tc>
          <w:tcPr>
            <w:tcW w:w="124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-4,367,849.19</w:t>
            </w: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Times New Roman" w:hAnsi="Times New Roman" w:cs="Times New Roman" w:eastAsia="Times New Roman" w:hint="default"/>
                <w:sz w:val="18"/>
                <w:szCs w:val="18"/>
              </w:rPr>
            </w:pPr>
            <w:r>
              <w:rPr>
                <w:rFonts w:ascii="Times New Roman"/>
                <w:sz w:val="18"/>
              </w:rPr>
              <w:t>5,632,150.81</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238,840,759.81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23,935,117.09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20,447,143.08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1,513,026.51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14,599,269.51</w:t>
            </w: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232,266,542.8</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238,840,759.81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10,000,000.00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sz w:val="18"/>
              </w:rPr>
              <w:t>23,935,117.09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20,447,143.08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1,513,026.51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14,599,269.51</w:t>
            </w:r>
          </w:p>
        </w:tc>
        <w:tc>
          <w:tcPr>
            <w:tcW w:w="81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232,266,542.8</w:t>
            </w: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63"/>
        <w:ind w:left="6693" w:right="6480" w:firstLine="0"/>
        <w:jc w:val="center"/>
        <w:rPr>
          <w:rFonts w:ascii="Calibri" w:hAnsi="Calibri" w:cs="Calibri" w:eastAsia="Calibri" w:hint="default"/>
          <w:sz w:val="18"/>
          <w:szCs w:val="18"/>
        </w:rPr>
      </w:pPr>
      <w:r>
        <w:rPr>
          <w:rFonts w:ascii="Calibri"/>
          <w:b/>
          <w:sz w:val="18"/>
        </w:rPr>
        <w:t>177</w:t>
      </w:r>
      <w:r>
        <w:rPr>
          <w:rFonts w:ascii="Calibri"/>
          <w:sz w:val="18"/>
        </w:rPr>
        <w:t>/</w:t>
      </w:r>
      <w:r>
        <w:rPr>
          <w:rFonts w:ascii="Calibri"/>
          <w:b/>
          <w:sz w:val="18"/>
        </w:rPr>
        <w:t>180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00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84"/>
          <w:pgSz w:w="11910" w:h="16840"/>
          <w:pgMar w:footer="1195" w:header="0" w:top="1120" w:bottom="1380" w:left="1580" w:right="1140"/>
          <w:pgNumType w:start="178"/>
        </w:sectPr>
      </w:pPr>
    </w:p>
    <w:p>
      <w:pPr>
        <w:pStyle w:val="Heading2"/>
        <w:spacing w:line="240" w:lineRule="auto" w:before="179"/>
        <w:ind w:left="218"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60" w:val="left" w:leader="none"/>
        </w:tabs>
        <w:spacing w:line="240" w:lineRule="auto" w:before="58"/>
        <w:ind w:left="21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2753" w:space="3769"/>
            <w:col w:w="26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78"/>
        <w:gridCol w:w="1688"/>
        <w:gridCol w:w="1685"/>
        <w:gridCol w:w="1687"/>
        <w:gridCol w:w="1685"/>
      </w:tblGrid>
      <w:tr>
        <w:trPr>
          <w:trHeight w:val="283" w:hRule="exact"/>
        </w:trPr>
        <w:tc>
          <w:tcPr>
            <w:tcW w:w="207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078"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1,600,744,073.89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1,462,290,214.43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1,455,990,671.84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1,378,181,704.06</w:t>
            </w:r>
          </w:p>
        </w:tc>
      </w:tr>
      <w:tr>
        <w:trPr>
          <w:trHeight w:val="283"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27,972,550.98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920,562.88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23,363,169.59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575,632.20</w:t>
            </w:r>
          </w:p>
        </w:tc>
      </w:tr>
      <w:tr>
        <w:trPr>
          <w:trHeight w:val="283" w:hRule="exac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1,628,716,624.87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1,463,210,777.31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1,479,353,841.43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1,378,757,336.26</w:t>
            </w:r>
          </w:p>
        </w:tc>
      </w:tr>
    </w:tbl>
    <w:p>
      <w:pPr>
        <w:spacing w:line="240" w:lineRule="auto" w:before="7"/>
        <w:rPr>
          <w:rFonts w:ascii="宋体" w:hAnsi="宋体" w:cs="宋体" w:eastAsia="宋体" w:hint="default"/>
          <w:sz w:val="17"/>
          <w:szCs w:val="17"/>
        </w:rPr>
      </w:pPr>
    </w:p>
    <w:p>
      <w:pPr>
        <w:pStyle w:val="BodyText"/>
        <w:spacing w:line="240" w:lineRule="auto" w:before="36"/>
        <w:ind w:left="218" w:right="100"/>
        <w:jc w:val="left"/>
      </w:pPr>
      <w:r>
        <w:rPr/>
        <w:t>其他说明：</w:t>
      </w:r>
    </w:p>
    <w:p>
      <w:pPr>
        <w:spacing w:line="240" w:lineRule="auto" w:before="9"/>
        <w:rPr>
          <w:rFonts w:ascii="宋体" w:hAnsi="宋体" w:cs="宋体" w:eastAsia="宋体" w:hint="default"/>
          <w:sz w:val="25"/>
          <w:szCs w:val="25"/>
        </w:rPr>
      </w:pPr>
    </w:p>
    <w:tbl>
      <w:tblPr>
        <w:tblW w:w="0" w:type="auto"/>
        <w:jc w:val="left"/>
        <w:tblInd w:w="244" w:type="dxa"/>
        <w:tblLayout w:type="fixed"/>
        <w:tblCellMar>
          <w:top w:w="0" w:type="dxa"/>
          <w:left w:w="0" w:type="dxa"/>
          <w:bottom w:w="0" w:type="dxa"/>
          <w:right w:w="0" w:type="dxa"/>
        </w:tblCellMar>
        <w:tblLook w:val="01E0"/>
      </w:tblPr>
      <w:tblGrid>
        <w:gridCol w:w="2391"/>
        <w:gridCol w:w="1742"/>
        <w:gridCol w:w="1575"/>
        <w:gridCol w:w="1515"/>
        <w:gridCol w:w="1514"/>
      </w:tblGrid>
      <w:tr>
        <w:trPr>
          <w:trHeight w:val="362" w:hRule="exact"/>
        </w:trPr>
        <w:tc>
          <w:tcPr>
            <w:tcW w:w="2391"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7"/>
                <w:sz w:val="18"/>
                <w:szCs w:val="18"/>
              </w:rPr>
              <w:t> </w:t>
            </w:r>
            <w:r>
              <w:rPr>
                <w:rFonts w:ascii="宋体" w:hAnsi="宋体" w:cs="宋体" w:eastAsia="宋体" w:hint="default"/>
                <w:sz w:val="18"/>
                <w:szCs w:val="18"/>
              </w:rPr>
              <w:t>目</w:t>
            </w:r>
          </w:p>
        </w:tc>
        <w:tc>
          <w:tcPr>
            <w:tcW w:w="3317"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29"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7" w:hRule="exact"/>
        </w:trPr>
        <w:tc>
          <w:tcPr>
            <w:tcW w:w="2391" w:type="dxa"/>
            <w:vMerge/>
            <w:tcBorders>
              <w:left w:val="nil" w:sz="6" w:space="0" w:color="auto"/>
              <w:bottom w:val="single" w:sz="4" w:space="0" w:color="000000"/>
              <w:right w:val="single" w:sz="4" w:space="0" w:color="000000"/>
            </w:tcBorders>
          </w:tcPr>
          <w:p>
            <w:pPr/>
          </w:p>
        </w:tc>
        <w:tc>
          <w:tcPr>
            <w:tcW w:w="174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7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成本</w:t>
            </w:r>
          </w:p>
        </w:tc>
        <w:tc>
          <w:tcPr>
            <w:tcW w:w="1515"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14"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50"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74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1,600,744,073.89</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1,462,290,214.43</w:t>
            </w:r>
          </w:p>
        </w:tc>
        <w:tc>
          <w:tcPr>
            <w:tcW w:w="151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1,455,990,671.84</w:t>
            </w:r>
          </w:p>
        </w:tc>
        <w:tc>
          <w:tcPr>
            <w:tcW w:w="1514"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1,378,181,704.06</w:t>
            </w:r>
          </w:p>
        </w:tc>
      </w:tr>
      <w:tr>
        <w:trPr>
          <w:trHeight w:val="350"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智慧能源业务</w:t>
            </w:r>
          </w:p>
        </w:tc>
        <w:tc>
          <w:tcPr>
            <w:tcW w:w="174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1,600,744,073.89</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1,462,290,214.43</w:t>
            </w:r>
          </w:p>
        </w:tc>
        <w:tc>
          <w:tcPr>
            <w:tcW w:w="151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1,455,990,671.84</w:t>
            </w:r>
          </w:p>
        </w:tc>
        <w:tc>
          <w:tcPr>
            <w:tcW w:w="1514"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1,378,181,704.06</w:t>
            </w:r>
          </w:p>
        </w:tc>
      </w:tr>
      <w:tr>
        <w:trPr>
          <w:trHeight w:val="348"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74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27,972,550.98</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920,562.88</w:t>
            </w:r>
          </w:p>
        </w:tc>
        <w:tc>
          <w:tcPr>
            <w:tcW w:w="151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23,363,169.59</w:t>
            </w:r>
          </w:p>
        </w:tc>
        <w:tc>
          <w:tcPr>
            <w:tcW w:w="1514"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575,632.20</w:t>
            </w:r>
          </w:p>
        </w:tc>
      </w:tr>
      <w:tr>
        <w:trPr>
          <w:trHeight w:val="350"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房租及物业管理</w:t>
            </w:r>
          </w:p>
        </w:tc>
        <w:tc>
          <w:tcPr>
            <w:tcW w:w="174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16,664,670.58</w:t>
            </w:r>
          </w:p>
        </w:tc>
        <w:tc>
          <w:tcPr>
            <w:tcW w:w="1575"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920,562.88</w:t>
            </w:r>
          </w:p>
        </w:tc>
        <w:tc>
          <w:tcPr>
            <w:tcW w:w="151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13,077,870.57</w:t>
            </w:r>
          </w:p>
        </w:tc>
        <w:tc>
          <w:tcPr>
            <w:tcW w:w="1514"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575,632.20</w:t>
            </w:r>
          </w:p>
        </w:tc>
      </w:tr>
      <w:tr>
        <w:trPr>
          <w:trHeight w:val="350"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174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9,756,289.31</w:t>
            </w:r>
          </w:p>
        </w:tc>
        <w:tc>
          <w:tcPr>
            <w:tcW w:w="1575" w:type="dxa"/>
            <w:tcBorders>
              <w:top w:val="single" w:sz="4" w:space="0" w:color="000000"/>
              <w:left w:val="single" w:sz="6"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9,928,962.26</w:t>
            </w:r>
          </w:p>
        </w:tc>
        <w:tc>
          <w:tcPr>
            <w:tcW w:w="1514" w:type="dxa"/>
            <w:tcBorders>
              <w:top w:val="single" w:sz="4" w:space="0" w:color="000000"/>
              <w:left w:val="single" w:sz="6" w:space="0" w:color="000000"/>
              <w:bottom w:val="single" w:sz="4" w:space="0" w:color="000000"/>
              <w:right w:val="nil" w:sz="6" w:space="0" w:color="auto"/>
            </w:tcBorders>
          </w:tcPr>
          <w:p>
            <w:pPr/>
          </w:p>
        </w:tc>
      </w:tr>
      <w:tr>
        <w:trPr>
          <w:trHeight w:val="350"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1,551,591.09</w:t>
            </w:r>
          </w:p>
        </w:tc>
        <w:tc>
          <w:tcPr>
            <w:tcW w:w="1575" w:type="dxa"/>
            <w:tcBorders>
              <w:top w:val="single" w:sz="4" w:space="0" w:color="000000"/>
              <w:left w:val="single" w:sz="6"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356,336.76</w:t>
            </w:r>
          </w:p>
        </w:tc>
        <w:tc>
          <w:tcPr>
            <w:tcW w:w="1514" w:type="dxa"/>
            <w:tcBorders>
              <w:top w:val="single" w:sz="4" w:space="0" w:color="000000"/>
              <w:left w:val="single" w:sz="6" w:space="0" w:color="000000"/>
              <w:bottom w:val="single" w:sz="4" w:space="0" w:color="000000"/>
              <w:right w:val="nil" w:sz="6" w:space="0" w:color="auto"/>
            </w:tcBorders>
          </w:tcPr>
          <w:p>
            <w:pPr/>
          </w:p>
        </w:tc>
      </w:tr>
      <w:tr>
        <w:trPr>
          <w:trHeight w:val="360" w:hRule="exact"/>
        </w:trPr>
        <w:tc>
          <w:tcPr>
            <w:tcW w:w="23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2"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100"/>
              <w:jc w:val="right"/>
              <w:rPr>
                <w:rFonts w:ascii="Arial Narrow" w:hAnsi="Arial Narrow" w:cs="Arial Narrow" w:eastAsia="Arial Narrow" w:hint="default"/>
                <w:sz w:val="18"/>
                <w:szCs w:val="18"/>
              </w:rPr>
            </w:pPr>
            <w:r>
              <w:rPr>
                <w:rFonts w:ascii="Arial Narrow"/>
                <w:spacing w:val="-1"/>
                <w:sz w:val="18"/>
              </w:rPr>
              <w:t>1,628,716,624.87</w:t>
            </w:r>
          </w:p>
        </w:tc>
        <w:tc>
          <w:tcPr>
            <w:tcW w:w="1575"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66"/>
              <w:ind w:right="105"/>
              <w:jc w:val="right"/>
              <w:rPr>
                <w:rFonts w:ascii="Arial Narrow" w:hAnsi="Arial Narrow" w:cs="Arial Narrow" w:eastAsia="Arial Narrow" w:hint="default"/>
                <w:sz w:val="18"/>
                <w:szCs w:val="18"/>
              </w:rPr>
            </w:pPr>
            <w:r>
              <w:rPr>
                <w:rFonts w:ascii="Arial Narrow"/>
                <w:spacing w:val="-1"/>
                <w:sz w:val="18"/>
              </w:rPr>
              <w:t>1,463,210,777.31</w:t>
            </w:r>
          </w:p>
        </w:tc>
        <w:tc>
          <w:tcPr>
            <w:tcW w:w="1515"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66"/>
              <w:ind w:right="101"/>
              <w:jc w:val="right"/>
              <w:rPr>
                <w:rFonts w:ascii="Arial Narrow" w:hAnsi="Arial Narrow" w:cs="Arial Narrow" w:eastAsia="Arial Narrow" w:hint="default"/>
                <w:sz w:val="18"/>
                <w:szCs w:val="18"/>
              </w:rPr>
            </w:pPr>
            <w:r>
              <w:rPr>
                <w:rFonts w:ascii="Arial Narrow"/>
                <w:spacing w:val="-1"/>
                <w:sz w:val="18"/>
              </w:rPr>
              <w:t>1,479,353,841.43</w:t>
            </w:r>
          </w:p>
        </w:tc>
        <w:tc>
          <w:tcPr>
            <w:tcW w:w="1514"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66"/>
              <w:ind w:right="107"/>
              <w:jc w:val="right"/>
              <w:rPr>
                <w:rFonts w:ascii="Arial Narrow" w:hAnsi="Arial Narrow" w:cs="Arial Narrow" w:eastAsia="Arial Narrow" w:hint="default"/>
                <w:sz w:val="18"/>
                <w:szCs w:val="18"/>
              </w:rPr>
            </w:pPr>
            <w:r>
              <w:rPr>
                <w:rFonts w:ascii="Arial Narrow"/>
                <w:spacing w:val="-1"/>
                <w:sz w:val="18"/>
              </w:rPr>
              <w:t>1,378,757,336.26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140"/>
        </w:sectPr>
      </w:pPr>
    </w:p>
    <w:p>
      <w:pPr>
        <w:pStyle w:val="Heading2"/>
        <w:spacing w:line="240" w:lineRule="auto"/>
        <w:ind w:left="21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2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140"/>
          <w:cols w:num="2" w:equalWidth="0">
            <w:col w:w="1618" w:space="4904"/>
            <w:col w:w="26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2165"/>
        <w:gridCol w:w="2439"/>
      </w:tblGrid>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40,000,000.00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18,600,000.00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20,447,143.08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17,468,335.15</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49,493,298.47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41,529,474.44</w:t>
            </w:r>
          </w:p>
        </w:tc>
      </w:tr>
      <w:tr>
        <w:trPr>
          <w:trHeight w:val="55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融资产在持有期间的投资收益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的金融资产取得的投资收益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量产生的利得</w:t>
            </w:r>
          </w:p>
        </w:tc>
        <w:tc>
          <w:tcPr>
            <w:tcW w:w="21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2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10,050,165.45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10,721,330.82</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119,990,607.00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88,369,140.41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left="218" w:right="10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9"/>
        <w:ind w:left="218" w:right="100"/>
        <w:jc w:val="left"/>
      </w:pPr>
      <w:r>
        <w:rPr/>
        <w:t>□适用</w:t>
        <w:tab/>
        <w:t>√不适用</w:t>
      </w:r>
    </w:p>
    <w:p>
      <w:pPr>
        <w:spacing w:after="0" w:line="240" w:lineRule="auto"/>
        <w:jc w:val="left"/>
        <w:sectPr>
          <w:type w:val="continuous"/>
          <w:pgSz w:w="11910" w:h="16840"/>
          <w:pgMar w:top="1120" w:bottom="1380" w:left="158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460" w:right="1040"/>
        </w:sectPr>
      </w:pPr>
    </w:p>
    <w:p>
      <w:pPr>
        <w:pStyle w:val="Heading2"/>
        <w:tabs>
          <w:tab w:pos="1177" w:val="left" w:leader="none"/>
        </w:tabs>
        <w:spacing w:line="240" w:lineRule="auto"/>
        <w:ind w:left="338" w:right="-19"/>
        <w:jc w:val="left"/>
        <w:rPr>
          <w:b w:val="0"/>
          <w:bCs w:val="0"/>
        </w:rPr>
      </w:pPr>
      <w:r>
        <w:rPr/>
        <w:t>十八、</w:t>
        <w:tab/>
        <w:t>补充资料</w:t>
      </w:r>
      <w:r>
        <w:rPr>
          <w:b w:val="0"/>
          <w:bCs w:val="0"/>
        </w:rPr>
      </w:r>
    </w:p>
    <w:p>
      <w:pPr>
        <w:pStyle w:val="Heading2"/>
        <w:spacing w:line="240" w:lineRule="auto" w:before="58"/>
        <w:ind w:left="338"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84" w:val="left" w:leader="none"/>
        </w:tabs>
        <w:spacing w:line="240" w:lineRule="auto" w:before="56"/>
        <w:ind w:left="338"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380" w:left="1460" w:right="1040"/>
          <w:cols w:num="2" w:equalWidth="0">
            <w:col w:w="3082" w:space="3440"/>
            <w:col w:w="2888"/>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7131"/>
        <w:gridCol w:w="1529"/>
        <w:gridCol w:w="502"/>
      </w:tblGrid>
      <w:tr>
        <w:trPr>
          <w:trHeight w:val="554"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说</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明</w:t>
            </w: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89,949,560.87</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计入当期损益的政府补助（与企业业务密切相关，按照国家统一标准定额或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定量享受的政府补助除外）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20,223,778.87</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企业取得子公司、联营企业及合营企业的投资成本小于取得投资时应享有被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投资单位可辨认净资产公允价值产生的收益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除同公司正常经营业务相关的有效套期保值业务外，持有交易性金融资产、</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交易性金融负债产生的公允价值变动损益，以及处置交易性金融资产、交易</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性金融负债和可供出售金融资产取得的投资收益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9,756,289.31</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采用公允价值模式进行后续计量的投资性房地产公允价值变动产生的损益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根据税收、会计等法律、法规的要求对当期损益进行一次性调整对当期损益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-315,995.97</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2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-18,406,481.80</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-648,954.44</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7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100,558,196.84</w:t>
            </w:r>
          </w:p>
        </w:tc>
        <w:tc>
          <w:tcPr>
            <w:tcW w:w="5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81" w:lineRule="exact" w:before="36"/>
        <w:ind w:left="758" w:right="112"/>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w:t>
      </w:r>
    </w:p>
    <w:p>
      <w:pPr>
        <w:pStyle w:val="BodyText"/>
        <w:spacing w:line="272" w:lineRule="exact" w:before="18"/>
        <w:ind w:left="338" w:right="222"/>
        <w:jc w:val="left"/>
      </w:pPr>
      <w:r>
        <w:rPr/>
        <w:t>的非经常性损益项目，以及把《公开发行证券的公司信息披露解释性公告第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非经常性损</w:t>
      </w:r>
      <w:r>
        <w:rPr>
          <w:w w:val="100"/>
        </w:rPr>
        <w:t> </w:t>
      </w:r>
      <w:r>
        <w:rPr/>
        <w:t>益》中列举的非经常性损益项目界定为经常性损益的项目，应说明原因。</w:t>
      </w:r>
    </w:p>
    <w:p>
      <w:pPr>
        <w:pStyle w:val="BodyText"/>
        <w:spacing w:line="265" w:lineRule="exact"/>
        <w:ind w:left="338" w:right="112"/>
        <w:jc w:val="left"/>
      </w:pPr>
      <w:r>
        <w:rPr/>
        <w:t>√适用</w:t>
      </w:r>
      <w:r>
        <w:rPr>
          <w:spacing w:val="1"/>
        </w:rPr>
        <w:t> </w:t>
      </w:r>
      <w:r>
        <w:rPr>
          <w:rFonts w:ascii="Times New Roman" w:hAnsi="Times New Roman" w:cs="Times New Roman" w:eastAsia="Times New Roman" w:hint="default"/>
        </w:rPr>
        <w:t>□</w:t>
      </w:r>
      <w:r>
        <w:rPr/>
        <w:t>不适用</w:t>
      </w:r>
    </w:p>
    <w:p>
      <w:pPr>
        <w:pStyle w:val="BodyText"/>
        <w:tabs>
          <w:tab w:pos="1051" w:val="left" w:leader="none"/>
        </w:tabs>
        <w:spacing w:line="255"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622"/>
        <w:gridCol w:w="1321"/>
        <w:gridCol w:w="6219"/>
      </w:tblGrid>
      <w:tr>
        <w:trPr>
          <w:trHeight w:val="28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涉及金额</w:t>
            </w:r>
          </w:p>
        </w:tc>
        <w:tc>
          <w:tcPr>
            <w:tcW w:w="6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5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入</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8"/>
                <w:sz w:val="21"/>
                <w:szCs w:val="21"/>
              </w:rPr>
              <w:t> </w:t>
            </w:r>
            <w:r>
              <w:rPr>
                <w:rFonts w:ascii="宋体" w:hAnsi="宋体" w:cs="宋体" w:eastAsia="宋体" w:hint="default"/>
                <w:sz w:val="21"/>
                <w:szCs w:val="21"/>
              </w:rPr>
              <w:t>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税即征即退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4,808,062.69</w:t>
            </w:r>
          </w:p>
        </w:tc>
        <w:tc>
          <w:tcPr>
            <w:tcW w:w="62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对自</w:t>
            </w:r>
            <w:r>
              <w:rPr>
                <w:rFonts w:ascii="宋体" w:hAnsi="宋体" w:cs="宋体" w:eastAsia="宋体" w:hint="default"/>
                <w:spacing w:val="-3"/>
                <w:w w:val="100"/>
                <w:sz w:val="21"/>
                <w:szCs w:val="21"/>
              </w:rPr>
              <w:t>行</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的</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产品</w:t>
            </w:r>
            <w:r>
              <w:rPr>
                <w:rFonts w:ascii="宋体" w:hAnsi="宋体" w:cs="宋体" w:eastAsia="宋体" w:hint="default"/>
                <w:w w:val="100"/>
                <w:sz w:val="21"/>
                <w:szCs w:val="21"/>
              </w:rPr>
              <w:t>按</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法</w:t>
            </w:r>
            <w:r>
              <w:rPr>
                <w:rFonts w:ascii="宋体" w:hAnsi="宋体" w:cs="宋体" w:eastAsia="宋体" w:hint="default"/>
                <w:spacing w:val="-3"/>
                <w:w w:val="100"/>
                <w:sz w:val="21"/>
                <w:szCs w:val="21"/>
              </w:rPr>
              <w:t>定</w:t>
            </w:r>
            <w:r>
              <w:rPr>
                <w:rFonts w:ascii="宋体" w:hAnsi="宋体" w:cs="宋体" w:eastAsia="宋体" w:hint="default"/>
                <w:w w:val="100"/>
                <w:sz w:val="21"/>
                <w:szCs w:val="21"/>
              </w:rPr>
              <w:t>税</w:t>
            </w:r>
            <w:r>
              <w:rPr>
                <w:rFonts w:ascii="宋体" w:hAnsi="宋体" w:cs="宋体" w:eastAsia="宋体" w:hint="default"/>
                <w:spacing w:val="-3"/>
                <w:w w:val="100"/>
                <w:sz w:val="21"/>
                <w:szCs w:val="21"/>
              </w:rPr>
              <w:t>率</w:t>
            </w:r>
            <w:r>
              <w:rPr>
                <w:rFonts w:ascii="宋体" w:hAnsi="宋体" w:cs="宋体" w:eastAsia="宋体" w:hint="default"/>
                <w:w w:val="100"/>
                <w:sz w:val="21"/>
                <w:szCs w:val="21"/>
              </w:rPr>
              <w:t>征</w:t>
            </w:r>
            <w:r>
              <w:rPr>
                <w:rFonts w:ascii="宋体" w:hAnsi="宋体" w:cs="宋体" w:eastAsia="宋体" w:hint="default"/>
                <w:spacing w:val="-3"/>
                <w:w w:val="100"/>
                <w:sz w:val="21"/>
                <w:szCs w:val="21"/>
              </w:rPr>
              <w:t>收</w:t>
            </w:r>
            <w:r>
              <w:rPr>
                <w:rFonts w:ascii="宋体" w:hAnsi="宋体" w:cs="宋体" w:eastAsia="宋体" w:hint="default"/>
                <w:w w:val="100"/>
                <w:sz w:val="21"/>
                <w:szCs w:val="21"/>
              </w:rPr>
              <w:t>增</w:t>
            </w:r>
            <w:r>
              <w:rPr>
                <w:rFonts w:ascii="宋体" w:hAnsi="宋体" w:cs="宋体" w:eastAsia="宋体" w:hint="default"/>
                <w:spacing w:val="-3"/>
                <w:w w:val="100"/>
                <w:sz w:val="21"/>
                <w:szCs w:val="21"/>
              </w:rPr>
              <w:t>值</w:t>
            </w:r>
            <w:r>
              <w:rPr>
                <w:rFonts w:ascii="宋体" w:hAnsi="宋体" w:cs="宋体" w:eastAsia="宋体" w:hint="default"/>
                <w:w w:val="100"/>
                <w:sz w:val="21"/>
                <w:szCs w:val="21"/>
              </w:rPr>
              <w:t>税</w:t>
            </w:r>
            <w:r>
              <w:rPr>
                <w:rFonts w:ascii="宋体" w:hAnsi="宋体" w:cs="宋体" w:eastAsia="宋体" w:hint="default"/>
                <w:spacing w:val="-3"/>
                <w:w w:val="100"/>
                <w:sz w:val="21"/>
                <w:szCs w:val="21"/>
              </w:rPr>
              <w:t>后</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对</w:t>
            </w:r>
            <w:r>
              <w:rPr>
                <w:rFonts w:ascii="宋体" w:hAnsi="宋体" w:cs="宋体" w:eastAsia="宋体" w:hint="default"/>
                <w:w w:val="100"/>
                <w:sz w:val="21"/>
                <w:szCs w:val="21"/>
              </w:rPr>
              <w:t>其</w:t>
            </w:r>
            <w:r>
              <w:rPr>
                <w:rFonts w:ascii="宋体" w:hAnsi="宋体" w:cs="宋体" w:eastAsia="宋体" w:hint="default"/>
                <w:spacing w:val="-3"/>
                <w:w w:val="100"/>
                <w:sz w:val="21"/>
                <w:szCs w:val="21"/>
              </w:rPr>
              <w:t>增</w:t>
            </w:r>
            <w:r>
              <w:rPr>
                <w:rFonts w:ascii="宋体" w:hAnsi="宋体" w:cs="宋体" w:eastAsia="宋体" w:hint="default"/>
                <w:w w:val="100"/>
                <w:sz w:val="21"/>
                <w:szCs w:val="21"/>
              </w:rPr>
              <w:t>值</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税实际税负超过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的部分实行即征即退政策</w:t>
            </w:r>
          </w:p>
        </w:tc>
      </w:tr>
      <w:tr>
        <w:trPr>
          <w:trHeight w:val="252" w:hRule="exact"/>
        </w:trPr>
        <w:tc>
          <w:tcPr>
            <w:tcW w:w="162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62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60" w:right="1040"/>
        </w:sectPr>
      </w:pPr>
    </w:p>
    <w:p>
      <w:pPr>
        <w:spacing w:line="240" w:lineRule="auto" w:before="1"/>
        <w:rPr>
          <w:rFonts w:ascii="宋体" w:hAnsi="宋体" w:cs="宋体" w:eastAsia="宋体" w:hint="default"/>
          <w:sz w:val="25"/>
          <w:szCs w:val="25"/>
        </w:rPr>
      </w:pPr>
    </w:p>
    <w:p>
      <w:pPr>
        <w:pStyle w:val="Heading2"/>
        <w:spacing w:line="240" w:lineRule="auto"/>
        <w:ind w:left="458" w:right="228"/>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458" w:right="2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9" w:type="dxa"/>
        <w:tblLayout w:type="fixed"/>
        <w:tblCellMar>
          <w:top w:w="0" w:type="dxa"/>
          <w:left w:w="0" w:type="dxa"/>
          <w:bottom w:w="0" w:type="dxa"/>
          <w:right w:w="0" w:type="dxa"/>
        </w:tblCellMar>
        <w:tblLook w:val="01E0"/>
      </w:tblPr>
      <w:tblGrid>
        <w:gridCol w:w="5154"/>
        <w:gridCol w:w="1512"/>
        <w:gridCol w:w="1306"/>
        <w:gridCol w:w="1303"/>
      </w:tblGrid>
      <w:tr>
        <w:trPr>
          <w:trHeight w:val="283" w:hRule="exact"/>
        </w:trPr>
        <w:tc>
          <w:tcPr>
            <w:tcW w:w="51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107"/>
              <w:ind w:left="139" w:right="117" w:hanging="2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r>
              <w:rPr>
                <w:rFonts w:ascii="Times New Roman" w:hAnsi="Times New Roman" w:cs="Times New Roman" w:eastAsia="Times New Roman" w:hint="default"/>
                <w:sz w:val="21"/>
                <w:szCs w:val="21"/>
              </w:rPr>
              <w:t>%</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4" w:hRule="exact"/>
        </w:trPr>
        <w:tc>
          <w:tcPr>
            <w:tcW w:w="5154"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70" w:hRule="exact"/>
        </w:trPr>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0.38</w:t>
            </w:r>
          </w:p>
        </w:tc>
      </w:tr>
      <w:tr>
        <w:trPr>
          <w:trHeight w:val="372" w:hRule="exact"/>
        </w:trPr>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2"/>
        <w:spacing w:line="240" w:lineRule="auto"/>
        <w:ind w:left="458" w:right="228"/>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458" w:right="228"/>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2"/>
        <w:spacing w:line="240" w:lineRule="auto" w:before="0"/>
        <w:ind w:left="458" w:right="228"/>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300" w:val="left" w:leader="none"/>
        </w:tabs>
        <w:spacing w:line="240" w:lineRule="auto" w:before="58"/>
        <w:ind w:left="458" w:right="228"/>
        <w:jc w:val="left"/>
      </w:pPr>
      <w:r>
        <w:rPr/>
        <w:t>□适用</w:t>
        <w:tab/>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before="0"/>
        <w:ind w:left="3381" w:right="3158"/>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422" w:type="dxa"/>
        <w:tblLayout w:type="fixed"/>
        <w:tblCellMar>
          <w:top w:w="0" w:type="dxa"/>
          <w:left w:w="0" w:type="dxa"/>
          <w:bottom w:w="0" w:type="dxa"/>
          <w:right w:w="0" w:type="dxa"/>
        </w:tblCellMar>
        <w:tblLook w:val="01E0"/>
      </w:tblPr>
      <w:tblGrid>
        <w:gridCol w:w="2278"/>
        <w:gridCol w:w="6548"/>
      </w:tblGrid>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载有法定代表人、主管会计工作负责人、会计机构负责人签名并盖章的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spacing w:val="-10"/>
                <w:w w:val="100"/>
                <w:sz w:val="21"/>
                <w:szCs w:val="21"/>
              </w:rPr>
              <w:t>内</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海</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8"/>
                <w:w w:val="100"/>
                <w:sz w:val="21"/>
                <w:szCs w:val="21"/>
              </w:rPr>
              <w:t>》</w:t>
            </w:r>
            <w:r>
              <w:rPr>
                <w:rFonts w:ascii="宋体" w:hAnsi="宋体" w:cs="宋体" w:eastAsia="宋体" w:hint="default"/>
                <w:spacing w:val="-11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报</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公</w:t>
            </w:r>
            <w:r>
              <w:rPr>
                <w:rFonts w:ascii="宋体" w:hAnsi="宋体" w:cs="宋体" w:eastAsia="宋体" w:hint="default"/>
                <w:spacing w:val="-3"/>
                <w:w w:val="100"/>
                <w:sz w:val="21"/>
                <w:szCs w:val="21"/>
              </w:rPr>
              <w:t>开披</w:t>
            </w:r>
            <w:r>
              <w:rPr>
                <w:rFonts w:ascii="宋体" w:hAnsi="宋体" w:cs="宋体" w:eastAsia="宋体" w:hint="default"/>
                <w:w w:val="100"/>
                <w:sz w:val="21"/>
                <w:szCs w:val="21"/>
              </w:rPr>
              <w:t>露过</w:t>
            </w:r>
            <w:r>
              <w:rPr>
                <w:rFonts w:ascii="宋体" w:hAnsi="宋体" w:cs="宋体" w:eastAsia="宋体" w:hint="default"/>
                <w:spacing w:val="-3"/>
                <w:w w:val="100"/>
                <w:sz w:val="21"/>
                <w:szCs w:val="21"/>
              </w:rPr>
              <w:t>的</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文件</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的正本及公告原件。</w:t>
            </w:r>
          </w:p>
        </w:tc>
      </w:tr>
    </w:tbl>
    <w:p>
      <w:pPr>
        <w:pStyle w:val="BodyText"/>
        <w:spacing w:line="314" w:lineRule="auto" w:before="42"/>
        <w:ind w:left="5559" w:right="228" w:firstLine="2256"/>
        <w:jc w:val="left"/>
      </w:pPr>
      <w:r>
        <w:rPr>
          <w:spacing w:val="-1"/>
        </w:rPr>
        <w:t>董事长：黄代放</w:t>
      </w:r>
      <w:r>
        <w:rPr>
          <w:w w:val="100"/>
        </w:rPr>
        <w:t> </w:t>
      </w:r>
      <w:r>
        <w:rPr/>
        <w:t>董事会批准报送日期：</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8"/>
        <w:ind w:left="458" w:right="228"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458" w:right="228"/>
        <w:jc w:val="left"/>
      </w:pPr>
      <w:r>
        <w:rPr/>
        <w:t>□适用 √不适用</w:t>
      </w:r>
    </w:p>
    <w:sectPr>
      <w:footerReference w:type="default" r:id="rId85"/>
      <w:pgSz w:w="11910" w:h="16840"/>
      <w:pgMar w:footer="1195" w:header="0" w:top="1120" w:bottom="1380" w:left="13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09998pt;margin-top:771.169983pt;width:24.75pt;height:11pt;mso-position-horizontal-relative:page;mso-position-vertical-relative:page;z-index:-1112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111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w:t>
                </w:r>
                <w:r>
                  <w:rPr>
                    <w:rFonts w:ascii="Calibri"/>
                    <w:sz w:val="18"/>
                  </w:rPr>
                  <w:t>/</w:t>
                </w:r>
                <w:r>
                  <w:rPr>
                    <w:rFonts w:ascii="Calibri"/>
                    <w:b/>
                    <w:sz w:val="18"/>
                  </w:rPr>
                  <w:t>180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29.3pt;height:11pt;mso-position-horizontal-relative:page;mso-position-vertical-relative:page;z-index:-1111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111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111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w:t>
                </w:r>
                <w:r>
                  <w:rPr>
                    <w:rFonts w:ascii="Calibri"/>
                    <w:sz w:val="18"/>
                  </w:rPr>
                  <w:t>/</w:t>
                </w:r>
                <w:r>
                  <w:rPr>
                    <w:rFonts w:ascii="Calibri"/>
                    <w:b/>
                    <w:sz w:val="18"/>
                  </w:rPr>
                  <w:t>180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111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w:t>
                </w:r>
                <w:r>
                  <w:rPr>
                    <w:rFonts w:ascii="Calibri"/>
                    <w:sz w:val="18"/>
                  </w:rPr>
                  <w:t>/</w:t>
                </w:r>
                <w:r>
                  <w:rPr>
                    <w:rFonts w:ascii="Calibri"/>
                    <w:b/>
                    <w:sz w:val="18"/>
                  </w:rPr>
                  <w:t>180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29.3pt;height:11pt;mso-position-horizontal-relative:page;mso-position-vertical-relative:page;z-index:-1111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111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29.3pt;height:11pt;mso-position-horizontal-relative:page;mso-position-vertical-relative:page;z-index:-1111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649994pt;margin-top:524.546021pt;width:28.3pt;height:11pt;mso-position-horizontal-relative:page;mso-position-vertical-relative:page;z-index:-1111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w:t>
                </w:r>
                <w:r>
                  <w:rPr>
                    <w:rFonts w:ascii="Calibri"/>
                    <w:sz w:val="18"/>
                  </w:rPr>
                  <w:t>/</w:t>
                </w:r>
                <w:r>
                  <w:rPr>
                    <w:rFonts w:ascii="Calibri"/>
                    <w:b/>
                    <w:sz w:val="18"/>
                  </w:rPr>
                  <w:t>180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111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112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w:t>
                </w:r>
                <w:r>
                  <w:rPr>
                    <w:rFonts w:ascii="Calibri"/>
                    <w:sz w:val="18"/>
                  </w:rPr>
                  <w:t>/</w:t>
                </w:r>
                <w:r>
                  <w:rPr>
                    <w:rFonts w:ascii="Calibri"/>
                    <w:b/>
                    <w:sz w:val="18"/>
                  </w:rPr>
                  <w:t>180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111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w:t>
                </w:r>
                <w:r>
                  <w:rPr>
                    <w:rFonts w:ascii="Calibri"/>
                    <w:sz w:val="18"/>
                  </w:rPr>
                  <w:t>/</w:t>
                </w:r>
                <w:r>
                  <w:rPr>
                    <w:rFonts w:ascii="Calibri"/>
                    <w:b/>
                    <w:sz w:val="18"/>
                  </w:rPr>
                  <w:t>180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111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111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w:t>
                </w:r>
                <w:r>
                  <w:rPr>
                    <w:rFonts w:ascii="Calibri"/>
                    <w:sz w:val="18"/>
                  </w:rPr>
                  <w:t>/</w:t>
                </w:r>
                <w:r>
                  <w:rPr>
                    <w:rFonts w:ascii="Calibri"/>
                    <w:b/>
                    <w:sz w:val="18"/>
                  </w:rPr>
                  <w:t>180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111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w:t>
                </w:r>
                <w:r>
                  <w:rPr>
                    <w:rFonts w:ascii="Calibri"/>
                    <w:sz w:val="18"/>
                  </w:rPr>
                  <w:t>/</w:t>
                </w:r>
                <w:r>
                  <w:rPr>
                    <w:rFonts w:ascii="Calibri"/>
                    <w:b/>
                    <w:sz w:val="18"/>
                  </w:rPr>
                  <w:t>180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29.3pt;height:11pt;mso-position-horizontal-relative:page;mso-position-vertical-relative:page;z-index:-1111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111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529999pt;margin-top:771.169983pt;width:28.3pt;height:11pt;mso-position-horizontal-relative:page;mso-position-vertical-relative:page;z-index:-1111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w:t>
                </w:r>
                <w:r>
                  <w:rPr>
                    <w:rFonts w:ascii="Calibri"/>
                    <w:sz w:val="18"/>
                  </w:rPr>
                  <w:t>/</w:t>
                </w:r>
                <w:r>
                  <w:rPr>
                    <w:rFonts w:ascii="Calibri"/>
                    <w:b/>
                    <w:sz w:val="18"/>
                  </w:rPr>
                  <w:t>180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111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110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w:t>
                </w:r>
                <w:r>
                  <w:rPr>
                    <w:rFonts w:ascii="Calibri"/>
                    <w:sz w:val="18"/>
                  </w:rPr>
                  <w:t>/</w:t>
                </w:r>
                <w:r>
                  <w:rPr>
                    <w:rFonts w:ascii="Calibri"/>
                    <w:b/>
                    <w:sz w:val="18"/>
                  </w:rPr>
                  <w:t>180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112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369995pt;margin-top:524.546021pt;width:33.9pt;height:11pt;mso-position-horizontal-relative:page;mso-position-vertical-relative:page;z-index:-1110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110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w:t>
                </w:r>
                <w:r>
                  <w:rPr>
                    <w:rFonts w:ascii="Calibri"/>
                    <w:sz w:val="18"/>
                  </w:rPr>
                  <w:t>/</w:t>
                </w:r>
                <w:r>
                  <w:rPr>
                    <w:rFonts w:ascii="Calibri"/>
                    <w:b/>
                    <w:sz w:val="18"/>
                  </w:rPr>
                  <w:t>180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110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w:t>
                </w:r>
                <w:r>
                  <w:rPr>
                    <w:rFonts w:ascii="Calibri"/>
                    <w:sz w:val="18"/>
                  </w:rPr>
                  <w:t>/</w:t>
                </w:r>
                <w:r>
                  <w:rPr>
                    <w:rFonts w:ascii="Calibri"/>
                    <w:b/>
                    <w:sz w:val="18"/>
                  </w:rPr>
                  <w:t>180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29.3pt;height:11pt;mso-position-horizontal-relative:page;mso-position-vertical-relative:page;z-index:-1112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110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w:t>
                </w:r>
                <w:r>
                  <w:rPr>
                    <w:rFonts w:ascii="Calibri"/>
                    <w:sz w:val="18"/>
                  </w:rPr>
                  <w:t>/</w:t>
                </w:r>
                <w:r>
                  <w:rPr>
                    <w:rFonts w:ascii="Calibri"/>
                    <w:b/>
                    <w:sz w:val="18"/>
                  </w:rPr>
                  <w:t>180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110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w:t>
                </w:r>
                <w:r>
                  <w:rPr>
                    <w:rFonts w:ascii="Calibri"/>
                    <w:sz w:val="18"/>
                  </w:rPr>
                  <w:t>/</w:t>
                </w:r>
                <w:r>
                  <w:rPr>
                    <w:rFonts w:ascii="Calibri"/>
                    <w:b/>
                    <w:sz w:val="18"/>
                  </w:rPr>
                  <w:t>180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110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w:t>
                </w:r>
                <w:r>
                  <w:rPr>
                    <w:rFonts w:ascii="Calibri"/>
                    <w:sz w:val="18"/>
                  </w:rPr>
                  <w:t>/</w:t>
                </w:r>
                <w:r>
                  <w:rPr>
                    <w:rFonts w:ascii="Calibri"/>
                    <w:b/>
                    <w:sz w:val="18"/>
                  </w:rPr>
                  <w:t>180</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649994pt;margin-top:524.546021pt;width:28.3pt;height:11pt;mso-position-horizontal-relative:page;mso-position-vertical-relative:page;z-index:-1112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w:t>
                </w:r>
                <w:r>
                  <w:rPr>
                    <w:rFonts w:ascii="Calibri"/>
                    <w:sz w:val="18"/>
                  </w:rPr>
                  <w:t>/</w:t>
                </w:r>
                <w:r>
                  <w:rPr>
                    <w:rFonts w:ascii="Calibri"/>
                    <w:b/>
                    <w:sz w:val="18"/>
                  </w:rPr>
                  <w:t>180</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174</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5pt;margin-top:771.169983pt;width:33.85pt;height:11pt;mso-position-horizontal-relative:page;mso-position-vertical-relative:page;z-index:-1110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178</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5pt;margin-top:771.169983pt;width:32.85pt;height:11pt;mso-position-horizontal-relative:page;mso-position-vertical-relative:page;z-index:-1110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w:t>
                </w:r>
                <w:r>
                  <w:rPr>
                    <w:rFonts w:ascii="Calibri"/>
                    <w:sz w:val="18"/>
                  </w:rPr>
                  <w:t>/</w:t>
                </w:r>
                <w:r>
                  <w:rPr>
                    <w:rFonts w:ascii="Calibri"/>
                    <w:b/>
                    <w:sz w:val="18"/>
                  </w:rPr>
                  <w:t>180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111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29.3pt;height:11pt;mso-position-horizontal-relative:page;mso-position-vertical-relative:page;z-index:-1111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w:t>
                </w:r>
                <w:r>
                  <w:rPr>
                    <w:rFonts w:ascii="Calibri"/>
                    <w:sz w:val="18"/>
                  </w:rPr>
                  <w:t>/</w:t>
                </w:r>
                <w:r>
                  <w:rPr>
                    <w:rFonts w:ascii="Calibri"/>
                    <w:b/>
                    <w:sz w:val="18"/>
                  </w:rPr>
                  <w:t>180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49994pt;margin-top:524.546021pt;width:29.3pt;height:11pt;mso-position-horizontal-relative:page;mso-position-vertical-relative:page;z-index:-1111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29999pt;margin-top:771.169983pt;width:29.3pt;height:11pt;mso-position-horizontal-relative:page;mso-position-vertical-relative:page;z-index:-1111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sz w:val="18"/>
                  </w:rPr>
                  <w:t>/</w:t>
                </w:r>
                <w:r>
                  <w:rPr>
                    <w:rFonts w:ascii="Calibri"/>
                    <w:b/>
                    <w:sz w:val="18"/>
                  </w:rPr>
                  <w:t>180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122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112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5.65pt;height:.1pt;mso-position-horizontal-relative:page;mso-position-vertical-relative:page;z-index:-1111432" coordorigin="1411,1111" coordsize="13913,2">
          <v:shape style="position:absolute;left:1411;top:1111;width:13913;height:2" coordorigin="1411,1111" coordsize="13913,0" path="m1411,1111l15324,1111e" filled="false" stroked="true" strokeweight=".72pt" strokecolor="#000000">
            <v:path arrowok="t"/>
          </v:shape>
          <w10:wrap type="none"/>
        </v:group>
      </w:pict>
    </w:r>
    <w:r>
      <w:rPr/>
      <w:pict>
        <v:shape style="position:absolute;margin-left:384.609985pt;margin-top:42.865631pt;width:67.55pt;height:12pt;mso-position-horizontal-relative:page;mso-position-vertical-relative:page;z-index:-1111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11133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111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111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11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1109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11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1092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10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1085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10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1212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12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1203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12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1196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11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1186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11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117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11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1169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116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1157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11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1150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11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13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tock@tellhow.com" TargetMode="External"/><Relationship Id="rId8" Type="http://schemas.openxmlformats.org/officeDocument/2006/relationships/hyperlink" Target="http://www.tellhow.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header" Target="header4.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5.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6.xml"/><Relationship Id="rId24" Type="http://schemas.openxmlformats.org/officeDocument/2006/relationships/footer" Target="footer11.xml"/><Relationship Id="rId25" Type="http://schemas.openxmlformats.org/officeDocument/2006/relationships/header" Target="header7.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footer" Target="footer15.xml"/><Relationship Id="rId31" Type="http://schemas.openxmlformats.org/officeDocument/2006/relationships/header" Target="header9.xml"/><Relationship Id="rId32" Type="http://schemas.openxmlformats.org/officeDocument/2006/relationships/footer" Target="footer16.xml"/><Relationship Id="rId33" Type="http://schemas.openxmlformats.org/officeDocument/2006/relationships/header" Target="header10.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header" Target="header11.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header" Target="header12.xml"/><Relationship Id="rId43" Type="http://schemas.openxmlformats.org/officeDocument/2006/relationships/footer" Target="footer24.xml"/><Relationship Id="rId44" Type="http://schemas.openxmlformats.org/officeDocument/2006/relationships/header" Target="header13.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hyperlink" Target="http://baike.baidu.com/view/3202081.htm" TargetMode="Externa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header" Target="header14.xml"/><Relationship Id="rId52" Type="http://schemas.openxmlformats.org/officeDocument/2006/relationships/footer" Target="footer30.xml"/><Relationship Id="rId53" Type="http://schemas.openxmlformats.org/officeDocument/2006/relationships/header" Target="header15.xml"/><Relationship Id="rId54" Type="http://schemas.openxmlformats.org/officeDocument/2006/relationships/footer" Target="footer31.xml"/><Relationship Id="rId55" Type="http://schemas.openxmlformats.org/officeDocument/2006/relationships/header" Target="header16.xml"/><Relationship Id="rId56" Type="http://schemas.openxmlformats.org/officeDocument/2006/relationships/footer" Target="footer32.xml"/><Relationship Id="rId57" Type="http://schemas.openxmlformats.org/officeDocument/2006/relationships/footer" Target="footer33.xml"/><Relationship Id="rId58" Type="http://schemas.openxmlformats.org/officeDocument/2006/relationships/header" Target="header17.xml"/><Relationship Id="rId59" Type="http://schemas.openxmlformats.org/officeDocument/2006/relationships/footer" Target="footer34.xml"/><Relationship Id="rId60" Type="http://schemas.openxmlformats.org/officeDocument/2006/relationships/footer" Target="footer35.xml"/><Relationship Id="rId61" Type="http://schemas.openxmlformats.org/officeDocument/2006/relationships/footer" Target="footer36.xml"/><Relationship Id="rId62" Type="http://schemas.openxmlformats.org/officeDocument/2006/relationships/header" Target="header18.xml"/><Relationship Id="rId63" Type="http://schemas.openxmlformats.org/officeDocument/2006/relationships/footer" Target="footer37.xml"/><Relationship Id="rId64" Type="http://schemas.openxmlformats.org/officeDocument/2006/relationships/footer" Target="footer38.xml"/><Relationship Id="rId65" Type="http://schemas.openxmlformats.org/officeDocument/2006/relationships/footer" Target="footer39.xml"/><Relationship Id="rId66" Type="http://schemas.openxmlformats.org/officeDocument/2006/relationships/footer" Target="footer40.xml"/><Relationship Id="rId67" Type="http://schemas.openxmlformats.org/officeDocument/2006/relationships/footer" Target="footer41.xml"/><Relationship Id="rId68" Type="http://schemas.openxmlformats.org/officeDocument/2006/relationships/footer" Target="footer42.xml"/><Relationship Id="rId69" Type="http://schemas.openxmlformats.org/officeDocument/2006/relationships/footer" Target="footer43.xml"/><Relationship Id="rId70" Type="http://schemas.openxmlformats.org/officeDocument/2006/relationships/footer" Target="footer44.xml"/><Relationship Id="rId71" Type="http://schemas.openxmlformats.org/officeDocument/2006/relationships/header" Target="header19.xml"/><Relationship Id="rId72" Type="http://schemas.openxmlformats.org/officeDocument/2006/relationships/footer" Target="footer45.xml"/><Relationship Id="rId73" Type="http://schemas.openxmlformats.org/officeDocument/2006/relationships/footer" Target="footer46.xml"/><Relationship Id="rId74" Type="http://schemas.openxmlformats.org/officeDocument/2006/relationships/footer" Target="footer47.xml"/><Relationship Id="rId75" Type="http://schemas.openxmlformats.org/officeDocument/2006/relationships/footer" Target="footer48.xml"/><Relationship Id="rId76" Type="http://schemas.openxmlformats.org/officeDocument/2006/relationships/header" Target="header20.xml"/><Relationship Id="rId77" Type="http://schemas.openxmlformats.org/officeDocument/2006/relationships/footer" Target="footer49.xml"/><Relationship Id="rId78" Type="http://schemas.openxmlformats.org/officeDocument/2006/relationships/footer" Target="footer50.xml"/><Relationship Id="rId79" Type="http://schemas.openxmlformats.org/officeDocument/2006/relationships/header" Target="header21.xml"/><Relationship Id="rId80" Type="http://schemas.openxmlformats.org/officeDocument/2006/relationships/footer" Target="footer51.xml"/><Relationship Id="rId81" Type="http://schemas.openxmlformats.org/officeDocument/2006/relationships/footer" Target="footer52.xml"/><Relationship Id="rId82" Type="http://schemas.openxmlformats.org/officeDocument/2006/relationships/header" Target="header22.xml"/><Relationship Id="rId83" Type="http://schemas.openxmlformats.org/officeDocument/2006/relationships/footer" Target="footer53.xml"/><Relationship Id="rId84" Type="http://schemas.openxmlformats.org/officeDocument/2006/relationships/footer" Target="footer54.xml"/><Relationship Id="rId85" Type="http://schemas.openxmlformats.org/officeDocument/2006/relationships/footer" Target="footer5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2020-05-03T03:33:09Z</dcterms:created>
  <dcterms:modified xsi:type="dcterms:W3CDTF">2020-05-03T03:33:09Z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2018-03-19T00:00:00Z</vt:filetime>
  </property>
  <property fmtid="{D5CDD505-2E9C-101B-9397-08002B2CF9AE}" pid="3" name="Creator">
    <vt:lpwstr>Microsoft® Office Word 2007</vt:lpwstr>
  </property>
  <property fmtid="{D5CDD505-2E9C-101B-9397-08002B2CF9AE}" pid="4" name="LastSaved">
    <vt:filetime>2020-05-02T00:00:00Z</vt:filetime>
  </property>
</Properties>
</file>