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1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12.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13.xml" ContentType="application/vnd.openxmlformats-officedocument.wordprocessingml.header+xml"/>
  <Override PartName="/word/footer31.xml" ContentType="application/vnd.openxmlformats-officedocument.wordprocessingml.footer+xml"/>
  <Override PartName="/word/header14.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header15.xml" ContentType="application/vnd.openxmlformats-officedocument.wordprocessingml.header+xml"/>
  <Override PartName="/word/footer35.xml" ContentType="application/vnd.openxmlformats-officedocument.wordprocessingml.footer+xml"/>
  <Override PartName="/word/header16.xml" ContentType="application/vnd.openxmlformats-officedocument.wordprocessingml.header+xml"/>
  <Override PartName="/word/footer36.xml" ContentType="application/vnd.openxmlformats-officedocument.wordprocessingml.footer+xml"/>
  <Override PartName="/word/header17.xml" ContentType="application/vnd.openxmlformats-officedocument.wordprocessingml.header+xml"/>
  <Override PartName="/word/footer37.xml" ContentType="application/vnd.openxmlformats-officedocument.wordprocessingml.footer+xml"/>
  <Override PartName="/word/header18.xml" ContentType="application/vnd.openxmlformats-officedocument.wordprocessingml.header+xml"/>
  <Override PartName="/word/footer38.xml" ContentType="application/vnd.openxmlformats-officedocument.wordprocessingml.footer+xml"/>
  <Override PartName="/word/header19.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header20.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header21.xml" ContentType="application/vnd.openxmlformats-officedocument.wordprocessingml.header+xml"/>
  <Override PartName="/word/footer45.xml" ContentType="application/vnd.openxmlformats-officedocument.wordprocessingml.footer+xml"/>
  <Override PartName="/word/header22.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header23.xml" ContentType="application/vnd.openxmlformats-officedocument.wordprocessingml.header+xml"/>
  <Override PartName="/word/footer52.xml" ContentType="application/vnd.openxmlformats-officedocument.wordprocessingml.footer+xml"/>
  <Override PartName="/word/header24.xml" ContentType="application/vnd.openxmlformats-officedocument.wordprocessingml.head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header25.xml" ContentType="application/vnd.openxmlformats-officedocument.wordprocessingml.header+xml"/>
  <Override PartName="/word/footer56.xml" ContentType="application/vnd.openxmlformats-officedocument.wordprocessingml.footer+xml"/>
  <Override PartName="/word/footer5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spacing w:line="240" w:lineRule="auto" w:before="36"/>
        <w:ind w:left="138" w:right="0"/>
        <w:jc w:val="left"/>
        <w:rPr>
          <w:rFonts w:ascii="宋体" w:hAnsi="宋体" w:cs="宋体" w:eastAsia="宋体" w:hint="default"/>
        </w:rPr>
      </w:pPr>
      <w:r>
        <w:rPr/>
        <w:t>公司代码：</w:t>
      </w:r>
      <w:r>
        <w:rPr>
          <w:rFonts w:ascii="宋体" w:hAnsi="宋体" w:cs="宋体" w:eastAsia="宋体" w:hint="default"/>
        </w:rPr>
        <w:t>600590                                              </w:t>
      </w:r>
      <w:r>
        <w:rPr>
          <w:rFonts w:ascii="宋体" w:hAnsi="宋体" w:cs="宋体" w:eastAsia="宋体" w:hint="default"/>
          <w:spacing w:val="94"/>
        </w:rPr>
        <w:t> </w:t>
      </w:r>
      <w:r>
        <w:rPr/>
        <w:t>公司简称：泰豪科技</w:t>
      </w:r>
      <w:r>
        <w:rPr>
          <w:rFonts w:ascii="宋体" w:hAnsi="宋体" w:cs="宋体" w:eastAsia="宋体" w:hint="default"/>
        </w:rPr>
        <w:t> </w:t>
      </w:r>
    </w:p>
    <w:p>
      <w:pPr>
        <w:pStyle w:val="Heading3"/>
        <w:spacing w:line="313" w:lineRule="exact" w:before="112"/>
        <w:ind w:left="138" w:right="0"/>
        <w:jc w:val="left"/>
        <w:rPr>
          <w:rFonts w:ascii="宋体" w:hAnsi="宋体" w:cs="宋体" w:eastAsia="宋体" w:hint="default"/>
        </w:rPr>
      </w:pPr>
      <w:r>
        <w:rPr>
          <w:rFonts w:ascii="宋体"/>
        </w:rPr>
        <w:t> </w:t>
      </w:r>
    </w:p>
    <w:p>
      <w:pPr>
        <w:pStyle w:val="Heading3"/>
        <w:spacing w:line="311" w:lineRule="exact"/>
        <w:ind w:left="138" w:right="0"/>
        <w:jc w:val="left"/>
        <w:rPr>
          <w:rFonts w:ascii="宋体" w:hAnsi="宋体" w:cs="宋体" w:eastAsia="宋体" w:hint="default"/>
        </w:rPr>
      </w:pPr>
      <w:r>
        <w:rPr>
          <w:rFonts w:ascii="宋体"/>
        </w:rPr>
        <w:t> </w:t>
      </w:r>
    </w:p>
    <w:p>
      <w:pPr>
        <w:pStyle w:val="Heading3"/>
        <w:spacing w:line="311" w:lineRule="exact"/>
        <w:ind w:left="138" w:right="0"/>
        <w:jc w:val="left"/>
        <w:rPr>
          <w:rFonts w:ascii="宋体" w:hAnsi="宋体" w:cs="宋体" w:eastAsia="宋体" w:hint="default"/>
        </w:rPr>
      </w:pPr>
      <w:r>
        <w:rPr>
          <w:rFonts w:ascii="宋体"/>
        </w:rPr>
        <w:t> </w:t>
      </w:r>
    </w:p>
    <w:p>
      <w:pPr>
        <w:pStyle w:val="Heading3"/>
        <w:spacing w:line="312" w:lineRule="exact"/>
        <w:ind w:left="138" w:right="0"/>
        <w:jc w:val="left"/>
        <w:rPr>
          <w:rFonts w:ascii="宋体" w:hAnsi="宋体" w:cs="宋体" w:eastAsia="宋体" w:hint="default"/>
        </w:rPr>
      </w:pPr>
      <w:r>
        <w:rPr>
          <w:rFonts w:ascii="宋体"/>
        </w:rPr>
        <w:t> </w:t>
      </w:r>
    </w:p>
    <w:p>
      <w:pPr>
        <w:pStyle w:val="Heading3"/>
        <w:spacing w:line="311" w:lineRule="exact"/>
        <w:ind w:left="138" w:right="0"/>
        <w:jc w:val="left"/>
        <w:rPr>
          <w:rFonts w:ascii="宋体" w:hAnsi="宋体" w:cs="宋体" w:eastAsia="宋体" w:hint="default"/>
        </w:rPr>
      </w:pPr>
      <w:r>
        <w:rPr>
          <w:rFonts w:ascii="宋体"/>
        </w:rPr>
        <w:t> </w:t>
      </w:r>
    </w:p>
    <w:p>
      <w:pPr>
        <w:pStyle w:val="Heading3"/>
        <w:spacing w:line="311" w:lineRule="exact"/>
        <w:ind w:left="138" w:right="0"/>
        <w:jc w:val="left"/>
        <w:rPr>
          <w:rFonts w:ascii="宋体" w:hAnsi="宋体" w:cs="宋体" w:eastAsia="宋体" w:hint="default"/>
        </w:rPr>
      </w:pPr>
      <w:r>
        <w:rPr>
          <w:rFonts w:ascii="宋体"/>
        </w:rPr>
        <w:t> </w:t>
      </w:r>
    </w:p>
    <w:p>
      <w:pPr>
        <w:pStyle w:val="Heading2"/>
        <w:spacing w:line="312" w:lineRule="exact"/>
        <w:ind w:left="138" w:right="0"/>
        <w:jc w:val="left"/>
        <w:rPr>
          <w:rFonts w:ascii="宋体" w:hAnsi="宋体" w:cs="宋体" w:eastAsia="宋体" w:hint="default"/>
          <w:b w:val="0"/>
          <w:bCs w:val="0"/>
        </w:rPr>
      </w:pPr>
      <w:r>
        <w:rPr>
          <w:rFonts w:ascii="宋体"/>
          <w:w w:val="99"/>
        </w:rPr>
        <w:t> </w:t>
      </w:r>
      <w:r>
        <w:rPr>
          <w:rFonts w:ascii="宋体"/>
          <w:b w:val="0"/>
        </w:rPr>
      </w:r>
    </w:p>
    <w:p>
      <w:pPr>
        <w:pStyle w:val="Heading2"/>
        <w:spacing w:line="313" w:lineRule="exact"/>
        <w:ind w:left="138" w:right="0"/>
        <w:jc w:val="left"/>
        <w:rPr>
          <w:rFonts w:ascii="宋体" w:hAnsi="宋体" w:cs="宋体" w:eastAsia="宋体" w:hint="default"/>
          <w:b w:val="0"/>
          <w:bCs w:val="0"/>
        </w:rPr>
      </w:pPr>
      <w:r>
        <w:rPr>
          <w:rFonts w:ascii="宋体"/>
          <w:w w:val="99"/>
        </w:rPr>
        <w:t> </w:t>
      </w:r>
      <w:r>
        <w:rPr>
          <w:rFonts w:ascii="宋体"/>
          <w:b w:val="0"/>
        </w:rPr>
      </w:r>
    </w:p>
    <w:p>
      <w:pPr>
        <w:spacing w:line="572" w:lineRule="exact" w:before="20"/>
        <w:ind w:left="2951" w:right="2303" w:hanging="605"/>
        <w:jc w:val="left"/>
        <w:rPr>
          <w:rFonts w:ascii="黑体" w:hAnsi="黑体" w:cs="黑体" w:eastAsia="黑体" w:hint="default"/>
          <w:sz w:val="44"/>
          <w:szCs w:val="44"/>
        </w:rPr>
      </w:pPr>
      <w:r>
        <w:rPr>
          <w:rFonts w:ascii="黑体" w:hAnsi="黑体" w:cs="黑体" w:eastAsia="黑体" w:hint="default"/>
          <w:b/>
          <w:bCs/>
          <w:color w:val="FF0000"/>
          <w:sz w:val="44"/>
          <w:szCs w:val="44"/>
        </w:rPr>
        <w:t>泰豪科技股份有限公司</w:t>
      </w:r>
      <w:r>
        <w:rPr>
          <w:rFonts w:ascii="黑体" w:hAnsi="黑体" w:cs="黑体" w:eastAsia="黑体" w:hint="default"/>
          <w:b/>
          <w:bCs/>
          <w:color w:val="FF0000"/>
          <w:spacing w:val="2"/>
          <w:w w:val="99"/>
          <w:sz w:val="44"/>
          <w:szCs w:val="44"/>
        </w:rPr>
        <w:t> </w:t>
      </w:r>
      <w:r>
        <w:rPr>
          <w:rFonts w:ascii="黑体" w:hAnsi="黑体" w:cs="黑体" w:eastAsia="黑体" w:hint="default"/>
          <w:b/>
          <w:bCs/>
          <w:color w:val="FF0000"/>
          <w:sz w:val="44"/>
          <w:szCs w:val="44"/>
        </w:rPr>
        <w:t>2019</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72" w:lineRule="exact"/>
        <w:jc w:val="left"/>
        <w:rPr>
          <w:rFonts w:ascii="黑体" w:hAnsi="黑体" w:cs="黑体" w:eastAsia="黑体" w:hint="default"/>
          <w:sz w:val="44"/>
          <w:szCs w:val="44"/>
        </w:rPr>
        <w:sectPr>
          <w:headerReference w:type="default" r:id="rId5"/>
          <w:footerReference w:type="default" r:id="rId6"/>
          <w:type w:val="continuous"/>
          <w:pgSz w:w="11910" w:h="16840"/>
          <w:pgMar w:header="880" w:footer="1195" w:top="1120" w:bottom="1380" w:left="1660" w:right="1160"/>
          <w:pgNumType w:start="1"/>
        </w:sect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27"/>
          <w:szCs w:val="27"/>
        </w:rPr>
      </w:pPr>
    </w:p>
    <w:p>
      <w:pPr>
        <w:spacing w:before="14"/>
        <w:ind w:left="20" w:right="0"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5"/>
        <w:spacing w:line="355" w:lineRule="auto" w:before="0"/>
        <w:ind w:left="558" w:right="0" w:hanging="420"/>
        <w:jc w:val="left"/>
        <w:rPr>
          <w:b w:val="0"/>
          <w:bCs w:val="0"/>
        </w:rPr>
      </w:pPr>
      <w:r>
        <w:rPr/>
        <w:t>一、</w:t>
      </w:r>
      <w:r>
        <w:rPr>
          <w:spacing w:val="-76"/>
        </w:rPr>
        <w:t> </w:t>
      </w:r>
      <w:r>
        <w:rPr>
          <w:rFonts w:ascii="宋体" w:hAnsi="宋体" w:cs="宋体" w:eastAsia="宋体" w:hint="default"/>
          <w:spacing w:val="-76"/>
        </w:rPr>
      </w:r>
      <w:r>
        <w:rPr>
          <w:spacing w:val="-7"/>
        </w:rPr>
        <w:t>本公司董事会、监事会及董事、监事、高级管理人员保证年度报告内容的真实、准确、完整，</w:t>
      </w:r>
      <w:r>
        <w:rPr>
          <w:spacing w:val="-86"/>
        </w:rPr>
        <w:t> </w:t>
      </w:r>
      <w:r>
        <w:rPr>
          <w:spacing w:val="-86"/>
        </w:rPr>
      </w:r>
      <w:r>
        <w:rPr/>
        <w:t>不存在虚假记载、误导性陈述或重大遗漏，并承担个别和连带的法律责任。</w:t>
      </w:r>
      <w:r>
        <w:rPr>
          <w:b w:val="0"/>
          <w:bCs w:val="0"/>
        </w:rPr>
      </w:r>
    </w:p>
    <w:p>
      <w:pPr>
        <w:pStyle w:val="Heading3"/>
        <w:spacing w:line="240" w:lineRule="auto" w:before="26"/>
        <w:ind w:left="138" w:right="0"/>
        <w:jc w:val="left"/>
        <w:rPr>
          <w:rFonts w:ascii="宋体" w:hAnsi="宋体" w:cs="宋体" w:eastAsia="宋体" w:hint="default"/>
        </w:rPr>
      </w:pPr>
      <w:r>
        <w:rPr>
          <w:rFonts w:ascii="宋体"/>
        </w:rPr>
        <w:t> </w:t>
      </w:r>
    </w:p>
    <w:p>
      <w:pPr>
        <w:pStyle w:val="Heading5"/>
        <w:spacing w:line="240" w:lineRule="auto" w:before="4"/>
        <w:ind w:left="138" w:right="0"/>
        <w:jc w:val="left"/>
        <w:rPr>
          <w:b w:val="0"/>
          <w:bCs w:val="0"/>
        </w:rPr>
      </w:pPr>
      <w:r>
        <w:rPr/>
        <w:t>二、</w:t>
      </w:r>
      <w:r>
        <w:rPr>
          <w:spacing w:val="-82"/>
        </w:rPr>
        <w:t> </w:t>
      </w:r>
      <w:r>
        <w:rPr>
          <w:rFonts w:ascii="宋体" w:hAnsi="宋体" w:cs="宋体" w:eastAsia="宋体" w:hint="default"/>
          <w:spacing w:val="-82"/>
        </w:rPr>
      </w:r>
      <w:r>
        <w:rPr/>
        <w:t>公司全体董事出席董事会会议。</w:t>
      </w:r>
      <w:r>
        <w:rPr>
          <w:b w:val="0"/>
          <w:bCs w:val="0"/>
        </w:rPr>
      </w:r>
    </w:p>
    <w:p>
      <w:pPr>
        <w:pStyle w:val="Heading3"/>
        <w:spacing w:line="240" w:lineRule="auto" w:before="127"/>
        <w:ind w:left="138" w:right="0"/>
        <w:jc w:val="left"/>
        <w:rPr>
          <w:rFonts w:ascii="宋体" w:hAnsi="宋体" w:cs="宋体" w:eastAsia="宋体" w:hint="default"/>
        </w:rPr>
      </w:pPr>
      <w:r>
        <w:rPr>
          <w:rFonts w:ascii="宋体"/>
        </w:rPr>
        <w:t> </w:t>
      </w:r>
    </w:p>
    <w:p>
      <w:pPr>
        <w:pStyle w:val="Heading5"/>
        <w:spacing w:line="240" w:lineRule="auto" w:before="4"/>
        <w:ind w:left="138" w:right="0"/>
        <w:jc w:val="left"/>
        <w:rPr>
          <w:rFonts w:ascii="宋体" w:hAnsi="宋体" w:cs="宋体" w:eastAsia="宋体" w:hint="default"/>
          <w:b w:val="0"/>
          <w:bCs w:val="0"/>
        </w:rPr>
      </w:pPr>
      <w:r>
        <w:rPr/>
        <w:t>三、</w:t>
      </w:r>
      <w:r>
        <w:rPr>
          <w:spacing w:val="-15"/>
        </w:rPr>
        <w:t> </w:t>
      </w:r>
      <w:r>
        <w:rPr>
          <w:rFonts w:ascii="宋体" w:hAnsi="宋体" w:cs="宋体" w:eastAsia="宋体" w:hint="default"/>
          <w:spacing w:val="-15"/>
        </w:rPr>
      </w:r>
      <w:r>
        <w:rPr/>
        <w:t>大信会计师事务所（特殊普通合伙）为本公司出具了标准无保留意见的审计报告。</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127"/>
        <w:ind w:left="138" w:right="0"/>
        <w:jc w:val="left"/>
        <w:rPr>
          <w:rFonts w:ascii="宋体" w:hAnsi="宋体" w:cs="宋体" w:eastAsia="宋体" w:hint="default"/>
        </w:rPr>
      </w:pPr>
      <w:r>
        <w:rPr>
          <w:rFonts w:ascii="宋体"/>
        </w:rPr>
        <w:t> </w:t>
      </w:r>
    </w:p>
    <w:p>
      <w:pPr>
        <w:pStyle w:val="Heading5"/>
        <w:spacing w:line="357" w:lineRule="auto" w:before="4"/>
        <w:ind w:left="558" w:right="0" w:hanging="420"/>
        <w:jc w:val="left"/>
        <w:rPr>
          <w:rFonts w:ascii="宋体" w:hAnsi="宋体" w:cs="宋体" w:eastAsia="宋体" w:hint="default"/>
          <w:b w:val="0"/>
          <w:bCs w:val="0"/>
        </w:rPr>
      </w:pPr>
      <w:r>
        <w:rPr>
          <w:spacing w:val="-1"/>
        </w:rPr>
        <w:t>四、</w:t>
      </w:r>
      <w:r>
        <w:rPr>
          <w:spacing w:val="-72"/>
        </w:rPr>
        <w:t> </w:t>
      </w:r>
      <w:r>
        <w:rPr>
          <w:rFonts w:ascii="宋体" w:hAnsi="宋体" w:cs="宋体" w:eastAsia="宋体" w:hint="default"/>
          <w:spacing w:val="-72"/>
        </w:rPr>
      </w:r>
      <w:r>
        <w:rPr>
          <w:spacing w:val="-2"/>
        </w:rPr>
        <w:t>公司负责人杨剑、主管会计工作负责人朱宇华及会计机构负责人（会计主管人员）熊美福声</w:t>
      </w:r>
      <w:r>
        <w:rPr>
          <w:spacing w:val="-82"/>
        </w:rPr>
        <w:t> </w:t>
      </w:r>
      <w:r>
        <w:rPr>
          <w:spacing w:val="-82"/>
        </w:rPr>
      </w:r>
      <w:r>
        <w:rPr/>
        <w:t>明：保证年度报告中财务报告的真实、准确、完整。</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24"/>
        <w:ind w:left="138" w:right="0"/>
        <w:jc w:val="left"/>
        <w:rPr>
          <w:rFonts w:ascii="宋体" w:hAnsi="宋体" w:cs="宋体" w:eastAsia="宋体" w:hint="default"/>
        </w:rPr>
      </w:pPr>
      <w:r>
        <w:rPr>
          <w:rFonts w:ascii="宋体"/>
        </w:rPr>
        <w:t> </w:t>
      </w:r>
    </w:p>
    <w:p>
      <w:pPr>
        <w:pStyle w:val="Heading5"/>
        <w:spacing w:line="240" w:lineRule="auto" w:before="4"/>
        <w:ind w:left="138" w:right="0"/>
        <w:jc w:val="left"/>
        <w:rPr>
          <w:rFonts w:ascii="宋体" w:hAnsi="宋体" w:cs="宋体" w:eastAsia="宋体" w:hint="default"/>
          <w:b w:val="0"/>
          <w:bCs w:val="0"/>
          <w:sz w:val="24"/>
          <w:szCs w:val="24"/>
        </w:rPr>
      </w:pPr>
      <w:r>
        <w:rPr/>
        <w:t>五、</w:t>
      </w:r>
      <w:r>
        <w:rPr>
          <w:spacing w:val="-44"/>
        </w:rPr>
        <w:t> </w:t>
      </w:r>
      <w:r>
        <w:rPr>
          <w:rFonts w:ascii="宋体" w:hAnsi="宋体" w:cs="宋体" w:eastAsia="宋体" w:hint="default"/>
          <w:spacing w:val="-44"/>
        </w:rPr>
      </w:r>
      <w:r>
        <w:rPr/>
        <w:t>经董事会审议的报告期利润分配预案或公积金转增股本预案</w:t>
      </w:r>
      <w:r>
        <w:rPr>
          <w:rFonts w:ascii="宋体" w:hAnsi="宋体" w:cs="宋体" w:eastAsia="宋体" w:hint="default"/>
          <w:w w:val="99"/>
          <w:sz w:val="24"/>
          <w:szCs w:val="24"/>
        </w:rPr>
        <w:t> </w:t>
      </w:r>
      <w:r>
        <w:rPr>
          <w:rFonts w:ascii="宋体" w:hAnsi="宋体" w:cs="宋体" w:eastAsia="宋体" w:hint="default"/>
          <w:b w:val="0"/>
          <w:bCs w:val="0"/>
          <w:sz w:val="24"/>
          <w:szCs w:val="24"/>
        </w:rPr>
      </w:r>
    </w:p>
    <w:p>
      <w:pPr>
        <w:pStyle w:val="BodyText"/>
        <w:spacing w:line="237" w:lineRule="auto" w:before="135"/>
        <w:ind w:left="138" w:right="108" w:firstLine="479"/>
        <w:jc w:val="both"/>
        <w:rPr>
          <w:rFonts w:ascii="宋体" w:hAnsi="宋体" w:cs="宋体" w:eastAsia="宋体" w:hint="default"/>
        </w:rPr>
      </w:pPr>
      <w:r>
        <w:rPr>
          <w:spacing w:val="2"/>
        </w:rPr>
        <w:t>经大信会计师事务所（特殊普通合伙）审计，</w:t>
      </w:r>
      <w:r>
        <w:rPr>
          <w:rFonts w:ascii="宋体" w:hAnsi="宋体" w:cs="宋体" w:eastAsia="宋体" w:hint="default"/>
          <w:spacing w:val="2"/>
        </w:rPr>
        <w:t>2019</w:t>
      </w:r>
      <w:r>
        <w:rPr>
          <w:spacing w:val="2"/>
        </w:rPr>
        <w:t>年度公司归属上市公司股东的净利润为</w:t>
      </w:r>
      <w:r>
        <w:rPr>
          <w:w w:val="100"/>
        </w:rPr>
        <w:t> </w:t>
      </w:r>
      <w:r>
        <w:rPr>
          <w:rFonts w:ascii="宋体" w:hAnsi="宋体" w:cs="宋体" w:eastAsia="宋体" w:hint="default"/>
          <w:spacing w:val="-1"/>
        </w:rPr>
        <w:t>144,049,459.21</w:t>
      </w:r>
      <w:r>
        <w:rPr>
          <w:spacing w:val="-1"/>
        </w:rPr>
        <w:t>元，本年度累计未分配利润为</w:t>
      </w:r>
      <w:r>
        <w:rPr>
          <w:rFonts w:ascii="宋体" w:hAnsi="宋体" w:cs="宋体" w:eastAsia="宋体" w:hint="default"/>
          <w:spacing w:val="-1"/>
        </w:rPr>
        <w:t>630,308,626.19</w:t>
      </w:r>
      <w:r>
        <w:rPr>
          <w:spacing w:val="-1"/>
        </w:rPr>
        <w:t>元，根据公司未来发展规划及经营</w:t>
      </w:r>
      <w:r>
        <w:rPr>
          <w:spacing w:val="-42"/>
        </w:rPr>
        <w:t> </w:t>
      </w:r>
      <w:r>
        <w:rPr>
          <w:spacing w:val="-42"/>
        </w:rPr>
      </w:r>
      <w:r>
        <w:rPr>
          <w:spacing w:val="-1"/>
        </w:rPr>
        <w:t>需要，结合《上海证券交易所上市公司现金分红指引》相关规定，</w:t>
      </w:r>
      <w:r>
        <w:rPr>
          <w:rFonts w:ascii="宋体" w:hAnsi="宋体" w:cs="宋体" w:eastAsia="宋体" w:hint="default"/>
          <w:spacing w:val="-1"/>
        </w:rPr>
        <w:t>2019</w:t>
      </w:r>
      <w:r>
        <w:rPr>
          <w:spacing w:val="-1"/>
        </w:rPr>
        <w:t>年度公司拟以</w:t>
      </w:r>
      <w:r>
        <w:rPr>
          <w:rFonts w:ascii="宋体" w:hAnsi="宋体" w:cs="宋体" w:eastAsia="宋体" w:hint="default"/>
          <w:spacing w:val="-1"/>
        </w:rPr>
        <w:t>2019</w:t>
      </w:r>
      <w:r>
        <w:rPr>
          <w:spacing w:val="-1"/>
        </w:rPr>
        <w:t>年</w:t>
      </w:r>
      <w:r>
        <w:rPr>
          <w:rFonts w:ascii="宋体" w:hAnsi="宋体" w:cs="宋体" w:eastAsia="宋体" w:hint="default"/>
          <w:spacing w:val="-1"/>
        </w:rPr>
        <w:t>12</w:t>
      </w:r>
      <w:r>
        <w:rPr>
          <w:spacing w:val="-1"/>
        </w:rPr>
        <w:t>月</w:t>
      </w:r>
      <w:r>
        <w:rPr>
          <w:spacing w:val="-50"/>
        </w:rPr>
        <w:t> </w:t>
      </w:r>
      <w:r>
        <w:rPr>
          <w:rFonts w:ascii="宋体" w:hAnsi="宋体" w:cs="宋体" w:eastAsia="宋体" w:hint="default"/>
          <w:spacing w:val="-3"/>
        </w:rPr>
        <w:t>31</w:t>
      </w:r>
      <w:r>
        <w:rPr>
          <w:spacing w:val="-3"/>
        </w:rPr>
        <w:t>日总股本</w:t>
      </w:r>
      <w:r>
        <w:rPr>
          <w:rFonts w:ascii="宋体" w:hAnsi="宋体" w:cs="宋体" w:eastAsia="宋体" w:hint="default"/>
          <w:spacing w:val="-3"/>
        </w:rPr>
        <w:t>866,298,784</w:t>
      </w:r>
      <w:r>
        <w:rPr>
          <w:spacing w:val="-3"/>
        </w:rPr>
        <w:t>股为基数，向全体股东每</w:t>
      </w:r>
      <w:r>
        <w:rPr>
          <w:rFonts w:ascii="宋体" w:hAnsi="宋体" w:cs="宋体" w:eastAsia="宋体" w:hint="default"/>
          <w:spacing w:val="-3"/>
        </w:rPr>
        <w:t>10</w:t>
      </w:r>
      <w:r>
        <w:rPr>
          <w:spacing w:val="-3"/>
        </w:rPr>
        <w:t>股派发现金红利</w:t>
      </w:r>
      <w:r>
        <w:rPr>
          <w:rFonts w:ascii="宋体" w:hAnsi="宋体" w:cs="宋体" w:eastAsia="宋体" w:hint="default"/>
          <w:spacing w:val="-3"/>
        </w:rPr>
        <w:t>0.55</w:t>
      </w:r>
      <w:r>
        <w:rPr>
          <w:spacing w:val="-3"/>
        </w:rPr>
        <w:t>元（含税），共计派发现</w:t>
      </w:r>
      <w:r>
        <w:rPr>
          <w:spacing w:val="-53"/>
        </w:rPr>
        <w:t> </w:t>
      </w:r>
      <w:r>
        <w:rPr>
          <w:spacing w:val="-53"/>
        </w:rPr>
      </w:r>
      <w:r>
        <w:rPr/>
        <w:t>金红利</w:t>
      </w:r>
      <w:r>
        <w:rPr>
          <w:rFonts w:ascii="宋体" w:hAnsi="宋体" w:cs="宋体" w:eastAsia="宋体" w:hint="default"/>
        </w:rPr>
        <w:t>47,646,433.12</w:t>
      </w:r>
      <w:r>
        <w:rPr/>
        <w:t>元（含税），剩余未分配利润转至下一年度。</w:t>
      </w:r>
      <w:r>
        <w:rPr>
          <w:rFonts w:ascii="宋体" w:hAnsi="宋体" w:cs="宋体" w:eastAsia="宋体" w:hint="default"/>
        </w:rPr>
        <w:t> </w:t>
      </w:r>
    </w:p>
    <w:p>
      <w:pPr>
        <w:pStyle w:val="BodyText"/>
        <w:spacing w:line="274" w:lineRule="exact"/>
        <w:ind w:left="558" w:right="0"/>
        <w:jc w:val="left"/>
        <w:rPr>
          <w:rFonts w:ascii="宋体" w:hAnsi="宋体" w:cs="宋体" w:eastAsia="宋体" w:hint="default"/>
        </w:rPr>
      </w:pPr>
      <w:r>
        <w:rPr/>
        <w:t>本次利润分配方案尚需提交股东大会审议通过。</w:t>
      </w:r>
      <w:r>
        <w:rPr>
          <w:rFonts w:ascii="宋体" w:hAnsi="宋体" w:cs="宋体" w:eastAsia="宋体" w:hint="default"/>
        </w:rPr>
        <w:t> </w:t>
      </w:r>
    </w:p>
    <w:p>
      <w:pPr>
        <w:pStyle w:val="Heading3"/>
        <w:spacing w:line="240" w:lineRule="auto" w:before="38"/>
        <w:ind w:left="138" w:right="0"/>
        <w:jc w:val="left"/>
        <w:rPr>
          <w:rFonts w:ascii="宋体" w:hAnsi="宋体" w:cs="宋体" w:eastAsia="宋体" w:hint="default"/>
        </w:rPr>
      </w:pPr>
      <w:r>
        <w:rPr>
          <w:rFonts w:ascii="宋体"/>
        </w:rPr>
        <w:t> </w:t>
      </w:r>
    </w:p>
    <w:p>
      <w:pPr>
        <w:pStyle w:val="Heading5"/>
        <w:spacing w:line="240" w:lineRule="auto" w:before="4"/>
        <w:ind w:left="138" w:right="0"/>
        <w:jc w:val="left"/>
        <w:rPr>
          <w:b w:val="0"/>
          <w:bCs w:val="0"/>
        </w:rPr>
      </w:pPr>
      <w:r>
        <w:rPr/>
        <w:t>六、</w:t>
      </w:r>
      <w:r>
        <w:rPr>
          <w:spacing w:val="-24"/>
        </w:rPr>
        <w:t> </w:t>
      </w:r>
      <w:r>
        <w:rPr>
          <w:rFonts w:ascii="宋体" w:hAnsi="宋体" w:cs="宋体" w:eastAsia="宋体" w:hint="default"/>
          <w:spacing w:val="-24"/>
        </w:rPr>
      </w:r>
      <w:r>
        <w:rPr/>
        <w:t>前瞻性陈述的风险声明</w:t>
      </w:r>
      <w:r>
        <w:rPr>
          <w:b w:val="0"/>
          <w:bCs w:val="0"/>
        </w:rPr>
      </w:r>
    </w:p>
    <w:p>
      <w:pPr>
        <w:pStyle w:val="Heading3"/>
        <w:spacing w:line="240" w:lineRule="auto" w:before="127"/>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left="138" w:right="0" w:firstLine="479"/>
        <w:jc w:val="left"/>
        <w:rPr>
          <w:rFonts w:ascii="宋体" w:hAnsi="宋体" w:cs="宋体" w:eastAsia="宋体" w:hint="default"/>
        </w:rPr>
      </w:pPr>
      <w:r>
        <w:rPr>
          <w:spacing w:val="-3"/>
        </w:rPr>
        <w:t>本年度报告中涉及未来计划等前瞻性陈述，不构成公司对投资者的实质承诺，请广大投资者</w:t>
      </w:r>
      <w:r>
        <w:rPr>
          <w:w w:val="100"/>
        </w:rPr>
        <w:t> </w:t>
      </w:r>
      <w:r>
        <w:rPr/>
        <w:t>注意投资风险。</w:t>
      </w:r>
      <w:r>
        <w:rPr>
          <w:rFonts w:ascii="宋体" w:hAnsi="宋体" w:cs="宋体" w:eastAsia="宋体" w:hint="default"/>
        </w:rPr>
        <w:t> </w:t>
      </w:r>
    </w:p>
    <w:p>
      <w:pPr>
        <w:pStyle w:val="Heading3"/>
        <w:spacing w:line="240" w:lineRule="auto" w:before="38"/>
        <w:ind w:left="138" w:right="0"/>
        <w:jc w:val="left"/>
        <w:rPr>
          <w:rFonts w:ascii="宋体" w:hAnsi="宋体" w:cs="宋体" w:eastAsia="宋体" w:hint="default"/>
        </w:rPr>
      </w:pPr>
      <w:r>
        <w:rPr>
          <w:rFonts w:ascii="宋体"/>
        </w:rPr>
        <w:t> </w:t>
      </w:r>
    </w:p>
    <w:p>
      <w:pPr>
        <w:pStyle w:val="Heading5"/>
        <w:spacing w:line="240" w:lineRule="auto" w:before="4"/>
        <w:ind w:left="138" w:right="0"/>
        <w:jc w:val="left"/>
        <w:rPr>
          <w:b w:val="0"/>
          <w:bCs w:val="0"/>
        </w:rPr>
      </w:pPr>
      <w:r>
        <w:rPr>
          <w:spacing w:val="-1"/>
        </w:rPr>
        <w:t>七、</w:t>
      </w:r>
      <w:r>
        <w:rPr>
          <w:spacing w:val="-72"/>
        </w:rPr>
        <w:t> </w:t>
      </w:r>
      <w:r>
        <w:rPr>
          <w:rFonts w:ascii="宋体" w:hAnsi="宋体" w:cs="宋体" w:eastAsia="宋体" w:hint="default"/>
          <w:spacing w:val="-72"/>
        </w:rPr>
      </w:r>
      <w:r>
        <w:rPr>
          <w:spacing w:val="-1"/>
        </w:rPr>
        <w:t>是否存在被控股股东及其关联方非经营性占用资金情况</w:t>
      </w:r>
      <w:r>
        <w:rPr>
          <w:b w:val="0"/>
          <w:bCs w:val="0"/>
          <w:spacing w:val="-1"/>
        </w:rPr>
      </w:r>
    </w:p>
    <w:p>
      <w:pPr>
        <w:pStyle w:val="Heading3"/>
        <w:spacing w:line="240" w:lineRule="auto" w:before="175"/>
        <w:ind w:left="138" w:right="0"/>
        <w:jc w:val="left"/>
      </w:pPr>
      <w:r>
        <w:rPr/>
        <w:t>否</w:t>
      </w:r>
    </w:p>
    <w:p>
      <w:pPr>
        <w:spacing w:line="240" w:lineRule="auto" w:before="11"/>
        <w:rPr>
          <w:rFonts w:ascii="宋体" w:hAnsi="宋体" w:cs="宋体" w:eastAsia="宋体" w:hint="default"/>
          <w:sz w:val="27"/>
          <w:szCs w:val="27"/>
        </w:rPr>
      </w:pPr>
    </w:p>
    <w:p>
      <w:pPr>
        <w:pStyle w:val="Heading5"/>
        <w:spacing w:line="240" w:lineRule="auto" w:before="0"/>
        <w:ind w:left="138" w:right="0"/>
        <w:jc w:val="left"/>
        <w:rPr>
          <w:b w:val="0"/>
          <w:bCs w:val="0"/>
        </w:rPr>
      </w:pPr>
      <w:r>
        <w:rPr/>
        <w:t>八、 </w:t>
      </w:r>
      <w:r>
        <w:rPr>
          <w:spacing w:val="7"/>
        </w:rPr>
        <w:t> </w:t>
      </w:r>
      <w:r>
        <w:rPr>
          <w:rFonts w:ascii="宋体" w:hAnsi="宋体" w:cs="宋体" w:eastAsia="宋体" w:hint="default"/>
          <w:spacing w:val="7"/>
        </w:rPr>
      </w:r>
      <w:r>
        <w:rPr/>
        <w:t>是否存在违反规定决策程序对外提供担保的情况</w:t>
      </w:r>
      <w:r>
        <w:rPr>
          <w:b w:val="0"/>
          <w:bCs w:val="0"/>
        </w:rPr>
      </w:r>
    </w:p>
    <w:p>
      <w:pPr>
        <w:pStyle w:val="Heading3"/>
        <w:spacing w:line="313" w:lineRule="exact" w:before="127"/>
        <w:ind w:left="138" w:right="0"/>
        <w:jc w:val="left"/>
        <w:rPr>
          <w:rFonts w:ascii="宋体" w:hAnsi="宋体" w:cs="宋体" w:eastAsia="宋体" w:hint="default"/>
        </w:rPr>
      </w:pPr>
      <w:r>
        <w:rPr/>
        <w:t>否</w:t>
      </w:r>
      <w:r>
        <w:rPr>
          <w:rFonts w:ascii="宋体" w:hAnsi="宋体" w:cs="宋体" w:eastAsia="宋体" w:hint="default"/>
        </w:rPr>
        <w:t> </w:t>
      </w:r>
    </w:p>
    <w:p>
      <w:pPr>
        <w:pStyle w:val="Heading3"/>
        <w:spacing w:line="313" w:lineRule="exact"/>
        <w:ind w:left="138" w:right="0"/>
        <w:jc w:val="left"/>
        <w:rPr>
          <w:rFonts w:ascii="宋体" w:hAnsi="宋体" w:cs="宋体" w:eastAsia="宋体" w:hint="default"/>
        </w:rPr>
      </w:pPr>
      <w:r>
        <w:rPr>
          <w:rFonts w:ascii="宋体"/>
        </w:rPr>
        <w:t> </w:t>
      </w:r>
    </w:p>
    <w:p>
      <w:pPr>
        <w:pStyle w:val="Heading5"/>
        <w:spacing w:line="240" w:lineRule="auto" w:before="4"/>
        <w:ind w:left="138" w:right="0"/>
        <w:jc w:val="left"/>
        <w:rPr>
          <w:b w:val="0"/>
          <w:bCs w:val="0"/>
        </w:rPr>
      </w:pPr>
      <w:r>
        <w:rPr/>
        <w:t>九、 </w:t>
      </w:r>
      <w:r>
        <w:rPr>
          <w:spacing w:val="10"/>
        </w:rPr>
        <w:t> </w:t>
      </w:r>
      <w:r>
        <w:rPr>
          <w:rFonts w:ascii="宋体" w:hAnsi="宋体" w:cs="宋体" w:eastAsia="宋体" w:hint="default"/>
          <w:spacing w:val="10"/>
        </w:rPr>
      </w:r>
      <w:r>
        <w:rPr/>
        <w:t>重大风险提示</w:t>
      </w:r>
      <w:r>
        <w:rPr>
          <w:b w:val="0"/>
          <w:bCs w:val="0"/>
        </w:rPr>
      </w:r>
    </w:p>
    <w:p>
      <w:pPr>
        <w:pStyle w:val="BodyText"/>
        <w:spacing w:line="240" w:lineRule="auto" w:before="133"/>
        <w:ind w:left="138" w:right="0" w:firstLine="479"/>
        <w:jc w:val="left"/>
        <w:rPr>
          <w:rFonts w:ascii="宋体" w:hAnsi="宋体" w:cs="宋体" w:eastAsia="宋体" w:hint="default"/>
          <w:sz w:val="24"/>
          <w:szCs w:val="24"/>
        </w:rPr>
      </w:pPr>
      <w:r>
        <w:rPr>
          <w:spacing w:val="-3"/>
        </w:rPr>
        <w:t>公司已在本报告中详细描述可能存在的相关风险，敬请查阅第四节“三、公司关于公司未来</w:t>
      </w:r>
      <w:r>
        <w:rPr>
          <w:w w:val="100"/>
        </w:rPr>
        <w:t> </w:t>
      </w:r>
      <w:r>
        <w:rPr/>
        <w:t>发展的讨论与分析”中“（四）可能面对的风险”。</w:t>
      </w:r>
      <w:r>
        <w:rPr>
          <w:rFonts w:ascii="宋体" w:hAnsi="宋体" w:cs="宋体" w:eastAsia="宋体" w:hint="default"/>
          <w:sz w:val="24"/>
          <w:szCs w:val="24"/>
        </w:rPr>
        <w:t> </w:t>
      </w:r>
    </w:p>
    <w:p>
      <w:pPr>
        <w:pStyle w:val="Heading3"/>
        <w:spacing w:line="303" w:lineRule="exact"/>
        <w:ind w:left="138" w:right="0"/>
        <w:jc w:val="left"/>
        <w:rPr>
          <w:rFonts w:ascii="宋体" w:hAnsi="宋体" w:cs="宋体" w:eastAsia="宋体" w:hint="default"/>
        </w:rPr>
      </w:pPr>
      <w:r>
        <w:rPr>
          <w:rFonts w:ascii="宋体"/>
        </w:rPr>
        <w:t> </w:t>
      </w:r>
    </w:p>
    <w:p>
      <w:pPr>
        <w:spacing w:line="313" w:lineRule="exact" w:before="0"/>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pacing w:val="61"/>
          <w:sz w:val="21"/>
          <w:szCs w:val="21"/>
        </w:rPr>
      </w:r>
      <w:r>
        <w:rPr>
          <w:rFonts w:ascii="宋体" w:hAnsi="宋体" w:cs="宋体" w:eastAsia="宋体" w:hint="default"/>
          <w:b/>
          <w:bCs/>
          <w:sz w:val="24"/>
          <w:szCs w:val="24"/>
        </w:rPr>
        <w:t>其他</w:t>
      </w:r>
      <w:r>
        <w:rPr>
          <w:rFonts w:ascii="宋体" w:hAnsi="宋体" w:cs="宋体" w:eastAsia="宋体" w:hint="default"/>
          <w:sz w:val="24"/>
          <w:szCs w:val="24"/>
        </w:rPr>
      </w:r>
    </w:p>
    <w:p>
      <w:pPr>
        <w:pStyle w:val="Heading3"/>
        <w:spacing w:line="313" w:lineRule="exact" w:before="151"/>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138" w:right="0"/>
        <w:jc w:val="left"/>
        <w:rPr>
          <w:rFonts w:ascii="宋体" w:hAnsi="宋体" w:cs="宋体" w:eastAsia="宋体" w:hint="default"/>
        </w:rPr>
      </w:pPr>
      <w:r>
        <w:rPr>
          <w:rFonts w:ascii="宋体"/>
        </w:rPr>
        <w:t> </w:t>
      </w:r>
    </w:p>
    <w:p>
      <w:pPr>
        <w:spacing w:line="358" w:lineRule="exact" w:before="0"/>
        <w:ind w:left="163" w:right="0" w:firstLine="0"/>
        <w:jc w:val="center"/>
        <w:rPr>
          <w:rFonts w:ascii="宋体" w:hAnsi="宋体" w:cs="宋体" w:eastAsia="宋体" w:hint="default"/>
          <w:sz w:val="28"/>
          <w:szCs w:val="28"/>
        </w:rPr>
      </w:pPr>
      <w:r>
        <w:rPr>
          <w:rFonts w:ascii="宋体"/>
          <w:b/>
          <w:w w:val="99"/>
          <w:sz w:val="28"/>
        </w:rPr>
        <w:t> </w:t>
      </w:r>
      <w:r>
        <w:rPr>
          <w:rFonts w:ascii="宋体"/>
          <w:sz w:val="28"/>
        </w:rPr>
      </w:r>
    </w:p>
    <w:p>
      <w:pPr>
        <w:spacing w:after="0" w:line="358" w:lineRule="exact"/>
        <w:jc w:val="center"/>
        <w:rPr>
          <w:rFonts w:ascii="宋体" w:hAnsi="宋体" w:cs="宋体" w:eastAsia="宋体" w:hint="default"/>
          <w:sz w:val="28"/>
          <w:szCs w:val="28"/>
        </w:rPr>
        <w:sectPr>
          <w:pgSz w:w="11910" w:h="16840"/>
          <w:pgMar w:header="880" w:footer="1195" w:top="1120" w:bottom="1380" w:left="1660" w:right="1160"/>
        </w:sectPr>
      </w:pPr>
    </w:p>
    <w:p>
      <w:pPr>
        <w:spacing w:line="240" w:lineRule="auto" w:before="0"/>
        <w:rPr>
          <w:rFonts w:ascii="宋体" w:hAnsi="宋体" w:cs="宋体" w:eastAsia="宋体" w:hint="default"/>
          <w:b/>
          <w:bCs/>
          <w:sz w:val="26"/>
          <w:szCs w:val="26"/>
        </w:rPr>
      </w:pPr>
    </w:p>
    <w:p>
      <w:pPr>
        <w:spacing w:before="14"/>
        <w:ind w:left="163" w:right="0"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b/>
          <w:bCs/>
          <w:w w:val="99"/>
          <w:sz w:val="28"/>
          <w:szCs w:val="28"/>
        </w:rPr>
        <w:t> </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tab/>
              <w:t>公司简介和主要财务指标</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tab/>
              <w:t>公司业务概要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bookmark3">
            <w:r>
              <w:rPr/>
              <w:t>第四节</w:t>
              <w:tab/>
              <w:t>经营情况讨论与分析</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tab/>
              <w:t>重要事项</w:t>
            </w:r>
            <w:r>
              <w:rPr>
                <w:rFonts w:ascii="Times New Roman" w:hAnsi="Times New Roman" w:cs="Times New Roman" w:eastAsia="Times New Roman" w:hint="default"/>
              </w:rPr>
              <w:tab/>
              <w:t>28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tab/>
              <w:t>普通股股份变动及股东情况</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tab/>
              <w:t>优先股相关情况</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20"/>
            <w:ind w:right="0"/>
            <w:jc w:val="left"/>
            <w:rPr>
              <w:rFonts w:ascii="Times New Roman" w:hAnsi="Times New Roman" w:cs="Times New Roman" w:eastAsia="Times New Roman" w:hint="default"/>
              <w:b w:val="0"/>
              <w:bCs w:val="0"/>
            </w:rPr>
          </w:pPr>
          <w:hyperlink w:history="true" w:anchor="_bookmark7">
            <w:r>
              <w:rPr/>
              <w:t>第八节</w:t>
              <w:tab/>
              <w:t>董事、监事、高级管理人员和员工情况</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tab/>
              <w:t>公司治理</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tab/>
              <w:t>公司债券相关情况</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tab/>
              <w:t>财务报告</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60"/>
        </w:sectPr>
      </w:pPr>
    </w:p>
    <w:p>
      <w:pPr>
        <w:pStyle w:val="Heading1"/>
        <w:tabs>
          <w:tab w:pos="1259" w:val="left" w:leader="none"/>
        </w:tabs>
        <w:spacing w:line="240" w:lineRule="auto" w:before="328"/>
        <w:ind w:right="19"/>
        <w:jc w:val="center"/>
        <w:rPr>
          <w:b w:val="0"/>
          <w:bCs w:val="0"/>
        </w:rPr>
      </w:pPr>
      <w:bookmarkStart w:name="_bookmark0" w:id="1"/>
      <w:bookmarkEnd w:id="1"/>
      <w:r>
        <w:rPr>
          <w:b w:val="0"/>
          <w:bCs w:val="0"/>
        </w:rPr>
      </w:r>
      <w:r>
        <w:rPr>
          <w:w w:val="95"/>
        </w:rPr>
        <w:t>第一节</w:t>
      </w:r>
      <w:r>
        <w:rPr>
          <w:rFonts w:ascii="宋体" w:hAnsi="宋体" w:cs="宋体" w:eastAsia="宋体" w:hint="default"/>
          <w:w w:val="95"/>
        </w:rPr>
        <w:tab/>
      </w:r>
      <w:r>
        <w:rPr/>
        <w:t>释义</w:t>
      </w:r>
      <w:r>
        <w:rPr>
          <w:b w:val="0"/>
          <w:bCs w:val="0"/>
        </w:rPr>
      </w:r>
    </w:p>
    <w:p>
      <w:pPr>
        <w:pStyle w:val="BodyText"/>
        <w:spacing w:line="290" w:lineRule="auto" w:before="253"/>
        <w:ind w:right="2332"/>
        <w:jc w:val="left"/>
        <w:rPr>
          <w:rFonts w:ascii="宋体" w:hAnsi="宋体" w:cs="宋体" w:eastAsia="宋体" w:hint="default"/>
        </w:rPr>
      </w:pPr>
      <w:r>
        <w:rPr>
          <w:rFonts w:ascii="宋体" w:hAnsi="宋体" w:cs="宋体" w:eastAsia="宋体" w:hint="default"/>
          <w:b/>
          <w:bCs/>
        </w:rPr>
        <w:t>一、</w:t>
      </w:r>
      <w:r>
        <w:rPr>
          <w:rFonts w:ascii="宋体" w:hAnsi="宋体" w:cs="宋体" w:eastAsia="宋体" w:hint="default"/>
          <w:b/>
          <w:bCs/>
          <w:spacing w:val="59"/>
        </w:rPr>
        <w:t> </w:t>
      </w:r>
      <w:r>
        <w:rPr>
          <w:rFonts w:ascii="宋体" w:hAnsi="宋体" w:cs="宋体" w:eastAsia="宋体" w:hint="default"/>
          <w:b/>
          <w:bCs/>
          <w:spacing w:val="59"/>
        </w:rPr>
      </w:r>
      <w:r>
        <w:rPr>
          <w:rFonts w:ascii="宋体" w:hAnsi="宋体" w:cs="宋体" w:eastAsia="宋体" w:hint="default"/>
          <w:b/>
          <w:bCs/>
        </w:rPr>
        <w:t>释义</w:t>
      </w:r>
      <w:r>
        <w:rPr>
          <w:rFonts w:ascii="宋体" w:hAnsi="宋体" w:cs="宋体" w:eastAsia="宋体" w:hint="default"/>
          <w:b/>
          <w:bCs/>
          <w:w w:val="100"/>
        </w:rPr>
        <w:t> </w:t>
      </w:r>
      <w:r>
        <w:rPr/>
        <w:t>在本报告书中，除非文义另有所指，下列词语具有如下含义：</w:t>
      </w:r>
      <w:r>
        <w:rPr>
          <w:rFonts w:ascii="宋体" w:hAnsi="宋体" w:cs="宋体" w:eastAsia="宋体" w:hint="default"/>
        </w:rPr>
        <w:t> </w:t>
      </w:r>
    </w:p>
    <w:tbl>
      <w:tblPr>
        <w:tblW w:w="0" w:type="auto"/>
        <w:jc w:val="left"/>
        <w:tblInd w:w="136" w:type="dxa"/>
        <w:tblLayout w:type="fixed"/>
        <w:tblCellMar>
          <w:top w:w="0" w:type="dxa"/>
          <w:left w:w="0" w:type="dxa"/>
          <w:bottom w:w="0" w:type="dxa"/>
          <w:right w:w="0" w:type="dxa"/>
        </w:tblCellMar>
        <w:tblLook w:val="01E0"/>
      </w:tblPr>
      <w:tblGrid>
        <w:gridCol w:w="2963"/>
        <w:gridCol w:w="720"/>
        <w:gridCol w:w="5142"/>
      </w:tblGrid>
      <w:tr>
        <w:trPr>
          <w:trHeight w:val="283" w:hRule="exact"/>
        </w:trPr>
        <w:tc>
          <w:tcPr>
            <w:tcW w:w="88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r>
              <w:rPr>
                <w:rFonts w:ascii="宋体" w:hAnsi="宋体" w:cs="宋体" w:eastAsia="宋体" w:hint="default"/>
                <w:sz w:val="21"/>
                <w:szCs w:val="21"/>
              </w:rPr>
              <w:t> </w:t>
            </w:r>
          </w:p>
        </w:tc>
      </w:tr>
      <w:tr>
        <w:trPr>
          <w:trHeight w:val="281"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4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1"/>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3"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4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r>
              <w:rPr>
                <w:rFonts w:ascii="宋体" w:hAnsi="宋体" w:cs="宋体" w:eastAsia="宋体" w:hint="default"/>
                <w:sz w:val="21"/>
                <w:szCs w:val="21"/>
              </w:rPr>
              <w:t> </w:t>
            </w:r>
          </w:p>
        </w:tc>
      </w:tr>
      <w:tr>
        <w:trPr>
          <w:trHeight w:val="281"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公司法</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4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r>
              <w:rPr>
                <w:rFonts w:ascii="宋体" w:hAnsi="宋体" w:cs="宋体" w:eastAsia="宋体" w:hint="default"/>
                <w:sz w:val="21"/>
                <w:szCs w:val="21"/>
              </w:rPr>
              <w:t> </w:t>
            </w:r>
          </w:p>
        </w:tc>
      </w:tr>
      <w:tr>
        <w:trPr>
          <w:trHeight w:val="283"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证券法</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4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r>
              <w:rPr>
                <w:rFonts w:ascii="宋体" w:hAnsi="宋体" w:cs="宋体" w:eastAsia="宋体" w:hint="default"/>
                <w:sz w:val="21"/>
                <w:szCs w:val="21"/>
              </w:rPr>
              <w:t> </w:t>
            </w:r>
          </w:p>
        </w:tc>
      </w:tr>
      <w:tr>
        <w:trPr>
          <w:trHeight w:val="283"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公司、本公司、泰豪科技</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4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r>
              <w:rPr>
                <w:rFonts w:ascii="宋体" w:hAnsi="宋体" w:cs="宋体" w:eastAsia="宋体" w:hint="default"/>
                <w:sz w:val="21"/>
                <w:szCs w:val="21"/>
              </w:rPr>
              <w:t> </w:t>
            </w:r>
          </w:p>
        </w:tc>
      </w:tr>
      <w:tr>
        <w:trPr>
          <w:trHeight w:val="281"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同方股份</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4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同方股份有限公司</w:t>
            </w:r>
            <w:r>
              <w:rPr>
                <w:rFonts w:ascii="宋体" w:hAnsi="宋体" w:cs="宋体" w:eastAsia="宋体" w:hint="default"/>
                <w:sz w:val="21"/>
                <w:szCs w:val="21"/>
              </w:rPr>
              <w:t> </w:t>
            </w:r>
          </w:p>
        </w:tc>
      </w:tr>
      <w:tr>
        <w:trPr>
          <w:trHeight w:val="283"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泰豪集团</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4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泰豪集团有限公司</w:t>
            </w:r>
            <w:r>
              <w:rPr>
                <w:rFonts w:ascii="宋体" w:hAnsi="宋体" w:cs="宋体" w:eastAsia="宋体" w:hint="default"/>
                <w:sz w:val="21"/>
                <w:szCs w:val="21"/>
              </w:rPr>
              <w:t> </w:t>
            </w:r>
          </w:p>
        </w:tc>
      </w:tr>
      <w:tr>
        <w:trPr>
          <w:trHeight w:val="284"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海外控股</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4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中国海外控股集团有限公司</w:t>
            </w:r>
            <w:r>
              <w:rPr>
                <w:rFonts w:ascii="宋体" w:hAnsi="宋体" w:cs="宋体" w:eastAsia="宋体" w:hint="default"/>
                <w:sz w:val="21"/>
                <w:szCs w:val="21"/>
              </w:rPr>
              <w:t> </w:t>
            </w:r>
          </w:p>
        </w:tc>
      </w:tr>
      <w:tr>
        <w:trPr>
          <w:trHeight w:val="281"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海德馨</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4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龙岩市海德馨汽车有限公司</w:t>
            </w:r>
            <w:r>
              <w:rPr>
                <w:rFonts w:ascii="宋体" w:hAnsi="宋体" w:cs="宋体" w:eastAsia="宋体" w:hint="default"/>
                <w:sz w:val="21"/>
                <w:szCs w:val="21"/>
              </w:rPr>
              <w:t> </w:t>
            </w:r>
          </w:p>
        </w:tc>
      </w:tr>
      <w:tr>
        <w:trPr>
          <w:trHeight w:val="283"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江西国科</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4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江西国科军工集团有限公司</w:t>
            </w:r>
            <w:r>
              <w:rPr>
                <w:rFonts w:ascii="宋体" w:hAnsi="宋体" w:cs="宋体" w:eastAsia="宋体" w:hint="default"/>
                <w:sz w:val="21"/>
                <w:szCs w:val="21"/>
              </w:rPr>
              <w:t> </w:t>
            </w:r>
          </w:p>
        </w:tc>
      </w:tr>
      <w:tr>
        <w:trPr>
          <w:trHeight w:val="283"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泰豪军工</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4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江西泰豪军工集团有限公司</w:t>
            </w:r>
            <w:r>
              <w:rPr>
                <w:rFonts w:ascii="宋体" w:hAnsi="宋体" w:cs="宋体" w:eastAsia="宋体" w:hint="default"/>
                <w:sz w:val="21"/>
                <w:szCs w:val="21"/>
              </w:rPr>
              <w:t> </w:t>
            </w:r>
          </w:p>
        </w:tc>
      </w:tr>
      <w:tr>
        <w:trPr>
          <w:trHeight w:val="281"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博辕信息</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4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上海博辕信息技术服务有限公司</w:t>
            </w:r>
            <w:r>
              <w:rPr>
                <w:rFonts w:ascii="宋体" w:hAnsi="宋体" w:cs="宋体" w:eastAsia="宋体" w:hint="default"/>
                <w:sz w:val="21"/>
                <w:szCs w:val="21"/>
              </w:rPr>
              <w:t> </w:t>
            </w:r>
          </w:p>
        </w:tc>
      </w:tr>
      <w:tr>
        <w:trPr>
          <w:trHeight w:val="283"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赫甄合伙</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4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上海赫甄企业发展中心（有限合伙）</w:t>
            </w:r>
            <w:r>
              <w:rPr>
                <w:rFonts w:ascii="宋体" w:hAnsi="宋体" w:cs="宋体" w:eastAsia="宋体" w:hint="default"/>
                <w:sz w:val="21"/>
                <w:szCs w:val="21"/>
              </w:rPr>
              <w:t> </w:t>
            </w:r>
          </w:p>
        </w:tc>
      </w:tr>
      <w:tr>
        <w:trPr>
          <w:trHeight w:val="283"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上海红生</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4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上海红生系统工程有限公司</w:t>
            </w:r>
            <w:r>
              <w:rPr>
                <w:rFonts w:ascii="宋体" w:hAnsi="宋体" w:cs="宋体" w:eastAsia="宋体" w:hint="default"/>
                <w:sz w:val="21"/>
                <w:szCs w:val="21"/>
              </w:rPr>
              <w:t> </w:t>
            </w:r>
          </w:p>
        </w:tc>
      </w:tr>
      <w:tr>
        <w:trPr>
          <w:trHeight w:val="281"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宁波杰赢</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4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宁波杰赢投资管理合伙企业（有限合伙）</w:t>
            </w:r>
            <w:r>
              <w:rPr>
                <w:rFonts w:ascii="宋体" w:hAnsi="宋体" w:cs="宋体" w:eastAsia="宋体" w:hint="default"/>
                <w:sz w:val="21"/>
                <w:szCs w:val="21"/>
              </w:rPr>
              <w:t> </w:t>
            </w:r>
          </w:p>
        </w:tc>
      </w:tr>
      <w:tr>
        <w:trPr>
          <w:trHeight w:val="283"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宁波杰宝</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4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宁波杰宝投资合伙企业（有限合伙）</w:t>
            </w:r>
            <w:r>
              <w:rPr>
                <w:rFonts w:ascii="宋体" w:hAnsi="宋体" w:cs="宋体" w:eastAsia="宋体" w:hint="default"/>
                <w:sz w:val="21"/>
                <w:szCs w:val="21"/>
              </w:rPr>
              <w:t> </w:t>
            </w:r>
          </w:p>
        </w:tc>
      </w:tr>
      <w:tr>
        <w:trPr>
          <w:trHeight w:val="281"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浙江中赢</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4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浙江中赢资本投资合伙企业（有限合伙）</w:t>
            </w:r>
            <w:r>
              <w:rPr>
                <w:rFonts w:ascii="宋体" w:hAnsi="宋体" w:cs="宋体" w:eastAsia="宋体" w:hint="default"/>
                <w:sz w:val="21"/>
                <w:szCs w:val="21"/>
              </w:rPr>
              <w:t> </w:t>
            </w:r>
          </w:p>
        </w:tc>
      </w:tr>
      <w:tr>
        <w:trPr>
          <w:trHeight w:val="283"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北京泰豪装备</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4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北京泰豪装备科技有限公司</w:t>
            </w:r>
            <w:r>
              <w:rPr>
                <w:rFonts w:ascii="宋体" w:hAnsi="宋体" w:cs="宋体" w:eastAsia="宋体" w:hint="default"/>
                <w:sz w:val="21"/>
                <w:szCs w:val="21"/>
              </w:rPr>
              <w:t> </w:t>
            </w:r>
          </w:p>
        </w:tc>
      </w:tr>
      <w:tr>
        <w:trPr>
          <w:trHeight w:val="283"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中航比特</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4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深圳市中航比特通讯技术有限公司</w:t>
            </w:r>
            <w:r>
              <w:rPr>
                <w:rFonts w:ascii="宋体" w:hAnsi="宋体" w:cs="宋体" w:eastAsia="宋体" w:hint="default"/>
                <w:sz w:val="21"/>
                <w:szCs w:val="21"/>
              </w:rPr>
              <w:t> </w:t>
            </w:r>
          </w:p>
        </w:tc>
      </w:tr>
      <w:tr>
        <w:trPr>
          <w:trHeight w:val="281"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湖南基石</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4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湖南基石通信技术有限公司</w:t>
            </w:r>
            <w:r>
              <w:rPr>
                <w:rFonts w:ascii="宋体" w:hAnsi="宋体" w:cs="宋体" w:eastAsia="宋体" w:hint="default"/>
                <w:sz w:val="21"/>
                <w:szCs w:val="21"/>
              </w:rPr>
              <w:t> </w:t>
            </w:r>
          </w:p>
        </w:tc>
      </w:tr>
      <w:tr>
        <w:trPr>
          <w:trHeight w:val="284"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元、万元、亿元</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4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1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人民币元、人民币万元、人民币亿元</w:t>
            </w:r>
            <w:r>
              <w:rPr>
                <w:rFonts w:ascii="宋体" w:hAnsi="宋体" w:cs="宋体" w:eastAsia="宋体" w:hint="default"/>
                <w:sz w:val="21"/>
                <w:szCs w:val="21"/>
              </w:rPr>
              <w:t> </w:t>
            </w:r>
          </w:p>
        </w:tc>
      </w:tr>
    </w:tbl>
    <w:p>
      <w:pPr>
        <w:spacing w:line="240" w:lineRule="auto" w:before="11"/>
        <w:rPr>
          <w:rFonts w:ascii="宋体" w:hAnsi="宋体" w:cs="宋体" w:eastAsia="宋体" w:hint="default"/>
          <w:sz w:val="23"/>
          <w:szCs w:val="23"/>
        </w:rPr>
      </w:pPr>
    </w:p>
    <w:p>
      <w:pPr>
        <w:pStyle w:val="Heading1"/>
        <w:tabs>
          <w:tab w:pos="3636" w:val="left" w:leader="none"/>
        </w:tabs>
        <w:spacing w:line="240" w:lineRule="auto"/>
        <w:ind w:left="2376" w:right="2332"/>
        <w:jc w:val="left"/>
        <w:rPr>
          <w:b w:val="0"/>
          <w:bCs w:val="0"/>
        </w:rPr>
      </w:pPr>
      <w:bookmarkStart w:name="_bookmark1" w:id="2"/>
      <w:bookmarkEnd w:id="2"/>
      <w:r>
        <w:rPr>
          <w:b w:val="0"/>
          <w:bCs w:val="0"/>
        </w:rPr>
      </w:r>
      <w:r>
        <w:rPr>
          <w:w w:val="95"/>
        </w:rPr>
        <w:t>第二节</w:t>
      </w:r>
      <w:r>
        <w:rPr>
          <w:rFonts w:ascii="宋体" w:hAnsi="宋体" w:cs="宋体" w:eastAsia="宋体" w:hint="default"/>
          <w:w w:val="95"/>
        </w:rPr>
        <w:tab/>
      </w:r>
      <w:r>
        <w:rPr/>
        <w:t>公司简介和主要财务指标</w:t>
      </w:r>
      <w:r>
        <w:rPr>
          <w:b w:val="0"/>
          <w:bCs w:val="0"/>
        </w:rPr>
      </w:r>
    </w:p>
    <w:p>
      <w:pPr>
        <w:spacing w:line="240" w:lineRule="auto" w:before="7"/>
        <w:rPr>
          <w:rFonts w:ascii="黑体" w:hAnsi="黑体" w:cs="黑体" w:eastAsia="黑体" w:hint="default"/>
          <w:b/>
          <w:bCs/>
          <w:sz w:val="16"/>
          <w:szCs w:val="16"/>
        </w:rPr>
      </w:pPr>
    </w:p>
    <w:p>
      <w:pPr>
        <w:pStyle w:val="Heading5"/>
        <w:spacing w:line="240" w:lineRule="auto" w:before="36"/>
        <w:ind w:left="136" w:right="2332"/>
        <w:jc w:val="left"/>
        <w:rPr>
          <w:b w:val="0"/>
          <w:bCs w:val="0"/>
        </w:rPr>
      </w:pPr>
      <w:r>
        <w:rPr/>
        <w:t>一、</w:t>
      </w:r>
      <w:r>
        <w:rPr>
          <w:spacing w:val="39"/>
        </w:rPr>
        <w:t> </w:t>
      </w:r>
      <w:r>
        <w:rPr>
          <w:rFonts w:ascii="宋体" w:hAnsi="宋体" w:cs="宋体" w:eastAsia="宋体" w:hint="default"/>
          <w:spacing w:val="39"/>
        </w:rPr>
      </w:r>
      <w:r>
        <w:rPr/>
        <w:t>公司信息</w:t>
      </w:r>
      <w:r>
        <w:rPr>
          <w:b w:val="0"/>
          <w:bCs w:val="0"/>
        </w:rPr>
      </w:r>
    </w:p>
    <w:p>
      <w:pPr>
        <w:spacing w:line="240" w:lineRule="auto" w:before="12"/>
        <w:rPr>
          <w:rFonts w:ascii="宋体" w:hAnsi="宋体" w:cs="宋体" w:eastAsia="宋体" w:hint="default"/>
          <w:b/>
          <w:bCs/>
          <w:sz w:val="6"/>
          <w:szCs w:val="6"/>
        </w:rPr>
      </w:pPr>
    </w:p>
    <w:tbl>
      <w:tblPr>
        <w:tblW w:w="0" w:type="auto"/>
        <w:jc w:val="left"/>
        <w:tblInd w:w="100" w:type="dxa"/>
        <w:tblLayout w:type="fixed"/>
        <w:tblCellMar>
          <w:top w:w="0" w:type="dxa"/>
          <w:left w:w="0" w:type="dxa"/>
          <w:bottom w:w="0" w:type="dxa"/>
          <w:right w:w="0" w:type="dxa"/>
        </w:tblCellMar>
        <w:tblLook w:val="01E0"/>
      </w:tblPr>
      <w:tblGrid>
        <w:gridCol w:w="3860"/>
        <w:gridCol w:w="5036"/>
      </w:tblGrid>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r>
              <w:rPr>
                <w:rFonts w:ascii="宋体" w:hAnsi="宋体" w:cs="宋体" w:eastAsia="宋体" w:hint="default"/>
                <w:color w:val="FFC000"/>
                <w:sz w:val="21"/>
                <w:szCs w:val="21"/>
              </w:rPr>
              <w:t> </w:t>
            </w:r>
            <w:r>
              <w:rPr>
                <w:rFonts w:ascii="宋体" w:hAnsi="宋体" w:cs="宋体" w:eastAsia="宋体" w:hint="default"/>
                <w:sz w:val="21"/>
                <w:szCs w:val="21"/>
              </w:rPr>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泰豪科技</w:t>
            </w:r>
            <w:r>
              <w:rPr>
                <w:rFonts w:ascii="宋体" w:hAnsi="宋体" w:cs="宋体" w:eastAsia="宋体" w:hint="default"/>
                <w:sz w:val="21"/>
                <w:szCs w:val="21"/>
              </w:rPr>
              <w:t>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TELLHOW SCI-TECH CO.,</w:t>
            </w:r>
            <w:r>
              <w:rPr>
                <w:rFonts w:ascii="宋体"/>
                <w:spacing w:val="-4"/>
                <w:sz w:val="21"/>
              </w:rPr>
              <w:t> </w:t>
            </w:r>
            <w:r>
              <w:rPr>
                <w:rFonts w:ascii="宋体"/>
                <w:sz w:val="21"/>
              </w:rPr>
              <w:t>LTD.</w:t>
            </w:r>
            <w:r>
              <w:rPr>
                <w:rFonts w:ascii="宋体"/>
                <w:spacing w:val="-3"/>
                <w:sz w:val="21"/>
              </w:rPr>
              <w:t> </w:t>
            </w:r>
            <w:r>
              <w:rPr>
                <w:rFonts w:ascii="宋体"/>
                <w:sz w:val="21"/>
              </w:rPr>
              <w:t>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TELLHOW </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杨剑</w:t>
            </w:r>
            <w:r>
              <w:rPr>
                <w:rFonts w:ascii="宋体" w:hAnsi="宋体" w:cs="宋体" w:eastAsia="宋体" w:hint="default"/>
                <w:sz w:val="21"/>
                <w:szCs w:val="21"/>
              </w:rPr>
              <w:t> </w:t>
            </w:r>
          </w:p>
        </w:tc>
      </w:tr>
    </w:tbl>
    <w:p>
      <w:pPr>
        <w:pStyle w:val="Heading3"/>
        <w:spacing w:line="274" w:lineRule="exact"/>
        <w:ind w:left="136" w:right="0"/>
        <w:jc w:val="left"/>
        <w:rPr>
          <w:rFonts w:ascii="宋体" w:hAnsi="宋体" w:cs="宋体" w:eastAsia="宋体" w:hint="default"/>
        </w:rPr>
      </w:pPr>
      <w:r>
        <w:rPr>
          <w:rFonts w:ascii="宋体"/>
        </w:rPr>
        <w:t> </w:t>
      </w:r>
    </w:p>
    <w:p>
      <w:pPr>
        <w:pStyle w:val="Heading5"/>
        <w:spacing w:line="240" w:lineRule="auto" w:before="62"/>
        <w:ind w:left="136" w:right="2332"/>
        <w:jc w:val="left"/>
        <w:rPr>
          <w:b w:val="0"/>
          <w:bCs w:val="0"/>
        </w:rPr>
      </w:pPr>
      <w:r>
        <w:rPr/>
        <w:t>二、</w:t>
      </w:r>
      <w:r>
        <w:rPr>
          <w:spacing w:val="41"/>
        </w:rPr>
        <w:t> </w:t>
      </w:r>
      <w:r>
        <w:rPr>
          <w:rFonts w:ascii="宋体" w:hAnsi="宋体" w:cs="宋体" w:eastAsia="宋体" w:hint="default"/>
          <w:spacing w:val="41"/>
        </w:rPr>
      </w:r>
      <w:r>
        <w:rPr/>
        <w:t>联系人和联系方式</w:t>
      </w:r>
      <w:r>
        <w:rPr>
          <w:b w:val="0"/>
          <w:bCs w:val="0"/>
        </w:rPr>
      </w:r>
    </w:p>
    <w:p>
      <w:pPr>
        <w:spacing w:line="240" w:lineRule="auto" w:before="1"/>
        <w:rPr>
          <w:rFonts w:ascii="宋体" w:hAnsi="宋体" w:cs="宋体" w:eastAsia="宋体" w:hint="default"/>
          <w:b/>
          <w:bCs/>
          <w:sz w:val="7"/>
          <w:szCs w:val="7"/>
        </w:rPr>
      </w:pPr>
    </w:p>
    <w:tbl>
      <w:tblPr>
        <w:tblW w:w="0" w:type="auto"/>
        <w:jc w:val="left"/>
        <w:tblInd w:w="100" w:type="dxa"/>
        <w:tblLayout w:type="fixed"/>
        <w:tblCellMar>
          <w:top w:w="0" w:type="dxa"/>
          <w:left w:w="0" w:type="dxa"/>
          <w:bottom w:w="0" w:type="dxa"/>
          <w:right w:w="0" w:type="dxa"/>
        </w:tblCellMar>
        <w:tblLook w:val="01E0"/>
      </w:tblPr>
      <w:tblGrid>
        <w:gridCol w:w="3303"/>
        <w:gridCol w:w="5593"/>
      </w:tblGrid>
      <w:tr>
        <w:trPr>
          <w:trHeight w:val="283" w:hRule="exact"/>
        </w:trPr>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55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color w:val="008000"/>
                <w:sz w:val="21"/>
                <w:szCs w:val="21"/>
              </w:rPr>
              <w:t> </w:t>
            </w:r>
            <w:r>
              <w:rPr>
                <w:rFonts w:ascii="宋体" w:hAnsi="宋体" w:cs="宋体" w:eastAsia="宋体" w:hint="default"/>
                <w:sz w:val="21"/>
                <w:szCs w:val="21"/>
              </w:rPr>
            </w:r>
          </w:p>
        </w:tc>
      </w:tr>
      <w:tr>
        <w:trPr>
          <w:trHeight w:val="281" w:hRule="exact"/>
        </w:trPr>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55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尹玮</w:t>
            </w:r>
            <w:r>
              <w:rPr>
                <w:rFonts w:ascii="宋体" w:hAnsi="宋体" w:cs="宋体" w:eastAsia="宋体" w:hint="default"/>
                <w:sz w:val="21"/>
                <w:szCs w:val="21"/>
              </w:rPr>
              <w:t> </w:t>
            </w:r>
          </w:p>
        </w:tc>
      </w:tr>
      <w:tr>
        <w:trPr>
          <w:trHeight w:val="283" w:hRule="exact"/>
        </w:trPr>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r>
              <w:rPr>
                <w:rFonts w:ascii="宋体" w:hAnsi="宋体" w:cs="宋体" w:eastAsia="宋体" w:hint="default"/>
                <w:sz w:val="21"/>
                <w:szCs w:val="21"/>
              </w:rPr>
              <w:t> </w:t>
            </w:r>
          </w:p>
        </w:tc>
        <w:tc>
          <w:tcPr>
            <w:tcW w:w="55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上海市浦东新区张东路</w:t>
            </w:r>
            <w:r>
              <w:rPr>
                <w:rFonts w:ascii="宋体" w:hAnsi="宋体" w:cs="宋体" w:eastAsia="宋体" w:hint="default"/>
                <w:sz w:val="21"/>
                <w:szCs w:val="21"/>
              </w:rPr>
              <w:t>1387</w:t>
            </w:r>
            <w:r>
              <w:rPr>
                <w:rFonts w:ascii="宋体" w:hAnsi="宋体" w:cs="宋体" w:eastAsia="宋体" w:hint="default"/>
                <w:sz w:val="21"/>
                <w:szCs w:val="21"/>
              </w:rPr>
              <w:t>号</w:t>
            </w:r>
            <w:r>
              <w:rPr>
                <w:rFonts w:ascii="宋体" w:hAnsi="宋体" w:cs="宋体" w:eastAsia="宋体" w:hint="default"/>
                <w:sz w:val="21"/>
                <w:szCs w:val="21"/>
              </w:rPr>
              <w:t>19</w:t>
            </w:r>
            <w:r>
              <w:rPr>
                <w:rFonts w:ascii="宋体" w:hAnsi="宋体" w:cs="宋体" w:eastAsia="宋体" w:hint="default"/>
                <w:sz w:val="21"/>
                <w:szCs w:val="21"/>
              </w:rPr>
              <w:t>栋</w:t>
            </w:r>
            <w:r>
              <w:rPr>
                <w:rFonts w:ascii="宋体" w:hAnsi="宋体" w:cs="宋体" w:eastAsia="宋体" w:hint="default"/>
                <w:sz w:val="21"/>
                <w:szCs w:val="21"/>
              </w:rPr>
              <w:t>01 </w:t>
            </w:r>
          </w:p>
        </w:tc>
      </w:tr>
      <w:tr>
        <w:trPr>
          <w:trHeight w:val="281" w:hRule="exact"/>
        </w:trPr>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r>
              <w:rPr>
                <w:rFonts w:ascii="宋体" w:hAnsi="宋体" w:cs="宋体" w:eastAsia="宋体" w:hint="default"/>
                <w:sz w:val="21"/>
                <w:szCs w:val="21"/>
              </w:rPr>
              <w:t> </w:t>
            </w:r>
          </w:p>
        </w:tc>
        <w:tc>
          <w:tcPr>
            <w:tcW w:w="55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021-68790276 </w:t>
            </w:r>
          </w:p>
        </w:tc>
      </w:tr>
      <w:tr>
        <w:trPr>
          <w:trHeight w:val="283" w:hRule="exact"/>
        </w:trPr>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r>
              <w:rPr>
                <w:rFonts w:ascii="宋体" w:hAnsi="宋体" w:cs="宋体" w:eastAsia="宋体" w:hint="default"/>
                <w:sz w:val="21"/>
                <w:szCs w:val="21"/>
              </w:rPr>
              <w:t> </w:t>
            </w:r>
          </w:p>
        </w:tc>
        <w:tc>
          <w:tcPr>
            <w:tcW w:w="55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021-68790276 </w:t>
            </w:r>
          </w:p>
        </w:tc>
      </w:tr>
      <w:tr>
        <w:trPr>
          <w:trHeight w:val="283" w:hRule="exact"/>
        </w:trPr>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5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hyperlink r:id="rId9">
              <w:r>
                <w:rPr>
                  <w:rFonts w:ascii="Times New Roman"/>
                  <w:sz w:val="21"/>
                </w:rPr>
                <w:t>stock@tellhow.com</w:t>
              </w:r>
            </w:hyperlink>
          </w:p>
        </w:tc>
      </w:tr>
    </w:tbl>
    <w:p>
      <w:pPr>
        <w:spacing w:line="240" w:lineRule="auto" w:before="11"/>
        <w:rPr>
          <w:rFonts w:ascii="宋体" w:hAnsi="宋体" w:cs="宋体" w:eastAsia="宋体" w:hint="default"/>
          <w:b/>
          <w:bCs/>
          <w:sz w:val="16"/>
          <w:szCs w:val="16"/>
        </w:rPr>
      </w:pPr>
    </w:p>
    <w:p>
      <w:pPr>
        <w:pStyle w:val="Heading5"/>
        <w:spacing w:line="240" w:lineRule="auto" w:before="36"/>
        <w:ind w:left="136" w:right="2332"/>
        <w:jc w:val="left"/>
        <w:rPr>
          <w:rFonts w:ascii="宋体" w:hAnsi="宋体" w:cs="宋体" w:eastAsia="宋体" w:hint="default"/>
          <w:b w:val="0"/>
          <w:bCs w:val="0"/>
        </w:rPr>
      </w:pPr>
      <w:r>
        <w:rPr/>
        <w:t>三、</w:t>
      </w:r>
      <w:r>
        <w:rPr>
          <w:spacing w:val="36"/>
        </w:rPr>
        <w:t> </w:t>
      </w:r>
      <w:r>
        <w:rPr>
          <w:rFonts w:ascii="宋体" w:hAnsi="宋体" w:cs="宋体" w:eastAsia="宋体" w:hint="default"/>
          <w:spacing w:val="36"/>
        </w:rPr>
      </w:r>
      <w:r>
        <w:rPr/>
        <w:t>基本情况简介</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6"/>
          <w:szCs w:val="6"/>
        </w:rPr>
      </w:pPr>
    </w:p>
    <w:tbl>
      <w:tblPr>
        <w:tblW w:w="0" w:type="auto"/>
        <w:jc w:val="left"/>
        <w:tblInd w:w="100" w:type="dxa"/>
        <w:tblLayout w:type="fixed"/>
        <w:tblCellMar>
          <w:top w:w="0" w:type="dxa"/>
          <w:left w:w="0" w:type="dxa"/>
          <w:bottom w:w="0" w:type="dxa"/>
          <w:right w:w="0" w:type="dxa"/>
        </w:tblCellMar>
        <w:tblLook w:val="01E0"/>
      </w:tblPr>
      <w:tblGrid>
        <w:gridCol w:w="3860"/>
        <w:gridCol w:w="5036"/>
      </w:tblGrid>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江西省南昌市高新开发区清华泰豪大楼</w:t>
            </w:r>
            <w:r>
              <w:rPr>
                <w:rFonts w:ascii="宋体" w:hAnsi="宋体" w:cs="宋体" w:eastAsia="宋体" w:hint="default"/>
                <w:spacing w:val="-3"/>
                <w:sz w:val="21"/>
                <w:szCs w:val="21"/>
              </w:rPr>
              <w:t> </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headerReference w:type="default" r:id="rId7"/>
          <w:footerReference w:type="default" r:id="rId8"/>
          <w:pgSz w:w="11910" w:h="16840"/>
          <w:pgMar w:header="880" w:footer="1195" w:top="1120" w:bottom="1380" w:left="1140" w:right="1640"/>
          <w:pgNumType w:start="4"/>
        </w:sectPr>
      </w:pPr>
    </w:p>
    <w:p>
      <w:pPr>
        <w:spacing w:line="240" w:lineRule="auto" w:before="3"/>
        <w:rPr>
          <w:rFonts w:ascii="宋体" w:hAnsi="宋体" w:cs="宋体" w:eastAsia="宋体" w:hint="default"/>
          <w:b/>
          <w:bCs/>
          <w:sz w:val="24"/>
          <w:szCs w:val="24"/>
        </w:rPr>
      </w:pPr>
    </w:p>
    <w:tbl>
      <w:tblPr>
        <w:tblW w:w="0" w:type="auto"/>
        <w:jc w:val="left"/>
        <w:tblInd w:w="180" w:type="dxa"/>
        <w:tblLayout w:type="fixed"/>
        <w:tblCellMar>
          <w:top w:w="0" w:type="dxa"/>
          <w:left w:w="0" w:type="dxa"/>
          <w:bottom w:w="0" w:type="dxa"/>
          <w:right w:w="0" w:type="dxa"/>
        </w:tblCellMar>
        <w:tblLook w:val="01E0"/>
      </w:tblPr>
      <w:tblGrid>
        <w:gridCol w:w="3860"/>
        <w:gridCol w:w="5036"/>
      </w:tblGrid>
      <w:tr>
        <w:trPr>
          <w:trHeight w:val="30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330096  </w:t>
            </w:r>
          </w:p>
        </w:tc>
      </w:tr>
      <w:tr>
        <w:trPr>
          <w:trHeight w:val="30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江西省南昌市高新开发区清华泰豪大楼</w:t>
            </w:r>
            <w:r>
              <w:rPr>
                <w:rFonts w:ascii="宋体" w:hAnsi="宋体" w:cs="宋体" w:eastAsia="宋体" w:hint="default"/>
                <w:spacing w:val="-3"/>
                <w:sz w:val="21"/>
                <w:szCs w:val="21"/>
              </w:rPr>
              <w:t> </w:t>
            </w:r>
            <w:r>
              <w:rPr>
                <w:rFonts w:ascii="宋体" w:hAnsi="宋体" w:cs="宋体" w:eastAsia="宋体" w:hint="default"/>
                <w:sz w:val="21"/>
                <w:szCs w:val="21"/>
              </w:rPr>
              <w:t> </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r>
              <w:rPr>
                <w:rFonts w:ascii="Times New Roman"/>
                <w:sz w:val="21"/>
              </w:rPr>
              <w:t>330096</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hyperlink r:id="rId10">
              <w:r>
                <w:rPr>
                  <w:rFonts w:ascii="Times New Roman"/>
                  <w:sz w:val="21"/>
                </w:rPr>
                <w:t>http://www.tellhow.com</w:t>
              </w:r>
            </w:hyperlink>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hyperlink r:id="rId9">
              <w:r>
                <w:rPr>
                  <w:rFonts w:ascii="Times New Roman"/>
                  <w:sz w:val="21"/>
                </w:rPr>
                <w:t>stock@tellhow.com</w:t>
              </w:r>
            </w:hyperlink>
          </w:p>
        </w:tc>
      </w:tr>
    </w:tbl>
    <w:p>
      <w:pPr>
        <w:pStyle w:val="Heading3"/>
        <w:spacing w:line="274" w:lineRule="exact"/>
        <w:ind w:right="0"/>
        <w:jc w:val="left"/>
        <w:rPr>
          <w:rFonts w:ascii="宋体" w:hAnsi="宋体" w:cs="宋体" w:eastAsia="宋体" w:hint="default"/>
        </w:rPr>
      </w:pPr>
      <w:r>
        <w:rPr>
          <w:rFonts w:ascii="宋体"/>
        </w:rPr>
        <w:t> </w:t>
      </w:r>
    </w:p>
    <w:p>
      <w:pPr>
        <w:pStyle w:val="Heading5"/>
        <w:spacing w:line="240" w:lineRule="auto"/>
        <w:ind w:right="0"/>
        <w:jc w:val="left"/>
        <w:rPr>
          <w:rFonts w:ascii="宋体" w:hAnsi="宋体" w:cs="宋体" w:eastAsia="宋体" w:hint="default"/>
          <w:b w:val="0"/>
          <w:bCs w:val="0"/>
        </w:rPr>
      </w:pPr>
      <w:r>
        <w:rPr/>
        <w:t>四、</w:t>
      </w:r>
      <w:r>
        <w:rPr>
          <w:spacing w:val="38"/>
        </w:rPr>
        <w:t> </w:t>
      </w:r>
      <w:r>
        <w:rPr>
          <w:rFonts w:ascii="宋体" w:hAnsi="宋体" w:cs="宋体" w:eastAsia="宋体" w:hint="default"/>
          <w:spacing w:val="38"/>
        </w:rPr>
      </w:r>
      <w:r>
        <w:rPr/>
        <w:t>信息披露及备置地点</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7"/>
          <w:szCs w:val="7"/>
        </w:rPr>
      </w:pPr>
    </w:p>
    <w:tbl>
      <w:tblPr>
        <w:tblW w:w="0" w:type="auto"/>
        <w:jc w:val="left"/>
        <w:tblInd w:w="180" w:type="dxa"/>
        <w:tblLayout w:type="fixed"/>
        <w:tblCellMar>
          <w:top w:w="0" w:type="dxa"/>
          <w:left w:w="0" w:type="dxa"/>
          <w:bottom w:w="0" w:type="dxa"/>
          <w:right w:w="0" w:type="dxa"/>
        </w:tblCellMar>
        <w:tblLook w:val="01E0"/>
      </w:tblPr>
      <w:tblGrid>
        <w:gridCol w:w="4143"/>
        <w:gridCol w:w="4753"/>
      </w:tblGrid>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r>
              <w:rPr>
                <w:rFonts w:ascii="宋体" w:hAnsi="宋体" w:cs="宋体" w:eastAsia="宋体" w:hint="default"/>
                <w:sz w:val="21"/>
                <w:szCs w:val="21"/>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10"/>
              <w:jc w:val="left"/>
              <w:rPr>
                <w:rFonts w:ascii="宋体" w:hAnsi="宋体" w:cs="宋体" w:eastAsia="宋体" w:hint="default"/>
                <w:sz w:val="21"/>
                <w:szCs w:val="21"/>
              </w:rPr>
            </w:pPr>
            <w:r>
              <w:rPr>
                <w:rFonts w:ascii="宋体" w:hAnsi="宋体" w:cs="宋体" w:eastAsia="宋体" w:hint="default"/>
                <w:sz w:val="21"/>
                <w:szCs w:val="21"/>
              </w:rPr>
              <w:t>《上海证券报》、《中国证券报》、《证券时报》</w:t>
            </w:r>
            <w:r>
              <w:rPr>
                <w:rFonts w:ascii="宋体" w:hAnsi="宋体" w:cs="宋体" w:eastAsia="宋体" w:hint="default"/>
                <w:sz w:val="21"/>
                <w:szCs w:val="21"/>
              </w:rPr>
              <w:t> </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r>
              <w:rPr>
                <w:rFonts w:ascii="宋体" w:hAnsi="宋体" w:cs="宋体" w:eastAsia="宋体" w:hint="default"/>
                <w:sz w:val="21"/>
                <w:szCs w:val="21"/>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r>
              <w:rPr>
                <w:rFonts w:ascii="宋体" w:hAnsi="宋体" w:cs="宋体" w:eastAsia="宋体" w:hint="default"/>
                <w:sz w:val="21"/>
                <w:szCs w:val="21"/>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公司证券部</w:t>
            </w:r>
            <w:r>
              <w:rPr>
                <w:rFonts w:ascii="宋体" w:hAnsi="宋体" w:cs="宋体" w:eastAsia="宋体" w:hint="default"/>
                <w:sz w:val="21"/>
                <w:szCs w:val="21"/>
              </w:rPr>
              <w:t> </w:t>
            </w:r>
          </w:p>
        </w:tc>
      </w:tr>
    </w:tbl>
    <w:p>
      <w:pPr>
        <w:pStyle w:val="Heading3"/>
        <w:spacing w:line="274" w:lineRule="exact"/>
        <w:ind w:right="0"/>
        <w:jc w:val="left"/>
        <w:rPr>
          <w:rFonts w:ascii="宋体" w:hAnsi="宋体" w:cs="宋体" w:eastAsia="宋体" w:hint="default"/>
        </w:rPr>
      </w:pPr>
      <w:r>
        <w:rPr>
          <w:rFonts w:ascii="宋体"/>
        </w:rPr>
        <w:t> </w:t>
      </w:r>
    </w:p>
    <w:p>
      <w:pPr>
        <w:pStyle w:val="Heading5"/>
        <w:spacing w:line="240" w:lineRule="auto"/>
        <w:ind w:right="0"/>
        <w:jc w:val="left"/>
        <w:rPr>
          <w:b w:val="0"/>
          <w:bCs w:val="0"/>
        </w:rPr>
      </w:pPr>
      <w:r>
        <w:rPr/>
        <w:t>五、</w:t>
      </w:r>
      <w:r>
        <w:rPr>
          <w:spacing w:val="40"/>
        </w:rPr>
        <w:t> </w:t>
      </w:r>
      <w:r>
        <w:rPr>
          <w:rFonts w:ascii="宋体" w:hAnsi="宋体" w:cs="宋体" w:eastAsia="宋体" w:hint="default"/>
          <w:spacing w:val="40"/>
        </w:rPr>
      </w:r>
      <w:r>
        <w:rPr/>
        <w:t>公司股票简况</w:t>
      </w:r>
      <w:r>
        <w:rPr>
          <w:b w:val="0"/>
          <w:bCs w:val="0"/>
        </w:rPr>
      </w:r>
    </w:p>
    <w:p>
      <w:pPr>
        <w:spacing w:line="240" w:lineRule="auto" w:before="2"/>
        <w:rPr>
          <w:rFonts w:ascii="宋体" w:hAnsi="宋体" w:cs="宋体" w:eastAsia="宋体" w:hint="default"/>
          <w:b/>
          <w:bCs/>
          <w:sz w:val="7"/>
          <w:szCs w:val="7"/>
        </w:rPr>
      </w:pPr>
    </w:p>
    <w:tbl>
      <w:tblPr>
        <w:tblW w:w="0" w:type="auto"/>
        <w:jc w:val="left"/>
        <w:tblInd w:w="180" w:type="dxa"/>
        <w:tblLayout w:type="fixed"/>
        <w:tblCellMar>
          <w:top w:w="0" w:type="dxa"/>
          <w:left w:w="0" w:type="dxa"/>
          <w:bottom w:w="0" w:type="dxa"/>
          <w:right w:w="0" w:type="dxa"/>
        </w:tblCellMar>
        <w:tblLook w:val="01E0"/>
      </w:tblPr>
      <w:tblGrid>
        <w:gridCol w:w="1779"/>
        <w:gridCol w:w="1779"/>
        <w:gridCol w:w="1779"/>
        <w:gridCol w:w="1781"/>
        <w:gridCol w:w="1779"/>
      </w:tblGrid>
      <w:tr>
        <w:trPr>
          <w:trHeight w:val="30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公司股票简况</w:t>
            </w:r>
            <w:r>
              <w:rPr>
                <w:rFonts w:ascii="宋体" w:hAnsi="宋体" w:cs="宋体" w:eastAsia="宋体" w:hint="default"/>
                <w:sz w:val="21"/>
                <w:szCs w:val="21"/>
              </w:rPr>
              <w:t> </w:t>
            </w:r>
          </w:p>
        </w:tc>
      </w:tr>
      <w:tr>
        <w:trPr>
          <w:trHeight w:val="302"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股票种类</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
              <w:jc w:val="right"/>
              <w:rPr>
                <w:rFonts w:ascii="宋体" w:hAnsi="宋体" w:cs="宋体" w:eastAsia="宋体" w:hint="default"/>
                <w:sz w:val="21"/>
                <w:szCs w:val="21"/>
              </w:rPr>
            </w:pPr>
            <w:r>
              <w:rPr>
                <w:rFonts w:ascii="宋体" w:hAnsi="宋体" w:cs="宋体" w:eastAsia="宋体" w:hint="default"/>
                <w:spacing w:val="-2"/>
                <w:sz w:val="21"/>
                <w:szCs w:val="21"/>
              </w:rPr>
              <w:t>股票上市交易所</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8"/>
              <w:jc w:val="right"/>
              <w:rPr>
                <w:rFonts w:ascii="宋体" w:hAnsi="宋体" w:cs="宋体" w:eastAsia="宋体" w:hint="default"/>
                <w:sz w:val="21"/>
                <w:szCs w:val="21"/>
              </w:rPr>
            </w:pPr>
            <w:r>
              <w:rPr>
                <w:rFonts w:ascii="宋体" w:hAnsi="宋体" w:cs="宋体" w:eastAsia="宋体" w:hint="default"/>
                <w:spacing w:val="-2"/>
                <w:sz w:val="21"/>
                <w:szCs w:val="21"/>
              </w:rPr>
              <w:t>股票简称</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股票代码</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变更前股票简称</w:t>
            </w:r>
            <w:r>
              <w:rPr>
                <w:rFonts w:ascii="宋体" w:hAnsi="宋体" w:cs="宋体" w:eastAsia="宋体" w:hint="default"/>
                <w:sz w:val="21"/>
                <w:szCs w:val="21"/>
              </w:rPr>
              <w:t> </w:t>
            </w:r>
          </w:p>
        </w:tc>
      </w:tr>
      <w:tr>
        <w:trPr>
          <w:trHeight w:val="305"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
              <w:jc w:val="right"/>
              <w:rPr>
                <w:rFonts w:ascii="宋体" w:hAnsi="宋体" w:cs="宋体" w:eastAsia="宋体" w:hint="default"/>
                <w:sz w:val="21"/>
                <w:szCs w:val="21"/>
              </w:rPr>
            </w:pPr>
            <w:r>
              <w:rPr>
                <w:rFonts w:ascii="宋体" w:hAnsi="宋体" w:cs="宋体" w:eastAsia="宋体" w:hint="default"/>
                <w:spacing w:val="-2"/>
                <w:sz w:val="21"/>
                <w:szCs w:val="21"/>
              </w:rPr>
              <w:t>上海证券交易所</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8"/>
              <w:jc w:val="right"/>
              <w:rPr>
                <w:rFonts w:ascii="宋体" w:hAnsi="宋体" w:cs="宋体" w:eastAsia="宋体" w:hint="default"/>
                <w:sz w:val="21"/>
                <w:szCs w:val="21"/>
              </w:rPr>
            </w:pPr>
            <w:r>
              <w:rPr>
                <w:rFonts w:ascii="宋体" w:hAnsi="宋体" w:cs="宋体" w:eastAsia="宋体" w:hint="default"/>
                <w:spacing w:val="-2"/>
                <w:sz w:val="21"/>
                <w:szCs w:val="21"/>
              </w:rPr>
              <w:t>泰豪科技</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600590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pStyle w:val="Heading3"/>
        <w:spacing w:line="274" w:lineRule="exact"/>
        <w:ind w:right="0"/>
        <w:jc w:val="left"/>
        <w:rPr>
          <w:rFonts w:ascii="宋体" w:hAnsi="宋体" w:cs="宋体" w:eastAsia="宋体" w:hint="default"/>
        </w:rPr>
      </w:pPr>
      <w:r>
        <w:rPr>
          <w:rFonts w:ascii="宋体"/>
          <w:color w:val="006FC0"/>
        </w:rPr>
        <w:t> </w:t>
      </w:r>
      <w:r>
        <w:rPr>
          <w:rFonts w:ascii="宋体"/>
        </w:rPr>
      </w:r>
    </w:p>
    <w:p>
      <w:pPr>
        <w:pStyle w:val="Heading5"/>
        <w:spacing w:line="240" w:lineRule="auto" w:before="61"/>
        <w:ind w:right="0"/>
        <w:jc w:val="left"/>
        <w:rPr>
          <w:b w:val="0"/>
          <w:bCs w:val="0"/>
        </w:rPr>
      </w:pPr>
      <w:r>
        <w:rPr/>
        <w:t>六、</w:t>
      </w:r>
      <w:r>
        <w:rPr>
          <w:spacing w:val="39"/>
        </w:rPr>
        <w:t> </w:t>
      </w:r>
      <w:r>
        <w:rPr>
          <w:rFonts w:ascii="宋体" w:hAnsi="宋体" w:cs="宋体" w:eastAsia="宋体" w:hint="default"/>
          <w:spacing w:val="39"/>
        </w:rPr>
      </w:r>
      <w:r>
        <w:rPr/>
        <w:t>其他相关资料</w:t>
      </w:r>
      <w:r>
        <w:rPr>
          <w:b w:val="0"/>
          <w:bCs w:val="0"/>
        </w:rPr>
      </w:r>
    </w:p>
    <w:p>
      <w:pPr>
        <w:spacing w:line="240" w:lineRule="auto" w:before="1"/>
        <w:rPr>
          <w:rFonts w:ascii="宋体" w:hAnsi="宋体" w:cs="宋体" w:eastAsia="宋体" w:hint="default"/>
          <w:b/>
          <w:bCs/>
          <w:sz w:val="7"/>
          <w:szCs w:val="7"/>
        </w:rPr>
      </w:pPr>
    </w:p>
    <w:tbl>
      <w:tblPr>
        <w:tblW w:w="0" w:type="auto"/>
        <w:jc w:val="left"/>
        <w:tblInd w:w="103" w:type="dxa"/>
        <w:tblLayout w:type="fixed"/>
        <w:tblCellMar>
          <w:top w:w="0" w:type="dxa"/>
          <w:left w:w="0" w:type="dxa"/>
          <w:bottom w:w="0" w:type="dxa"/>
          <w:right w:w="0" w:type="dxa"/>
        </w:tblCellMar>
        <w:tblLook w:val="01E0"/>
      </w:tblPr>
      <w:tblGrid>
        <w:gridCol w:w="2180"/>
        <w:gridCol w:w="1889"/>
        <w:gridCol w:w="4981"/>
      </w:tblGrid>
      <w:tr>
        <w:trPr>
          <w:trHeight w:val="281" w:hRule="exact"/>
        </w:trPr>
        <w:tc>
          <w:tcPr>
            <w:tcW w:w="2180" w:type="dxa"/>
            <w:vMerge w:val="restart"/>
            <w:tcBorders>
              <w:top w:val="single" w:sz="4" w:space="0" w:color="000000"/>
              <w:left w:val="single" w:sz="4" w:space="0" w:color="000000"/>
              <w:right w:val="single" w:sz="4" w:space="0" w:color="000000"/>
            </w:tcBorders>
          </w:tcPr>
          <w:p>
            <w:pPr>
              <w:pStyle w:val="TableParagraph"/>
              <w:spacing w:line="272" w:lineRule="exact" w:before="140"/>
              <w:ind w:left="103" w:right="101"/>
              <w:jc w:val="left"/>
              <w:rPr>
                <w:rFonts w:ascii="宋体" w:hAnsi="宋体" w:cs="宋体" w:eastAsia="宋体" w:hint="default"/>
                <w:sz w:val="21"/>
                <w:szCs w:val="21"/>
              </w:rPr>
            </w:pPr>
            <w:r>
              <w:rPr>
                <w:rFonts w:ascii="宋体" w:hAnsi="宋体" w:cs="宋体" w:eastAsia="宋体" w:hint="default"/>
                <w:spacing w:val="5"/>
                <w:sz w:val="21"/>
                <w:szCs w:val="21"/>
              </w:rPr>
              <w:t>公司聘请的会计师事</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务所（境内）</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大信会计师事务所（特殊普通合伙）</w:t>
            </w:r>
            <w:r>
              <w:rPr>
                <w:rFonts w:ascii="宋体" w:hAnsi="宋体" w:cs="宋体" w:eastAsia="宋体" w:hint="default"/>
                <w:sz w:val="21"/>
                <w:szCs w:val="21"/>
              </w:rPr>
              <w:t> </w:t>
            </w:r>
          </w:p>
        </w:tc>
      </w:tr>
      <w:tr>
        <w:trPr>
          <w:trHeight w:val="283" w:hRule="exact"/>
        </w:trPr>
        <w:tc>
          <w:tcPr>
            <w:tcW w:w="2180" w:type="dxa"/>
            <w:vMerge/>
            <w:tcBorders>
              <w:left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北京市海淀区知春路</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号学院国际大厦</w:t>
            </w:r>
            <w:r>
              <w:rPr>
                <w:rFonts w:ascii="宋体" w:hAnsi="宋体" w:cs="宋体" w:eastAsia="宋体" w:hint="default"/>
                <w:spacing w:val="-53"/>
                <w:sz w:val="21"/>
                <w:szCs w:val="21"/>
              </w:rPr>
              <w:t> </w:t>
            </w:r>
            <w:r>
              <w:rPr>
                <w:rFonts w:ascii="宋体" w:hAnsi="宋体" w:cs="宋体" w:eastAsia="宋体" w:hint="default"/>
                <w:sz w:val="21"/>
                <w:szCs w:val="21"/>
              </w:rPr>
              <w:t>1504</w:t>
            </w:r>
            <w:r>
              <w:rPr>
                <w:rFonts w:ascii="宋体" w:hAnsi="宋体" w:cs="宋体" w:eastAsia="宋体" w:hint="default"/>
                <w:spacing w:val="-55"/>
                <w:sz w:val="21"/>
                <w:szCs w:val="21"/>
              </w:rPr>
              <w:t> </w:t>
            </w:r>
            <w:r>
              <w:rPr>
                <w:rFonts w:ascii="宋体" w:hAnsi="宋体" w:cs="宋体" w:eastAsia="宋体" w:hint="default"/>
                <w:spacing w:val="-3"/>
                <w:sz w:val="21"/>
                <w:szCs w:val="21"/>
              </w:rPr>
              <w:t>室</w:t>
            </w:r>
            <w:r>
              <w:rPr>
                <w:rFonts w:ascii="宋体" w:hAnsi="宋体" w:cs="宋体" w:eastAsia="宋体" w:hint="default"/>
                <w:sz w:val="21"/>
                <w:szCs w:val="21"/>
              </w:rPr>
              <w:t> </w:t>
            </w:r>
          </w:p>
        </w:tc>
      </w:tr>
      <w:tr>
        <w:trPr>
          <w:trHeight w:val="283" w:hRule="exact"/>
        </w:trPr>
        <w:tc>
          <w:tcPr>
            <w:tcW w:w="2180" w:type="dxa"/>
            <w:vMerge/>
            <w:tcBorders>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签字会计师姓名</w:t>
            </w:r>
            <w:r>
              <w:rPr>
                <w:rFonts w:ascii="宋体" w:hAnsi="宋体" w:cs="宋体" w:eastAsia="宋体" w:hint="default"/>
                <w:sz w:val="21"/>
                <w:szCs w:val="21"/>
              </w:rPr>
              <w:t> </w:t>
            </w:r>
          </w:p>
        </w:tc>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冯丽娟、汪鹏</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1910" w:h="16840"/>
          <w:pgMar w:header="880" w:footer="1195" w:top="1120" w:bottom="1380" w:left="1060" w:right="1560"/>
        </w:sectPr>
      </w:pPr>
    </w:p>
    <w:p>
      <w:pPr>
        <w:pStyle w:val="Heading3"/>
        <w:spacing w:line="274" w:lineRule="exact"/>
        <w:ind w:right="0"/>
        <w:jc w:val="left"/>
        <w:rPr>
          <w:rFonts w:ascii="宋体" w:hAnsi="宋体" w:cs="宋体" w:eastAsia="宋体" w:hint="default"/>
        </w:rPr>
      </w:pPr>
      <w:r>
        <w:rPr>
          <w:rFonts w:ascii="宋体"/>
        </w:rPr>
        <w:t> </w:t>
      </w:r>
    </w:p>
    <w:p>
      <w:pPr>
        <w:pStyle w:val="Heading5"/>
        <w:spacing w:line="240" w:lineRule="auto"/>
        <w:ind w:right="-16"/>
        <w:jc w:val="left"/>
        <w:rPr>
          <w:b w:val="0"/>
          <w:bCs w:val="0"/>
        </w:rPr>
      </w:pPr>
      <w:r>
        <w:rPr/>
        <w:t>七、</w:t>
      </w:r>
      <w:r>
        <w:rPr>
          <w:spacing w:val="-33"/>
        </w:rPr>
        <w:t> </w:t>
      </w:r>
      <w:r>
        <w:rPr>
          <w:rFonts w:ascii="宋体" w:hAnsi="宋体" w:cs="宋体" w:eastAsia="宋体" w:hint="default"/>
          <w:spacing w:val="-33"/>
        </w:rPr>
      </w:r>
      <w:r>
        <w:rPr/>
        <w:t>近三年主要会计数据和财务指标</w:t>
      </w:r>
      <w:r>
        <w:rPr>
          <w:b w:val="0"/>
          <w:bCs w:val="0"/>
        </w:rPr>
      </w:r>
    </w:p>
    <w:p>
      <w:pPr>
        <w:pStyle w:val="Heading5"/>
        <w:spacing w:line="240" w:lineRule="auto" w:before="56"/>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6"/>
          <w:szCs w:val="16"/>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667" w:space="2855"/>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46"/>
        <w:gridCol w:w="1851"/>
        <w:gridCol w:w="1760"/>
        <w:gridCol w:w="1810"/>
        <w:gridCol w:w="1784"/>
      </w:tblGrid>
      <w:tr>
        <w:trPr>
          <w:trHeight w:val="605"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88" w:right="0"/>
              <w:jc w:val="left"/>
              <w:rPr>
                <w:rFonts w:ascii="宋体" w:hAnsi="宋体" w:cs="宋体" w:eastAsia="宋体" w:hint="default"/>
                <w:sz w:val="21"/>
                <w:szCs w:val="21"/>
              </w:rPr>
            </w:pPr>
            <w:r>
              <w:rPr>
                <w:rFonts w:ascii="宋体" w:hAnsi="宋体" w:cs="宋体" w:eastAsia="宋体" w:hint="default"/>
                <w:sz w:val="21"/>
                <w:szCs w:val="21"/>
              </w:rPr>
              <w:t>主要会计数据</w:t>
            </w:r>
            <w:r>
              <w:rPr>
                <w:rFonts w:ascii="宋体" w:hAnsi="宋体" w:cs="宋体" w:eastAsia="宋体" w:hint="default"/>
                <w:sz w:val="21"/>
                <w:szCs w:val="21"/>
              </w:rPr>
              <w:t> </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604"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 </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59"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0"/>
              <w:ind w:left="532" w:right="161" w:hanging="370"/>
              <w:jc w:val="left"/>
              <w:rPr>
                <w:rFonts w:ascii="宋体" w:hAnsi="宋体" w:cs="宋体" w:eastAsia="宋体" w:hint="default"/>
                <w:sz w:val="21"/>
                <w:szCs w:val="21"/>
              </w:rPr>
            </w:pPr>
            <w:r>
              <w:rPr>
                <w:rFonts w:ascii="宋体" w:hAnsi="宋体" w:cs="宋体" w:eastAsia="宋体" w:hint="default"/>
                <w:sz w:val="21"/>
                <w:szCs w:val="21"/>
              </w:rPr>
              <w:t>本期比上年同期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增减</w:t>
            </w:r>
            <w:r>
              <w:rPr>
                <w:rFonts w:ascii="宋体" w:hAnsi="宋体" w:cs="宋体" w:eastAsia="宋体" w:hint="default"/>
                <w:sz w:val="21"/>
                <w:szCs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71"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 </w:t>
            </w:r>
          </w:p>
        </w:tc>
      </w:tr>
      <w:tr>
        <w:trPr>
          <w:trHeight w:val="295"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20"/>
                <w:szCs w:val="20"/>
              </w:rPr>
            </w:pPr>
            <w:r>
              <w:rPr>
                <w:rFonts w:ascii="Times New Roman"/>
                <w:spacing w:val="-1"/>
                <w:sz w:val="20"/>
              </w:rPr>
              <w:t>5,304,460,043.57</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20"/>
                <w:szCs w:val="20"/>
              </w:rPr>
            </w:pPr>
            <w:r>
              <w:rPr>
                <w:rFonts w:ascii="Times New Roman"/>
                <w:spacing w:val="-1"/>
                <w:sz w:val="20"/>
              </w:rPr>
              <w:t>6,127,385,118.49</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0"/>
                <w:szCs w:val="20"/>
              </w:rPr>
            </w:pPr>
            <w:r>
              <w:rPr>
                <w:rFonts w:ascii="Times New Roman"/>
                <w:w w:val="95"/>
                <w:sz w:val="20"/>
              </w:rPr>
              <w:t>-13.43</w:t>
            </w:r>
            <w:r>
              <w:rPr>
                <w:rFonts w:ascii="Times New Roman"/>
                <w:sz w:val="20"/>
              </w:rPr>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20"/>
                <w:szCs w:val="20"/>
              </w:rPr>
            </w:pPr>
            <w:r>
              <w:rPr>
                <w:rFonts w:ascii="Times New Roman"/>
                <w:spacing w:val="-1"/>
                <w:sz w:val="20"/>
              </w:rPr>
              <w:t>5,100,618,164.65</w:t>
            </w:r>
          </w:p>
        </w:tc>
      </w:tr>
      <w:tr>
        <w:trPr>
          <w:trHeight w:val="554"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w:t>
            </w:r>
            <w:r>
              <w:rPr>
                <w:rFonts w:ascii="宋体" w:hAnsi="宋体" w:cs="宋体" w:eastAsia="宋体" w:hint="default"/>
                <w:spacing w:val="-77"/>
                <w:sz w:val="21"/>
                <w:szCs w:val="21"/>
              </w:rPr>
              <w:t> </w:t>
            </w:r>
            <w:r>
              <w:rPr>
                <w:rFonts w:ascii="宋体" w:hAnsi="宋体" w:cs="宋体" w:eastAsia="宋体" w:hint="default"/>
                <w:sz w:val="21"/>
                <w:szCs w:val="21"/>
              </w:rPr>
              <w:t>属</w:t>
            </w:r>
            <w:r>
              <w:rPr>
                <w:rFonts w:ascii="宋体" w:hAnsi="宋体" w:cs="宋体" w:eastAsia="宋体" w:hint="default"/>
                <w:spacing w:val="-77"/>
                <w:sz w:val="21"/>
                <w:szCs w:val="21"/>
              </w:rPr>
              <w:t> </w:t>
            </w:r>
            <w:r>
              <w:rPr>
                <w:rFonts w:ascii="宋体" w:hAnsi="宋体" w:cs="宋体" w:eastAsia="宋体" w:hint="default"/>
                <w:spacing w:val="11"/>
                <w:sz w:val="21"/>
                <w:szCs w:val="21"/>
              </w:rPr>
              <w:t>于上</w:t>
            </w:r>
            <w:r>
              <w:rPr>
                <w:rFonts w:ascii="宋体" w:hAnsi="宋体" w:cs="宋体" w:eastAsia="宋体" w:hint="default"/>
                <w:spacing w:val="-77"/>
                <w:sz w:val="21"/>
                <w:szCs w:val="21"/>
              </w:rPr>
              <w:t> </w:t>
            </w:r>
            <w:r>
              <w:rPr>
                <w:rFonts w:ascii="宋体" w:hAnsi="宋体" w:cs="宋体" w:eastAsia="宋体" w:hint="default"/>
                <w:sz w:val="21"/>
                <w:szCs w:val="21"/>
              </w:rPr>
              <w:t>市</w:t>
            </w:r>
            <w:r>
              <w:rPr>
                <w:rFonts w:ascii="宋体" w:hAnsi="宋体" w:cs="宋体" w:eastAsia="宋体" w:hint="default"/>
                <w:spacing w:val="-77"/>
                <w:sz w:val="21"/>
                <w:szCs w:val="21"/>
              </w:rPr>
              <w:t> </w:t>
            </w:r>
            <w:r>
              <w:rPr>
                <w:rFonts w:ascii="宋体" w:hAnsi="宋体" w:cs="宋体" w:eastAsia="宋体" w:hint="default"/>
                <w:spacing w:val="11"/>
                <w:sz w:val="21"/>
                <w:szCs w:val="21"/>
              </w:rPr>
              <w:t>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股东的净利润</w:t>
            </w:r>
            <w:r>
              <w:rPr>
                <w:rFonts w:ascii="宋体" w:hAnsi="宋体" w:cs="宋体" w:eastAsia="宋体" w:hint="default"/>
                <w:sz w:val="21"/>
                <w:szCs w:val="21"/>
              </w:rPr>
              <w:t> </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w w:val="95"/>
                <w:sz w:val="20"/>
              </w:rPr>
              <w:t>144,049,459.21</w:t>
            </w:r>
            <w:r>
              <w:rPr>
                <w:rFonts w:ascii="Times New Roman"/>
                <w:sz w:val="20"/>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w w:val="95"/>
                <w:sz w:val="20"/>
              </w:rPr>
              <w:t>262,178,814.19</w:t>
            </w:r>
            <w:r>
              <w:rPr>
                <w:rFonts w:ascii="Times New Roman"/>
                <w:sz w:val="20"/>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20"/>
                <w:szCs w:val="20"/>
              </w:rPr>
            </w:pPr>
            <w:r>
              <w:rPr>
                <w:rFonts w:ascii="Times New Roman"/>
                <w:w w:val="95"/>
                <w:sz w:val="20"/>
              </w:rPr>
              <w:t>-45.06</w:t>
            </w:r>
            <w:r>
              <w:rPr>
                <w:rFonts w:ascii="Times New Roman"/>
                <w:sz w:val="20"/>
              </w:rPr>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w w:val="95"/>
                <w:sz w:val="20"/>
              </w:rPr>
              <w:t>251,934,744.63</w:t>
            </w:r>
            <w:r>
              <w:rPr>
                <w:rFonts w:ascii="Times New Roman"/>
                <w:sz w:val="20"/>
              </w:rPr>
            </w:r>
          </w:p>
        </w:tc>
      </w:tr>
      <w:tr>
        <w:trPr>
          <w:trHeight w:val="110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归</w:t>
            </w:r>
            <w:r>
              <w:rPr>
                <w:rFonts w:ascii="宋体" w:hAnsi="宋体" w:cs="宋体" w:eastAsia="宋体" w:hint="default"/>
                <w:spacing w:val="-77"/>
                <w:sz w:val="21"/>
                <w:szCs w:val="21"/>
              </w:rPr>
              <w:t> </w:t>
            </w:r>
            <w:r>
              <w:rPr>
                <w:rFonts w:ascii="宋体" w:hAnsi="宋体" w:cs="宋体" w:eastAsia="宋体" w:hint="default"/>
                <w:sz w:val="21"/>
                <w:szCs w:val="21"/>
              </w:rPr>
              <w:t>属</w:t>
            </w:r>
            <w:r>
              <w:rPr>
                <w:rFonts w:ascii="宋体" w:hAnsi="宋体" w:cs="宋体" w:eastAsia="宋体" w:hint="default"/>
                <w:spacing w:val="-77"/>
                <w:sz w:val="21"/>
                <w:szCs w:val="21"/>
              </w:rPr>
              <w:t> </w:t>
            </w:r>
            <w:r>
              <w:rPr>
                <w:rFonts w:ascii="宋体" w:hAnsi="宋体" w:cs="宋体" w:eastAsia="宋体" w:hint="default"/>
                <w:spacing w:val="11"/>
                <w:sz w:val="21"/>
                <w:szCs w:val="21"/>
              </w:rPr>
              <w:t>于上</w:t>
            </w:r>
            <w:r>
              <w:rPr>
                <w:rFonts w:ascii="宋体" w:hAnsi="宋体" w:cs="宋体" w:eastAsia="宋体" w:hint="default"/>
                <w:spacing w:val="-77"/>
                <w:sz w:val="21"/>
                <w:szCs w:val="21"/>
              </w:rPr>
              <w:t> </w:t>
            </w:r>
            <w:r>
              <w:rPr>
                <w:rFonts w:ascii="宋体" w:hAnsi="宋体" w:cs="宋体" w:eastAsia="宋体" w:hint="default"/>
                <w:sz w:val="21"/>
                <w:szCs w:val="21"/>
              </w:rPr>
              <w:t>市</w:t>
            </w:r>
            <w:r>
              <w:rPr>
                <w:rFonts w:ascii="宋体" w:hAnsi="宋体" w:cs="宋体" w:eastAsia="宋体" w:hint="default"/>
                <w:spacing w:val="-77"/>
                <w:sz w:val="21"/>
                <w:szCs w:val="21"/>
              </w:rPr>
              <w:t> </w:t>
            </w:r>
            <w:r>
              <w:rPr>
                <w:rFonts w:ascii="宋体" w:hAnsi="宋体" w:cs="宋体" w:eastAsia="宋体" w:hint="default"/>
                <w:spacing w:val="11"/>
                <w:sz w:val="21"/>
                <w:szCs w:val="21"/>
              </w:rPr>
              <w:t>公司</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77"/>
                <w:sz w:val="21"/>
                <w:szCs w:val="21"/>
              </w:rPr>
              <w:t> </w:t>
            </w:r>
            <w:r>
              <w:rPr>
                <w:rFonts w:ascii="宋体" w:hAnsi="宋体" w:cs="宋体" w:eastAsia="宋体" w:hint="default"/>
                <w:sz w:val="21"/>
                <w:szCs w:val="21"/>
              </w:rPr>
              <w:t>东</w:t>
            </w:r>
            <w:r>
              <w:rPr>
                <w:rFonts w:ascii="宋体" w:hAnsi="宋体" w:cs="宋体" w:eastAsia="宋体" w:hint="default"/>
                <w:spacing w:val="-77"/>
                <w:sz w:val="21"/>
                <w:szCs w:val="21"/>
              </w:rPr>
              <w:t> </w:t>
            </w:r>
            <w:r>
              <w:rPr>
                <w:rFonts w:ascii="宋体" w:hAnsi="宋体" w:cs="宋体" w:eastAsia="宋体" w:hint="default"/>
                <w:spacing w:val="11"/>
                <w:sz w:val="21"/>
                <w:szCs w:val="21"/>
              </w:rPr>
              <w:t>的扣</w:t>
            </w:r>
            <w:r>
              <w:rPr>
                <w:rFonts w:ascii="宋体" w:hAnsi="宋体" w:cs="宋体" w:eastAsia="宋体" w:hint="default"/>
                <w:spacing w:val="-77"/>
                <w:sz w:val="21"/>
                <w:szCs w:val="21"/>
              </w:rPr>
              <w:t> </w:t>
            </w:r>
            <w:r>
              <w:rPr>
                <w:rFonts w:ascii="宋体" w:hAnsi="宋体" w:cs="宋体" w:eastAsia="宋体" w:hint="default"/>
                <w:sz w:val="21"/>
                <w:szCs w:val="21"/>
              </w:rPr>
              <w:t>除</w:t>
            </w:r>
            <w:r>
              <w:rPr>
                <w:rFonts w:ascii="宋体" w:hAnsi="宋体" w:cs="宋体" w:eastAsia="宋体" w:hint="default"/>
                <w:spacing w:val="-77"/>
                <w:sz w:val="21"/>
                <w:szCs w:val="21"/>
              </w:rPr>
              <w:t> </w:t>
            </w:r>
            <w:r>
              <w:rPr>
                <w:rFonts w:ascii="宋体" w:hAnsi="宋体" w:cs="宋体" w:eastAsia="宋体" w:hint="default"/>
                <w:spacing w:val="11"/>
                <w:sz w:val="21"/>
                <w:szCs w:val="21"/>
              </w:rPr>
              <w:t>非经</w:t>
            </w:r>
            <w:r>
              <w:rPr>
                <w:rFonts w:ascii="宋体" w:hAnsi="宋体" w:cs="宋体" w:eastAsia="宋体" w:hint="default"/>
                <w:w w:val="100"/>
                <w:sz w:val="21"/>
                <w:szCs w:val="21"/>
              </w:rPr>
              <w:t> </w:t>
            </w:r>
            <w:r>
              <w:rPr>
                <w:rFonts w:ascii="宋体" w:hAnsi="宋体" w:cs="宋体" w:eastAsia="宋体" w:hint="default"/>
                <w:sz w:val="21"/>
                <w:szCs w:val="21"/>
              </w:rPr>
              <w:t>常</w:t>
            </w:r>
            <w:r>
              <w:rPr>
                <w:rFonts w:ascii="宋体" w:hAnsi="宋体" w:cs="宋体" w:eastAsia="宋体" w:hint="default"/>
                <w:spacing w:val="-77"/>
                <w:sz w:val="21"/>
                <w:szCs w:val="21"/>
              </w:rPr>
              <w:t> </w:t>
            </w:r>
            <w:r>
              <w:rPr>
                <w:rFonts w:ascii="宋体" w:hAnsi="宋体" w:cs="宋体" w:eastAsia="宋体" w:hint="default"/>
                <w:sz w:val="21"/>
                <w:szCs w:val="21"/>
              </w:rPr>
              <w:t>性</w:t>
            </w:r>
            <w:r>
              <w:rPr>
                <w:rFonts w:ascii="宋体" w:hAnsi="宋体" w:cs="宋体" w:eastAsia="宋体" w:hint="default"/>
                <w:spacing w:val="-77"/>
                <w:sz w:val="21"/>
                <w:szCs w:val="21"/>
              </w:rPr>
              <w:t> </w:t>
            </w:r>
            <w:r>
              <w:rPr>
                <w:rFonts w:ascii="宋体" w:hAnsi="宋体" w:cs="宋体" w:eastAsia="宋体" w:hint="default"/>
                <w:spacing w:val="11"/>
                <w:sz w:val="21"/>
                <w:szCs w:val="21"/>
              </w:rPr>
              <w:t>损益</w:t>
            </w:r>
            <w:r>
              <w:rPr>
                <w:rFonts w:ascii="宋体" w:hAnsi="宋体" w:cs="宋体" w:eastAsia="宋体" w:hint="default"/>
                <w:spacing w:val="-77"/>
                <w:sz w:val="21"/>
                <w:szCs w:val="21"/>
              </w:rPr>
              <w:t> </w:t>
            </w:r>
            <w:r>
              <w:rPr>
                <w:rFonts w:ascii="宋体" w:hAnsi="宋体" w:cs="宋体" w:eastAsia="宋体" w:hint="default"/>
                <w:sz w:val="21"/>
                <w:szCs w:val="21"/>
              </w:rPr>
              <w:t>的</w:t>
            </w:r>
            <w:r>
              <w:rPr>
                <w:rFonts w:ascii="宋体" w:hAnsi="宋体" w:cs="宋体" w:eastAsia="宋体" w:hint="default"/>
                <w:spacing w:val="-77"/>
                <w:sz w:val="21"/>
                <w:szCs w:val="21"/>
              </w:rPr>
              <w:t> </w:t>
            </w:r>
            <w:r>
              <w:rPr>
                <w:rFonts w:ascii="宋体" w:hAnsi="宋体" w:cs="宋体" w:eastAsia="宋体" w:hint="default"/>
                <w:spacing w:val="11"/>
                <w:sz w:val="21"/>
                <w:szCs w:val="21"/>
              </w:rPr>
              <w:t>净利</w:t>
            </w:r>
            <w:r>
              <w:rPr>
                <w:rFonts w:ascii="宋体" w:hAnsi="宋体" w:cs="宋体" w:eastAsia="宋体" w:hint="default"/>
                <w:w w:val="100"/>
                <w:sz w:val="21"/>
                <w:szCs w:val="21"/>
              </w:rPr>
              <w:t> </w:t>
            </w:r>
            <w:r>
              <w:rPr>
                <w:rFonts w:ascii="宋体" w:hAnsi="宋体" w:cs="宋体" w:eastAsia="宋体" w:hint="default"/>
                <w:sz w:val="21"/>
                <w:szCs w:val="21"/>
              </w:rPr>
              <w:t>润</w:t>
            </w:r>
            <w:r>
              <w:rPr>
                <w:rFonts w:ascii="宋体" w:hAnsi="宋体" w:cs="宋体" w:eastAsia="宋体" w:hint="default"/>
                <w:sz w:val="21"/>
                <w:szCs w:val="21"/>
              </w:rPr>
              <w:t> </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3"/>
              <w:ind w:right="102"/>
              <w:jc w:val="right"/>
              <w:rPr>
                <w:rFonts w:ascii="Times New Roman" w:hAnsi="Times New Roman" w:cs="Times New Roman" w:eastAsia="Times New Roman" w:hint="default"/>
                <w:sz w:val="20"/>
                <w:szCs w:val="20"/>
              </w:rPr>
            </w:pPr>
            <w:r>
              <w:rPr>
                <w:rFonts w:ascii="Times New Roman"/>
                <w:w w:val="95"/>
                <w:sz w:val="20"/>
              </w:rPr>
              <w:t>80,814,795.27</w:t>
            </w:r>
            <w:r>
              <w:rPr>
                <w:rFonts w:ascii="Times New Roman"/>
                <w:sz w:val="20"/>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3"/>
              <w:ind w:right="102"/>
              <w:jc w:val="right"/>
              <w:rPr>
                <w:rFonts w:ascii="Times New Roman" w:hAnsi="Times New Roman" w:cs="Times New Roman" w:eastAsia="Times New Roman" w:hint="default"/>
                <w:sz w:val="20"/>
                <w:szCs w:val="20"/>
              </w:rPr>
            </w:pPr>
            <w:r>
              <w:rPr>
                <w:rFonts w:ascii="Times New Roman"/>
                <w:w w:val="95"/>
                <w:sz w:val="20"/>
              </w:rPr>
              <w:t>239,472,747.82</w:t>
            </w:r>
            <w:r>
              <w:rPr>
                <w:rFonts w:ascii="Times New Roman"/>
                <w:sz w:val="20"/>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3"/>
              <w:ind w:right="100"/>
              <w:jc w:val="right"/>
              <w:rPr>
                <w:rFonts w:ascii="Times New Roman" w:hAnsi="Times New Roman" w:cs="Times New Roman" w:eastAsia="Times New Roman" w:hint="default"/>
                <w:sz w:val="20"/>
                <w:szCs w:val="20"/>
              </w:rPr>
            </w:pPr>
            <w:r>
              <w:rPr>
                <w:rFonts w:ascii="Times New Roman"/>
                <w:w w:val="95"/>
                <w:sz w:val="20"/>
              </w:rPr>
              <w:t>-66.25</w:t>
            </w:r>
            <w:r>
              <w:rPr>
                <w:rFonts w:ascii="Times New Roman"/>
                <w:sz w:val="20"/>
              </w:rPr>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3"/>
              <w:ind w:right="102"/>
              <w:jc w:val="right"/>
              <w:rPr>
                <w:rFonts w:ascii="Times New Roman" w:hAnsi="Times New Roman" w:cs="Times New Roman" w:eastAsia="Times New Roman" w:hint="default"/>
                <w:sz w:val="20"/>
                <w:szCs w:val="20"/>
              </w:rPr>
            </w:pPr>
            <w:r>
              <w:rPr>
                <w:rFonts w:ascii="Times New Roman"/>
                <w:w w:val="95"/>
                <w:sz w:val="20"/>
              </w:rPr>
              <w:t>151,376,547.79</w:t>
            </w:r>
            <w:r>
              <w:rPr>
                <w:rFonts w:ascii="Times New Roman"/>
                <w:sz w:val="20"/>
              </w:rPr>
            </w:r>
          </w:p>
        </w:tc>
      </w:tr>
      <w:tr>
        <w:trPr>
          <w:trHeight w:val="554"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77"/>
                <w:sz w:val="21"/>
                <w:szCs w:val="21"/>
              </w:rPr>
              <w:t> </w:t>
            </w:r>
            <w:r>
              <w:rPr>
                <w:rFonts w:ascii="宋体" w:hAnsi="宋体" w:cs="宋体" w:eastAsia="宋体" w:hint="default"/>
                <w:sz w:val="21"/>
                <w:szCs w:val="21"/>
              </w:rPr>
              <w:t>营</w:t>
            </w:r>
            <w:r>
              <w:rPr>
                <w:rFonts w:ascii="宋体" w:hAnsi="宋体" w:cs="宋体" w:eastAsia="宋体" w:hint="default"/>
                <w:spacing w:val="-77"/>
                <w:sz w:val="21"/>
                <w:szCs w:val="21"/>
              </w:rPr>
              <w:t> </w:t>
            </w:r>
            <w:r>
              <w:rPr>
                <w:rFonts w:ascii="宋体" w:hAnsi="宋体" w:cs="宋体" w:eastAsia="宋体" w:hint="default"/>
                <w:spacing w:val="11"/>
                <w:sz w:val="21"/>
                <w:szCs w:val="21"/>
              </w:rPr>
              <w:t>活动</w:t>
            </w:r>
            <w:r>
              <w:rPr>
                <w:rFonts w:ascii="宋体" w:hAnsi="宋体" w:cs="宋体" w:eastAsia="宋体" w:hint="default"/>
                <w:spacing w:val="-77"/>
                <w:sz w:val="21"/>
                <w:szCs w:val="21"/>
              </w:rPr>
              <w:t> </w:t>
            </w:r>
            <w:r>
              <w:rPr>
                <w:rFonts w:ascii="宋体" w:hAnsi="宋体" w:cs="宋体" w:eastAsia="宋体" w:hint="default"/>
                <w:sz w:val="21"/>
                <w:szCs w:val="21"/>
              </w:rPr>
              <w:t>产</w:t>
            </w:r>
            <w:r>
              <w:rPr>
                <w:rFonts w:ascii="宋体" w:hAnsi="宋体" w:cs="宋体" w:eastAsia="宋体" w:hint="default"/>
                <w:spacing w:val="-77"/>
                <w:sz w:val="21"/>
                <w:szCs w:val="21"/>
              </w:rPr>
              <w:t> </w:t>
            </w:r>
            <w:r>
              <w:rPr>
                <w:rFonts w:ascii="宋体" w:hAnsi="宋体" w:cs="宋体" w:eastAsia="宋体" w:hint="default"/>
                <w:spacing w:val="11"/>
                <w:sz w:val="21"/>
                <w:szCs w:val="21"/>
              </w:rPr>
              <w:t>生的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现金流量净额</w:t>
            </w:r>
            <w:r>
              <w:rPr>
                <w:rFonts w:ascii="宋体" w:hAnsi="宋体" w:cs="宋体" w:eastAsia="宋体" w:hint="default"/>
                <w:sz w:val="21"/>
                <w:szCs w:val="21"/>
              </w:rPr>
              <w:t> </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Times New Roman" w:hAnsi="Times New Roman" w:cs="Times New Roman" w:eastAsia="Times New Roman" w:hint="default"/>
                <w:sz w:val="20"/>
                <w:szCs w:val="20"/>
              </w:rPr>
            </w:pPr>
            <w:r>
              <w:rPr>
                <w:rFonts w:ascii="Times New Roman"/>
                <w:w w:val="95"/>
                <w:sz w:val="20"/>
              </w:rPr>
              <w:t>412,007,652.78</w:t>
            </w:r>
            <w:r>
              <w:rPr>
                <w:rFonts w:ascii="Times New Roman"/>
                <w:sz w:val="20"/>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Times New Roman" w:hAnsi="Times New Roman" w:cs="Times New Roman" w:eastAsia="Times New Roman" w:hint="default"/>
                <w:sz w:val="20"/>
                <w:szCs w:val="20"/>
              </w:rPr>
            </w:pPr>
            <w:r>
              <w:rPr>
                <w:rFonts w:ascii="Times New Roman"/>
                <w:w w:val="95"/>
                <w:sz w:val="20"/>
              </w:rPr>
              <w:t>16,182,835.15</w:t>
            </w:r>
            <w:r>
              <w:rPr>
                <w:rFonts w:ascii="Times New Roman"/>
                <w:sz w:val="20"/>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0"/>
                <w:szCs w:val="20"/>
              </w:rPr>
            </w:pPr>
            <w:r>
              <w:rPr>
                <w:rFonts w:ascii="Times New Roman"/>
                <w:w w:val="95"/>
                <w:sz w:val="20"/>
              </w:rPr>
              <w:t>2,445.95</w:t>
            </w:r>
            <w:r>
              <w:rPr>
                <w:rFonts w:ascii="Times New Roman"/>
                <w:sz w:val="20"/>
              </w:rPr>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Times New Roman" w:hAnsi="Times New Roman" w:cs="Times New Roman" w:eastAsia="Times New Roman" w:hint="default"/>
                <w:sz w:val="20"/>
                <w:szCs w:val="20"/>
              </w:rPr>
            </w:pPr>
            <w:r>
              <w:rPr>
                <w:rFonts w:ascii="Times New Roman"/>
                <w:w w:val="95"/>
                <w:sz w:val="20"/>
              </w:rPr>
              <w:t>-363,571,454.29</w:t>
            </w:r>
            <w:r>
              <w:rPr>
                <w:rFonts w:ascii="Times New Roman"/>
                <w:sz w:val="20"/>
              </w:rPr>
            </w:r>
          </w:p>
        </w:tc>
      </w:tr>
      <w:tr>
        <w:trPr>
          <w:trHeight w:val="555"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w w:val="100"/>
                <w:sz w:val="21"/>
              </w:rPr>
              <w:t> </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99"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年末</w:t>
            </w:r>
            <w:r>
              <w:rPr>
                <w:rFonts w:ascii="宋体" w:hAnsi="宋体" w:cs="宋体" w:eastAsia="宋体" w:hint="default"/>
                <w:sz w:val="21"/>
                <w:szCs w:val="21"/>
              </w:rPr>
              <w:t> </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5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年末</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6" w:right="0" w:hanging="53"/>
              <w:jc w:val="left"/>
              <w:rPr>
                <w:rFonts w:ascii="宋体" w:hAnsi="宋体" w:cs="宋体" w:eastAsia="宋体" w:hint="default"/>
                <w:sz w:val="21"/>
                <w:szCs w:val="21"/>
              </w:rPr>
            </w:pPr>
            <w:r>
              <w:rPr>
                <w:rFonts w:ascii="宋体" w:hAnsi="宋体" w:cs="宋体" w:eastAsia="宋体" w:hint="default"/>
                <w:sz w:val="21"/>
                <w:szCs w:val="21"/>
              </w:rPr>
              <w:t>本期末比上年同</w:t>
            </w:r>
          </w:p>
          <w:p>
            <w:pPr>
              <w:pStyle w:val="TableParagraph"/>
              <w:spacing w:line="273" w:lineRule="exact"/>
              <w:ind w:left="216" w:right="0"/>
              <w:jc w:val="left"/>
              <w:rPr>
                <w:rFonts w:ascii="宋体" w:hAnsi="宋体" w:cs="宋体" w:eastAsia="宋体" w:hint="default"/>
                <w:sz w:val="21"/>
                <w:szCs w:val="21"/>
              </w:rPr>
            </w:pPr>
            <w:r>
              <w:rPr>
                <w:rFonts w:ascii="宋体" w:hAnsi="宋体" w:cs="宋体" w:eastAsia="宋体" w:hint="default"/>
                <w:sz w:val="21"/>
                <w:szCs w:val="21"/>
              </w:rPr>
              <w:t>期末增减（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6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r>
              <w:rPr>
                <w:rFonts w:ascii="宋体" w:hAnsi="宋体" w:cs="宋体" w:eastAsia="宋体" w:hint="default"/>
                <w:sz w:val="21"/>
                <w:szCs w:val="21"/>
              </w:rPr>
              <w:t> </w:t>
            </w:r>
          </w:p>
        </w:tc>
      </w:tr>
      <w:tr>
        <w:trPr>
          <w:trHeight w:val="554"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w:t>
            </w:r>
            <w:r>
              <w:rPr>
                <w:rFonts w:ascii="宋体" w:hAnsi="宋体" w:cs="宋体" w:eastAsia="宋体" w:hint="default"/>
                <w:spacing w:val="-77"/>
                <w:sz w:val="21"/>
                <w:szCs w:val="21"/>
              </w:rPr>
              <w:t> </w:t>
            </w:r>
            <w:r>
              <w:rPr>
                <w:rFonts w:ascii="宋体" w:hAnsi="宋体" w:cs="宋体" w:eastAsia="宋体" w:hint="default"/>
                <w:sz w:val="21"/>
                <w:szCs w:val="21"/>
              </w:rPr>
              <w:t>属</w:t>
            </w:r>
            <w:r>
              <w:rPr>
                <w:rFonts w:ascii="宋体" w:hAnsi="宋体" w:cs="宋体" w:eastAsia="宋体" w:hint="default"/>
                <w:spacing w:val="-77"/>
                <w:sz w:val="21"/>
                <w:szCs w:val="21"/>
              </w:rPr>
              <w:t> </w:t>
            </w:r>
            <w:r>
              <w:rPr>
                <w:rFonts w:ascii="宋体" w:hAnsi="宋体" w:cs="宋体" w:eastAsia="宋体" w:hint="default"/>
                <w:spacing w:val="11"/>
                <w:sz w:val="21"/>
                <w:szCs w:val="21"/>
              </w:rPr>
              <w:t>于上</w:t>
            </w:r>
            <w:r>
              <w:rPr>
                <w:rFonts w:ascii="宋体" w:hAnsi="宋体" w:cs="宋体" w:eastAsia="宋体" w:hint="default"/>
                <w:spacing w:val="-77"/>
                <w:sz w:val="21"/>
                <w:szCs w:val="21"/>
              </w:rPr>
              <w:t> </w:t>
            </w:r>
            <w:r>
              <w:rPr>
                <w:rFonts w:ascii="宋体" w:hAnsi="宋体" w:cs="宋体" w:eastAsia="宋体" w:hint="default"/>
                <w:sz w:val="21"/>
                <w:szCs w:val="21"/>
              </w:rPr>
              <w:t>市</w:t>
            </w:r>
            <w:r>
              <w:rPr>
                <w:rFonts w:ascii="宋体" w:hAnsi="宋体" w:cs="宋体" w:eastAsia="宋体" w:hint="default"/>
                <w:spacing w:val="-77"/>
                <w:sz w:val="21"/>
                <w:szCs w:val="21"/>
              </w:rPr>
              <w:t> </w:t>
            </w:r>
            <w:r>
              <w:rPr>
                <w:rFonts w:ascii="宋体" w:hAnsi="宋体" w:cs="宋体" w:eastAsia="宋体" w:hint="default"/>
                <w:spacing w:val="11"/>
                <w:sz w:val="21"/>
                <w:szCs w:val="21"/>
              </w:rPr>
              <w:t>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股东的净资产</w:t>
            </w:r>
            <w:r>
              <w:rPr>
                <w:rFonts w:ascii="宋体" w:hAnsi="宋体" w:cs="宋体" w:eastAsia="宋体" w:hint="default"/>
                <w:sz w:val="21"/>
                <w:szCs w:val="21"/>
              </w:rPr>
              <w:t> </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spacing w:val="-1"/>
                <w:sz w:val="20"/>
              </w:rPr>
              <w:t>3,984,294,931.14</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spacing w:val="-1"/>
                <w:sz w:val="20"/>
              </w:rPr>
              <w:t>4,008,162,271.13</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20"/>
                <w:szCs w:val="20"/>
              </w:rPr>
            </w:pPr>
            <w:r>
              <w:rPr>
                <w:rFonts w:ascii="Times New Roman"/>
                <w:w w:val="95"/>
                <w:sz w:val="20"/>
              </w:rPr>
              <w:t>-0.60</w:t>
            </w:r>
            <w:r>
              <w:rPr>
                <w:rFonts w:ascii="Times New Roman"/>
                <w:sz w:val="20"/>
              </w:rPr>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spacing w:val="-1"/>
                <w:sz w:val="20"/>
              </w:rPr>
              <w:t>3,730,376,086.18</w:t>
            </w:r>
          </w:p>
        </w:tc>
      </w:tr>
      <w:tr>
        <w:trPr>
          <w:trHeight w:val="295"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r>
              <w:rPr>
                <w:rFonts w:ascii="宋体" w:hAnsi="宋体" w:cs="宋体" w:eastAsia="宋体" w:hint="default"/>
                <w:sz w:val="21"/>
                <w:szCs w:val="21"/>
              </w:rPr>
              <w:t> </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Times New Roman" w:hAnsi="Times New Roman" w:cs="Times New Roman" w:eastAsia="Times New Roman" w:hint="default"/>
                <w:sz w:val="20"/>
                <w:szCs w:val="20"/>
              </w:rPr>
            </w:pPr>
            <w:r>
              <w:rPr>
                <w:rFonts w:ascii="Times New Roman"/>
                <w:w w:val="95"/>
                <w:sz w:val="20"/>
              </w:rPr>
              <w:t>12,799,696,533.17</w:t>
            </w:r>
            <w:r>
              <w:rPr>
                <w:rFonts w:ascii="Times New Roman"/>
                <w:sz w:val="20"/>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20"/>
                <w:szCs w:val="20"/>
              </w:rPr>
            </w:pPr>
            <w:r>
              <w:rPr>
                <w:rFonts w:ascii="Times New Roman"/>
                <w:w w:val="95"/>
                <w:sz w:val="20"/>
              </w:rPr>
              <w:t>13,145,932,736.74</w:t>
            </w:r>
            <w:r>
              <w:rPr>
                <w:rFonts w:ascii="Times New Roman"/>
                <w:sz w:val="20"/>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Times New Roman" w:hAnsi="Times New Roman" w:cs="Times New Roman" w:eastAsia="Times New Roman" w:hint="default"/>
                <w:sz w:val="20"/>
                <w:szCs w:val="20"/>
              </w:rPr>
            </w:pPr>
            <w:r>
              <w:rPr>
                <w:rFonts w:ascii="Times New Roman"/>
                <w:w w:val="95"/>
                <w:sz w:val="20"/>
              </w:rPr>
              <w:t>-2.63</w:t>
            </w:r>
            <w:r>
              <w:rPr>
                <w:rFonts w:ascii="Times New Roman"/>
                <w:sz w:val="20"/>
              </w:rPr>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Times New Roman" w:hAnsi="Times New Roman" w:cs="Times New Roman" w:eastAsia="Times New Roman" w:hint="default"/>
                <w:sz w:val="20"/>
                <w:szCs w:val="20"/>
              </w:rPr>
            </w:pPr>
            <w:r>
              <w:rPr>
                <w:rFonts w:ascii="Times New Roman"/>
                <w:w w:val="95"/>
                <w:sz w:val="20"/>
              </w:rPr>
              <w:t>10,513,954,247.14</w:t>
            </w:r>
            <w:r>
              <w:rPr>
                <w:rFonts w:ascii="Times New Roman"/>
                <w:sz w:val="20"/>
              </w:rPr>
            </w:r>
          </w:p>
        </w:tc>
      </w:tr>
      <w:tr>
        <w:trPr>
          <w:trHeight w:val="295"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期末总股本</w:t>
            </w:r>
            <w:r>
              <w:rPr>
                <w:rFonts w:ascii="宋体" w:hAnsi="宋体" w:cs="宋体" w:eastAsia="宋体" w:hint="default"/>
                <w:sz w:val="21"/>
                <w:szCs w:val="21"/>
              </w:rPr>
              <w:t> </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20"/>
                <w:szCs w:val="20"/>
              </w:rPr>
            </w:pPr>
            <w:r>
              <w:rPr>
                <w:rFonts w:ascii="Times New Roman"/>
                <w:w w:val="95"/>
                <w:sz w:val="20"/>
              </w:rPr>
              <w:t>866,298,784.00</w:t>
            </w:r>
            <w:r>
              <w:rPr>
                <w:rFonts w:ascii="Times New Roman"/>
                <w:sz w:val="20"/>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20"/>
                <w:szCs w:val="20"/>
              </w:rPr>
            </w:pPr>
            <w:r>
              <w:rPr>
                <w:rFonts w:ascii="Times New Roman"/>
                <w:w w:val="95"/>
                <w:sz w:val="20"/>
              </w:rPr>
              <w:t>866,298,784.00</w:t>
            </w:r>
            <w:r>
              <w:rPr>
                <w:rFonts w:ascii="Times New Roman"/>
                <w:sz w:val="20"/>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9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20"/>
                <w:szCs w:val="20"/>
              </w:rPr>
            </w:pPr>
            <w:r>
              <w:rPr>
                <w:rFonts w:ascii="Times New Roman"/>
                <w:w w:val="95"/>
                <w:sz w:val="20"/>
              </w:rPr>
              <w:t>666,960,584.00</w:t>
            </w:r>
            <w:r>
              <w:rPr>
                <w:rFonts w:ascii="Times New Roman"/>
                <w:sz w:val="20"/>
              </w:rPr>
            </w:r>
          </w:p>
        </w:tc>
      </w:tr>
    </w:tbl>
    <w:p>
      <w:pPr>
        <w:spacing w:line="240" w:lineRule="auto" w:before="10"/>
        <w:rPr>
          <w:rFonts w:ascii="宋体" w:hAnsi="宋体" w:cs="宋体" w:eastAsia="宋体" w:hint="default"/>
          <w:sz w:val="17"/>
          <w:szCs w:val="17"/>
        </w:rPr>
      </w:pPr>
    </w:p>
    <w:p>
      <w:pPr>
        <w:pStyle w:val="Heading5"/>
        <w:tabs>
          <w:tab w:pos="1057" w:val="left" w:leader="none"/>
        </w:tabs>
        <w:spacing w:line="240" w:lineRule="auto" w:before="36"/>
        <w:ind w:right="0"/>
        <w:jc w:val="left"/>
        <w:rPr>
          <w:rFonts w:ascii="宋体" w:hAnsi="宋体" w:cs="宋体" w:eastAsia="宋体" w:hint="default"/>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6"/>
          <w:szCs w:val="6"/>
        </w:rPr>
      </w:pPr>
    </w:p>
    <w:tbl>
      <w:tblPr>
        <w:tblW w:w="0" w:type="auto"/>
        <w:jc w:val="left"/>
        <w:tblInd w:w="103" w:type="dxa"/>
        <w:tblLayout w:type="fixed"/>
        <w:tblCellMar>
          <w:top w:w="0" w:type="dxa"/>
          <w:left w:w="0" w:type="dxa"/>
          <w:bottom w:w="0" w:type="dxa"/>
          <w:right w:w="0" w:type="dxa"/>
        </w:tblCellMar>
        <w:tblLook w:val="01E0"/>
      </w:tblPr>
      <w:tblGrid>
        <w:gridCol w:w="3339"/>
        <w:gridCol w:w="874"/>
        <w:gridCol w:w="1015"/>
        <w:gridCol w:w="2621"/>
        <w:gridCol w:w="1201"/>
      </w:tblGrid>
      <w:tr>
        <w:trPr>
          <w:trHeight w:val="283"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4" w:right="0"/>
              <w:jc w:val="left"/>
              <w:rPr>
                <w:rFonts w:ascii="宋体" w:hAnsi="宋体" w:cs="宋体" w:eastAsia="宋体" w:hint="default"/>
                <w:sz w:val="21"/>
                <w:szCs w:val="21"/>
              </w:rPr>
            </w:pPr>
            <w:r>
              <w:rPr>
                <w:rFonts w:ascii="宋体" w:hAnsi="宋体" w:cs="宋体" w:eastAsia="宋体" w:hint="default"/>
                <w:sz w:val="21"/>
                <w:szCs w:val="21"/>
              </w:rPr>
              <w:t>主要财务指标</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hAnsi="宋体" w:cs="宋体" w:eastAsia="宋体" w:hint="default"/>
                <w:spacing w:val="-1"/>
                <w:sz w:val="21"/>
                <w:szCs w:val="21"/>
              </w:rPr>
              <w:t>2019</w:t>
            </w:r>
            <w:r>
              <w:rPr>
                <w:rFonts w:ascii="宋体" w:hAnsi="宋体" w:cs="宋体" w:eastAsia="宋体" w:hint="default"/>
                <w:spacing w:val="-1"/>
                <w:sz w:val="21"/>
                <w:szCs w:val="21"/>
              </w:rPr>
              <w:t>年</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3"/>
              <w:jc w:val="right"/>
              <w:rPr>
                <w:rFonts w:ascii="宋体" w:hAnsi="宋体" w:cs="宋体" w:eastAsia="宋体" w:hint="default"/>
                <w:sz w:val="21"/>
                <w:szCs w:val="21"/>
              </w:rPr>
            </w:pPr>
            <w:r>
              <w:rPr>
                <w:rFonts w:ascii="宋体" w:hAnsi="宋体" w:cs="宋体" w:eastAsia="宋体" w:hint="default"/>
                <w:spacing w:val="-1"/>
                <w:sz w:val="21"/>
                <w:szCs w:val="21"/>
              </w:rPr>
              <w:t>2018</w:t>
            </w:r>
            <w:r>
              <w:rPr>
                <w:rFonts w:ascii="宋体" w:hAnsi="宋体" w:cs="宋体" w:eastAsia="宋体" w:hint="default"/>
                <w:spacing w:val="-1"/>
                <w:sz w:val="21"/>
                <w:szCs w:val="21"/>
              </w:rPr>
              <w:t>年</w:t>
            </w:r>
            <w:r>
              <w:rPr>
                <w:rFonts w:ascii="宋体" w:hAnsi="宋体" w:cs="宋体" w:eastAsia="宋体" w:hint="default"/>
                <w:sz w:val="21"/>
                <w:szCs w:val="21"/>
              </w:rPr>
              <w:t> </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pacing w:val="-2"/>
                <w:sz w:val="21"/>
                <w:szCs w:val="21"/>
              </w:rPr>
              <w:t>本期比上年同期增减</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 </w:t>
            </w:r>
          </w:p>
        </w:tc>
      </w:tr>
      <w:tr>
        <w:trPr>
          <w:trHeight w:val="281"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sz w:val="20"/>
              </w:rPr>
              <w:t>0.17</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sz w:val="20"/>
              </w:rPr>
              <w:t>0.34</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-50</w:t>
            </w:r>
            <w:r>
              <w:rPr>
                <w:rFonts w:ascii="Times New Roman"/>
                <w:sz w:val="20"/>
              </w:rPr>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737" w:right="0"/>
              <w:jc w:val="left"/>
              <w:rPr>
                <w:rFonts w:ascii="Times New Roman" w:hAnsi="Times New Roman" w:cs="Times New Roman" w:eastAsia="Times New Roman" w:hint="default"/>
                <w:sz w:val="20"/>
                <w:szCs w:val="20"/>
              </w:rPr>
            </w:pPr>
            <w:r>
              <w:rPr>
                <w:rFonts w:ascii="Times New Roman"/>
                <w:sz w:val="20"/>
              </w:rPr>
              <w:t>0.29</w:t>
            </w:r>
          </w:p>
        </w:tc>
      </w:tr>
    </w:tbl>
    <w:p>
      <w:pPr>
        <w:spacing w:after="0" w:line="240" w:lineRule="auto"/>
        <w:jc w:val="left"/>
        <w:rPr>
          <w:rFonts w:ascii="Times New Roman" w:hAnsi="Times New Roman" w:cs="Times New Roman" w:eastAsia="Times New Roman" w:hint="default"/>
          <w:sz w:val="20"/>
          <w:szCs w:val="20"/>
        </w:rPr>
        <w:sectPr>
          <w:type w:val="continuous"/>
          <w:pgSz w:w="11910" w:h="16840"/>
          <w:pgMar w:top="1120" w:bottom="1380" w:left="1060" w:right="1560"/>
        </w:sectPr>
      </w:pPr>
    </w:p>
    <w:p>
      <w:pPr>
        <w:spacing w:line="240" w:lineRule="auto" w:before="3"/>
        <w:rPr>
          <w:rFonts w:ascii="宋体" w:hAnsi="宋体" w:cs="宋体" w:eastAsia="宋体" w:hint="default"/>
          <w:b/>
          <w:bCs/>
          <w:sz w:val="24"/>
          <w:szCs w:val="24"/>
        </w:rPr>
      </w:pPr>
    </w:p>
    <w:tbl>
      <w:tblPr>
        <w:tblW w:w="0" w:type="auto"/>
        <w:jc w:val="left"/>
        <w:tblInd w:w="324" w:type="dxa"/>
        <w:tblLayout w:type="fixed"/>
        <w:tblCellMar>
          <w:top w:w="0" w:type="dxa"/>
          <w:left w:w="0" w:type="dxa"/>
          <w:bottom w:w="0" w:type="dxa"/>
          <w:right w:w="0" w:type="dxa"/>
        </w:tblCellMar>
        <w:tblLook w:val="01E0"/>
      </w:tblPr>
      <w:tblGrid>
        <w:gridCol w:w="3339"/>
        <w:gridCol w:w="874"/>
        <w:gridCol w:w="1015"/>
        <w:gridCol w:w="2621"/>
        <w:gridCol w:w="1201"/>
      </w:tblGrid>
      <w:tr>
        <w:trPr>
          <w:trHeight w:val="283"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sz w:val="20"/>
              </w:rPr>
              <w:t>0.17</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sz w:val="20"/>
              </w:rPr>
              <w:t>0.34</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-50</w:t>
            </w:r>
            <w:r>
              <w:rPr>
                <w:rFonts w:ascii="Times New Roman"/>
                <w:sz w:val="20"/>
              </w:rPr>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sz w:val="20"/>
              </w:rPr>
              <w:t>0.29</w:t>
            </w:r>
          </w:p>
        </w:tc>
      </w:tr>
      <w:tr>
        <w:trPr>
          <w:trHeight w:val="555"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扣除非经常性损益后的基本每股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收益（元／股）</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3"/>
              <w:jc w:val="right"/>
              <w:rPr>
                <w:rFonts w:ascii="Times New Roman" w:hAnsi="Times New Roman" w:cs="Times New Roman" w:eastAsia="Times New Roman" w:hint="default"/>
                <w:sz w:val="20"/>
                <w:szCs w:val="20"/>
              </w:rPr>
            </w:pPr>
            <w:r>
              <w:rPr>
                <w:rFonts w:ascii="Times New Roman"/>
                <w:sz w:val="20"/>
              </w:rPr>
              <w:t>0.09</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0"/>
                <w:szCs w:val="20"/>
              </w:rPr>
            </w:pPr>
            <w:r>
              <w:rPr>
                <w:rFonts w:ascii="Times New Roman"/>
                <w:sz w:val="20"/>
              </w:rPr>
              <w:t>0.31</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3"/>
              <w:jc w:val="right"/>
              <w:rPr>
                <w:rFonts w:ascii="Times New Roman" w:hAnsi="Times New Roman" w:cs="Times New Roman" w:eastAsia="Times New Roman" w:hint="default"/>
                <w:sz w:val="20"/>
                <w:szCs w:val="20"/>
              </w:rPr>
            </w:pPr>
            <w:r>
              <w:rPr>
                <w:rFonts w:ascii="Times New Roman"/>
                <w:w w:val="95"/>
                <w:sz w:val="20"/>
              </w:rPr>
              <w:t>-70.97</w:t>
            </w:r>
            <w:r>
              <w:rPr>
                <w:rFonts w:ascii="Times New Roman"/>
                <w:sz w:val="20"/>
              </w:rPr>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0"/>
                <w:szCs w:val="20"/>
              </w:rPr>
            </w:pPr>
            <w:r>
              <w:rPr>
                <w:rFonts w:ascii="Times New Roman"/>
                <w:sz w:val="20"/>
              </w:rPr>
              <w:t>0.18</w:t>
            </w:r>
          </w:p>
        </w:tc>
      </w:tr>
      <w:tr>
        <w:trPr>
          <w:trHeight w:val="281"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sz w:val="20"/>
              </w:rPr>
              <w:t>3.72</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sz w:val="20"/>
              </w:rPr>
              <w:t>6.78</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7"/>
              <w:jc w:val="right"/>
              <w:rPr>
                <w:rFonts w:ascii="宋体" w:hAnsi="宋体" w:cs="宋体" w:eastAsia="宋体" w:hint="default"/>
                <w:sz w:val="20"/>
                <w:szCs w:val="20"/>
              </w:rPr>
            </w:pPr>
            <w:r>
              <w:rPr>
                <w:rFonts w:ascii="宋体" w:hAnsi="宋体" w:cs="宋体" w:eastAsia="宋体" w:hint="default"/>
                <w:w w:val="95"/>
                <w:sz w:val="20"/>
                <w:szCs w:val="20"/>
              </w:rPr>
              <w:t>减少</w:t>
            </w:r>
            <w:r>
              <w:rPr>
                <w:rFonts w:ascii="Times New Roman" w:hAnsi="Times New Roman" w:cs="Times New Roman" w:eastAsia="Times New Roman" w:hint="default"/>
                <w:w w:val="95"/>
                <w:sz w:val="20"/>
                <w:szCs w:val="20"/>
              </w:rPr>
              <w:t>3.06</w:t>
            </w:r>
            <w:r>
              <w:rPr>
                <w:rFonts w:ascii="宋体" w:hAnsi="宋体" w:cs="宋体" w:eastAsia="宋体" w:hint="default"/>
                <w:w w:val="95"/>
                <w:sz w:val="20"/>
                <w:szCs w:val="20"/>
              </w:rPr>
              <w:t>个百分点</w:t>
            </w:r>
            <w:r>
              <w:rPr>
                <w:rFonts w:ascii="宋体" w:hAnsi="宋体" w:cs="宋体" w:eastAsia="宋体" w:hint="default"/>
                <w:sz w:val="20"/>
                <w:szCs w:val="20"/>
              </w:rPr>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sz w:val="20"/>
              </w:rPr>
              <w:t>6.54</w:t>
            </w:r>
          </w:p>
        </w:tc>
      </w:tr>
      <w:tr>
        <w:trPr>
          <w:trHeight w:val="557"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扣除非经常性损益后的加权平均</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20"/>
                <w:szCs w:val="20"/>
              </w:rPr>
            </w:pPr>
            <w:r>
              <w:rPr>
                <w:rFonts w:ascii="Times New Roman"/>
                <w:sz w:val="20"/>
              </w:rPr>
              <w:t>2.09</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20"/>
                <w:szCs w:val="20"/>
              </w:rPr>
            </w:pPr>
            <w:r>
              <w:rPr>
                <w:rFonts w:ascii="Times New Roman"/>
                <w:sz w:val="20"/>
              </w:rPr>
              <w:t>6.19</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7"/>
              <w:jc w:val="right"/>
              <w:rPr>
                <w:rFonts w:ascii="宋体" w:hAnsi="宋体" w:cs="宋体" w:eastAsia="宋体" w:hint="default"/>
                <w:sz w:val="20"/>
                <w:szCs w:val="20"/>
              </w:rPr>
            </w:pPr>
            <w:r>
              <w:rPr>
                <w:rFonts w:ascii="宋体" w:hAnsi="宋体" w:cs="宋体" w:eastAsia="宋体" w:hint="default"/>
                <w:w w:val="95"/>
                <w:sz w:val="20"/>
                <w:szCs w:val="20"/>
              </w:rPr>
              <w:t>减少</w:t>
            </w:r>
            <w:r>
              <w:rPr>
                <w:rFonts w:ascii="Times New Roman" w:hAnsi="Times New Roman" w:cs="Times New Roman" w:eastAsia="Times New Roman" w:hint="default"/>
                <w:w w:val="95"/>
                <w:sz w:val="20"/>
                <w:szCs w:val="20"/>
              </w:rPr>
              <w:t>4.10</w:t>
            </w:r>
            <w:r>
              <w:rPr>
                <w:rFonts w:ascii="宋体" w:hAnsi="宋体" w:cs="宋体" w:eastAsia="宋体" w:hint="default"/>
                <w:w w:val="95"/>
                <w:sz w:val="20"/>
                <w:szCs w:val="20"/>
              </w:rPr>
              <w:t>个百分点</w:t>
            </w:r>
            <w:r>
              <w:rPr>
                <w:rFonts w:ascii="宋体" w:hAnsi="宋体" w:cs="宋体" w:eastAsia="宋体" w:hint="default"/>
                <w:sz w:val="20"/>
                <w:szCs w:val="20"/>
              </w:rPr>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20"/>
                <w:szCs w:val="20"/>
              </w:rPr>
            </w:pPr>
            <w:r>
              <w:rPr>
                <w:rFonts w:ascii="Times New Roman"/>
                <w:sz w:val="20"/>
              </w:rPr>
              <w:t>4.02</w:t>
            </w:r>
          </w:p>
        </w:tc>
      </w:tr>
    </w:tbl>
    <w:p>
      <w:pPr>
        <w:pStyle w:val="Heading3"/>
        <w:spacing w:line="274" w:lineRule="exact"/>
        <w:ind w:left="436" w:right="0"/>
        <w:jc w:val="left"/>
        <w:rPr>
          <w:rFonts w:ascii="宋体" w:hAnsi="宋体" w:cs="宋体" w:eastAsia="宋体" w:hint="default"/>
        </w:rPr>
      </w:pPr>
      <w:r>
        <w:rPr>
          <w:rFonts w:ascii="宋体"/>
        </w:rPr>
        <w:t> </w:t>
      </w:r>
    </w:p>
    <w:p>
      <w:pPr>
        <w:pStyle w:val="BodyText"/>
        <w:spacing w:line="271" w:lineRule="exact" w:before="1"/>
        <w:ind w:left="436" w:right="0"/>
        <w:jc w:val="left"/>
        <w:rPr>
          <w:rFonts w:ascii="宋体" w:hAnsi="宋体" w:cs="宋体" w:eastAsia="宋体" w:hint="default"/>
        </w:rPr>
      </w:pPr>
      <w:r>
        <w:rPr/>
        <w:t>报告期末公司前三年主要会计数据和财务指标的说明</w:t>
      </w:r>
      <w:r>
        <w:rPr>
          <w:rFonts w:ascii="宋体" w:hAnsi="宋体" w:cs="宋体" w:eastAsia="宋体" w:hint="default"/>
        </w:rPr>
        <w:t> </w:t>
      </w:r>
    </w:p>
    <w:p>
      <w:pPr>
        <w:pStyle w:val="Heading3"/>
        <w:spacing w:line="310" w:lineRule="exact"/>
        <w:ind w:left="4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left="917" w:right="0"/>
        <w:jc w:val="left"/>
        <w:rPr>
          <w:rFonts w:ascii="宋体" w:hAnsi="宋体" w:cs="宋体" w:eastAsia="宋体" w:hint="default"/>
          <w:sz w:val="24"/>
          <w:szCs w:val="24"/>
        </w:rPr>
      </w:pPr>
      <w:r>
        <w:rPr>
          <w:rFonts w:ascii="宋体" w:hAnsi="宋体" w:cs="宋体" w:eastAsia="宋体" w:hint="default"/>
        </w:rPr>
        <w:t>2017</w:t>
      </w:r>
      <w:r>
        <w:rPr>
          <w:rFonts w:ascii="宋体" w:hAnsi="宋体" w:cs="宋体" w:eastAsia="宋体" w:hint="default"/>
          <w:spacing w:val="-60"/>
        </w:rPr>
        <w:t> </w:t>
      </w:r>
      <w:r>
        <w:rPr/>
        <w:t>年度主要财务指标按照最新股本进行了追溯调整。</w:t>
      </w:r>
      <w:r>
        <w:rPr>
          <w:rFonts w:ascii="宋体" w:hAnsi="宋体" w:cs="宋体" w:eastAsia="宋体" w:hint="default"/>
          <w:sz w:val="24"/>
          <w:szCs w:val="24"/>
        </w:rPr>
        <w:t> </w:t>
      </w:r>
    </w:p>
    <w:p>
      <w:pPr>
        <w:pStyle w:val="Heading3"/>
        <w:spacing w:line="304" w:lineRule="exact"/>
        <w:ind w:left="436" w:right="0"/>
        <w:jc w:val="left"/>
        <w:rPr>
          <w:rFonts w:ascii="宋体" w:hAnsi="宋体" w:cs="宋体" w:eastAsia="宋体" w:hint="default"/>
        </w:rPr>
      </w:pPr>
      <w:r>
        <w:rPr>
          <w:rFonts w:ascii="宋体"/>
        </w:rPr>
        <w:t> </w:t>
      </w:r>
    </w:p>
    <w:p>
      <w:pPr>
        <w:pStyle w:val="Heading5"/>
        <w:spacing w:line="240" w:lineRule="auto"/>
        <w:ind w:left="436" w:right="0"/>
        <w:jc w:val="left"/>
        <w:rPr>
          <w:b w:val="0"/>
          <w:bCs w:val="0"/>
        </w:rPr>
      </w:pPr>
      <w:r>
        <w:rPr/>
        <w:t>八、</w:t>
      </w:r>
      <w:r>
        <w:rPr>
          <w:spacing w:val="-33"/>
        </w:rPr>
        <w:t> </w:t>
      </w:r>
      <w:r>
        <w:rPr>
          <w:rFonts w:ascii="宋体" w:hAnsi="宋体" w:cs="宋体" w:eastAsia="宋体" w:hint="default"/>
          <w:spacing w:val="-33"/>
        </w:rPr>
      </w:r>
      <w:r>
        <w:rPr/>
        <w:t>境内外会计准则下会计数据差异</w:t>
      </w:r>
      <w:r>
        <w:rPr>
          <w:b w:val="0"/>
          <w:bCs w:val="0"/>
        </w:rPr>
      </w:r>
    </w:p>
    <w:p>
      <w:pPr>
        <w:pStyle w:val="Heading5"/>
        <w:spacing w:line="274" w:lineRule="exact" w:before="82"/>
        <w:ind w:left="857" w:right="0" w:hanging="421"/>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Heading3"/>
        <w:spacing w:line="240" w:lineRule="auto" w:before="25"/>
        <w:ind w:left="4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72" w:lineRule="exact" w:before="92"/>
        <w:ind w:left="857" w:right="0" w:hanging="421"/>
        <w:jc w:val="left"/>
        <w:rPr>
          <w:b w:val="0"/>
          <w:bCs w:val="0"/>
        </w:rPr>
      </w:pPr>
      <w:r>
        <w:rPr>
          <w:rFonts w:ascii="Calibri" w:hAnsi="Calibri" w:cs="Calibri" w:eastAsia="Calibri" w:hint="default"/>
        </w:rPr>
        <w:t>(</w:t>
      </w:r>
      <w:r>
        <w:rPr/>
        <w:t>二</w:t>
      </w:r>
      <w:r>
        <w:rPr>
          <w:rFonts w:ascii="Calibri" w:hAnsi="Calibri" w:cs="Calibri" w:eastAsia="Calibri" w:hint="default"/>
        </w:rPr>
        <w:t>) </w:t>
      </w:r>
      <w:r>
        <w:rPr>
          <w:spacing w:val="2"/>
        </w:rPr>
        <w:t>同时按照境外会计准则与按中国会计准则披露的财务报告中净利润和归属于上市公司股东</w:t>
      </w:r>
      <w:r>
        <w:rPr>
          <w:spacing w:val="-88"/>
        </w:rPr>
        <w:t> </w:t>
      </w:r>
      <w:r>
        <w:rPr>
          <w:spacing w:val="-88"/>
        </w:rPr>
      </w:r>
      <w:r>
        <w:rPr/>
        <w:t>的净资产差异情况</w:t>
      </w:r>
      <w:r>
        <w:rPr>
          <w:b w:val="0"/>
          <w:bCs w:val="0"/>
        </w:rPr>
      </w:r>
    </w:p>
    <w:p>
      <w:pPr>
        <w:pStyle w:val="Heading3"/>
        <w:spacing w:line="240" w:lineRule="auto" w:before="27"/>
        <w:ind w:left="4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40" w:lineRule="auto" w:before="61"/>
        <w:ind w:left="436"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Heading3"/>
        <w:spacing w:line="313" w:lineRule="exact" w:before="25"/>
        <w:ind w:left="4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436" w:right="0"/>
        <w:jc w:val="left"/>
        <w:rPr>
          <w:rFonts w:ascii="宋体" w:hAnsi="宋体" w:cs="宋体" w:eastAsia="宋体" w:hint="default"/>
        </w:rPr>
      </w:pPr>
      <w:r>
        <w:rPr>
          <w:rFonts w:ascii="宋体"/>
        </w:rPr>
        <w:t> </w:t>
      </w:r>
    </w:p>
    <w:p>
      <w:pPr>
        <w:pStyle w:val="Heading5"/>
        <w:spacing w:line="240" w:lineRule="auto" w:before="61"/>
        <w:ind w:left="436" w:right="0"/>
        <w:jc w:val="left"/>
        <w:rPr>
          <w:b w:val="0"/>
          <w:bCs w:val="0"/>
        </w:rPr>
      </w:pPr>
      <w:r>
        <w:rPr/>
        <w:t>九、 </w:t>
      </w:r>
      <w:r>
        <w:rPr>
          <w:rFonts w:ascii="宋体" w:hAnsi="宋体" w:cs="宋体" w:eastAsia="宋体" w:hint="default"/>
        </w:rPr>
      </w:r>
      <w:r>
        <w:rPr>
          <w:rFonts w:ascii="Arial" w:hAnsi="Arial" w:cs="Arial" w:eastAsia="Arial" w:hint="default"/>
        </w:rPr>
        <w:t>2019</w:t>
      </w:r>
      <w:r>
        <w:rPr>
          <w:rFonts w:ascii="Arial" w:hAnsi="Arial" w:cs="Arial" w:eastAsia="Arial" w:hint="default"/>
          <w:spacing w:val="-40"/>
        </w:rPr>
        <w:t> </w:t>
      </w:r>
      <w:r>
        <w:rPr/>
        <w:t>年分季度主要财务数据</w:t>
      </w:r>
      <w:r>
        <w:rPr>
          <w:b w:val="0"/>
          <w:bCs w:val="0"/>
        </w:rPr>
      </w:r>
    </w:p>
    <w:p>
      <w:pPr>
        <w:pStyle w:val="BodyText"/>
        <w:spacing w:line="240" w:lineRule="auto" w:before="44"/>
        <w:ind w:left="0" w:right="34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549"/>
        <w:gridCol w:w="1702"/>
        <w:gridCol w:w="1841"/>
        <w:gridCol w:w="1702"/>
        <w:gridCol w:w="1702"/>
      </w:tblGrid>
      <w:tr>
        <w:trPr>
          <w:trHeight w:val="555"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1" w:right="0"/>
              <w:jc w:val="center"/>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第一季度</w:t>
            </w:r>
            <w:r>
              <w:rPr>
                <w:rFonts w:ascii="宋体" w:hAnsi="宋体" w:cs="宋体" w:eastAsia="宋体" w:hint="default"/>
                <w:sz w:val="21"/>
                <w:szCs w:val="21"/>
              </w:rPr>
              <w:t> </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第二季度</w:t>
            </w:r>
            <w:r>
              <w:rPr>
                <w:rFonts w:ascii="宋体" w:hAnsi="宋体" w:cs="宋体" w:eastAsia="宋体" w:hint="default"/>
                <w:sz w:val="21"/>
                <w:szCs w:val="21"/>
              </w:rPr>
              <w:t> </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第三季度</w:t>
            </w:r>
            <w:r>
              <w:rPr>
                <w:rFonts w:ascii="宋体" w:hAnsi="宋体" w:cs="宋体" w:eastAsia="宋体" w:hint="default"/>
                <w:sz w:val="21"/>
                <w:szCs w:val="21"/>
              </w:rPr>
              <w:t> </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第四季度</w:t>
            </w:r>
            <w:r>
              <w:rPr>
                <w:rFonts w:ascii="宋体" w:hAnsi="宋体" w:cs="宋体" w:eastAsia="宋体" w:hint="default"/>
                <w:sz w:val="21"/>
                <w:szCs w:val="21"/>
              </w:rPr>
              <w:t> </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5"/>
              <w:jc w:val="right"/>
              <w:rPr>
                <w:rFonts w:ascii="Times New Roman" w:hAnsi="Times New Roman" w:cs="Times New Roman" w:eastAsia="Times New Roman" w:hint="default"/>
                <w:sz w:val="20"/>
                <w:szCs w:val="20"/>
              </w:rPr>
            </w:pPr>
            <w:r>
              <w:rPr>
                <w:rFonts w:ascii="Times New Roman"/>
                <w:spacing w:val="-1"/>
                <w:sz w:val="20"/>
              </w:rPr>
              <w:t>1,235,600,294.08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993,053,494.51</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spacing w:val="-1"/>
                <w:sz w:val="20"/>
              </w:rPr>
              <w:t>1,127,887,759.65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89" w:right="0"/>
              <w:jc w:val="left"/>
              <w:rPr>
                <w:rFonts w:ascii="Times New Roman" w:hAnsi="Times New Roman" w:cs="Times New Roman" w:eastAsia="Times New Roman" w:hint="default"/>
                <w:sz w:val="20"/>
                <w:szCs w:val="20"/>
              </w:rPr>
            </w:pPr>
            <w:r>
              <w:rPr>
                <w:rFonts w:ascii="Times New Roman"/>
                <w:sz w:val="20"/>
              </w:rPr>
              <w:t>1,947,918,495.33</w:t>
            </w: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4"/>
              <w:jc w:val="right"/>
              <w:rPr>
                <w:rFonts w:ascii="Times New Roman" w:hAnsi="Times New Roman" w:cs="Times New Roman" w:eastAsia="Times New Roman" w:hint="default"/>
                <w:sz w:val="20"/>
                <w:szCs w:val="20"/>
              </w:rPr>
            </w:pPr>
            <w:r>
              <w:rPr>
                <w:rFonts w:ascii="Times New Roman"/>
                <w:w w:val="95"/>
                <w:sz w:val="20"/>
              </w:rPr>
              <w:t>55,333,960.28</w:t>
            </w:r>
            <w:r>
              <w:rPr>
                <w:rFonts w:ascii="Times New Roman"/>
                <w:sz w:val="20"/>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w w:val="95"/>
                <w:sz w:val="20"/>
              </w:rPr>
              <w:t>54,809,269.98</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20"/>
                <w:szCs w:val="20"/>
              </w:rPr>
            </w:pPr>
            <w:r>
              <w:rPr>
                <w:rFonts w:ascii="Times New Roman"/>
                <w:w w:val="95"/>
                <w:sz w:val="20"/>
              </w:rPr>
              <w:t>33,153,850.82</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20"/>
                <w:szCs w:val="20"/>
              </w:rPr>
            </w:pPr>
            <w:r>
              <w:rPr>
                <w:rFonts w:ascii="Times New Roman"/>
                <w:w w:val="95"/>
                <w:sz w:val="20"/>
              </w:rPr>
              <w:t>752,378.13</w:t>
            </w:r>
            <w:r>
              <w:rPr>
                <w:rFonts w:ascii="Times New Roman"/>
                <w:sz w:val="20"/>
              </w:rPr>
            </w:r>
          </w:p>
        </w:tc>
      </w:tr>
      <w:tr>
        <w:trPr>
          <w:trHeight w:val="82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w:t>
            </w:r>
          </w:p>
          <w:p>
            <w:pPr>
              <w:pStyle w:val="TableParagraph"/>
              <w:spacing w:line="272" w:lineRule="exact" w:before="27"/>
              <w:ind w:left="103" w:right="102"/>
              <w:jc w:val="left"/>
              <w:rPr>
                <w:rFonts w:ascii="宋体" w:hAnsi="宋体" w:cs="宋体" w:eastAsia="宋体" w:hint="default"/>
                <w:sz w:val="21"/>
                <w:szCs w:val="21"/>
              </w:rPr>
            </w:pPr>
            <w:r>
              <w:rPr>
                <w:rFonts w:ascii="宋体" w:hAnsi="宋体" w:cs="宋体" w:eastAsia="宋体" w:hint="default"/>
                <w:sz w:val="21"/>
                <w:szCs w:val="21"/>
              </w:rPr>
              <w:t>除非经常性损益后的净利</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74,186,100.90</w:t>
            </w:r>
            <w:r>
              <w:rPr>
                <w:rFonts w:ascii="Times New Roman"/>
                <w:sz w:val="20"/>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5"/>
                <w:sz w:val="20"/>
              </w:rPr>
              <w:t>53,096,091.38</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29,244,131.83</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60" w:right="0"/>
              <w:jc w:val="left"/>
              <w:rPr>
                <w:rFonts w:ascii="Times New Roman" w:hAnsi="Times New Roman" w:cs="Times New Roman" w:eastAsia="Times New Roman" w:hint="default"/>
                <w:sz w:val="20"/>
                <w:szCs w:val="20"/>
              </w:rPr>
            </w:pPr>
            <w:r>
              <w:rPr>
                <w:rFonts w:ascii="Times New Roman"/>
                <w:sz w:val="20"/>
              </w:rPr>
              <w:t>-75,711,528.84</w:t>
            </w:r>
          </w:p>
        </w:tc>
      </w:tr>
      <w:tr>
        <w:trPr>
          <w:trHeight w:val="55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5"/>
              <w:jc w:val="right"/>
              <w:rPr>
                <w:rFonts w:ascii="Times New Roman" w:hAnsi="Times New Roman" w:cs="Times New Roman" w:eastAsia="Times New Roman" w:hint="default"/>
                <w:sz w:val="20"/>
                <w:szCs w:val="20"/>
              </w:rPr>
            </w:pPr>
            <w:r>
              <w:rPr>
                <w:rFonts w:ascii="Times New Roman"/>
                <w:spacing w:val="-1"/>
                <w:sz w:val="20"/>
              </w:rPr>
              <w:t>1,027,211,583.27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Times New Roman" w:hAnsi="Times New Roman" w:cs="Times New Roman" w:eastAsia="Times New Roman" w:hint="default"/>
                <w:sz w:val="20"/>
                <w:szCs w:val="20"/>
              </w:rPr>
            </w:pPr>
            <w:r>
              <w:rPr>
                <w:rFonts w:ascii="Times New Roman"/>
                <w:w w:val="95"/>
                <w:sz w:val="20"/>
              </w:rPr>
              <w:t>-71,369,618.34</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Times New Roman" w:hAnsi="Times New Roman" w:cs="Times New Roman" w:eastAsia="Times New Roman" w:hint="default"/>
                <w:sz w:val="20"/>
                <w:szCs w:val="20"/>
              </w:rPr>
            </w:pPr>
            <w:r>
              <w:rPr>
                <w:rFonts w:ascii="Times New Roman"/>
                <w:w w:val="95"/>
                <w:sz w:val="20"/>
              </w:rPr>
              <w:t>160,071,678.43</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Times New Roman" w:hAnsi="Times New Roman" w:cs="Times New Roman" w:eastAsia="Times New Roman" w:hint="default"/>
                <w:sz w:val="20"/>
                <w:szCs w:val="20"/>
              </w:rPr>
            </w:pPr>
            <w:r>
              <w:rPr>
                <w:rFonts w:ascii="Times New Roman"/>
                <w:w w:val="95"/>
                <w:sz w:val="20"/>
              </w:rPr>
              <w:t>-703,905,990.58</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880" w:footer="1195" w:top="1120" w:bottom="1380" w:left="840" w:right="1340"/>
        </w:sectPr>
      </w:pPr>
    </w:p>
    <w:p>
      <w:pPr>
        <w:pStyle w:val="BodyText"/>
        <w:spacing w:line="237" w:lineRule="exact"/>
        <w:ind w:left="857" w:right="0"/>
        <w:jc w:val="left"/>
        <w:rPr>
          <w:rFonts w:ascii="宋体" w:hAnsi="宋体" w:cs="宋体" w:eastAsia="宋体" w:hint="default"/>
        </w:rPr>
      </w:pPr>
      <w:r>
        <w:rPr/>
        <w:t>季度数据与已披露定期报告数据差异说明。</w:t>
      </w:r>
      <w:r>
        <w:rPr>
          <w:rFonts w:ascii="宋体" w:hAnsi="宋体" w:cs="宋体" w:eastAsia="宋体" w:hint="default"/>
        </w:rPr>
        <w:t> </w:t>
      </w:r>
    </w:p>
    <w:p>
      <w:pPr>
        <w:pStyle w:val="Heading3"/>
        <w:spacing w:line="310" w:lineRule="exact"/>
        <w:ind w:left="4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5"/>
        <w:spacing w:line="240" w:lineRule="auto" w:before="61"/>
        <w:ind w:left="436" w:right="0"/>
        <w:jc w:val="left"/>
        <w:rPr>
          <w:b w:val="0"/>
          <w:bCs w:val="0"/>
        </w:rPr>
      </w:pPr>
      <w:r>
        <w:rPr/>
        <w:t>十、</w:t>
      </w:r>
      <w:r>
        <w:rPr>
          <w:spacing w:val="39"/>
        </w:rPr>
        <w:t> </w:t>
      </w:r>
      <w:r>
        <w:rPr>
          <w:rFonts w:ascii="宋体" w:hAnsi="宋体" w:cs="宋体" w:eastAsia="宋体" w:hint="default"/>
          <w:spacing w:val="39"/>
        </w:rPr>
      </w:r>
      <w:r>
        <w:rPr/>
        <w:t>非经常性损益项目和金额</w:t>
      </w:r>
      <w:r>
        <w:rPr>
          <w:b w:val="0"/>
          <w:bCs w:val="0"/>
        </w:rPr>
      </w:r>
    </w:p>
    <w:p>
      <w:pPr>
        <w:pStyle w:val="Heading3"/>
        <w:spacing w:line="240" w:lineRule="auto" w:before="53"/>
        <w:ind w:left="4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ind w:left="436"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840" w:right="1340"/>
          <w:cols w:num="2" w:equalWidth="0">
            <w:col w:w="4955" w:space="1778"/>
            <w:col w:w="2997"/>
          </w:cols>
        </w:sectPr>
      </w:pPr>
    </w:p>
    <w:p>
      <w:pPr>
        <w:spacing w:line="240" w:lineRule="auto" w:before="7"/>
        <w:rPr>
          <w:rFonts w:ascii="宋体" w:hAnsi="宋体" w:cs="宋体" w:eastAsia="宋体" w:hint="default"/>
          <w:sz w:val="2"/>
          <w:szCs w:val="2"/>
        </w:rPr>
      </w:pPr>
    </w:p>
    <w:tbl>
      <w:tblPr>
        <w:tblW w:w="0" w:type="auto"/>
        <w:jc w:val="left"/>
        <w:tblInd w:w="266" w:type="dxa"/>
        <w:tblLayout w:type="fixed"/>
        <w:tblCellMar>
          <w:top w:w="0" w:type="dxa"/>
          <w:left w:w="0" w:type="dxa"/>
          <w:bottom w:w="0" w:type="dxa"/>
          <w:right w:w="0" w:type="dxa"/>
        </w:tblCellMar>
        <w:tblLook w:val="01E0"/>
      </w:tblPr>
      <w:tblGrid>
        <w:gridCol w:w="3299"/>
        <w:gridCol w:w="1524"/>
        <w:gridCol w:w="1169"/>
        <w:gridCol w:w="1534"/>
        <w:gridCol w:w="1642"/>
      </w:tblGrid>
      <w:tr>
        <w:trPr>
          <w:trHeight w:val="554" w:hRule="exact"/>
        </w:trPr>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02" w:right="0"/>
              <w:jc w:val="left"/>
              <w:rPr>
                <w:rFonts w:ascii="宋体" w:hAnsi="宋体" w:cs="宋体" w:eastAsia="宋体" w:hint="default"/>
                <w:sz w:val="21"/>
                <w:szCs w:val="21"/>
              </w:rPr>
            </w:pPr>
            <w:r>
              <w:rPr>
                <w:rFonts w:ascii="宋体" w:hAnsi="宋体" w:cs="宋体" w:eastAsia="宋体" w:hint="default"/>
                <w:sz w:val="21"/>
                <w:szCs w:val="21"/>
              </w:rPr>
              <w:t>非经常性损益项目</w:t>
            </w:r>
            <w:r>
              <w:rPr>
                <w:rFonts w:ascii="宋体" w:hAnsi="宋体" w:cs="宋体" w:eastAsia="宋体" w:hint="default"/>
                <w:sz w:val="21"/>
                <w:szCs w:val="21"/>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附</w:t>
            </w:r>
            <w:r>
              <w:rPr>
                <w:rFonts w:ascii="宋体" w:hAnsi="宋体" w:cs="宋体" w:eastAsia="宋体" w:hint="default"/>
                <w:spacing w:val="-99"/>
                <w:w w:val="100"/>
                <w:sz w:val="21"/>
                <w:szCs w:val="21"/>
              </w:rPr>
              <w:t>注</w:t>
            </w:r>
            <w:r>
              <w:rPr>
                <w:rFonts w:ascii="宋体" w:hAnsi="宋体" w:cs="宋体" w:eastAsia="宋体" w:hint="default"/>
                <w:w w:val="100"/>
                <w:sz w:val="21"/>
                <w:szCs w:val="21"/>
              </w:rPr>
              <w:t>（</w:t>
            </w:r>
            <w:r>
              <w:rPr>
                <w:rFonts w:ascii="宋体" w:hAnsi="宋体" w:cs="宋体" w:eastAsia="宋体" w:hint="default"/>
                <w:spacing w:val="-3"/>
                <w:w w:val="100"/>
                <w:sz w:val="21"/>
                <w:szCs w:val="21"/>
              </w:rPr>
              <w:t>如</w:t>
            </w:r>
            <w:r>
              <w:rPr>
                <w:rFonts w:ascii="宋体" w:hAnsi="宋体" w:cs="宋体" w:eastAsia="宋体" w:hint="default"/>
                <w:w w:val="100"/>
                <w:sz w:val="21"/>
                <w:szCs w:val="21"/>
              </w:rPr>
              <w:t>适</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用）</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7"/>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1"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r>
      <w:tr>
        <w:trPr>
          <w:trHeight w:val="283" w:hRule="exact"/>
        </w:trPr>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r>
              <w:rPr>
                <w:rFonts w:ascii="宋体" w:hAnsi="宋体" w:cs="宋体" w:eastAsia="宋体" w:hint="default"/>
                <w:sz w:val="21"/>
                <w:szCs w:val="21"/>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130,707,677.46</w:t>
            </w:r>
            <w:r>
              <w:rPr>
                <w:rFonts w:ascii="Times New Roman"/>
                <w:sz w:val="20"/>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w w:val="99"/>
                <w:sz w:val="20"/>
              </w:rPr>
              <w:t> </w:t>
            </w:r>
            <w:r>
              <w:rPr>
                <w:rFonts w:ascii="宋体"/>
                <w:sz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2,941,487.74</w:t>
            </w:r>
            <w:r>
              <w:rPr>
                <w:rFonts w:ascii="Times New Roman"/>
                <w:sz w:val="20"/>
              </w:rPr>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89,949,560.87</w:t>
            </w:r>
            <w:r>
              <w:rPr>
                <w:rFonts w:ascii="Times New Roman"/>
                <w:sz w:val="20"/>
              </w:rPr>
            </w:r>
          </w:p>
        </w:tc>
      </w:tr>
      <w:tr>
        <w:trPr>
          <w:trHeight w:val="554" w:hRule="exact"/>
        </w:trPr>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越权审批，或无正式批准文件，或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偶发性的税收返还、减免</w:t>
            </w:r>
            <w:r>
              <w:rPr>
                <w:rFonts w:ascii="宋体" w:hAnsi="宋体" w:cs="宋体" w:eastAsia="宋体" w:hint="default"/>
                <w:sz w:val="21"/>
                <w:szCs w:val="21"/>
              </w:rPr>
              <w:t> </w:t>
            </w:r>
          </w:p>
        </w:tc>
        <w:tc>
          <w:tcPr>
            <w:tcW w:w="1524"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0"/>
                <w:szCs w:val="20"/>
              </w:rPr>
            </w:pPr>
            <w:r>
              <w:rPr>
                <w:rFonts w:ascii="宋体"/>
                <w:w w:val="99"/>
                <w:sz w:val="20"/>
              </w:rPr>
              <w:t> </w:t>
            </w:r>
            <w:r>
              <w:rPr>
                <w:rFonts w:ascii="宋体"/>
                <w:sz w:val="20"/>
              </w:rPr>
            </w:r>
          </w:p>
        </w:tc>
        <w:tc>
          <w:tcPr>
            <w:tcW w:w="1534"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计入当期损益的政府补助，但与公</w:t>
            </w:r>
          </w:p>
          <w:p>
            <w:pPr>
              <w:pStyle w:val="TableParagraph"/>
              <w:spacing w:line="240" w:lineRule="auto"/>
              <w:ind w:left="100" w:right="99"/>
              <w:jc w:val="left"/>
              <w:rPr>
                <w:rFonts w:ascii="宋体" w:hAnsi="宋体" w:cs="宋体" w:eastAsia="宋体" w:hint="default"/>
                <w:sz w:val="21"/>
                <w:szCs w:val="21"/>
              </w:rPr>
            </w:pPr>
            <w:r>
              <w:rPr>
                <w:rFonts w:ascii="宋体" w:hAnsi="宋体" w:cs="宋体" w:eastAsia="宋体" w:hint="default"/>
                <w:spacing w:val="-6"/>
                <w:sz w:val="21"/>
                <w:szCs w:val="21"/>
              </w:rPr>
              <w:t>司正常经营业务密切相关，符合国</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6"/>
                <w:sz w:val="21"/>
                <w:szCs w:val="21"/>
              </w:rPr>
              <w:t>家政策规定、按照一定标准定额或</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44,133,735.74</w:t>
            </w:r>
            <w:r>
              <w:rPr>
                <w:rFonts w:ascii="Times New Roman"/>
                <w:sz w:val="20"/>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0"/>
                <w:szCs w:val="20"/>
              </w:rPr>
            </w:pPr>
            <w:r>
              <w:rPr>
                <w:rFonts w:ascii="宋体"/>
                <w:w w:val="99"/>
                <w:sz w:val="20"/>
              </w:rPr>
              <w:t> </w:t>
            </w:r>
            <w:r>
              <w:rPr>
                <w:rFonts w:ascii="宋体"/>
                <w:sz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20,445,311.00</w:t>
            </w:r>
            <w:r>
              <w:rPr>
                <w:rFonts w:ascii="Times New Roman"/>
                <w:sz w:val="20"/>
              </w:rPr>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20,223,778.87</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type w:val="continuous"/>
          <w:pgSz w:w="11910" w:h="16840"/>
          <w:pgMar w:top="1120" w:bottom="1380" w:left="840" w:right="1340"/>
        </w:sectPr>
      </w:pPr>
    </w:p>
    <w:p>
      <w:pPr>
        <w:spacing w:line="240" w:lineRule="auto" w:before="6"/>
        <w:rPr>
          <w:rFonts w:ascii="Times New Roman" w:hAnsi="Times New Roman" w:cs="Times New Roman" w:eastAsia="Times New Roman"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3299"/>
        <w:gridCol w:w="1524"/>
        <w:gridCol w:w="1169"/>
        <w:gridCol w:w="1534"/>
        <w:gridCol w:w="1642"/>
      </w:tblGrid>
      <w:tr>
        <w:trPr>
          <w:trHeight w:val="283" w:hRule="exact"/>
        </w:trPr>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定量持续享受的政府补助除外</w:t>
            </w:r>
            <w:r>
              <w:rPr>
                <w:rFonts w:ascii="宋体" w:hAnsi="宋体" w:cs="宋体" w:eastAsia="宋体" w:hint="default"/>
                <w:sz w:val="21"/>
                <w:szCs w:val="21"/>
              </w:rPr>
              <w:t> </w:t>
            </w:r>
          </w:p>
        </w:tc>
        <w:tc>
          <w:tcPr>
            <w:tcW w:w="1524"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取的资金占用费</w:t>
            </w:r>
            <w:r>
              <w:rPr>
                <w:rFonts w:ascii="宋体" w:hAnsi="宋体" w:cs="宋体" w:eastAsia="宋体" w:hint="default"/>
                <w:sz w:val="21"/>
                <w:szCs w:val="21"/>
              </w:rPr>
              <w:t> </w:t>
            </w:r>
          </w:p>
        </w:tc>
        <w:tc>
          <w:tcPr>
            <w:tcW w:w="1524"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0"/>
                <w:szCs w:val="20"/>
              </w:rPr>
            </w:pPr>
            <w:r>
              <w:rPr>
                <w:rFonts w:ascii="宋体"/>
                <w:w w:val="99"/>
                <w:sz w:val="20"/>
              </w:rPr>
              <w:t> </w:t>
            </w:r>
            <w:r>
              <w:rPr>
                <w:rFonts w:ascii="宋体"/>
                <w:sz w:val="20"/>
              </w:rPr>
            </w:r>
          </w:p>
        </w:tc>
        <w:tc>
          <w:tcPr>
            <w:tcW w:w="1534"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6"/>
                <w:sz w:val="21"/>
                <w:szCs w:val="21"/>
              </w:rPr>
              <w:t>企业取得子公司、联营企业及合营</w:t>
            </w:r>
          </w:p>
          <w:p>
            <w:pPr>
              <w:pStyle w:val="TableParagraph"/>
              <w:spacing w:line="237" w:lineRule="auto"/>
              <w:ind w:left="100" w:right="241"/>
              <w:jc w:val="both"/>
              <w:rPr>
                <w:rFonts w:ascii="宋体" w:hAnsi="宋体" w:cs="宋体" w:eastAsia="宋体" w:hint="default"/>
                <w:sz w:val="21"/>
                <w:szCs w:val="21"/>
              </w:rPr>
            </w:pPr>
            <w:r>
              <w:rPr>
                <w:rFonts w:ascii="宋体" w:hAnsi="宋体" w:cs="宋体" w:eastAsia="宋体" w:hint="default"/>
                <w:spacing w:val="-2"/>
                <w:sz w:val="21"/>
                <w:szCs w:val="21"/>
              </w:rPr>
              <w:t>企业的投资成本小于取得投资时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应享有被投资单位可辨认净资产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公允价值产生的收益</w:t>
            </w:r>
            <w:r>
              <w:rPr>
                <w:rFonts w:ascii="宋体" w:hAnsi="宋体" w:cs="宋体" w:eastAsia="宋体" w:hint="default"/>
                <w:sz w:val="21"/>
                <w:szCs w:val="21"/>
              </w:rPr>
              <w:t> </w:t>
            </w:r>
          </w:p>
        </w:tc>
        <w:tc>
          <w:tcPr>
            <w:tcW w:w="1524"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0" w:right="0"/>
              <w:jc w:val="left"/>
              <w:rPr>
                <w:rFonts w:ascii="宋体" w:hAnsi="宋体" w:cs="宋体" w:eastAsia="宋体" w:hint="default"/>
                <w:sz w:val="20"/>
                <w:szCs w:val="20"/>
              </w:rPr>
            </w:pPr>
            <w:r>
              <w:rPr>
                <w:rFonts w:ascii="宋体"/>
                <w:w w:val="99"/>
                <w:sz w:val="20"/>
              </w:rPr>
              <w:t> </w:t>
            </w:r>
            <w:r>
              <w:rPr>
                <w:rFonts w:ascii="宋体"/>
                <w:sz w:val="20"/>
              </w:rPr>
            </w:r>
          </w:p>
        </w:tc>
        <w:tc>
          <w:tcPr>
            <w:tcW w:w="1534"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r>
              <w:rPr>
                <w:rFonts w:ascii="宋体" w:hAnsi="宋体" w:cs="宋体" w:eastAsia="宋体" w:hint="default"/>
                <w:sz w:val="21"/>
                <w:szCs w:val="21"/>
              </w:rPr>
              <w:t> </w:t>
            </w:r>
          </w:p>
        </w:tc>
        <w:tc>
          <w:tcPr>
            <w:tcW w:w="1524"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w w:val="99"/>
                <w:sz w:val="20"/>
              </w:rPr>
              <w:t> </w:t>
            </w:r>
            <w:r>
              <w:rPr>
                <w:rFonts w:ascii="宋体"/>
                <w:sz w:val="20"/>
              </w:rPr>
            </w:r>
          </w:p>
        </w:tc>
        <w:tc>
          <w:tcPr>
            <w:tcW w:w="1534"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r>
              <w:rPr>
                <w:rFonts w:ascii="宋体" w:hAnsi="宋体" w:cs="宋体" w:eastAsia="宋体" w:hint="default"/>
                <w:sz w:val="21"/>
                <w:szCs w:val="21"/>
              </w:rPr>
              <w:t> </w:t>
            </w:r>
          </w:p>
        </w:tc>
        <w:tc>
          <w:tcPr>
            <w:tcW w:w="1524"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w w:val="99"/>
                <w:sz w:val="20"/>
              </w:rPr>
              <w:t> </w:t>
            </w:r>
            <w:r>
              <w:rPr>
                <w:rFonts w:ascii="宋体"/>
                <w:sz w:val="20"/>
              </w:rPr>
            </w:r>
          </w:p>
        </w:tc>
        <w:tc>
          <w:tcPr>
            <w:tcW w:w="1534"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因不可抗力因素，如遭受自然灾害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而计提的各项资产减值准备</w:t>
            </w:r>
            <w:r>
              <w:rPr>
                <w:rFonts w:ascii="宋体" w:hAnsi="宋体" w:cs="宋体" w:eastAsia="宋体" w:hint="default"/>
                <w:sz w:val="21"/>
                <w:szCs w:val="21"/>
              </w:rPr>
              <w:t> </w:t>
            </w:r>
          </w:p>
        </w:tc>
        <w:tc>
          <w:tcPr>
            <w:tcW w:w="1524"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20"/>
                <w:szCs w:val="20"/>
              </w:rPr>
            </w:pPr>
            <w:r>
              <w:rPr>
                <w:rFonts w:ascii="宋体"/>
                <w:w w:val="99"/>
                <w:sz w:val="20"/>
              </w:rPr>
              <w:t> </w:t>
            </w:r>
            <w:r>
              <w:rPr>
                <w:rFonts w:ascii="宋体"/>
                <w:sz w:val="20"/>
              </w:rPr>
            </w:r>
          </w:p>
        </w:tc>
        <w:tc>
          <w:tcPr>
            <w:tcW w:w="1534"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债务重组损益</w:t>
            </w:r>
            <w:r>
              <w:rPr>
                <w:rFonts w:ascii="宋体" w:hAnsi="宋体" w:cs="宋体" w:eastAsia="宋体" w:hint="default"/>
                <w:sz w:val="21"/>
                <w:szCs w:val="21"/>
              </w:rPr>
              <w:t> </w:t>
            </w:r>
          </w:p>
        </w:tc>
        <w:tc>
          <w:tcPr>
            <w:tcW w:w="1524"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w w:val="99"/>
                <w:sz w:val="20"/>
              </w:rPr>
              <w:t> </w:t>
            </w:r>
            <w:r>
              <w:rPr>
                <w:rFonts w:ascii="宋体"/>
                <w:sz w:val="20"/>
              </w:rPr>
            </w:r>
          </w:p>
        </w:tc>
        <w:tc>
          <w:tcPr>
            <w:tcW w:w="1534"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出、整合费用等</w:t>
            </w:r>
            <w:r>
              <w:rPr>
                <w:rFonts w:ascii="宋体" w:hAnsi="宋体" w:cs="宋体" w:eastAsia="宋体" w:hint="default"/>
                <w:sz w:val="21"/>
                <w:szCs w:val="21"/>
              </w:rPr>
              <w:t> </w:t>
            </w:r>
          </w:p>
        </w:tc>
        <w:tc>
          <w:tcPr>
            <w:tcW w:w="1524"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20"/>
                <w:szCs w:val="20"/>
              </w:rPr>
            </w:pPr>
            <w:r>
              <w:rPr>
                <w:rFonts w:ascii="宋体"/>
                <w:w w:val="99"/>
                <w:sz w:val="20"/>
              </w:rPr>
              <w:t> </w:t>
            </w:r>
            <w:r>
              <w:rPr>
                <w:rFonts w:ascii="宋体"/>
                <w:sz w:val="20"/>
              </w:rPr>
            </w:r>
          </w:p>
        </w:tc>
        <w:tc>
          <w:tcPr>
            <w:tcW w:w="1534"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超过公允价值部分的损益</w:t>
            </w:r>
            <w:r>
              <w:rPr>
                <w:rFonts w:ascii="宋体" w:hAnsi="宋体" w:cs="宋体" w:eastAsia="宋体" w:hint="default"/>
                <w:sz w:val="21"/>
                <w:szCs w:val="21"/>
              </w:rPr>
              <w:t> </w:t>
            </w:r>
          </w:p>
        </w:tc>
        <w:tc>
          <w:tcPr>
            <w:tcW w:w="1524"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20"/>
                <w:szCs w:val="20"/>
              </w:rPr>
            </w:pPr>
            <w:r>
              <w:rPr>
                <w:rFonts w:ascii="宋体"/>
                <w:w w:val="99"/>
                <w:sz w:val="20"/>
              </w:rPr>
              <w:t> </w:t>
            </w:r>
            <w:r>
              <w:rPr>
                <w:rFonts w:ascii="宋体"/>
                <w:sz w:val="20"/>
              </w:rPr>
            </w:r>
          </w:p>
        </w:tc>
        <w:tc>
          <w:tcPr>
            <w:tcW w:w="1534"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司期初至合并日的当期净损益</w:t>
            </w:r>
            <w:r>
              <w:rPr>
                <w:rFonts w:ascii="宋体" w:hAnsi="宋体" w:cs="宋体" w:eastAsia="宋体" w:hint="default"/>
                <w:sz w:val="21"/>
                <w:szCs w:val="21"/>
              </w:rPr>
              <w:t> </w:t>
            </w:r>
          </w:p>
        </w:tc>
        <w:tc>
          <w:tcPr>
            <w:tcW w:w="1524"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20"/>
                <w:szCs w:val="20"/>
              </w:rPr>
            </w:pPr>
            <w:r>
              <w:rPr>
                <w:rFonts w:ascii="宋体"/>
                <w:w w:val="99"/>
                <w:sz w:val="20"/>
              </w:rPr>
              <w:t> </w:t>
            </w:r>
            <w:r>
              <w:rPr>
                <w:rFonts w:ascii="宋体"/>
                <w:sz w:val="20"/>
              </w:rPr>
            </w:r>
          </w:p>
        </w:tc>
        <w:tc>
          <w:tcPr>
            <w:tcW w:w="1534"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事项产生的损益</w:t>
            </w:r>
            <w:r>
              <w:rPr>
                <w:rFonts w:ascii="宋体" w:hAnsi="宋体" w:cs="宋体" w:eastAsia="宋体" w:hint="default"/>
                <w:sz w:val="21"/>
                <w:szCs w:val="21"/>
              </w:rPr>
              <w:t> </w:t>
            </w:r>
          </w:p>
        </w:tc>
        <w:tc>
          <w:tcPr>
            <w:tcW w:w="1524"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20"/>
                <w:szCs w:val="20"/>
              </w:rPr>
            </w:pPr>
            <w:r>
              <w:rPr>
                <w:rFonts w:ascii="宋体"/>
                <w:w w:val="99"/>
                <w:sz w:val="20"/>
              </w:rPr>
              <w:t> </w:t>
            </w:r>
            <w:r>
              <w:rPr>
                <w:rFonts w:ascii="宋体"/>
                <w:sz w:val="20"/>
              </w:rPr>
            </w:r>
          </w:p>
        </w:tc>
        <w:tc>
          <w:tcPr>
            <w:tcW w:w="1534"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w:t>
            </w: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pacing w:val="-6"/>
                <w:sz w:val="21"/>
                <w:szCs w:val="21"/>
              </w:rPr>
              <w:t>效套期保值业务外，持有交易性金</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6"/>
                <w:sz w:val="21"/>
                <w:szCs w:val="21"/>
              </w:rPr>
              <w:t>融资产、交易性金融负债产生的公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6"/>
                <w:sz w:val="21"/>
                <w:szCs w:val="21"/>
              </w:rPr>
              <w:t>允价值变动损益，以及处置交易性</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6"/>
                <w:sz w:val="21"/>
                <w:szCs w:val="21"/>
              </w:rPr>
              <w:t>金融资产、交易性金融负债和可供</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出售金融资产取得的投资收益</w:t>
            </w:r>
            <w:r>
              <w:rPr>
                <w:rFonts w:ascii="宋体" w:hAnsi="宋体" w:cs="宋体" w:eastAsia="宋体" w:hint="default"/>
                <w:sz w:val="21"/>
                <w:szCs w:val="21"/>
              </w:rPr>
              <w:t> </w:t>
            </w:r>
          </w:p>
        </w:tc>
        <w:tc>
          <w:tcPr>
            <w:tcW w:w="1524"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0"/>
                <w:szCs w:val="20"/>
              </w:rPr>
            </w:pPr>
            <w:r>
              <w:rPr>
                <w:rFonts w:ascii="宋体"/>
                <w:w w:val="99"/>
                <w:sz w:val="20"/>
              </w:rPr>
              <w:t> </w:t>
            </w:r>
            <w:r>
              <w:rPr>
                <w:rFonts w:ascii="宋体"/>
                <w:sz w:val="20"/>
              </w:rPr>
            </w:r>
          </w:p>
        </w:tc>
        <w:tc>
          <w:tcPr>
            <w:tcW w:w="1534"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w:t>
            </w: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pacing w:val="-6"/>
                <w:sz w:val="21"/>
                <w:szCs w:val="21"/>
              </w:rPr>
              <w:t>效套期保值业务外，持有交易性金</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6"/>
                <w:sz w:val="21"/>
                <w:szCs w:val="21"/>
              </w:rPr>
              <w:t>融资产、衍生金融资产、交易性金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6"/>
                <w:sz w:val="21"/>
                <w:szCs w:val="21"/>
              </w:rPr>
              <w:t>融负债、衍生金融负债产生的公允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6"/>
                <w:sz w:val="21"/>
                <w:szCs w:val="21"/>
              </w:rPr>
              <w:t>价值变动损益，以及处置交易性金</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6"/>
                <w:sz w:val="21"/>
                <w:szCs w:val="21"/>
              </w:rPr>
              <w:t>融资产、衍生金融资产、交易性金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6"/>
                <w:sz w:val="21"/>
                <w:szCs w:val="21"/>
              </w:rPr>
              <w:t>融负债、衍生金融负债和其他债权</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投资取得的投资收益</w:t>
            </w:r>
            <w:r>
              <w:rPr>
                <w:rFonts w:ascii="宋体" w:hAnsi="宋体" w:cs="宋体" w:eastAsia="宋体" w:hint="default"/>
                <w:sz w:val="21"/>
                <w:szCs w:val="21"/>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5"/>
                <w:sz w:val="20"/>
              </w:rPr>
              <w:t>-12,657,937.44</w:t>
            </w:r>
            <w:r>
              <w:rPr>
                <w:rFonts w:ascii="Times New Roman"/>
                <w:sz w:val="20"/>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0"/>
                <w:szCs w:val="20"/>
              </w:rPr>
            </w:pPr>
            <w:r>
              <w:rPr>
                <w:rFonts w:ascii="宋体"/>
                <w:w w:val="99"/>
                <w:sz w:val="20"/>
              </w:rPr>
              <w:t> </w:t>
            </w:r>
            <w:r>
              <w:rPr>
                <w:rFonts w:ascii="宋体"/>
                <w:sz w:val="20"/>
              </w:rPr>
            </w:r>
          </w:p>
        </w:tc>
        <w:tc>
          <w:tcPr>
            <w:tcW w:w="1534"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554" w:hRule="exact"/>
        </w:trPr>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值准备转回</w:t>
            </w:r>
            <w:r>
              <w:rPr>
                <w:rFonts w:ascii="宋体" w:hAnsi="宋体" w:cs="宋体" w:eastAsia="宋体" w:hint="default"/>
                <w:sz w:val="21"/>
                <w:szCs w:val="21"/>
              </w:rPr>
              <w:t> </w:t>
            </w:r>
          </w:p>
        </w:tc>
        <w:tc>
          <w:tcPr>
            <w:tcW w:w="1524"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20"/>
                <w:szCs w:val="20"/>
              </w:rPr>
            </w:pPr>
            <w:r>
              <w:rPr>
                <w:rFonts w:ascii="宋体"/>
                <w:w w:val="99"/>
                <w:sz w:val="20"/>
              </w:rPr>
              <w:t> </w:t>
            </w:r>
            <w:r>
              <w:rPr>
                <w:rFonts w:ascii="宋体"/>
                <w:sz w:val="20"/>
              </w:rPr>
            </w:r>
          </w:p>
        </w:tc>
        <w:tc>
          <w:tcPr>
            <w:tcW w:w="1534"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r>
              <w:rPr>
                <w:rFonts w:ascii="宋体" w:hAnsi="宋体" w:cs="宋体" w:eastAsia="宋体" w:hint="default"/>
                <w:sz w:val="21"/>
                <w:szCs w:val="21"/>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9,756,289.32</w:t>
            </w:r>
            <w:r>
              <w:rPr>
                <w:rFonts w:ascii="Times New Roman"/>
                <w:sz w:val="20"/>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w w:val="99"/>
                <w:sz w:val="20"/>
              </w:rPr>
              <w:t> </w:t>
            </w:r>
            <w:r>
              <w:rPr>
                <w:rFonts w:ascii="宋体"/>
                <w:sz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9,756,289.31</w:t>
            </w:r>
            <w:r>
              <w:rPr>
                <w:rFonts w:ascii="Times New Roman"/>
                <w:sz w:val="20"/>
              </w:rPr>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9,756,289.31</w:t>
            </w:r>
            <w:r>
              <w:rPr>
                <w:rFonts w:ascii="Times New Roman"/>
                <w:sz w:val="20"/>
              </w:rPr>
            </w:r>
          </w:p>
        </w:tc>
      </w:tr>
      <w:tr>
        <w:trPr>
          <w:trHeight w:val="829" w:hRule="exact"/>
        </w:trPr>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w:t>
            </w:r>
          </w:p>
          <w:p>
            <w:pPr>
              <w:pStyle w:val="TableParagraph"/>
              <w:spacing w:line="272" w:lineRule="exact" w:before="27"/>
              <w:ind w:left="100" w:right="241"/>
              <w:jc w:val="left"/>
              <w:rPr>
                <w:rFonts w:ascii="宋体" w:hAnsi="宋体" w:cs="宋体" w:eastAsia="宋体" w:hint="default"/>
                <w:sz w:val="21"/>
                <w:szCs w:val="21"/>
              </w:rPr>
            </w:pPr>
            <w:r>
              <w:rPr>
                <w:rFonts w:ascii="宋体" w:hAnsi="宋体" w:cs="宋体" w:eastAsia="宋体" w:hint="default"/>
                <w:spacing w:val="-2"/>
                <w:sz w:val="21"/>
                <w:szCs w:val="21"/>
              </w:rPr>
              <w:t>的投资性房地产公允价值变动产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生的损益</w:t>
            </w:r>
            <w:r>
              <w:rPr>
                <w:rFonts w:ascii="宋体" w:hAnsi="宋体" w:cs="宋体" w:eastAsia="宋体" w:hint="default"/>
                <w:sz w:val="21"/>
                <w:szCs w:val="21"/>
              </w:rPr>
              <w:t> </w:t>
            </w:r>
          </w:p>
        </w:tc>
        <w:tc>
          <w:tcPr>
            <w:tcW w:w="1524"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宋体" w:hAnsi="宋体" w:cs="宋体" w:eastAsia="宋体" w:hint="default"/>
                <w:sz w:val="20"/>
                <w:szCs w:val="20"/>
              </w:rPr>
            </w:pPr>
            <w:r>
              <w:rPr>
                <w:rFonts w:ascii="宋体"/>
                <w:w w:val="99"/>
                <w:sz w:val="20"/>
              </w:rPr>
              <w:t> </w:t>
            </w:r>
            <w:r>
              <w:rPr>
                <w:rFonts w:ascii="宋体"/>
                <w:sz w:val="20"/>
              </w:rPr>
            </w:r>
          </w:p>
        </w:tc>
        <w:tc>
          <w:tcPr>
            <w:tcW w:w="1534"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根据税收、会计等法律、法规的要</w:t>
            </w:r>
          </w:p>
          <w:p>
            <w:pPr>
              <w:pStyle w:val="TableParagraph"/>
              <w:spacing w:line="240" w:lineRule="auto"/>
              <w:ind w:left="100" w:right="241"/>
              <w:jc w:val="left"/>
              <w:rPr>
                <w:rFonts w:ascii="宋体" w:hAnsi="宋体" w:cs="宋体" w:eastAsia="宋体" w:hint="default"/>
                <w:sz w:val="21"/>
                <w:szCs w:val="21"/>
              </w:rPr>
            </w:pPr>
            <w:r>
              <w:rPr>
                <w:rFonts w:ascii="宋体" w:hAnsi="宋体" w:cs="宋体" w:eastAsia="宋体" w:hint="default"/>
                <w:spacing w:val="-2"/>
                <w:sz w:val="21"/>
                <w:szCs w:val="21"/>
              </w:rPr>
              <w:t>求对当期损益进行一次性调整对</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当期损益的影响</w:t>
            </w:r>
            <w:r>
              <w:rPr>
                <w:rFonts w:ascii="宋体" w:hAnsi="宋体" w:cs="宋体" w:eastAsia="宋体" w:hint="default"/>
                <w:sz w:val="21"/>
                <w:szCs w:val="21"/>
              </w:rPr>
              <w:t> </w:t>
            </w:r>
          </w:p>
        </w:tc>
        <w:tc>
          <w:tcPr>
            <w:tcW w:w="1524"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0"/>
                <w:szCs w:val="20"/>
              </w:rPr>
            </w:pPr>
            <w:r>
              <w:rPr>
                <w:rFonts w:ascii="宋体"/>
                <w:w w:val="99"/>
                <w:sz w:val="20"/>
              </w:rPr>
              <w:t> </w:t>
            </w:r>
            <w:r>
              <w:rPr>
                <w:rFonts w:ascii="宋体"/>
                <w:sz w:val="20"/>
              </w:rPr>
            </w:r>
          </w:p>
        </w:tc>
        <w:tc>
          <w:tcPr>
            <w:tcW w:w="1534"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r>
              <w:rPr>
                <w:rFonts w:ascii="宋体" w:hAnsi="宋体" w:cs="宋体" w:eastAsia="宋体" w:hint="default"/>
                <w:sz w:val="21"/>
                <w:szCs w:val="21"/>
              </w:rPr>
              <w:t> </w:t>
            </w:r>
          </w:p>
        </w:tc>
        <w:tc>
          <w:tcPr>
            <w:tcW w:w="1524"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w w:val="99"/>
                <w:sz w:val="20"/>
              </w:rPr>
              <w:t> </w:t>
            </w:r>
            <w:r>
              <w:rPr>
                <w:rFonts w:ascii="宋体"/>
                <w:sz w:val="20"/>
              </w:rPr>
            </w:r>
          </w:p>
        </w:tc>
        <w:tc>
          <w:tcPr>
            <w:tcW w:w="1534"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入和支出</w:t>
            </w:r>
            <w:r>
              <w:rPr>
                <w:rFonts w:ascii="宋体" w:hAnsi="宋体" w:cs="宋体" w:eastAsia="宋体" w:hint="default"/>
                <w:sz w:val="21"/>
                <w:szCs w:val="21"/>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20"/>
                <w:szCs w:val="20"/>
              </w:rPr>
            </w:pPr>
            <w:r>
              <w:rPr>
                <w:rFonts w:ascii="Times New Roman"/>
                <w:w w:val="95"/>
                <w:sz w:val="20"/>
              </w:rPr>
              <w:t>-3,447,792.28</w:t>
            </w:r>
            <w:r>
              <w:rPr>
                <w:rFonts w:ascii="Times New Roman"/>
                <w:sz w:val="20"/>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20"/>
                <w:szCs w:val="20"/>
              </w:rPr>
            </w:pPr>
            <w:r>
              <w:rPr>
                <w:rFonts w:ascii="宋体"/>
                <w:w w:val="99"/>
                <w:sz w:val="20"/>
              </w:rPr>
              <w:t> </w:t>
            </w:r>
            <w:r>
              <w:rPr>
                <w:rFonts w:ascii="宋体"/>
                <w:sz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4"/>
              <w:jc w:val="right"/>
              <w:rPr>
                <w:rFonts w:ascii="Times New Roman" w:hAnsi="Times New Roman" w:cs="Times New Roman" w:eastAsia="Times New Roman" w:hint="default"/>
                <w:sz w:val="20"/>
                <w:szCs w:val="20"/>
              </w:rPr>
            </w:pPr>
            <w:r>
              <w:rPr>
                <w:rFonts w:ascii="Times New Roman"/>
                <w:w w:val="95"/>
                <w:sz w:val="20"/>
              </w:rPr>
              <w:t>-6,753,731.99</w:t>
            </w:r>
            <w:r>
              <w:rPr>
                <w:rFonts w:ascii="Times New Roman"/>
                <w:sz w:val="20"/>
              </w:rPr>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4"/>
              <w:jc w:val="right"/>
              <w:rPr>
                <w:rFonts w:ascii="Times New Roman" w:hAnsi="Times New Roman" w:cs="Times New Roman" w:eastAsia="Times New Roman" w:hint="default"/>
                <w:sz w:val="20"/>
                <w:szCs w:val="20"/>
              </w:rPr>
            </w:pPr>
            <w:r>
              <w:rPr>
                <w:rFonts w:ascii="Times New Roman"/>
                <w:w w:val="95"/>
                <w:sz w:val="20"/>
              </w:rPr>
              <w:t>-315,995.97</w:t>
            </w:r>
            <w:r>
              <w:rPr>
                <w:rFonts w:ascii="Times New Roman"/>
                <w:sz w:val="20"/>
              </w:rPr>
            </w:r>
          </w:p>
        </w:tc>
      </w:tr>
      <w:tr>
        <w:trPr>
          <w:trHeight w:val="554" w:hRule="exact"/>
        </w:trPr>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益项目</w:t>
            </w:r>
            <w:r>
              <w:rPr>
                <w:rFonts w:ascii="宋体" w:hAnsi="宋体" w:cs="宋体" w:eastAsia="宋体" w:hint="default"/>
                <w:sz w:val="21"/>
                <w:szCs w:val="21"/>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w w:val="95"/>
                <w:sz w:val="20"/>
              </w:rPr>
              <w:t>-92,937,789.98</w:t>
            </w:r>
            <w:r>
              <w:rPr>
                <w:rFonts w:ascii="Times New Roman"/>
                <w:sz w:val="20"/>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20"/>
                <w:szCs w:val="20"/>
              </w:rPr>
            </w:pPr>
            <w:r>
              <w:rPr>
                <w:rFonts w:ascii="宋体"/>
                <w:w w:val="99"/>
                <w:sz w:val="20"/>
              </w:rPr>
              <w:t> </w:t>
            </w:r>
            <w:r>
              <w:rPr>
                <w:rFonts w:ascii="宋体"/>
                <w:sz w:val="20"/>
              </w:rPr>
            </w:r>
          </w:p>
        </w:tc>
        <w:tc>
          <w:tcPr>
            <w:tcW w:w="1534"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r>
              <w:rPr>
                <w:rFonts w:ascii="宋体" w:hAnsi="宋体" w:cs="宋体" w:eastAsia="宋体" w:hint="default"/>
                <w:sz w:val="21"/>
                <w:szCs w:val="21"/>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-1,223,717.09</w:t>
            </w:r>
            <w:r>
              <w:rPr>
                <w:rFonts w:ascii="Times New Roman"/>
                <w:sz w:val="20"/>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w w:val="99"/>
                <w:sz w:val="20"/>
              </w:rPr>
              <w:t> </w:t>
            </w:r>
            <w:r>
              <w:rPr>
                <w:rFonts w:ascii="宋体"/>
                <w:sz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-1,586,794.30</w:t>
            </w:r>
            <w:r>
              <w:rPr>
                <w:rFonts w:ascii="Times New Roman"/>
                <w:sz w:val="20"/>
              </w:rPr>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-648,954.44</w:t>
            </w:r>
            <w:r>
              <w:rPr>
                <w:rFonts w:ascii="Times New Roman"/>
                <w:sz w:val="20"/>
              </w:rPr>
            </w:r>
          </w:p>
        </w:tc>
      </w:tr>
      <w:tr>
        <w:trPr>
          <w:trHeight w:val="283" w:hRule="exact"/>
        </w:trPr>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r>
              <w:rPr>
                <w:rFonts w:ascii="宋体" w:hAnsi="宋体" w:cs="宋体" w:eastAsia="宋体" w:hint="default"/>
                <w:sz w:val="21"/>
                <w:szCs w:val="21"/>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-11,095,801.79</w:t>
            </w:r>
            <w:r>
              <w:rPr>
                <w:rFonts w:ascii="Times New Roman"/>
                <w:sz w:val="20"/>
              </w:rPr>
            </w:r>
          </w:p>
        </w:tc>
        <w:tc>
          <w:tcPr>
            <w:tcW w:w="1169"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-2,096,495.39</w:t>
            </w:r>
            <w:r>
              <w:rPr>
                <w:rFonts w:ascii="Times New Roman"/>
                <w:sz w:val="20"/>
              </w:rPr>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5"/>
              <w:jc w:val="right"/>
              <w:rPr>
                <w:rFonts w:ascii="Times New Roman" w:hAnsi="Times New Roman" w:cs="Times New Roman" w:eastAsia="Times New Roman" w:hint="default"/>
                <w:sz w:val="20"/>
                <w:szCs w:val="20"/>
              </w:rPr>
            </w:pPr>
            <w:r>
              <w:rPr>
                <w:rFonts w:ascii="Times New Roman"/>
                <w:w w:val="95"/>
                <w:sz w:val="20"/>
              </w:rPr>
              <w:t>-18,406,481.80</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880" w:footer="1195" w:top="1120" w:bottom="1380" w:left="1000" w:right="1500"/>
        </w:sectPr>
      </w:pPr>
    </w:p>
    <w:p>
      <w:pPr>
        <w:spacing w:line="240" w:lineRule="auto" w:before="6"/>
        <w:rPr>
          <w:rFonts w:ascii="Times New Roman" w:hAnsi="Times New Roman" w:cs="Times New Roman" w:eastAsia="Times New Roman"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3299"/>
        <w:gridCol w:w="1524"/>
        <w:gridCol w:w="1169"/>
        <w:gridCol w:w="1534"/>
        <w:gridCol w:w="1642"/>
      </w:tblGrid>
      <w:tr>
        <w:trPr>
          <w:trHeight w:val="283" w:hRule="exact"/>
        </w:trPr>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61" w:right="0"/>
              <w:jc w:val="left"/>
              <w:rPr>
                <w:rFonts w:ascii="Times New Roman" w:hAnsi="Times New Roman" w:cs="Times New Roman" w:eastAsia="Times New Roman" w:hint="default"/>
                <w:sz w:val="20"/>
                <w:szCs w:val="20"/>
              </w:rPr>
            </w:pPr>
            <w:r>
              <w:rPr>
                <w:rFonts w:ascii="Times New Roman"/>
                <w:sz w:val="20"/>
              </w:rPr>
              <w:t>63,234,663.94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w w:val="99"/>
                <w:sz w:val="20"/>
              </w:rPr>
              <w:t> </w:t>
            </w:r>
            <w:r>
              <w:rPr>
                <w:rFonts w:ascii="宋体"/>
                <w:sz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68" w:right="0"/>
              <w:jc w:val="left"/>
              <w:rPr>
                <w:rFonts w:ascii="Times New Roman" w:hAnsi="Times New Roman" w:cs="Times New Roman" w:eastAsia="Times New Roman" w:hint="default"/>
                <w:sz w:val="20"/>
                <w:szCs w:val="20"/>
              </w:rPr>
            </w:pPr>
            <w:r>
              <w:rPr>
                <w:rFonts w:ascii="Times New Roman"/>
                <w:sz w:val="20"/>
              </w:rPr>
              <w:t>22,706,066.37</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76" w:right="0"/>
              <w:jc w:val="left"/>
              <w:rPr>
                <w:rFonts w:ascii="Times New Roman" w:hAnsi="Times New Roman" w:cs="Times New Roman" w:eastAsia="Times New Roman" w:hint="default"/>
                <w:sz w:val="20"/>
                <w:szCs w:val="20"/>
              </w:rPr>
            </w:pPr>
            <w:r>
              <w:rPr>
                <w:rFonts w:ascii="Times New Roman"/>
                <w:sz w:val="20"/>
              </w:rPr>
              <w:t>100,558,196.84</w:t>
            </w:r>
          </w:p>
        </w:tc>
      </w:tr>
    </w:tbl>
    <w:p>
      <w:pPr>
        <w:pStyle w:val="BodyText"/>
        <w:spacing w:line="239" w:lineRule="exact"/>
        <w:ind w:left="276" w:right="0"/>
        <w:jc w:val="left"/>
      </w:pPr>
      <w:r>
        <w:rPr/>
        <w:t>注：计入非经常性损益的“其他符合非经常性损益定义的损益项目”为</w:t>
      </w:r>
      <w:r>
        <w:rPr>
          <w:spacing w:val="-53"/>
        </w:rPr>
        <w:t> </w:t>
      </w:r>
      <w:r>
        <w:rPr>
          <w:rFonts w:ascii="宋体" w:hAnsi="宋体" w:cs="宋体" w:eastAsia="宋体" w:hint="default"/>
        </w:rPr>
        <w:t>ABS</w:t>
      </w:r>
      <w:r>
        <w:rPr>
          <w:rFonts w:ascii="宋体" w:hAnsi="宋体" w:cs="宋体" w:eastAsia="宋体" w:hint="default"/>
          <w:spacing w:val="-56"/>
        </w:rPr>
        <w:t> </w:t>
      </w:r>
      <w:r>
        <w:rPr/>
        <w:t>发行折价损失</w:t>
      </w:r>
    </w:p>
    <w:p>
      <w:pPr>
        <w:pStyle w:val="BodyText"/>
        <w:spacing w:line="273" w:lineRule="exact"/>
        <w:ind w:left="276" w:right="0"/>
        <w:jc w:val="left"/>
        <w:rPr>
          <w:rFonts w:ascii="宋体" w:hAnsi="宋体" w:cs="宋体" w:eastAsia="宋体" w:hint="default"/>
        </w:rPr>
      </w:pPr>
      <w:r>
        <w:rPr>
          <w:rFonts w:ascii="宋体" w:hAnsi="宋体" w:cs="宋体" w:eastAsia="宋体" w:hint="default"/>
        </w:rPr>
        <w:t>92,937,789.98</w:t>
      </w:r>
      <w:r>
        <w:rPr>
          <w:rFonts w:ascii="宋体" w:hAnsi="宋体" w:cs="宋体" w:eastAsia="宋体" w:hint="default"/>
          <w:spacing w:val="-54"/>
        </w:rPr>
        <w:t> </w:t>
      </w:r>
      <w:r>
        <w:rPr/>
        <w:t>元。</w:t>
      </w:r>
      <w:r>
        <w:rPr>
          <w:rFonts w:ascii="宋体" w:hAnsi="宋体" w:cs="宋体" w:eastAsia="宋体" w:hint="default"/>
        </w:rPr>
        <w:t> </w:t>
      </w:r>
    </w:p>
    <w:p>
      <w:pPr>
        <w:pStyle w:val="Heading5"/>
        <w:spacing w:line="240" w:lineRule="auto" w:before="58"/>
        <w:ind w:left="276" w:right="0"/>
        <w:jc w:val="left"/>
        <w:rPr>
          <w:b w:val="0"/>
          <w:bCs w:val="0"/>
        </w:rPr>
      </w:pPr>
      <w:r>
        <w:rPr/>
        <w:t>十一、</w:t>
      </w:r>
      <w:r>
        <w:rPr>
          <w:spacing w:val="101"/>
        </w:rPr>
        <w:t> </w:t>
      </w:r>
      <w:r>
        <w:rPr>
          <w:rFonts w:ascii="宋体" w:hAnsi="宋体" w:cs="宋体" w:eastAsia="宋体" w:hint="default"/>
          <w:spacing w:val="101"/>
        </w:rPr>
      </w:r>
      <w:r>
        <w:rPr/>
        <w:t>采用公允价值计量的项目</w:t>
      </w:r>
      <w:r>
        <w:rPr>
          <w:b w:val="0"/>
          <w:bCs w:val="0"/>
        </w:rPr>
      </w:r>
    </w:p>
    <w:p>
      <w:pPr>
        <w:pStyle w:val="Heading3"/>
        <w:spacing w:line="240" w:lineRule="auto" w:before="50"/>
        <w:ind w:left="27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left="0" w:right="18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63" w:type="dxa"/>
        <w:tblLayout w:type="fixed"/>
        <w:tblCellMar>
          <w:top w:w="0" w:type="dxa"/>
          <w:left w:w="0" w:type="dxa"/>
          <w:bottom w:w="0" w:type="dxa"/>
          <w:right w:w="0" w:type="dxa"/>
        </w:tblCellMar>
        <w:tblLook w:val="01E0"/>
      </w:tblPr>
      <w:tblGrid>
        <w:gridCol w:w="1952"/>
        <w:gridCol w:w="1700"/>
        <w:gridCol w:w="1709"/>
        <w:gridCol w:w="1692"/>
        <w:gridCol w:w="1997"/>
      </w:tblGrid>
      <w:tr>
        <w:trPr>
          <w:trHeight w:val="557"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50"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7" w:right="0"/>
              <w:jc w:val="left"/>
              <w:rPr>
                <w:rFonts w:ascii="宋体" w:hAnsi="宋体" w:cs="宋体" w:eastAsia="宋体" w:hint="default"/>
                <w:sz w:val="21"/>
                <w:szCs w:val="21"/>
              </w:rPr>
            </w:pPr>
            <w:r>
              <w:rPr>
                <w:rFonts w:ascii="宋体" w:hAnsi="宋体" w:cs="宋体" w:eastAsia="宋体" w:hint="default"/>
                <w:sz w:val="21"/>
                <w:szCs w:val="21"/>
              </w:rPr>
              <w:t>当期变动</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对当期利润的影响</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r>
      <w:tr>
        <w:trPr>
          <w:trHeight w:val="281"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49,000,000.00</w:t>
            </w:r>
            <w:r>
              <w:rPr>
                <w:rFonts w:ascii="Times New Roman"/>
                <w:sz w:val="20"/>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1" w:right="0"/>
              <w:jc w:val="center"/>
              <w:rPr>
                <w:rFonts w:ascii="Times New Roman" w:hAnsi="Times New Roman" w:cs="Times New Roman" w:eastAsia="Times New Roman" w:hint="default"/>
                <w:sz w:val="20"/>
                <w:szCs w:val="20"/>
              </w:rPr>
            </w:pPr>
            <w:r>
              <w:rPr>
                <w:rFonts w:ascii="Times New Roman"/>
                <w:sz w:val="20"/>
              </w:rPr>
              <w:t>116,080,000.00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67,080,000.00</w:t>
            </w:r>
            <w:r>
              <w:rPr>
                <w:rFonts w:ascii="Times New Roman"/>
                <w:sz w:val="20"/>
              </w:rPr>
            </w: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180,812,637.63</w:t>
            </w:r>
            <w:r>
              <w:rPr>
                <w:rFonts w:ascii="Times New Roman"/>
                <w:sz w:val="20"/>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1" w:right="0"/>
              <w:jc w:val="center"/>
              <w:rPr>
                <w:rFonts w:ascii="Times New Roman" w:hAnsi="Times New Roman" w:cs="Times New Roman" w:eastAsia="Times New Roman" w:hint="default"/>
                <w:sz w:val="20"/>
                <w:szCs w:val="20"/>
              </w:rPr>
            </w:pPr>
            <w:r>
              <w:rPr>
                <w:rFonts w:ascii="Times New Roman"/>
                <w:sz w:val="20"/>
              </w:rPr>
              <w:t>218,884,909.95</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38,072,272.32</w:t>
            </w:r>
            <w:r>
              <w:rPr>
                <w:rFonts w:ascii="Times New Roman"/>
                <w:sz w:val="20"/>
              </w:rPr>
            </w: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其他非流动金融资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w w:val="95"/>
                <w:sz w:val="20"/>
              </w:rPr>
              <w:t>406,584,981.64</w:t>
            </w:r>
            <w:r>
              <w:rPr>
                <w:rFonts w:ascii="Times New Roman"/>
                <w:sz w:val="20"/>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41" w:right="0"/>
              <w:jc w:val="center"/>
              <w:rPr>
                <w:rFonts w:ascii="Times New Roman" w:hAnsi="Times New Roman" w:cs="Times New Roman" w:eastAsia="Times New Roman" w:hint="default"/>
                <w:sz w:val="20"/>
                <w:szCs w:val="20"/>
              </w:rPr>
            </w:pPr>
            <w:r>
              <w:rPr>
                <w:rFonts w:ascii="Times New Roman"/>
                <w:sz w:val="20"/>
              </w:rPr>
              <w:t>394,591,296.50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4"/>
              <w:jc w:val="right"/>
              <w:rPr>
                <w:rFonts w:ascii="Times New Roman" w:hAnsi="Times New Roman" w:cs="Times New Roman" w:eastAsia="Times New Roman" w:hint="default"/>
                <w:sz w:val="20"/>
                <w:szCs w:val="20"/>
              </w:rPr>
            </w:pPr>
            <w:r>
              <w:rPr>
                <w:rFonts w:ascii="Times New Roman"/>
                <w:w w:val="95"/>
                <w:sz w:val="20"/>
              </w:rPr>
              <w:t>-11,993,685.14</w:t>
            </w:r>
            <w:r>
              <w:rPr>
                <w:rFonts w:ascii="Times New Roman"/>
                <w:sz w:val="20"/>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w w:val="95"/>
                <w:sz w:val="20"/>
              </w:rPr>
              <w:t>-12,657,937.44</w:t>
            </w:r>
            <w:r>
              <w:rPr>
                <w:rFonts w:ascii="Times New Roman"/>
                <w:sz w:val="20"/>
              </w:rPr>
            </w:r>
          </w:p>
        </w:tc>
      </w:tr>
      <w:tr>
        <w:trPr>
          <w:trHeight w:val="283"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636,397,619.27</w:t>
            </w:r>
            <w:r>
              <w:rPr>
                <w:rFonts w:ascii="Times New Roman"/>
                <w:sz w:val="20"/>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1" w:right="0"/>
              <w:jc w:val="center"/>
              <w:rPr>
                <w:rFonts w:ascii="Times New Roman" w:hAnsi="Times New Roman" w:cs="Times New Roman" w:eastAsia="Times New Roman" w:hint="default"/>
                <w:sz w:val="20"/>
                <w:szCs w:val="20"/>
              </w:rPr>
            </w:pPr>
            <w:r>
              <w:rPr>
                <w:rFonts w:ascii="Times New Roman"/>
                <w:sz w:val="20"/>
              </w:rPr>
              <w:t>729,556,206.45</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93,158,587.18</w:t>
            </w:r>
            <w:r>
              <w:rPr>
                <w:rFonts w:ascii="Times New Roman"/>
                <w:sz w:val="20"/>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-12,657,937.44</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880" w:footer="1195" w:top="1120" w:bottom="1380" w:left="1000" w:right="1500"/>
        </w:sectPr>
      </w:pPr>
    </w:p>
    <w:p>
      <w:pPr>
        <w:pStyle w:val="Heading3"/>
        <w:spacing w:line="274" w:lineRule="exact"/>
        <w:ind w:left="276" w:right="0"/>
        <w:jc w:val="left"/>
        <w:rPr>
          <w:rFonts w:ascii="宋体" w:hAnsi="宋体" w:cs="宋体" w:eastAsia="宋体" w:hint="default"/>
        </w:rPr>
      </w:pPr>
      <w:r>
        <w:rPr>
          <w:rFonts w:ascii="宋体"/>
        </w:rPr>
        <w:t> </w:t>
      </w:r>
    </w:p>
    <w:p>
      <w:pPr>
        <w:pStyle w:val="Heading5"/>
        <w:spacing w:line="240" w:lineRule="auto" w:before="61"/>
        <w:ind w:left="276" w:right="0"/>
        <w:jc w:val="left"/>
        <w:rPr>
          <w:b w:val="0"/>
          <w:bCs w:val="0"/>
        </w:rPr>
      </w:pPr>
      <w:r>
        <w:rPr/>
        <w:t>十二、</w:t>
      </w:r>
      <w:r>
        <w:rPr>
          <w:spacing w:val="101"/>
        </w:rPr>
        <w:t> </w:t>
      </w:r>
      <w:r>
        <w:rPr>
          <w:rFonts w:ascii="宋体" w:hAnsi="宋体" w:cs="宋体" w:eastAsia="宋体" w:hint="default"/>
          <w:spacing w:val="101"/>
        </w:rPr>
      </w:r>
      <w:r>
        <w:rPr/>
        <w:t>其他</w:t>
      </w:r>
      <w:r>
        <w:rPr>
          <w:b w:val="0"/>
          <w:bCs w:val="0"/>
        </w:rPr>
      </w:r>
    </w:p>
    <w:p>
      <w:pPr>
        <w:pStyle w:val="Heading3"/>
        <w:spacing w:line="240" w:lineRule="auto" w:before="52"/>
        <w:ind w:left="27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0"/>
        <w:rPr>
          <w:rFonts w:ascii="宋体" w:hAnsi="宋体" w:cs="宋体" w:eastAsia="宋体" w:hint="default"/>
          <w:sz w:val="28"/>
          <w:szCs w:val="28"/>
        </w:rPr>
      </w:pPr>
    </w:p>
    <w:p>
      <w:pPr>
        <w:spacing w:line="240" w:lineRule="auto" w:before="6"/>
        <w:rPr>
          <w:rFonts w:ascii="宋体" w:hAnsi="宋体" w:cs="宋体" w:eastAsia="宋体" w:hint="default"/>
          <w:sz w:val="22"/>
          <w:szCs w:val="22"/>
        </w:rPr>
      </w:pPr>
    </w:p>
    <w:p>
      <w:pPr>
        <w:pStyle w:val="Heading1"/>
        <w:tabs>
          <w:tab w:pos="1536" w:val="left" w:leader="none"/>
        </w:tabs>
        <w:spacing w:line="240" w:lineRule="auto"/>
        <w:ind w:left="276" w:right="0"/>
        <w:jc w:val="left"/>
        <w:rPr>
          <w:b w:val="0"/>
          <w:bCs w:val="0"/>
        </w:rPr>
      </w:pPr>
      <w:bookmarkStart w:name="_bookmark2" w:id="3"/>
      <w:bookmarkEnd w:id="3"/>
      <w:r>
        <w:rPr>
          <w:b w:val="0"/>
          <w:bCs w:val="0"/>
        </w:rPr>
      </w:r>
      <w:r>
        <w:rPr>
          <w:w w:val="95"/>
        </w:rPr>
        <w:t>第三节</w:t>
      </w:r>
      <w:r>
        <w:rPr>
          <w:rFonts w:ascii="宋体" w:hAnsi="宋体" w:cs="宋体" w:eastAsia="宋体" w:hint="default"/>
          <w:w w:val="95"/>
        </w:rPr>
        <w:tab/>
      </w:r>
      <w:r>
        <w:rPr/>
        <w:t>公司业务概要</w:t>
      </w:r>
      <w:r>
        <w:rPr>
          <w:b w:val="0"/>
          <w:bCs w:val="0"/>
        </w:rPr>
      </w:r>
    </w:p>
    <w:p>
      <w:pPr>
        <w:spacing w:after="0" w:line="240" w:lineRule="auto"/>
        <w:jc w:val="left"/>
        <w:sectPr>
          <w:type w:val="continuous"/>
          <w:pgSz w:w="11910" w:h="16840"/>
          <w:pgMar w:top="1120" w:bottom="1380" w:left="1000" w:right="1500"/>
          <w:cols w:num="2" w:equalWidth="0">
            <w:col w:w="2318" w:space="626"/>
            <w:col w:w="6466"/>
          </w:cols>
        </w:sectPr>
      </w:pPr>
    </w:p>
    <w:p>
      <w:pPr>
        <w:spacing w:line="240" w:lineRule="auto" w:before="7"/>
        <w:rPr>
          <w:rFonts w:ascii="黑体" w:hAnsi="黑体" w:cs="黑体" w:eastAsia="黑体" w:hint="default"/>
          <w:b/>
          <w:bCs/>
          <w:sz w:val="16"/>
          <w:szCs w:val="16"/>
        </w:rPr>
      </w:pPr>
    </w:p>
    <w:p>
      <w:pPr>
        <w:spacing w:line="290" w:lineRule="auto" w:before="36"/>
        <w:ind w:left="757" w:right="965" w:hanging="481"/>
        <w:jc w:val="left"/>
        <w:rPr>
          <w:rFonts w:ascii="宋体" w:hAnsi="宋体" w:cs="宋体" w:eastAsia="宋体" w:hint="default"/>
          <w:sz w:val="21"/>
          <w:szCs w:val="21"/>
        </w:rPr>
      </w:pPr>
      <w:r>
        <w:rPr>
          <w:rFonts w:ascii="宋体" w:hAnsi="宋体" w:cs="宋体" w:eastAsia="宋体" w:hint="default"/>
          <w:b/>
          <w:bCs/>
          <w:spacing w:val="-1"/>
          <w:sz w:val="21"/>
          <w:szCs w:val="21"/>
        </w:rPr>
        <w:t>一、报告期内公司所从事的主要业务、经营模式及行业情况说明</w:t>
      </w:r>
      <w:r>
        <w:rPr>
          <w:rFonts w:ascii="宋体" w:hAnsi="宋体" w:cs="宋体" w:eastAsia="宋体" w:hint="default"/>
          <w:b/>
          <w:bCs/>
          <w:spacing w:val="-75"/>
          <w:sz w:val="21"/>
          <w:szCs w:val="21"/>
        </w:rPr>
        <w:t> </w:t>
      </w:r>
      <w:r>
        <w:rPr>
          <w:rFonts w:ascii="宋体" w:hAnsi="宋体" w:cs="宋体" w:eastAsia="宋体" w:hint="default"/>
          <w:b/>
          <w:bCs/>
          <w:spacing w:val="-75"/>
          <w:sz w:val="21"/>
          <w:szCs w:val="21"/>
        </w:rPr>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z w:val="21"/>
          <w:szCs w:val="21"/>
        </w:rPr>
        <w:t>主要业务及经营模式</w:t>
      </w:r>
      <w:r>
        <w:rPr>
          <w:rFonts w:ascii="宋体" w:hAnsi="宋体" w:cs="宋体" w:eastAsia="宋体" w:hint="default"/>
          <w:sz w:val="21"/>
          <w:szCs w:val="21"/>
        </w:rPr>
        <w:t> </w:t>
      </w:r>
    </w:p>
    <w:p>
      <w:pPr>
        <w:pStyle w:val="BodyText"/>
        <w:spacing w:line="226" w:lineRule="exact"/>
        <w:ind w:left="276" w:right="0" w:firstLine="420"/>
        <w:jc w:val="left"/>
      </w:pPr>
      <w:r>
        <w:rPr/>
        <w:t>公司主要从事军工装备、智能电力两大业务。军工装备产业围绕武器装备信息化方向开展业</w:t>
      </w:r>
    </w:p>
    <w:p>
      <w:pPr>
        <w:pStyle w:val="BodyText"/>
        <w:spacing w:line="237" w:lineRule="auto" w:before="2"/>
        <w:ind w:left="276" w:right="288"/>
        <w:jc w:val="both"/>
        <w:rPr>
          <w:rFonts w:ascii="宋体" w:hAnsi="宋体" w:cs="宋体" w:eastAsia="宋体" w:hint="default"/>
        </w:rPr>
      </w:pPr>
      <w:r>
        <w:rPr/>
        <w:pict>
          <v:group style="position:absolute;margin-left:58.68pt;margin-top:56.661045pt;width:110.55pt;height:37.2pt;mso-position-horizontal-relative:page;mso-position-vertical-relative:paragraph;z-index:-1202944" coordorigin="1174,1133" coordsize="2211,744">
            <v:shape style="position:absolute;left:1174;top:1133;width:2211;height:744" coordorigin="1174,1133" coordsize="2211,744" path="m1174,1133l3384,1877e" filled="false" stroked="true" strokeweight=".48pt" strokecolor="#000000">
              <v:path arrowok="t"/>
            </v:shape>
            <w10:wrap type="none"/>
          </v:group>
        </w:pict>
      </w:r>
      <w:r>
        <w:rPr>
          <w:spacing w:val="-1"/>
        </w:rPr>
        <w:t>务，主要产品包括车载通信指挥系统、舰载作战辅助系统、军用电站等；智能电力产业围绕智能</w:t>
      </w:r>
      <w:r>
        <w:rPr>
          <w:spacing w:val="-55"/>
        </w:rPr>
        <w:t> </w:t>
      </w:r>
      <w:r>
        <w:rPr>
          <w:spacing w:val="-55"/>
        </w:rPr>
      </w:r>
      <w:r>
        <w:rPr>
          <w:spacing w:val="-1"/>
        </w:rPr>
        <w:t>电网、电力物联网方向开展业务，主要产品包括电力软件及系统集成、智能应急电源产品等，并</w:t>
      </w:r>
      <w:r>
        <w:rPr>
          <w:spacing w:val="-55"/>
        </w:rPr>
        <w:t> </w:t>
      </w:r>
      <w:r>
        <w:rPr>
          <w:spacing w:val="-55"/>
        </w:rPr>
      </w:r>
      <w:r>
        <w:rPr/>
        <w:t>面向全球开展电力工程业务。根据不同客户的需求，公司分别采取分销、直销、定制化及</w:t>
      </w:r>
      <w:r>
        <w:rPr>
          <w:spacing w:val="-49"/>
        </w:rPr>
        <w:t> </w:t>
      </w:r>
      <w:r>
        <w:rPr>
          <w:rFonts w:ascii="宋体" w:hAnsi="宋体" w:cs="宋体" w:eastAsia="宋体" w:hint="default"/>
        </w:rPr>
        <w:t>EPC</w:t>
      </w:r>
      <w:r>
        <w:rPr>
          <w:rFonts w:ascii="宋体" w:hAnsi="宋体" w:cs="宋体" w:eastAsia="宋体" w:hint="default"/>
          <w:spacing w:val="-50"/>
        </w:rPr>
        <w:t> </w:t>
      </w:r>
      <w:r>
        <w:rPr/>
        <w:t>等</w:t>
      </w:r>
      <w:r>
        <w:rPr>
          <w:w w:val="100"/>
        </w:rPr>
        <w:t> </w:t>
      </w:r>
      <w:r>
        <w:rPr/>
        <w:t>多种业务模式，具体情况如下：</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63" w:type="dxa"/>
        <w:tblLayout w:type="fixed"/>
        <w:tblCellMar>
          <w:top w:w="0" w:type="dxa"/>
          <w:left w:w="0" w:type="dxa"/>
          <w:bottom w:w="0" w:type="dxa"/>
          <w:right w:w="0" w:type="dxa"/>
        </w:tblCellMar>
        <w:tblLook w:val="01E0"/>
      </w:tblPr>
      <w:tblGrid>
        <w:gridCol w:w="2220"/>
        <w:gridCol w:w="1604"/>
        <w:gridCol w:w="2127"/>
        <w:gridCol w:w="2931"/>
      </w:tblGrid>
      <w:tr>
        <w:trPr>
          <w:trHeight w:val="754"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4" w:right="0"/>
              <w:jc w:val="left"/>
              <w:rPr>
                <w:rFonts w:ascii="宋体" w:hAnsi="宋体" w:cs="宋体" w:eastAsia="宋体" w:hint="default"/>
                <w:sz w:val="21"/>
                <w:szCs w:val="21"/>
              </w:rPr>
            </w:pPr>
            <w:r>
              <w:rPr>
                <w:rFonts w:ascii="宋体" w:hAnsi="宋体" w:cs="宋体" w:eastAsia="宋体" w:hint="default"/>
                <w:sz w:val="21"/>
                <w:szCs w:val="21"/>
              </w:rPr>
              <w:t>经营模式</w:t>
            </w:r>
            <w:r>
              <w:rPr>
                <w:rFonts w:ascii="宋体" w:hAnsi="宋体" w:cs="宋体" w:eastAsia="宋体" w:hint="default"/>
                <w:sz w:val="21"/>
                <w:szCs w:val="21"/>
              </w:rPr>
              <w:t> </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业务类别</w:t>
            </w:r>
            <w:r>
              <w:rPr>
                <w:rFonts w:ascii="宋体" w:hAnsi="宋体" w:cs="宋体" w:eastAsia="宋体" w:hint="default"/>
                <w:sz w:val="21"/>
                <w:szCs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采购模式</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生产模式</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6" w:right="0"/>
              <w:jc w:val="left"/>
              <w:rPr>
                <w:rFonts w:ascii="宋体" w:hAnsi="宋体" w:cs="宋体" w:eastAsia="宋体" w:hint="default"/>
                <w:sz w:val="21"/>
                <w:szCs w:val="21"/>
              </w:rPr>
            </w:pPr>
            <w:r>
              <w:rPr>
                <w:rFonts w:ascii="宋体" w:hAnsi="宋体" w:cs="宋体" w:eastAsia="宋体" w:hint="default"/>
                <w:sz w:val="21"/>
                <w:szCs w:val="21"/>
              </w:rPr>
              <w:t>销售模式</w:t>
            </w:r>
            <w:r>
              <w:rPr>
                <w:rFonts w:ascii="宋体" w:hAnsi="宋体" w:cs="宋体" w:eastAsia="宋体" w:hint="default"/>
                <w:sz w:val="21"/>
                <w:szCs w:val="21"/>
              </w:rPr>
              <w:t> </w:t>
            </w:r>
          </w:p>
        </w:tc>
      </w:tr>
      <w:tr>
        <w:trPr>
          <w:trHeight w:val="910"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578"/>
              <w:jc w:val="right"/>
              <w:rPr>
                <w:rFonts w:ascii="宋体" w:hAnsi="宋体" w:cs="宋体" w:eastAsia="宋体" w:hint="default"/>
                <w:sz w:val="21"/>
                <w:szCs w:val="21"/>
              </w:rPr>
            </w:pPr>
            <w:r>
              <w:rPr>
                <w:rFonts w:ascii="宋体" w:hAnsi="宋体" w:cs="宋体" w:eastAsia="宋体" w:hint="default"/>
                <w:spacing w:val="-2"/>
                <w:sz w:val="21"/>
                <w:szCs w:val="21"/>
              </w:rPr>
              <w:t>军工装备</w:t>
            </w:r>
            <w:r>
              <w:rPr>
                <w:rFonts w:ascii="宋体" w:hAnsi="宋体" w:cs="宋体" w:eastAsia="宋体" w:hint="default"/>
                <w:sz w:val="21"/>
                <w:szCs w:val="21"/>
              </w:rPr>
              <w:t> </w:t>
            </w:r>
          </w:p>
        </w:tc>
        <w:tc>
          <w:tcPr>
            <w:tcW w:w="16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60"/>
              <w:ind w:left="100" w:right="102"/>
              <w:jc w:val="both"/>
              <w:rPr>
                <w:rFonts w:ascii="宋体" w:hAnsi="宋体" w:cs="宋体" w:eastAsia="宋体" w:hint="default"/>
                <w:sz w:val="21"/>
                <w:szCs w:val="21"/>
              </w:rPr>
            </w:pPr>
            <w:r>
              <w:rPr>
                <w:rFonts w:ascii="宋体" w:hAnsi="宋体" w:cs="宋体" w:eastAsia="宋体" w:hint="default"/>
                <w:spacing w:val="11"/>
                <w:sz w:val="21"/>
                <w:szCs w:val="21"/>
              </w:rPr>
              <w:t>公司</w:t>
            </w:r>
            <w:r>
              <w:rPr>
                <w:rFonts w:ascii="宋体" w:hAnsi="宋体" w:cs="宋体" w:eastAsia="宋体" w:hint="default"/>
                <w:spacing w:val="-71"/>
                <w:sz w:val="21"/>
                <w:szCs w:val="21"/>
              </w:rPr>
              <w:t> </w:t>
            </w:r>
            <w:r>
              <w:rPr>
                <w:rFonts w:ascii="宋体" w:hAnsi="宋体" w:cs="宋体" w:eastAsia="宋体" w:hint="default"/>
                <w:spacing w:val="16"/>
                <w:sz w:val="21"/>
                <w:szCs w:val="21"/>
              </w:rPr>
              <w:t>采取共性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1"/>
                <w:sz w:val="21"/>
                <w:szCs w:val="21"/>
              </w:rPr>
              <w:t>材料</w:t>
            </w:r>
            <w:r>
              <w:rPr>
                <w:rFonts w:ascii="宋体" w:hAnsi="宋体" w:cs="宋体" w:eastAsia="宋体" w:hint="default"/>
                <w:spacing w:val="-71"/>
                <w:sz w:val="21"/>
                <w:szCs w:val="21"/>
              </w:rPr>
              <w:t> </w:t>
            </w:r>
            <w:r>
              <w:rPr>
                <w:rFonts w:ascii="宋体" w:hAnsi="宋体" w:cs="宋体" w:eastAsia="宋体" w:hint="default"/>
                <w:spacing w:val="16"/>
                <w:sz w:val="21"/>
                <w:szCs w:val="21"/>
              </w:rPr>
              <w:t>集中采购</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1"/>
                <w:sz w:val="21"/>
                <w:szCs w:val="21"/>
              </w:rPr>
              <w:t>以及</w:t>
            </w:r>
            <w:r>
              <w:rPr>
                <w:rFonts w:ascii="宋体" w:hAnsi="宋体" w:cs="宋体" w:eastAsia="宋体" w:hint="default"/>
                <w:spacing w:val="-71"/>
                <w:sz w:val="21"/>
                <w:szCs w:val="21"/>
              </w:rPr>
              <w:t> </w:t>
            </w:r>
            <w:r>
              <w:rPr>
                <w:rFonts w:ascii="宋体" w:hAnsi="宋体" w:cs="宋体" w:eastAsia="宋体" w:hint="default"/>
                <w:spacing w:val="16"/>
                <w:sz w:val="21"/>
                <w:szCs w:val="21"/>
              </w:rPr>
              <w:t>合格供应</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1"/>
                <w:sz w:val="21"/>
                <w:szCs w:val="21"/>
              </w:rPr>
              <w:t>商招</w:t>
            </w:r>
            <w:r>
              <w:rPr>
                <w:rFonts w:ascii="宋体" w:hAnsi="宋体" w:cs="宋体" w:eastAsia="宋体" w:hint="default"/>
                <w:spacing w:val="-71"/>
                <w:sz w:val="21"/>
                <w:szCs w:val="21"/>
              </w:rPr>
              <w:t> </w:t>
            </w:r>
            <w:r>
              <w:rPr>
                <w:rFonts w:ascii="宋体" w:hAnsi="宋体" w:cs="宋体" w:eastAsia="宋体" w:hint="default"/>
                <w:spacing w:val="16"/>
                <w:sz w:val="21"/>
                <w:szCs w:val="21"/>
              </w:rPr>
              <w:t>标及询比</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价结合的模式</w:t>
            </w:r>
            <w:r>
              <w:rPr>
                <w:rFonts w:ascii="宋体" w:hAnsi="宋体" w:cs="宋体" w:eastAsia="宋体" w:hint="default"/>
                <w:sz w:val="21"/>
                <w:szCs w:val="21"/>
              </w:rPr>
              <w:t> </w:t>
            </w:r>
          </w:p>
        </w:tc>
        <w:tc>
          <w:tcPr>
            <w:tcW w:w="21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72"/>
              <w:ind w:left="103" w:right="100"/>
              <w:jc w:val="both"/>
              <w:rPr>
                <w:rFonts w:ascii="宋体" w:hAnsi="宋体" w:cs="宋体" w:eastAsia="宋体" w:hint="default"/>
                <w:sz w:val="21"/>
                <w:szCs w:val="21"/>
              </w:rPr>
            </w:pPr>
            <w:r>
              <w:rPr>
                <w:rFonts w:ascii="宋体" w:hAnsi="宋体" w:cs="宋体" w:eastAsia="宋体" w:hint="default"/>
                <w:sz w:val="21"/>
                <w:szCs w:val="21"/>
              </w:rPr>
              <w:t>公司以满足客户需求</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为目标，以非标类定</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制化生产模式为主</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
              <w:ind w:left="100" w:right="84"/>
              <w:jc w:val="both"/>
              <w:rPr>
                <w:rFonts w:ascii="宋体" w:hAnsi="宋体" w:cs="宋体" w:eastAsia="宋体" w:hint="default"/>
                <w:sz w:val="21"/>
                <w:szCs w:val="21"/>
              </w:rPr>
            </w:pPr>
            <w:r>
              <w:rPr>
                <w:rFonts w:ascii="宋体" w:hAnsi="宋体" w:cs="宋体" w:eastAsia="宋体" w:hint="default"/>
                <w:spacing w:val="-3"/>
                <w:sz w:val="21"/>
                <w:szCs w:val="21"/>
              </w:rPr>
              <w:t>直销为主，通过充分调研客户</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需求，采用型号预研、样机、</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定型及批量生产模式</w:t>
            </w:r>
            <w:r>
              <w:rPr>
                <w:rFonts w:ascii="宋体" w:hAnsi="宋体" w:cs="宋体" w:eastAsia="宋体" w:hint="default"/>
                <w:sz w:val="21"/>
                <w:szCs w:val="21"/>
              </w:rPr>
              <w:t> </w:t>
            </w:r>
          </w:p>
        </w:tc>
      </w:tr>
      <w:tr>
        <w:trPr>
          <w:trHeight w:val="1373"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578"/>
              <w:jc w:val="right"/>
              <w:rPr>
                <w:rFonts w:ascii="宋体" w:hAnsi="宋体" w:cs="宋体" w:eastAsia="宋体" w:hint="default"/>
                <w:sz w:val="21"/>
                <w:szCs w:val="21"/>
              </w:rPr>
            </w:pPr>
            <w:r>
              <w:rPr>
                <w:rFonts w:ascii="宋体" w:hAnsi="宋体" w:cs="宋体" w:eastAsia="宋体" w:hint="default"/>
                <w:spacing w:val="-2"/>
                <w:sz w:val="21"/>
                <w:szCs w:val="21"/>
              </w:rPr>
              <w:t>智能电力</w:t>
            </w:r>
            <w:r>
              <w:rPr>
                <w:rFonts w:ascii="宋体" w:hAnsi="宋体" w:cs="宋体" w:eastAsia="宋体" w:hint="default"/>
                <w:sz w:val="21"/>
                <w:szCs w:val="21"/>
              </w:rPr>
              <w:t> </w:t>
            </w:r>
          </w:p>
        </w:tc>
        <w:tc>
          <w:tcPr>
            <w:tcW w:w="1604"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single" w:sz="4" w:space="0" w:color="000000"/>
            </w:tcBorders>
          </w:tcPr>
          <w:p>
            <w:pP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14"/>
                <w:sz w:val="21"/>
                <w:szCs w:val="21"/>
              </w:rPr>
              <w:t>电力软件及系统集成以提供</w:t>
            </w:r>
            <w:r>
              <w:rPr>
                <w:rFonts w:ascii="宋体" w:hAnsi="宋体" w:cs="宋体" w:eastAsia="宋体" w:hint="default"/>
                <w:sz w:val="21"/>
                <w:szCs w:val="21"/>
              </w:rPr>
            </w:r>
          </w:p>
          <w:p>
            <w:pPr>
              <w:pStyle w:val="TableParagraph"/>
              <w:spacing w:line="237" w:lineRule="auto"/>
              <w:ind w:left="100" w:right="84"/>
              <w:jc w:val="both"/>
              <w:rPr>
                <w:rFonts w:ascii="宋体" w:hAnsi="宋体" w:cs="宋体" w:eastAsia="宋体" w:hint="default"/>
                <w:sz w:val="21"/>
                <w:szCs w:val="21"/>
              </w:rPr>
            </w:pPr>
            <w:r>
              <w:rPr>
                <w:rFonts w:ascii="宋体" w:hAnsi="宋体" w:cs="宋体" w:eastAsia="宋体" w:hint="default"/>
                <w:spacing w:val="-3"/>
                <w:sz w:val="21"/>
                <w:szCs w:val="21"/>
              </w:rPr>
              <w:t>定制化服务和产品为主；智能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3"/>
                <w:sz w:val="21"/>
                <w:szCs w:val="21"/>
              </w:rPr>
              <w:t>应急电源以分销模式为主；电</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4"/>
                <w:sz w:val="21"/>
                <w:szCs w:val="21"/>
              </w:rPr>
              <w:t>力工程业务以工程总包及设</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备销售相结合模式展开。</w:t>
            </w:r>
            <w:r>
              <w:rPr>
                <w:rFonts w:ascii="宋体" w:hAnsi="宋体" w:cs="宋体" w:eastAsia="宋体" w:hint="default"/>
                <w:sz w:val="21"/>
                <w:szCs w:val="21"/>
              </w:rPr>
              <w:t> </w:t>
            </w:r>
          </w:p>
        </w:tc>
      </w:tr>
    </w:tbl>
    <w:p>
      <w:pPr>
        <w:pStyle w:val="BodyText"/>
        <w:spacing w:line="239" w:lineRule="exact"/>
        <w:ind w:left="697" w:right="0"/>
        <w:jc w:val="left"/>
        <w:rPr>
          <w:rFonts w:ascii="宋体" w:hAnsi="宋体" w:cs="宋体" w:eastAsia="宋体" w:hint="default"/>
        </w:rPr>
      </w:pPr>
      <w:r>
        <w:rPr/>
        <w:t>（二）行业情况说明</w:t>
      </w:r>
      <w:r>
        <w:rPr>
          <w:rFonts w:ascii="宋体" w:hAnsi="宋体" w:cs="宋体" w:eastAsia="宋体" w:hint="default"/>
        </w:rPr>
        <w:t> </w:t>
      </w:r>
    </w:p>
    <w:p>
      <w:pPr>
        <w:pStyle w:val="BodyText"/>
        <w:spacing w:line="271" w:lineRule="exact"/>
        <w:ind w:left="697" w:right="0"/>
        <w:jc w:val="left"/>
        <w:rPr>
          <w:rFonts w:ascii="宋体" w:hAnsi="宋体" w:cs="宋体" w:eastAsia="宋体" w:hint="default"/>
        </w:rPr>
      </w:pPr>
      <w:r>
        <w:rPr>
          <w:rFonts w:ascii="宋体" w:hAnsi="宋体" w:cs="宋体" w:eastAsia="宋体" w:hint="default"/>
        </w:rPr>
        <w:t>1.</w:t>
      </w:r>
      <w:r>
        <w:rPr/>
        <w:t>行业整体情况</w:t>
      </w:r>
      <w:r>
        <w:rPr>
          <w:rFonts w:ascii="宋体" w:hAnsi="宋体" w:cs="宋体" w:eastAsia="宋体" w:hint="default"/>
        </w:rPr>
        <w:t> </w:t>
      </w:r>
    </w:p>
    <w:p>
      <w:pPr>
        <w:pStyle w:val="BodyText"/>
        <w:spacing w:line="272" w:lineRule="exact"/>
        <w:ind w:left="697" w:right="0"/>
        <w:jc w:val="left"/>
        <w:rPr>
          <w:rFonts w:ascii="宋体" w:hAnsi="宋体" w:cs="宋体" w:eastAsia="宋体" w:hint="default"/>
        </w:rPr>
      </w:pPr>
      <w:r>
        <w:rPr>
          <w:rFonts w:ascii="宋体" w:hAnsi="宋体" w:cs="宋体" w:eastAsia="宋体" w:hint="default"/>
        </w:rPr>
        <w:t>1.1</w:t>
      </w:r>
      <w:r>
        <w:rPr>
          <w:rFonts w:ascii="宋体" w:hAnsi="宋体" w:cs="宋体" w:eastAsia="宋体" w:hint="default"/>
          <w:spacing w:val="-44"/>
        </w:rPr>
        <w:t> </w:t>
      </w:r>
      <w:r>
        <w:rPr>
          <w:spacing w:val="-3"/>
        </w:rPr>
        <w:t>军工装备</w:t>
      </w:r>
      <w:r>
        <w:rPr>
          <w:rFonts w:ascii="宋体" w:hAnsi="宋体" w:cs="宋体" w:eastAsia="宋体" w:hint="default"/>
        </w:rPr>
        <w:t> </w:t>
      </w:r>
    </w:p>
    <w:p>
      <w:pPr>
        <w:pStyle w:val="BodyText"/>
        <w:spacing w:line="237" w:lineRule="auto" w:before="2"/>
        <w:ind w:left="276" w:right="188" w:firstLine="420"/>
        <w:jc w:val="both"/>
        <w:rPr>
          <w:rFonts w:ascii="宋体" w:hAnsi="宋体" w:cs="宋体" w:eastAsia="宋体" w:hint="default"/>
        </w:rPr>
      </w:pPr>
      <w:r>
        <w:rPr>
          <w:rFonts w:ascii="宋体" w:hAnsi="宋体" w:cs="宋体" w:eastAsia="宋体" w:hint="default"/>
          <w:w w:val="100"/>
        </w:rPr>
        <w:t>2019</w:t>
      </w:r>
      <w:r>
        <w:rPr>
          <w:rFonts w:ascii="宋体" w:hAnsi="宋体" w:cs="宋体" w:eastAsia="宋体" w:hint="default"/>
          <w:spacing w:val="-76"/>
          <w:w w:val="100"/>
        </w:rPr>
        <w:t> </w:t>
      </w:r>
      <w:r>
        <w:rPr>
          <w:spacing w:val="-10"/>
          <w:w w:val="100"/>
        </w:rPr>
        <w:t>年，我国中央一般公共预算支出安排中，国防预算支出为</w:t>
      </w:r>
      <w:r>
        <w:rPr>
          <w:spacing w:val="-76"/>
          <w:w w:val="100"/>
        </w:rPr>
        <w:t> </w:t>
      </w:r>
      <w:r>
        <w:rPr>
          <w:rFonts w:ascii="宋体" w:hAnsi="宋体" w:cs="宋体" w:eastAsia="宋体" w:hint="default"/>
          <w:spacing w:val="-1"/>
          <w:w w:val="100"/>
        </w:rPr>
        <w:t>11,899</w:t>
      </w:r>
      <w:r>
        <w:rPr>
          <w:rFonts w:ascii="宋体" w:hAnsi="宋体" w:cs="宋体" w:eastAsia="宋体" w:hint="default"/>
          <w:spacing w:val="-78"/>
          <w:w w:val="100"/>
        </w:rPr>
        <w:t> </w:t>
      </w:r>
      <w:r>
        <w:rPr>
          <w:spacing w:val="-15"/>
          <w:w w:val="100"/>
        </w:rPr>
        <w:t>亿元，较上年增加</w:t>
      </w:r>
      <w:r>
        <w:rPr>
          <w:spacing w:val="-75"/>
          <w:w w:val="100"/>
        </w:rPr>
        <w:t> </w:t>
      </w:r>
      <w:r>
        <w:rPr>
          <w:rFonts w:ascii="宋体" w:hAnsi="宋体" w:cs="宋体" w:eastAsia="宋体" w:hint="default"/>
          <w:spacing w:val="-2"/>
          <w:w w:val="100"/>
        </w:rPr>
        <w:t>7.5%</w:t>
      </w:r>
      <w:r>
        <w:rPr>
          <w:spacing w:val="-2"/>
          <w:w w:val="100"/>
        </w:rPr>
        <w:t>，</w:t>
      </w:r>
      <w:r>
        <w:rPr>
          <w:w w:val="100"/>
        </w:rPr>
        <w:t> </w:t>
      </w:r>
      <w:r>
        <w:rPr/>
        <w:t>增速持续高于我国</w:t>
      </w:r>
      <w:r>
        <w:rPr>
          <w:spacing w:val="-50"/>
        </w:rPr>
        <w:t> </w:t>
      </w:r>
      <w:r>
        <w:rPr>
          <w:rFonts w:ascii="宋体" w:hAnsi="宋体" w:cs="宋体" w:eastAsia="宋体" w:hint="default"/>
        </w:rPr>
        <w:t>GDP</w:t>
      </w:r>
      <w:r>
        <w:rPr>
          <w:rFonts w:ascii="宋体" w:hAnsi="宋体" w:cs="宋体" w:eastAsia="宋体" w:hint="default"/>
          <w:spacing w:val="-48"/>
        </w:rPr>
        <w:t> </w:t>
      </w:r>
      <w:r>
        <w:rPr/>
        <w:t>增速。但中国国防经费占国内生产总值和国家财政支出的比重仍处于较低</w:t>
      </w:r>
      <w:r>
        <w:rPr>
          <w:w w:val="100"/>
        </w:rPr>
        <w:t> </w:t>
      </w:r>
      <w:r>
        <w:rPr>
          <w:spacing w:val="-7"/>
          <w:w w:val="100"/>
        </w:rPr>
        <w:t>水平，且随着国家安全面临的风险挑战及国际竞争的加剧，未来我国军费支出仍将保持持续增长。</w:t>
      </w:r>
      <w:r>
        <w:rPr>
          <w:rFonts w:ascii="宋体" w:hAnsi="宋体" w:cs="宋体" w:eastAsia="宋体" w:hint="default"/>
          <w:w w:val="100"/>
        </w:rPr>
        <w:t> </w:t>
      </w:r>
    </w:p>
    <w:p>
      <w:pPr>
        <w:pStyle w:val="BodyText"/>
        <w:spacing w:line="237" w:lineRule="auto"/>
        <w:ind w:left="276" w:right="288" w:firstLine="420"/>
        <w:jc w:val="both"/>
        <w:rPr>
          <w:rFonts w:ascii="宋体" w:hAnsi="宋体" w:cs="宋体" w:eastAsia="宋体" w:hint="default"/>
        </w:rPr>
      </w:pPr>
      <w:r>
        <w:rPr>
          <w:spacing w:val="-7"/>
          <w:w w:val="100"/>
        </w:rPr>
        <w:t>同时，随着国防和军队改革的不断深入，国防支出已由“主要用于支持深化国防和军队改革”</w:t>
      </w:r>
      <w:r>
        <w:rPr>
          <w:w w:val="100"/>
        </w:rPr>
        <w:t> </w:t>
      </w:r>
      <w:r>
        <w:rPr>
          <w:spacing w:val="-1"/>
        </w:rPr>
        <w:t>逐步转向“全面推进国防和军队现代化建设”，且我国军队装备信息化水平与世界先进军事水平</w:t>
      </w:r>
      <w:r>
        <w:rPr>
          <w:spacing w:val="-54"/>
        </w:rPr>
        <w:t> </w:t>
      </w:r>
      <w:r>
        <w:rPr>
          <w:spacing w:val="-54"/>
        </w:rPr>
      </w:r>
      <w:r>
        <w:rPr>
          <w:spacing w:val="-1"/>
        </w:rPr>
        <w:t>相比差距依然较大，军队装备信息化亟待提高。未来装备费用投入增速或将持续高于军费总投入</w:t>
      </w:r>
      <w:r>
        <w:rPr>
          <w:spacing w:val="-54"/>
        </w:rPr>
        <w:t> </w:t>
      </w:r>
      <w:r>
        <w:rPr>
          <w:spacing w:val="-54"/>
        </w:rPr>
      </w:r>
      <w:r>
        <w:rPr/>
        <w:t>的增长率，信息化装备提升空间大。</w:t>
      </w:r>
      <w:r>
        <w:rPr>
          <w:rFonts w:ascii="宋体" w:hAnsi="宋体" w:cs="宋体" w:eastAsia="宋体" w:hint="default"/>
        </w:rPr>
        <w:t> </w:t>
      </w:r>
    </w:p>
    <w:p>
      <w:pPr>
        <w:pStyle w:val="BodyText"/>
        <w:spacing w:line="271" w:lineRule="exact"/>
        <w:ind w:left="697" w:right="0"/>
        <w:jc w:val="left"/>
        <w:rPr>
          <w:rFonts w:ascii="宋体" w:hAnsi="宋体" w:cs="宋体" w:eastAsia="宋体" w:hint="default"/>
        </w:rPr>
      </w:pPr>
      <w:r>
        <w:rPr>
          <w:rFonts w:ascii="宋体" w:hAnsi="宋体" w:cs="宋体" w:eastAsia="宋体" w:hint="default"/>
        </w:rPr>
        <w:t>1.2</w:t>
      </w:r>
      <w:r>
        <w:rPr>
          <w:rFonts w:ascii="宋体" w:hAnsi="宋体" w:cs="宋体" w:eastAsia="宋体" w:hint="default"/>
          <w:spacing w:val="-44"/>
        </w:rPr>
        <w:t> </w:t>
      </w:r>
      <w:r>
        <w:rPr>
          <w:spacing w:val="-3"/>
        </w:rPr>
        <w:t>智能电力</w:t>
      </w:r>
      <w:r>
        <w:rPr>
          <w:rFonts w:ascii="宋体" w:hAnsi="宋体" w:cs="宋体" w:eastAsia="宋体" w:hint="default"/>
        </w:rPr>
        <w:t> </w:t>
      </w:r>
    </w:p>
    <w:p>
      <w:pPr>
        <w:spacing w:after="0" w:line="271" w:lineRule="exact"/>
        <w:jc w:val="left"/>
        <w:rPr>
          <w:rFonts w:ascii="宋体" w:hAnsi="宋体" w:cs="宋体" w:eastAsia="宋体" w:hint="default"/>
        </w:rPr>
        <w:sectPr>
          <w:type w:val="continuous"/>
          <w:pgSz w:w="11910" w:h="16840"/>
          <w:pgMar w:top="1120" w:bottom="1380" w:left="1000" w:right="1500"/>
        </w:sectPr>
      </w:pPr>
    </w:p>
    <w:p>
      <w:pPr>
        <w:spacing w:line="240" w:lineRule="auto" w:before="11"/>
        <w:rPr>
          <w:rFonts w:ascii="宋体" w:hAnsi="宋体" w:cs="宋体" w:eastAsia="宋体" w:hint="default"/>
          <w:sz w:val="18"/>
          <w:szCs w:val="18"/>
        </w:rPr>
      </w:pPr>
    </w:p>
    <w:p>
      <w:pPr>
        <w:pStyle w:val="BodyText"/>
        <w:spacing w:line="237" w:lineRule="auto" w:before="38"/>
        <w:ind w:right="208" w:firstLine="420"/>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37"/>
        </w:rPr>
        <w:t> </w:t>
      </w:r>
      <w:r>
        <w:rPr/>
        <w:t>年</w:t>
      </w:r>
      <w:r>
        <w:rPr>
          <w:spacing w:val="-34"/>
        </w:rPr>
        <w:t> </w:t>
      </w:r>
      <w:r>
        <w:rPr>
          <w:rFonts w:ascii="宋体" w:hAnsi="宋体" w:cs="宋体" w:eastAsia="宋体" w:hint="default"/>
        </w:rPr>
        <w:t>3</w:t>
      </w:r>
      <w:r>
        <w:rPr>
          <w:rFonts w:ascii="宋体" w:hAnsi="宋体" w:cs="宋体" w:eastAsia="宋体" w:hint="default"/>
          <w:spacing w:val="-37"/>
        </w:rPr>
        <w:t> </w:t>
      </w:r>
      <w:r>
        <w:rPr>
          <w:spacing w:val="-3"/>
        </w:rPr>
        <w:t>月，国家电网公司在两会报告中提出建设世界一流能源互联网企业的重要物质基础</w:t>
      </w:r>
      <w:r>
        <w:rPr>
          <w:w w:val="100"/>
        </w:rPr>
        <w:t> </w:t>
      </w:r>
      <w:r>
        <w:rPr>
          <w:spacing w:val="-1"/>
        </w:rPr>
        <w:t>是要建设运营好“坚强智能电网”和“电力物联网”。电力物联网首次出现在国家电网公司的两</w:t>
      </w:r>
      <w:r>
        <w:rPr>
          <w:spacing w:val="-55"/>
        </w:rPr>
        <w:t> </w:t>
      </w:r>
      <w:r>
        <w:rPr>
          <w:spacing w:val="-55"/>
        </w:rPr>
      </w:r>
      <w:r>
        <w:rPr>
          <w:spacing w:val="-1"/>
        </w:rPr>
        <w:t>会报告中，成为国家电网的重点发展方向。同年，南方电网公司也对外发布《南方电网公司数字</w:t>
      </w:r>
      <w:r>
        <w:rPr>
          <w:spacing w:val="-55"/>
        </w:rPr>
        <w:t> </w:t>
      </w:r>
      <w:r>
        <w:rPr>
          <w:spacing w:val="-55"/>
        </w:rPr>
      </w:r>
      <w:r>
        <w:rPr>
          <w:spacing w:val="-3"/>
        </w:rPr>
        <w:t>化转型和数字南网建设行动方案》，</w:t>
      </w:r>
      <w:r>
        <w:rPr>
          <w:rFonts w:ascii="宋体" w:hAnsi="宋体" w:cs="宋体" w:eastAsia="宋体" w:hint="default"/>
          <w:spacing w:val="-3"/>
        </w:rPr>
        <w:t>2019-2020</w:t>
      </w:r>
      <w:r>
        <w:rPr>
          <w:rFonts w:ascii="宋体" w:hAnsi="宋体" w:cs="宋体" w:eastAsia="宋体" w:hint="default"/>
          <w:spacing w:val="-31"/>
        </w:rPr>
        <w:t> </w:t>
      </w:r>
      <w:r>
        <w:rPr/>
        <w:t>年预计投资</w:t>
      </w:r>
      <w:r>
        <w:rPr>
          <w:spacing w:val="-31"/>
        </w:rPr>
        <w:t> </w:t>
      </w:r>
      <w:r>
        <w:rPr>
          <w:rFonts w:ascii="宋体" w:hAnsi="宋体" w:cs="宋体" w:eastAsia="宋体" w:hint="default"/>
        </w:rPr>
        <w:t>85</w:t>
      </w:r>
      <w:r>
        <w:rPr>
          <w:rFonts w:ascii="宋体" w:hAnsi="宋体" w:cs="宋体" w:eastAsia="宋体" w:hint="default"/>
          <w:spacing w:val="-34"/>
        </w:rPr>
        <w:t> </w:t>
      </w:r>
      <w:r>
        <w:rPr>
          <w:spacing w:val="-3"/>
        </w:rPr>
        <w:t>亿元。数字南网的建设分为三个阶</w:t>
      </w:r>
      <w:r>
        <w:rPr>
          <w:spacing w:val="-96"/>
        </w:rPr>
        <w:t> </w:t>
      </w:r>
      <w:r>
        <w:rPr>
          <w:spacing w:val="-96"/>
        </w:rPr>
      </w:r>
      <w:r>
        <w:rPr/>
        <w:t>段，到</w:t>
      </w:r>
      <w:r>
        <w:rPr>
          <w:spacing w:val="-55"/>
        </w:rPr>
        <w:t> </w:t>
      </w:r>
      <w:r>
        <w:rPr>
          <w:rFonts w:ascii="宋体" w:hAnsi="宋体" w:cs="宋体" w:eastAsia="宋体" w:hint="default"/>
        </w:rPr>
        <w:t>2025</w:t>
      </w:r>
      <w:r>
        <w:rPr>
          <w:rFonts w:ascii="宋体" w:hAnsi="宋体" w:cs="宋体" w:eastAsia="宋体" w:hint="default"/>
          <w:spacing w:val="-56"/>
        </w:rPr>
        <w:t> </w:t>
      </w:r>
      <w:r>
        <w:rPr/>
        <w:t>年基本实现数字南网。</w:t>
      </w:r>
      <w:r>
        <w:rPr>
          <w:rFonts w:ascii="宋体" w:hAnsi="宋体" w:cs="宋体" w:eastAsia="宋体" w:hint="default"/>
        </w:rPr>
        <w:t> </w:t>
      </w:r>
    </w:p>
    <w:p>
      <w:pPr>
        <w:pStyle w:val="BodyText"/>
        <w:spacing w:line="237" w:lineRule="auto"/>
        <w:ind w:right="208" w:firstLine="420"/>
        <w:jc w:val="both"/>
        <w:rPr>
          <w:rFonts w:ascii="宋体" w:hAnsi="宋体" w:cs="宋体" w:eastAsia="宋体" w:hint="default"/>
        </w:rPr>
      </w:pPr>
      <w:r>
        <w:rPr/>
        <w:t>根据相关市场测算，广义的电力物联网投资在</w:t>
      </w:r>
      <w:r>
        <w:rPr>
          <w:spacing w:val="-51"/>
        </w:rPr>
        <w:t> </w:t>
      </w:r>
      <w:r>
        <w:rPr>
          <w:rFonts w:ascii="宋体" w:hAnsi="宋体" w:cs="宋体" w:eastAsia="宋体" w:hint="default"/>
        </w:rPr>
        <w:t>2019-2024</w:t>
      </w:r>
      <w:r>
        <w:rPr>
          <w:rFonts w:ascii="宋体" w:hAnsi="宋体" w:cs="宋体" w:eastAsia="宋体" w:hint="default"/>
          <w:spacing w:val="-51"/>
        </w:rPr>
        <w:t> </w:t>
      </w:r>
      <w:r>
        <w:rPr/>
        <w:t>年规模有望达到</w:t>
      </w:r>
      <w:r>
        <w:rPr>
          <w:spacing w:val="-52"/>
        </w:rPr>
        <w:t> </w:t>
      </w:r>
      <w:r>
        <w:rPr>
          <w:rFonts w:ascii="宋体" w:hAnsi="宋体" w:cs="宋体" w:eastAsia="宋体" w:hint="default"/>
        </w:rPr>
        <w:t>10000</w:t>
      </w:r>
      <w:r>
        <w:rPr>
          <w:rFonts w:ascii="宋体" w:hAnsi="宋体" w:cs="宋体" w:eastAsia="宋体" w:hint="default"/>
          <w:spacing w:val="-51"/>
        </w:rPr>
        <w:t> </w:t>
      </w:r>
      <w:r>
        <w:rPr/>
        <w:t>亿元规模；</w:t>
      </w:r>
      <w:r>
        <w:rPr>
          <w:w w:val="100"/>
        </w:rPr>
        <w:t> </w:t>
      </w:r>
      <w:r>
        <w:rPr/>
        <w:t>狭义的电力物联网投资可以聚焦在国家电网、南方电网信息通信领域的投资，</w:t>
      </w:r>
      <w:r>
        <w:rPr>
          <w:rFonts w:ascii="宋体" w:hAnsi="宋体" w:cs="宋体" w:eastAsia="宋体" w:hint="default"/>
        </w:rPr>
        <w:t>2019</w:t>
      </w:r>
      <w:r>
        <w:rPr>
          <w:rFonts w:ascii="宋体" w:hAnsi="宋体" w:cs="宋体" w:eastAsia="宋体" w:hint="default"/>
          <w:spacing w:val="-48"/>
        </w:rPr>
        <w:t> </w:t>
      </w:r>
      <w:r>
        <w:rPr/>
        <w:t>年</w:t>
      </w:r>
      <w:r>
        <w:rPr>
          <w:rFonts w:ascii="宋体" w:hAnsi="宋体" w:cs="宋体" w:eastAsia="宋体" w:hint="default"/>
        </w:rPr>
        <w:t>-2024</w:t>
      </w:r>
      <w:r>
        <w:rPr>
          <w:rFonts w:ascii="宋体" w:hAnsi="宋体" w:cs="宋体" w:eastAsia="宋体" w:hint="default"/>
          <w:spacing w:val="-50"/>
        </w:rPr>
        <w:t> </w:t>
      </w:r>
      <w:r>
        <w:rPr>
          <w:spacing w:val="-3"/>
        </w:rPr>
        <w:t>年年</w:t>
      </w:r>
      <w:r>
        <w:rPr>
          <w:spacing w:val="-3"/>
          <w:w w:val="100"/>
        </w:rPr>
        <w:t> </w:t>
      </w:r>
      <w:r>
        <w:rPr/>
        <w:t>投资规模有望达到</w:t>
      </w:r>
      <w:r>
        <w:rPr>
          <w:spacing w:val="-54"/>
        </w:rPr>
        <w:t> </w:t>
      </w:r>
      <w:r>
        <w:rPr>
          <w:rFonts w:ascii="宋体" w:hAnsi="宋体" w:cs="宋体" w:eastAsia="宋体" w:hint="default"/>
        </w:rPr>
        <w:t>3000</w:t>
      </w:r>
      <w:r>
        <w:rPr>
          <w:rFonts w:ascii="宋体" w:hAnsi="宋体" w:cs="宋体" w:eastAsia="宋体" w:hint="default"/>
          <w:spacing w:val="-56"/>
        </w:rPr>
        <w:t> </w:t>
      </w:r>
      <w:r>
        <w:rPr/>
        <w:t>亿元。</w:t>
      </w:r>
      <w:r>
        <w:rPr>
          <w:rFonts w:ascii="宋体" w:hAnsi="宋体" w:cs="宋体" w:eastAsia="宋体" w:hint="default"/>
        </w:rPr>
        <w:t> </w:t>
      </w:r>
    </w:p>
    <w:p>
      <w:pPr>
        <w:pStyle w:val="BodyText"/>
        <w:spacing w:line="272" w:lineRule="exact"/>
        <w:ind w:left="557" w:right="102"/>
        <w:jc w:val="left"/>
        <w:rPr>
          <w:rFonts w:ascii="宋体" w:hAnsi="宋体" w:cs="宋体" w:eastAsia="宋体" w:hint="default"/>
        </w:rPr>
      </w:pPr>
      <w:r>
        <w:rPr>
          <w:rFonts w:ascii="宋体" w:hAnsi="宋体" w:cs="宋体" w:eastAsia="宋体" w:hint="default"/>
        </w:rPr>
        <w:t>2.</w:t>
      </w:r>
      <w:r>
        <w:rPr/>
        <w:t>公司产品及行业情况</w:t>
      </w:r>
      <w:r>
        <w:rPr>
          <w:rFonts w:ascii="宋体" w:hAnsi="宋体" w:cs="宋体" w:eastAsia="宋体" w:hint="default"/>
        </w:rPr>
        <w:t> </w:t>
      </w:r>
    </w:p>
    <w:p>
      <w:pPr>
        <w:pStyle w:val="BodyText"/>
        <w:spacing w:line="240" w:lineRule="auto"/>
        <w:ind w:left="557" w:right="102"/>
        <w:jc w:val="left"/>
      </w:pPr>
      <w:r>
        <w:rPr>
          <w:rFonts w:ascii="宋体" w:hAnsi="宋体" w:cs="宋体" w:eastAsia="宋体" w:hint="default"/>
        </w:rPr>
        <w:t>2.1</w:t>
      </w:r>
      <w:r>
        <w:rPr>
          <w:rFonts w:ascii="宋体" w:hAnsi="宋体" w:cs="宋体" w:eastAsia="宋体" w:hint="default"/>
          <w:spacing w:val="-53"/>
        </w:rPr>
        <w:t> </w:t>
      </w:r>
      <w:r>
        <w:rPr>
          <w:spacing w:val="-3"/>
        </w:rPr>
        <w:t>军工装备</w:t>
      </w:r>
      <w:r>
        <w:rPr>
          <w:spacing w:val="-96"/>
        </w:rPr>
        <w:t> </w:t>
      </w:r>
      <w:r>
        <w:rPr>
          <w:rFonts w:ascii="宋体" w:hAnsi="宋体" w:cs="宋体" w:eastAsia="宋体" w:hint="default"/>
          <w:spacing w:val="-96"/>
        </w:rPr>
      </w:r>
      <w:r>
        <w:rPr>
          <w:spacing w:val="-2"/>
        </w:rPr>
        <w:t>公司军工装备产业主要分为军用信息化装备和军用能源装备两大类，其中军用信息化装备主</w:t>
      </w:r>
    </w:p>
    <w:p>
      <w:pPr>
        <w:pStyle w:val="BodyText"/>
        <w:spacing w:line="274" w:lineRule="exact" w:before="22"/>
        <w:ind w:right="102"/>
        <w:jc w:val="left"/>
        <w:rPr>
          <w:rFonts w:ascii="宋体" w:hAnsi="宋体" w:cs="宋体" w:eastAsia="宋体" w:hint="default"/>
        </w:rPr>
      </w:pPr>
      <w:r>
        <w:rPr>
          <w:spacing w:val="-1"/>
        </w:rPr>
        <w:t>要包括车载通信指挥系统、舰载作战辅助系统，军用能源装备主要包括各类军用电站及军用新能</w:t>
      </w:r>
      <w:r>
        <w:rPr>
          <w:spacing w:val="-55"/>
        </w:rPr>
        <w:t> </w:t>
      </w:r>
      <w:r>
        <w:rPr>
          <w:spacing w:val="-55"/>
        </w:rPr>
      </w:r>
      <w:r>
        <w:rPr/>
        <w:t>源产品等。</w:t>
      </w:r>
      <w:r>
        <w:rPr>
          <w:rFonts w:ascii="宋体" w:hAnsi="宋体" w:cs="宋体" w:eastAsia="宋体" w:hint="default"/>
        </w:rPr>
        <w:t> </w:t>
      </w:r>
    </w:p>
    <w:p>
      <w:pPr>
        <w:pStyle w:val="BodyText"/>
        <w:spacing w:line="246" w:lineRule="exact"/>
        <w:ind w:left="557" w:right="102"/>
        <w:jc w:val="left"/>
        <w:rPr>
          <w:rFonts w:ascii="宋体" w:hAnsi="宋体" w:cs="宋体" w:eastAsia="宋体" w:hint="default"/>
        </w:rPr>
      </w:pPr>
      <w:r>
        <w:rPr/>
        <w:t>（</w:t>
      </w:r>
      <w:r>
        <w:rPr>
          <w:rFonts w:ascii="宋体" w:hAnsi="宋体" w:cs="宋体" w:eastAsia="宋体" w:hint="default"/>
        </w:rPr>
        <w:t>1</w:t>
      </w:r>
      <w:r>
        <w:rPr/>
        <w:t>）军用信息化装备</w:t>
      </w:r>
      <w:r>
        <w:rPr>
          <w:rFonts w:ascii="宋体" w:hAnsi="宋体" w:cs="宋体" w:eastAsia="宋体" w:hint="default"/>
        </w:rPr>
        <w:t> </w:t>
      </w:r>
    </w:p>
    <w:p>
      <w:pPr>
        <w:pStyle w:val="BodyText"/>
        <w:spacing w:line="237" w:lineRule="auto" w:before="2"/>
        <w:ind w:right="208" w:firstLine="420"/>
        <w:jc w:val="both"/>
        <w:rPr>
          <w:rFonts w:ascii="宋体" w:hAnsi="宋体" w:cs="宋体" w:eastAsia="宋体" w:hint="default"/>
        </w:rPr>
      </w:pPr>
      <w:r>
        <w:rPr>
          <w:spacing w:val="-2"/>
        </w:rPr>
        <w:t>车载通信指挥系统：产品用于移动通信指挥、应急（抢险救灾等）通信指挥体系，主要产品</w:t>
      </w:r>
      <w:r>
        <w:rPr>
          <w:w w:val="100"/>
        </w:rPr>
        <w:t> </w:t>
      </w:r>
      <w:r>
        <w:rPr>
          <w:spacing w:val="-1"/>
        </w:rPr>
        <w:t>覆盖车载卫星通信、光通信、电子对抗等车载通信指挥系统、电子方舱及军用特种改装车辆。公</w:t>
      </w:r>
      <w:r>
        <w:rPr>
          <w:spacing w:val="-55"/>
        </w:rPr>
        <w:t> </w:t>
      </w:r>
      <w:r>
        <w:rPr>
          <w:spacing w:val="-55"/>
        </w:rPr>
      </w:r>
      <w:r>
        <w:rPr>
          <w:spacing w:val="-6"/>
        </w:rPr>
        <w:t>司产品在电磁兼容、多频段通信指挥系统集成、轻量化设计、系统集中管控等方面具有领先优势，</w:t>
      </w:r>
      <w:r>
        <w:rPr>
          <w:spacing w:val="-54"/>
        </w:rPr>
        <w:t> </w:t>
      </w:r>
      <w:r>
        <w:rPr>
          <w:spacing w:val="-54"/>
        </w:rPr>
      </w:r>
      <w:r>
        <w:rPr/>
        <w:t>先后为陆军、战略支援部队、火箭军等军兵种及航天、航空等单位研制生产十九大系列</w:t>
      </w:r>
      <w:r>
        <w:rPr>
          <w:spacing w:val="-47"/>
        </w:rPr>
        <w:t> </w:t>
      </w:r>
      <w:r>
        <w:rPr>
          <w:rFonts w:ascii="宋体" w:hAnsi="宋体" w:cs="宋体" w:eastAsia="宋体" w:hint="default"/>
        </w:rPr>
        <w:t>100</w:t>
      </w:r>
      <w:r>
        <w:rPr>
          <w:rFonts w:ascii="宋体" w:hAnsi="宋体" w:cs="宋体" w:eastAsia="宋体" w:hint="default"/>
          <w:spacing w:val="-50"/>
        </w:rPr>
        <w:t> </w:t>
      </w:r>
      <w:r>
        <w:rPr>
          <w:spacing w:val="-3"/>
        </w:rPr>
        <w:t>多种</w:t>
      </w:r>
      <w:r>
        <w:rPr>
          <w:spacing w:val="-3"/>
          <w:w w:val="100"/>
        </w:rPr>
        <w:t> </w:t>
      </w:r>
      <w:r>
        <w:rPr>
          <w:spacing w:val="-1"/>
        </w:rPr>
        <w:t>军用特种产品。武器装备信息化已成为军队建设的重点领域，车载通信指挥系统作为装备信息化</w:t>
      </w:r>
      <w:r>
        <w:rPr>
          <w:spacing w:val="-55"/>
        </w:rPr>
        <w:t> </w:t>
      </w:r>
      <w:r>
        <w:rPr>
          <w:spacing w:val="-55"/>
        </w:rPr>
      </w:r>
      <w:r>
        <w:rPr/>
        <w:t>建设的重要组成部分，整体处于快速发展阶段。</w:t>
      </w:r>
      <w:r>
        <w:rPr>
          <w:rFonts w:ascii="宋体" w:hAnsi="宋体" w:cs="宋体" w:eastAsia="宋体" w:hint="default"/>
        </w:rPr>
        <w:t> </w:t>
      </w:r>
    </w:p>
    <w:p>
      <w:pPr>
        <w:pStyle w:val="BodyText"/>
        <w:spacing w:line="237" w:lineRule="auto" w:before="1"/>
        <w:ind w:right="209" w:firstLine="420"/>
        <w:jc w:val="both"/>
        <w:rPr>
          <w:rFonts w:ascii="宋体" w:hAnsi="宋体" w:cs="宋体" w:eastAsia="宋体" w:hint="default"/>
        </w:rPr>
      </w:pPr>
      <w:r>
        <w:rPr>
          <w:spacing w:val="-2"/>
        </w:rPr>
        <w:t>舰载作战辅助系统：产品用于全舰作战状态显示以及指令的收发和管理，主要产品包括舰载</w:t>
      </w:r>
      <w:r>
        <w:rPr>
          <w:w w:val="100"/>
        </w:rPr>
        <w:t> </w:t>
      </w:r>
      <w:r>
        <w:rPr>
          <w:spacing w:val="-1"/>
        </w:rPr>
        <w:t>作战辅助系统的综合监视设备、业务终端和深弹指挥仪等。公司产品在武器状态动态跟踪与显示</w:t>
      </w:r>
      <w:r>
        <w:rPr>
          <w:spacing w:val="-55"/>
        </w:rPr>
        <w:t> </w:t>
      </w:r>
      <w:r>
        <w:rPr>
          <w:spacing w:val="-55"/>
        </w:rPr>
      </w:r>
      <w:r>
        <w:rPr>
          <w:spacing w:val="-1"/>
        </w:rPr>
        <w:t>方面可实现高同步操作，具备较高的集成度，较好地满足了海军舰艇作战系统高实时性、高可靠</w:t>
      </w:r>
      <w:r>
        <w:rPr>
          <w:spacing w:val="-55"/>
        </w:rPr>
        <w:t> </w:t>
      </w:r>
      <w:r>
        <w:rPr>
          <w:spacing w:val="-55"/>
        </w:rPr>
      </w:r>
      <w:r>
        <w:rPr>
          <w:spacing w:val="-1"/>
        </w:rPr>
        <w:t>性及复杂信息管理的多重要求，广泛应用于海军各型号作战舰艇。随着我国“全面建成世界一流</w:t>
      </w:r>
      <w:r>
        <w:rPr>
          <w:spacing w:val="-55"/>
        </w:rPr>
        <w:t> </w:t>
      </w:r>
      <w:r>
        <w:rPr>
          <w:spacing w:val="-55"/>
        </w:rPr>
      </w:r>
      <w:r>
        <w:rPr>
          <w:spacing w:val="-1"/>
        </w:rPr>
        <w:t>海军”目标的提出，海军建设将进一步提速，舰载作战辅助系统作为海军舰艇的必要部分，市场</w:t>
      </w:r>
      <w:r>
        <w:rPr>
          <w:spacing w:val="-55"/>
        </w:rPr>
        <w:t> </w:t>
      </w:r>
      <w:r>
        <w:rPr>
          <w:spacing w:val="-55"/>
        </w:rPr>
      </w:r>
      <w:r>
        <w:rPr/>
        <w:t>空间也将持续增长。</w:t>
      </w:r>
      <w:r>
        <w:rPr>
          <w:rFonts w:ascii="宋体" w:hAnsi="宋体" w:cs="宋体" w:eastAsia="宋体" w:hint="default"/>
        </w:rPr>
        <w:t> </w:t>
      </w:r>
    </w:p>
    <w:p>
      <w:pPr>
        <w:pStyle w:val="BodyText"/>
        <w:spacing w:line="237" w:lineRule="auto"/>
        <w:ind w:right="115" w:firstLine="420"/>
        <w:jc w:val="both"/>
        <w:rPr>
          <w:rFonts w:ascii="宋体" w:hAnsi="宋体" w:cs="宋体" w:eastAsia="宋体" w:hint="default"/>
        </w:rPr>
      </w:pPr>
      <w:r>
        <w:rPr/>
        <w:t>此外，随着客户对军用信息化装备建设的加速，公司持续加大在军用信息化装备领域的研发</w:t>
      </w:r>
      <w:r>
        <w:rPr>
          <w:w w:val="100"/>
        </w:rPr>
        <w:t> </w:t>
      </w:r>
      <w:r>
        <w:rPr/>
        <w:t>与投入，在新一代通信指挥系统、车载通信指挥智能控制平台、激光测风雷达、国产自主可控信</w:t>
      </w:r>
      <w:r>
        <w:rPr>
          <w:spacing w:val="-97"/>
        </w:rPr>
        <w:t> </w:t>
      </w:r>
      <w:r>
        <w:rPr>
          <w:spacing w:val="-97"/>
        </w:rPr>
      </w:r>
      <w:r>
        <w:rPr/>
        <w:t>息终端、无人机预警探测系统等领域进行了预先投入与布局，后续将陆续完成产品及型号定型。</w:t>
      </w:r>
      <w:r>
        <w:rPr>
          <w:rFonts w:ascii="宋体" w:hAnsi="宋体" w:cs="宋体" w:eastAsia="宋体" w:hint="default"/>
        </w:rPr>
        <w:t> </w:t>
      </w:r>
    </w:p>
    <w:p>
      <w:pPr>
        <w:pStyle w:val="BodyText"/>
        <w:spacing w:line="272" w:lineRule="exact" w:before="26"/>
        <w:ind w:left="557" w:right="102"/>
        <w:jc w:val="left"/>
      </w:pPr>
      <w:r>
        <w:rPr/>
        <w:t>（</w:t>
      </w:r>
      <w:r>
        <w:rPr>
          <w:rFonts w:ascii="宋体" w:hAnsi="宋体" w:cs="宋体" w:eastAsia="宋体" w:hint="default"/>
        </w:rPr>
        <w:t>2</w:t>
      </w:r>
      <w:r>
        <w:rPr/>
        <w:t>）军用能源装备</w:t>
      </w:r>
      <w:r>
        <w:rPr>
          <w:rFonts w:ascii="宋体" w:hAnsi="宋体" w:cs="宋体" w:eastAsia="宋体" w:hint="default"/>
          <w:w w:val="100"/>
        </w:rPr>
        <w:t> </w:t>
      </w:r>
      <w:r>
        <w:rPr>
          <w:spacing w:val="-2"/>
        </w:rPr>
        <w:t>公司的军用能源装备主要为军用电站，产品主要运用于军用雷达、导弹、通信等领域的电力</w:t>
      </w:r>
    </w:p>
    <w:p>
      <w:pPr>
        <w:pStyle w:val="BodyText"/>
        <w:spacing w:line="272" w:lineRule="exact" w:before="1"/>
        <w:ind w:right="102"/>
        <w:jc w:val="left"/>
      </w:pPr>
      <w:r>
        <w:rPr>
          <w:spacing w:val="-1"/>
        </w:rPr>
        <w:t>供应系统，包括固定电站、拖车电站、方舱电站等。公司产品凭借着较高的供电质量、供电稳定</w:t>
      </w:r>
      <w:r>
        <w:rPr>
          <w:spacing w:val="-55"/>
        </w:rPr>
        <w:t> </w:t>
      </w:r>
      <w:r>
        <w:rPr>
          <w:spacing w:val="-55"/>
        </w:rPr>
      </w:r>
      <w:r>
        <w:rPr>
          <w:spacing w:val="-1"/>
        </w:rPr>
        <w:t>性，以及齐全的产品门类，在军方多个应用领域具备领先优势。军用电站产品覆盖面较广，行业</w:t>
      </w:r>
    </w:p>
    <w:p>
      <w:pPr>
        <w:pStyle w:val="BodyText"/>
        <w:spacing w:line="272" w:lineRule="exact" w:before="1"/>
        <w:ind w:left="557" w:right="102" w:hanging="421"/>
        <w:jc w:val="left"/>
      </w:pPr>
      <w:r>
        <w:rPr/>
        <w:t>整体市场规模及毛利水平趋于平稳，行业集中度较高，市场竞争格局相对稳定。</w:t>
      </w:r>
      <w:r>
        <w:rPr>
          <w:rFonts w:ascii="宋体" w:hAnsi="宋体" w:cs="宋体" w:eastAsia="宋体" w:hint="default"/>
          <w:w w:val="100"/>
        </w:rPr>
        <w:t> </w:t>
      </w:r>
      <w:r>
        <w:rPr>
          <w:spacing w:val="-2"/>
        </w:rPr>
        <w:t>此外，为响应军用新能源发展，公司在军用电站的基础上，向军用氢能源、多能源微电网等</w:t>
      </w:r>
    </w:p>
    <w:p>
      <w:pPr>
        <w:pStyle w:val="BodyText"/>
        <w:spacing w:line="272" w:lineRule="exact" w:before="1"/>
        <w:ind w:right="102"/>
        <w:jc w:val="left"/>
      </w:pPr>
      <w:r>
        <w:rPr>
          <w:spacing w:val="-1"/>
        </w:rPr>
        <w:t>军用新能源方向发展。报告期内，公司中标军方氢燃料电池电源系统、反恐电源保障系统等特种</w:t>
      </w:r>
      <w:r>
        <w:rPr>
          <w:spacing w:val="-55"/>
        </w:rPr>
        <w:t> </w:t>
      </w:r>
      <w:r>
        <w:rPr>
          <w:spacing w:val="-55"/>
        </w:rPr>
      </w:r>
      <w:r>
        <w:rPr>
          <w:spacing w:val="-1"/>
        </w:rPr>
        <w:t>新能源项目，“江西省氢燃料电池工程研究中心”亦获江西省发改委批建，将在传统军用电站产</w:t>
      </w:r>
    </w:p>
    <w:p>
      <w:pPr>
        <w:pStyle w:val="BodyText"/>
        <w:spacing w:line="272" w:lineRule="exact" w:before="1"/>
        <w:ind w:left="557" w:right="4345" w:hanging="421"/>
        <w:jc w:val="left"/>
        <w:rPr>
          <w:rFonts w:ascii="宋体" w:hAnsi="宋体" w:cs="宋体" w:eastAsia="宋体" w:hint="default"/>
        </w:rPr>
      </w:pPr>
      <w:r>
        <w:rPr/>
        <w:t>品基础上逐步扩充军用新能源装备的产品系列。</w:t>
      </w:r>
      <w:r>
        <w:rPr>
          <w:rFonts w:ascii="宋体" w:hAnsi="宋体" w:cs="宋体" w:eastAsia="宋体" w:hint="default"/>
          <w:w w:val="100"/>
        </w:rPr>
        <w:t> </w:t>
      </w:r>
      <w:r>
        <w:rPr>
          <w:rFonts w:ascii="宋体" w:hAnsi="宋体" w:cs="宋体" w:eastAsia="宋体" w:hint="default"/>
        </w:rPr>
        <w:t>2.2</w:t>
      </w:r>
      <w:r>
        <w:rPr>
          <w:rFonts w:ascii="宋体" w:hAnsi="宋体" w:cs="宋体" w:eastAsia="宋体" w:hint="default"/>
          <w:spacing w:val="-44"/>
        </w:rPr>
        <w:t> </w:t>
      </w:r>
      <w:r>
        <w:rPr>
          <w:spacing w:val="-3"/>
        </w:rPr>
        <w:t>智能电力</w:t>
      </w:r>
      <w:r>
        <w:rPr>
          <w:rFonts w:ascii="宋体" w:hAnsi="宋体" w:cs="宋体" w:eastAsia="宋体" w:hint="default"/>
        </w:rPr>
        <w:t> </w:t>
      </w:r>
    </w:p>
    <w:p>
      <w:pPr>
        <w:pStyle w:val="BodyText"/>
        <w:spacing w:line="272" w:lineRule="exact" w:before="2"/>
        <w:ind w:left="557" w:right="102"/>
        <w:jc w:val="left"/>
      </w:pPr>
      <w:r>
        <w:rPr/>
        <w:t>（</w:t>
      </w:r>
      <w:r>
        <w:rPr>
          <w:rFonts w:ascii="宋体" w:hAnsi="宋体" w:cs="宋体" w:eastAsia="宋体" w:hint="default"/>
        </w:rPr>
        <w:t>1</w:t>
      </w:r>
      <w:r>
        <w:rPr/>
        <w:t>）电力软件及系统集成</w:t>
      </w:r>
      <w:r>
        <w:rPr>
          <w:rFonts w:ascii="宋体" w:hAnsi="宋体" w:cs="宋体" w:eastAsia="宋体" w:hint="default"/>
          <w:w w:val="100"/>
        </w:rPr>
        <w:t> </w:t>
      </w:r>
      <w:r>
        <w:rPr>
          <w:spacing w:val="-2"/>
        </w:rPr>
        <w:t>主要产品包括电网和电力行业信息化软件及相应的系统集成，电网软件主要涉足电网调度控</w:t>
      </w:r>
    </w:p>
    <w:p>
      <w:pPr>
        <w:pStyle w:val="BodyText"/>
        <w:spacing w:line="272" w:lineRule="exact" w:before="1"/>
        <w:ind w:right="210"/>
        <w:jc w:val="both"/>
      </w:pPr>
      <w:r>
        <w:rPr>
          <w:spacing w:val="-1"/>
        </w:rPr>
        <w:t>制及电网运行检修两大领域。其中，调度控制软件是电网安全稳定高效运行的关键产品，公司调</w:t>
      </w:r>
      <w:r>
        <w:rPr>
          <w:spacing w:val="-55"/>
        </w:rPr>
        <w:t> </w:t>
      </w:r>
      <w:r>
        <w:rPr>
          <w:spacing w:val="-55"/>
        </w:rPr>
      </w:r>
      <w:r>
        <w:rPr>
          <w:spacing w:val="-1"/>
        </w:rPr>
        <w:t>控云等产品具有较高的准入门槛及客户粘性，公司是该领域的少数参与者之一，在细分市场处于</w:t>
      </w:r>
      <w:r>
        <w:rPr>
          <w:spacing w:val="-55"/>
        </w:rPr>
        <w:t> </w:t>
      </w:r>
      <w:r>
        <w:rPr>
          <w:spacing w:val="-55"/>
        </w:rPr>
      </w:r>
      <w:r>
        <w:rPr>
          <w:spacing w:val="-1"/>
        </w:rPr>
        <w:t>行业领先地位。运检业务方面，公司配电物联产品广泛应用于电网公司供电服务指挥中心及配电</w:t>
      </w:r>
    </w:p>
    <w:p>
      <w:pPr>
        <w:pStyle w:val="BodyText"/>
        <w:spacing w:line="247" w:lineRule="exact"/>
        <w:ind w:right="102"/>
        <w:jc w:val="left"/>
      </w:pPr>
      <w:r>
        <w:rPr>
          <w:spacing w:val="-4"/>
        </w:rPr>
        <w:t>网运维检修等部门。截至报告期末，公司调控云平台覆盖国网 </w:t>
      </w:r>
      <w:r>
        <w:rPr>
          <w:rFonts w:ascii="宋体" w:hAnsi="宋体" w:cs="宋体" w:eastAsia="宋体" w:hint="default"/>
        </w:rPr>
        <w:t>17</w:t>
      </w:r>
      <w:r>
        <w:rPr>
          <w:rFonts w:ascii="宋体" w:hAnsi="宋体" w:cs="宋体" w:eastAsia="宋体" w:hint="default"/>
          <w:spacing w:val="-37"/>
        </w:rPr>
        <w:t> </w:t>
      </w:r>
      <w:r>
        <w:rPr>
          <w:spacing w:val="-4"/>
        </w:rPr>
        <w:t>家省级及以上用户单位，供电服</w:t>
      </w:r>
    </w:p>
    <w:p>
      <w:pPr>
        <w:pStyle w:val="BodyText"/>
        <w:spacing w:line="237" w:lineRule="auto"/>
        <w:ind w:right="102"/>
        <w:jc w:val="left"/>
      </w:pPr>
      <w:r>
        <w:rPr>
          <w:spacing w:val="-2"/>
          <w:w w:val="100"/>
        </w:rPr>
        <w:t>务指挥系统覆盖国网</w:t>
      </w:r>
      <w:r>
        <w:rPr>
          <w:spacing w:val="-42"/>
          <w:w w:val="100"/>
        </w:rPr>
        <w:t> </w:t>
      </w:r>
      <w:r>
        <w:rPr>
          <w:rFonts w:ascii="宋体" w:hAnsi="宋体" w:cs="宋体" w:eastAsia="宋体" w:hint="default"/>
          <w:w w:val="100"/>
        </w:rPr>
        <w:t>15</w:t>
      </w:r>
      <w:r>
        <w:rPr>
          <w:rFonts w:ascii="宋体" w:hAnsi="宋体" w:cs="宋体" w:eastAsia="宋体" w:hint="default"/>
          <w:spacing w:val="-44"/>
          <w:w w:val="100"/>
        </w:rPr>
        <w:t> </w:t>
      </w:r>
      <w:r>
        <w:rPr>
          <w:spacing w:val="-8"/>
          <w:w w:val="100"/>
        </w:rPr>
        <w:t>家省级用户单位。此外，公司面向其它电力相关行业开发了电力交易产品、</w:t>
      </w:r>
      <w:r>
        <w:rPr>
          <w:spacing w:val="-101"/>
          <w:w w:val="100"/>
        </w:rPr>
        <w:t> </w:t>
      </w:r>
      <w:r>
        <w:rPr>
          <w:spacing w:val="-101"/>
          <w:w w:val="100"/>
        </w:rPr>
      </w:r>
      <w:r>
        <w:rPr/>
        <w:t>能效管理等电力软件产品，并基于以上产品提供综合能源综合解决方案。其中，电力交易产品主</w:t>
      </w:r>
      <w:r>
        <w:rPr>
          <w:spacing w:val="-97"/>
        </w:rPr>
        <w:t> </w:t>
      </w:r>
      <w:r>
        <w:rPr>
          <w:spacing w:val="-97"/>
        </w:rPr>
      </w:r>
      <w:r>
        <w:rPr/>
        <w:t>要涵盖发电侧交易辅助决策、交易仿真平台、售电辅助决策、现货交易动态监测等产品。能效管</w:t>
      </w:r>
      <w:r>
        <w:rPr>
          <w:spacing w:val="-97"/>
        </w:rPr>
        <w:t> </w:t>
      </w:r>
      <w:r>
        <w:rPr>
          <w:spacing w:val="-97"/>
        </w:rPr>
      </w:r>
      <w:r>
        <w:rPr/>
        <w:t>理产品主要面向重点高耗能企业、商业楼宇、园区等客户提供能效管理平台及服务，并开展电力</w:t>
      </w:r>
    </w:p>
    <w:p>
      <w:pPr>
        <w:spacing w:after="0" w:line="237" w:lineRule="auto"/>
        <w:jc w:val="left"/>
        <w:sectPr>
          <w:pgSz w:w="11910" w:h="16840"/>
          <w:pgMar w:header="880" w:footer="1195" w:top="1120" w:bottom="1380" w:left="1140" w:right="1580"/>
        </w:sectPr>
      </w:pPr>
    </w:p>
    <w:p>
      <w:pPr>
        <w:spacing w:line="240" w:lineRule="auto" w:before="11"/>
        <w:rPr>
          <w:rFonts w:ascii="宋体" w:hAnsi="宋体" w:cs="宋体" w:eastAsia="宋体" w:hint="default"/>
          <w:sz w:val="18"/>
          <w:szCs w:val="18"/>
        </w:rPr>
      </w:pPr>
    </w:p>
    <w:p>
      <w:pPr>
        <w:pStyle w:val="BodyText"/>
        <w:spacing w:line="272" w:lineRule="exact" w:before="64"/>
        <w:ind w:left="496" w:right="0"/>
        <w:jc w:val="left"/>
        <w:rPr>
          <w:rFonts w:ascii="宋体" w:hAnsi="宋体" w:cs="宋体" w:eastAsia="宋体" w:hint="default"/>
        </w:rPr>
      </w:pPr>
      <w:r>
        <w:rPr>
          <w:spacing w:val="-1"/>
        </w:rPr>
        <w:t>运维、设备管理、节能改造、虚拟电厂和分布式能源等增值服务。综合能效管理和能源服务业务</w:t>
      </w:r>
      <w:r>
        <w:rPr>
          <w:spacing w:val="-55"/>
        </w:rPr>
        <w:t> </w:t>
      </w:r>
      <w:r>
        <w:rPr>
          <w:spacing w:val="-55"/>
        </w:rPr>
      </w:r>
      <w:r>
        <w:rPr/>
        <w:t>行业尚处探索阶段，国内市场有待逐步成熟。</w:t>
      </w:r>
      <w:r>
        <w:rPr>
          <w:rFonts w:ascii="宋体" w:hAnsi="宋体" w:cs="宋体" w:eastAsia="宋体" w:hint="default"/>
        </w:rPr>
        <w:t> </w:t>
      </w:r>
    </w:p>
    <w:p>
      <w:pPr>
        <w:pStyle w:val="BodyText"/>
        <w:spacing w:line="272" w:lineRule="exact" w:before="1"/>
        <w:ind w:left="917" w:right="0"/>
        <w:jc w:val="left"/>
      </w:pPr>
      <w:r>
        <w:rPr/>
        <w:t>（</w:t>
      </w:r>
      <w:r>
        <w:rPr>
          <w:rFonts w:ascii="宋体" w:hAnsi="宋体" w:cs="宋体" w:eastAsia="宋体" w:hint="default"/>
        </w:rPr>
        <w:t>2</w:t>
      </w:r>
      <w:r>
        <w:rPr/>
        <w:t>）智能应急电源</w:t>
      </w:r>
      <w:r>
        <w:rPr>
          <w:rFonts w:ascii="宋体" w:hAnsi="宋体" w:cs="宋体" w:eastAsia="宋体" w:hint="default"/>
          <w:w w:val="100"/>
        </w:rPr>
        <w:t> </w:t>
      </w:r>
      <w:r>
        <w:rPr>
          <w:spacing w:val="-4"/>
          <w:w w:val="100"/>
        </w:rPr>
        <w:t>公司智能应急电源产品是军用技术产品在民用领域的融合应用，主要包括各类应急电源产品，</w:t>
      </w:r>
    </w:p>
    <w:p>
      <w:pPr>
        <w:pStyle w:val="BodyText"/>
        <w:spacing w:line="272" w:lineRule="exact" w:before="1"/>
        <w:ind w:left="496" w:right="504"/>
        <w:jc w:val="left"/>
      </w:pPr>
      <w:r>
        <w:rPr/>
        <w:t>广泛应用于数据中心、石化、银行、金融、交通等行业。目前国内应急电源市场规模超过</w:t>
      </w:r>
      <w:r>
        <w:rPr>
          <w:spacing w:val="-49"/>
        </w:rPr>
        <w:t> </w:t>
      </w:r>
      <w:r>
        <w:rPr>
          <w:rFonts w:ascii="宋体" w:hAnsi="宋体" w:cs="宋体" w:eastAsia="宋体" w:hint="default"/>
        </w:rPr>
        <w:t>200</w:t>
      </w:r>
      <w:r>
        <w:rPr>
          <w:rFonts w:ascii="宋体" w:hAnsi="宋体" w:cs="宋体" w:eastAsia="宋体" w:hint="default"/>
          <w:spacing w:val="-50"/>
        </w:rPr>
        <w:t> </w:t>
      </w:r>
      <w:r>
        <w:rPr/>
        <w:t>亿</w:t>
      </w:r>
      <w:r>
        <w:rPr>
          <w:w w:val="100"/>
        </w:rPr>
        <w:t> </w:t>
      </w:r>
      <w:r>
        <w:rPr>
          <w:spacing w:val="-1"/>
        </w:rPr>
        <w:t>元，行业整体规模相对稳定，中高端市场格局稳定、集中度较高，本公司是行业重要参与者，在</w:t>
      </w:r>
    </w:p>
    <w:p>
      <w:pPr>
        <w:pStyle w:val="BodyText"/>
        <w:spacing w:line="244" w:lineRule="exact"/>
        <w:ind w:left="496" w:right="0"/>
        <w:jc w:val="left"/>
        <w:rPr>
          <w:rFonts w:ascii="宋体" w:hAnsi="宋体" w:cs="宋体" w:eastAsia="宋体" w:hint="default"/>
        </w:rPr>
      </w:pPr>
      <w:r>
        <w:rPr/>
        <w:t>中高端市场占据国内品牌领先地位。</w:t>
      </w:r>
      <w:r>
        <w:rPr>
          <w:rFonts w:ascii="宋体" w:hAnsi="宋体" w:cs="宋体" w:eastAsia="宋体" w:hint="default"/>
        </w:rPr>
        <w:t> </w:t>
      </w:r>
    </w:p>
    <w:p>
      <w:pPr>
        <w:pStyle w:val="Heading3"/>
        <w:spacing w:line="309" w:lineRule="exact"/>
        <w:ind w:left="496" w:right="0"/>
        <w:jc w:val="left"/>
        <w:rPr>
          <w:rFonts w:ascii="宋体" w:hAnsi="宋体" w:cs="宋体" w:eastAsia="宋体" w:hint="default"/>
        </w:rPr>
      </w:pPr>
      <w:r>
        <w:rPr>
          <w:rFonts w:ascii="宋体"/>
        </w:rPr>
        <w:t> </w:t>
      </w:r>
    </w:p>
    <w:p>
      <w:pPr>
        <w:pStyle w:val="Heading5"/>
        <w:spacing w:line="240" w:lineRule="auto"/>
        <w:ind w:left="496" w:right="0"/>
        <w:jc w:val="left"/>
        <w:rPr>
          <w:rFonts w:ascii="宋体" w:hAnsi="宋体" w:cs="宋体" w:eastAsia="宋体" w:hint="default"/>
          <w:b w:val="0"/>
          <w:bCs w:val="0"/>
        </w:rPr>
      </w:pPr>
      <w:r>
        <w:rPr/>
        <w:t>二、报告期内公司主要资产发生重大变化情况的说明</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49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240" w:lineRule="auto" w:before="1"/>
        <w:ind w:left="1363" w:right="0"/>
        <w:jc w:val="left"/>
        <w:rPr>
          <w:rFonts w:ascii="宋体" w:hAnsi="宋体" w:cs="宋体" w:eastAsia="宋体" w:hint="default"/>
          <w:sz w:val="21"/>
          <w:szCs w:val="21"/>
        </w:rPr>
      </w:pPr>
      <w:r>
        <w:rPr>
          <w:rFonts w:ascii="宋体" w:hAnsi="宋体" w:cs="宋体" w:eastAsia="宋体" w:hint="default"/>
        </w:rPr>
        <w:t>                                               </w:t>
      </w:r>
      <w:r>
        <w:rPr>
          <w:rFonts w:ascii="宋体" w:hAnsi="宋体" w:cs="宋体" w:eastAsia="宋体" w:hint="default"/>
          <w:spacing w:val="1"/>
        </w:rPr>
        <w:t> </w:t>
      </w:r>
      <w:r>
        <w:rPr>
          <w:sz w:val="21"/>
          <w:szCs w:val="21"/>
        </w:rPr>
        <w:t>单位：元</w:t>
      </w:r>
      <w:r>
        <w:rPr>
          <w:spacing w:val="-3"/>
          <w:sz w:val="21"/>
          <w:szCs w:val="21"/>
        </w:rPr>
        <w:t> </w:t>
      </w:r>
      <w:r>
        <w:rPr>
          <w:rFonts w:ascii="宋体" w:hAnsi="宋体" w:cs="宋体" w:eastAsia="宋体" w:hint="default"/>
          <w:spacing w:val="-3"/>
          <w:sz w:val="21"/>
          <w:szCs w:val="21"/>
        </w:rPr>
      </w:r>
      <w:r>
        <w:rPr>
          <w:sz w:val="21"/>
          <w:szCs w:val="21"/>
        </w:rPr>
        <w:t>币种：人民币</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56"/>
        <w:gridCol w:w="1688"/>
        <w:gridCol w:w="1685"/>
        <w:gridCol w:w="1560"/>
        <w:gridCol w:w="3118"/>
      </w:tblGrid>
      <w:tr>
        <w:trPr>
          <w:trHeight w:val="826"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本期期末数</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上期期末数</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3" w:right="0"/>
              <w:jc w:val="left"/>
              <w:rPr>
                <w:rFonts w:ascii="宋体" w:hAnsi="宋体" w:cs="宋体" w:eastAsia="宋体" w:hint="default"/>
                <w:sz w:val="21"/>
                <w:szCs w:val="21"/>
              </w:rPr>
            </w:pPr>
            <w:r>
              <w:rPr>
                <w:rFonts w:ascii="宋体" w:hAnsi="宋体" w:cs="宋体" w:eastAsia="宋体" w:hint="default"/>
                <w:sz w:val="21"/>
                <w:szCs w:val="21"/>
              </w:rPr>
              <w:t>本期期末金额</w:t>
            </w:r>
          </w:p>
          <w:p>
            <w:pPr>
              <w:pStyle w:val="TableParagraph"/>
              <w:spacing w:line="240" w:lineRule="auto"/>
              <w:ind w:left="196" w:right="91" w:hanging="53"/>
              <w:jc w:val="left"/>
              <w:rPr>
                <w:rFonts w:ascii="宋体" w:hAnsi="宋体" w:cs="宋体" w:eastAsia="宋体" w:hint="default"/>
                <w:sz w:val="21"/>
                <w:szCs w:val="21"/>
              </w:rPr>
            </w:pPr>
            <w:r>
              <w:rPr>
                <w:rFonts w:ascii="宋体" w:hAnsi="宋体" w:cs="宋体" w:eastAsia="宋体" w:hint="default"/>
                <w:sz w:val="21"/>
                <w:szCs w:val="21"/>
              </w:rPr>
              <w:t>较上期期末变</w:t>
            </w:r>
            <w:r>
              <w:rPr>
                <w:rFonts w:ascii="宋体" w:hAnsi="宋体" w:cs="宋体" w:eastAsia="宋体" w:hint="default"/>
                <w:w w:val="100"/>
                <w:sz w:val="21"/>
                <w:szCs w:val="21"/>
              </w:rPr>
              <w:t> </w:t>
            </w:r>
            <w:r>
              <w:rPr>
                <w:rFonts w:ascii="宋体" w:hAnsi="宋体" w:cs="宋体" w:eastAsia="宋体" w:hint="default"/>
                <w:sz w:val="21"/>
                <w:szCs w:val="21"/>
              </w:rPr>
              <w:t>动比例（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32" w:right="0"/>
              <w:jc w:val="left"/>
              <w:rPr>
                <w:rFonts w:ascii="宋体" w:hAnsi="宋体" w:cs="宋体" w:eastAsia="宋体" w:hint="default"/>
                <w:sz w:val="21"/>
                <w:szCs w:val="21"/>
              </w:rPr>
            </w:pPr>
            <w:r>
              <w:rPr>
                <w:rFonts w:ascii="宋体" w:hAnsi="宋体" w:cs="宋体" w:eastAsia="宋体" w:hint="default"/>
                <w:sz w:val="21"/>
                <w:szCs w:val="21"/>
              </w:rPr>
              <w:t>情况说明</w:t>
            </w:r>
            <w:r>
              <w:rPr>
                <w:rFonts w:ascii="宋体" w:hAnsi="宋体" w:cs="宋体" w:eastAsia="宋体" w:hint="default"/>
                <w:sz w:val="21"/>
                <w:szCs w:val="21"/>
              </w:rPr>
              <w:t> </w:t>
            </w:r>
          </w:p>
        </w:tc>
      </w:tr>
      <w:tr>
        <w:trPr>
          <w:trHeight w:val="554"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2,616,750,261.59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1,456,275,995.86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79.69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经营活动现金流入及票据保证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金增加所致</w:t>
            </w:r>
          </w:p>
        </w:tc>
      </w:tr>
      <w:tr>
        <w:trPr>
          <w:trHeight w:val="557"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116,080,000.00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49,000,000.00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136.90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增加应收账款</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ABS</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自持</w:t>
            </w:r>
            <w:r>
              <w:rPr>
                <w:rFonts w:ascii="宋体" w:hAnsi="宋体" w:cs="宋体" w:eastAsia="宋体" w:hint="default"/>
                <w:sz w:val="21"/>
                <w:szCs w:val="21"/>
              </w:rPr>
            </w:r>
          </w:p>
        </w:tc>
      </w:tr>
      <w:tr>
        <w:trPr>
          <w:trHeight w:val="281"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137,343,458.10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79,164,911.53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73.49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投建嘉兴装备科技产业园</w:t>
            </w:r>
          </w:p>
        </w:tc>
      </w:tr>
      <w:tr>
        <w:trPr>
          <w:trHeight w:val="283"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8,688,113.68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16,033,378.25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-45.81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办公装修费摊销</w:t>
            </w:r>
          </w:p>
        </w:tc>
      </w:tr>
      <w:tr>
        <w:trPr>
          <w:trHeight w:val="1099"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9"/>
              <w:jc w:val="right"/>
              <w:rPr>
                <w:rFonts w:ascii="Times New Roman" w:hAnsi="Times New Roman" w:cs="Times New Roman" w:eastAsia="Times New Roman" w:hint="default"/>
                <w:sz w:val="21"/>
                <w:szCs w:val="21"/>
              </w:rPr>
            </w:pPr>
            <w:r>
              <w:rPr>
                <w:rFonts w:ascii="Times New Roman"/>
                <w:spacing w:val="-1"/>
                <w:sz w:val="21"/>
              </w:rPr>
              <w:t>2,984,201,795.93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1,377,883,593.47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8"/>
              <w:jc w:val="right"/>
              <w:rPr>
                <w:rFonts w:ascii="Times New Roman" w:hAnsi="Times New Roman" w:cs="Times New Roman" w:eastAsia="Times New Roman" w:hint="default"/>
                <w:sz w:val="21"/>
                <w:szCs w:val="21"/>
              </w:rPr>
            </w:pPr>
            <w:r>
              <w:rPr>
                <w:rFonts w:ascii="Times New Roman"/>
                <w:sz w:val="21"/>
              </w:rPr>
              <w:t>116.58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10"/>
                <w:sz w:val="21"/>
                <w:szCs w:val="21"/>
              </w:rPr>
              <w:t>新增经营性短期借款及按新金</w:t>
            </w:r>
          </w:p>
          <w:p>
            <w:pPr>
              <w:pStyle w:val="TableParagraph"/>
              <w:spacing w:line="237" w:lineRule="auto"/>
              <w:ind w:left="100" w:right="102"/>
              <w:jc w:val="both"/>
              <w:rPr>
                <w:rFonts w:ascii="宋体" w:hAnsi="宋体" w:cs="宋体" w:eastAsia="宋体" w:hint="default"/>
                <w:sz w:val="21"/>
                <w:szCs w:val="21"/>
              </w:rPr>
            </w:pPr>
            <w:r>
              <w:rPr>
                <w:rFonts w:ascii="宋体" w:hAnsi="宋体" w:cs="宋体" w:eastAsia="宋体" w:hint="default"/>
                <w:spacing w:val="10"/>
                <w:sz w:val="21"/>
                <w:szCs w:val="21"/>
              </w:rPr>
              <w:t>融工具会计准则规定将未到期</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10"/>
                <w:sz w:val="21"/>
                <w:szCs w:val="21"/>
              </w:rPr>
              <w:t>已贴现的商业票据和信用证转</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入</w:t>
            </w:r>
          </w:p>
        </w:tc>
      </w:tr>
      <w:tr>
        <w:trPr>
          <w:trHeight w:val="540"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9"/>
              <w:jc w:val="right"/>
              <w:rPr>
                <w:rFonts w:ascii="Times New Roman" w:hAnsi="Times New Roman" w:cs="Times New Roman" w:eastAsia="Times New Roman" w:hint="default"/>
                <w:sz w:val="21"/>
                <w:szCs w:val="21"/>
              </w:rPr>
            </w:pPr>
            <w:r>
              <w:rPr>
                <w:rFonts w:ascii="Times New Roman"/>
                <w:spacing w:val="-1"/>
                <w:sz w:val="21"/>
              </w:rPr>
              <w:t>1,342,299,061.54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8"/>
              <w:jc w:val="right"/>
              <w:rPr>
                <w:rFonts w:ascii="Times New Roman" w:hAnsi="Times New Roman" w:cs="Times New Roman" w:eastAsia="Times New Roman" w:hint="default"/>
                <w:sz w:val="21"/>
                <w:szCs w:val="21"/>
              </w:rPr>
            </w:pPr>
            <w:r>
              <w:rPr>
                <w:rFonts w:ascii="Times New Roman"/>
                <w:spacing w:val="-1"/>
                <w:sz w:val="21"/>
              </w:rPr>
              <w:t>2,397,450,958.44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8"/>
              <w:jc w:val="right"/>
              <w:rPr>
                <w:rFonts w:ascii="Times New Roman" w:hAnsi="Times New Roman" w:cs="Times New Roman" w:eastAsia="Times New Roman" w:hint="default"/>
                <w:sz w:val="21"/>
                <w:szCs w:val="21"/>
              </w:rPr>
            </w:pPr>
            <w:r>
              <w:rPr>
                <w:rFonts w:ascii="Times New Roman"/>
                <w:spacing w:val="-1"/>
                <w:sz w:val="21"/>
              </w:rPr>
              <w:t>-44.01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0" w:right="0"/>
              <w:jc w:val="left"/>
              <w:rPr>
                <w:rFonts w:ascii="宋体" w:hAnsi="宋体" w:cs="宋体" w:eastAsia="宋体" w:hint="default"/>
                <w:sz w:val="21"/>
                <w:szCs w:val="21"/>
              </w:rPr>
            </w:pPr>
            <w:r>
              <w:rPr>
                <w:rFonts w:ascii="宋体" w:hAnsi="宋体" w:cs="宋体" w:eastAsia="宋体" w:hint="default"/>
                <w:sz w:val="21"/>
                <w:szCs w:val="21"/>
              </w:rPr>
              <w:t>货款到期支付</w:t>
            </w:r>
          </w:p>
        </w:tc>
      </w:tr>
      <w:tr>
        <w:trPr>
          <w:trHeight w:val="828"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646,478,542.29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327,665,003.37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97.30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增加 </w:t>
            </w:r>
            <w:r>
              <w:rPr>
                <w:rFonts w:ascii="Times New Roman" w:hAnsi="Times New Roman" w:cs="Times New Roman" w:eastAsia="Times New Roman" w:hint="default"/>
                <w:sz w:val="21"/>
                <w:szCs w:val="21"/>
              </w:rPr>
              <w:t>ABS</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回款待转付专项计划</w:t>
            </w:r>
          </w:p>
          <w:p>
            <w:pPr>
              <w:pStyle w:val="TableParagraph"/>
              <w:spacing w:line="272" w:lineRule="exact" w:before="19"/>
              <w:ind w:left="100" w:right="102"/>
              <w:jc w:val="left"/>
              <w:rPr>
                <w:rFonts w:ascii="宋体" w:hAnsi="宋体" w:cs="宋体" w:eastAsia="宋体" w:hint="default"/>
                <w:sz w:val="21"/>
                <w:szCs w:val="21"/>
              </w:rPr>
            </w:pPr>
            <w:r>
              <w:rPr>
                <w:rFonts w:ascii="宋体" w:hAnsi="宋体" w:cs="宋体" w:eastAsia="宋体" w:hint="default"/>
                <w:spacing w:val="10"/>
                <w:sz w:val="21"/>
                <w:szCs w:val="21"/>
              </w:rPr>
              <w:t>及待付泰豪软件少数股东收购</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款</w:t>
            </w:r>
          </w:p>
        </w:tc>
      </w:tr>
      <w:tr>
        <w:trPr>
          <w:trHeight w:val="554"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465,850,419.45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21"/>
                <w:szCs w:val="21"/>
              </w:rPr>
            </w:pPr>
            <w:r>
              <w:rPr>
                <w:rFonts w:ascii="Times New Roman"/>
                <w:spacing w:val="-1"/>
                <w:sz w:val="21"/>
              </w:rPr>
              <w:t>57,266,775.62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713.47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一年内到期的长期借款转入</w:t>
            </w:r>
          </w:p>
        </w:tc>
      </w:tr>
      <w:tr>
        <w:trPr>
          <w:trHeight w:val="554"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314,715,809.05</w:t>
            </w:r>
          </w:p>
        </w:tc>
        <w:tc>
          <w:tcPr>
            <w:tcW w:w="168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按新金融工具会计准则规定转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入已背书未到期商业票据</w:t>
            </w:r>
          </w:p>
        </w:tc>
      </w:tr>
      <w:tr>
        <w:trPr>
          <w:trHeight w:val="283"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166,272,916.44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644,582,412.16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-74.20</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一年内到期的长期借款转出</w:t>
            </w:r>
          </w:p>
        </w:tc>
      </w:tr>
      <w:tr>
        <w:trPr>
          <w:trHeight w:val="281"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81,867,449.40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1,308,571,308.25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-93.74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公司债及中期票据到期兑付</w:t>
            </w:r>
          </w:p>
        </w:tc>
      </w:tr>
      <w:tr>
        <w:trPr>
          <w:trHeight w:val="283"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库存股</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90,773,946.46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174,824,068.42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-48.08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限制性股权激励解锁</w:t>
            </w:r>
          </w:p>
        </w:tc>
      </w:tr>
      <w:tr>
        <w:trPr>
          <w:trHeight w:val="829"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232,866,650.12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365,066,603.47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-36.21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收购泰豪软件公司少数股东股</w:t>
            </w:r>
          </w:p>
          <w:p>
            <w:pPr>
              <w:pStyle w:val="TableParagraph"/>
              <w:spacing w:line="272" w:lineRule="exact" w:before="27"/>
              <w:ind w:left="100" w:right="102"/>
              <w:jc w:val="left"/>
              <w:rPr>
                <w:rFonts w:ascii="宋体" w:hAnsi="宋体" w:cs="宋体" w:eastAsia="宋体" w:hint="default"/>
                <w:sz w:val="21"/>
                <w:szCs w:val="21"/>
              </w:rPr>
            </w:pPr>
            <w:r>
              <w:rPr>
                <w:rFonts w:ascii="宋体" w:hAnsi="宋体" w:cs="宋体" w:eastAsia="宋体" w:hint="default"/>
                <w:spacing w:val="10"/>
                <w:sz w:val="21"/>
                <w:szCs w:val="21"/>
              </w:rPr>
              <w:t>权及合并范围减少湖南基石公</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司所致</w:t>
            </w:r>
          </w:p>
        </w:tc>
      </w:tr>
    </w:tbl>
    <w:p>
      <w:pPr>
        <w:pStyle w:val="Heading3"/>
        <w:spacing w:line="274" w:lineRule="exact"/>
        <w:ind w:left="496" w:right="0"/>
        <w:jc w:val="left"/>
        <w:rPr>
          <w:rFonts w:ascii="宋体" w:hAnsi="宋体" w:cs="宋体" w:eastAsia="宋体" w:hint="default"/>
        </w:rPr>
      </w:pPr>
      <w:r>
        <w:rPr>
          <w:rFonts w:ascii="宋体"/>
        </w:rPr>
        <w:t> </w:t>
      </w:r>
    </w:p>
    <w:p>
      <w:pPr>
        <w:pStyle w:val="BodyText"/>
        <w:spacing w:line="240" w:lineRule="auto" w:before="1"/>
        <w:ind w:left="496" w:right="0"/>
        <w:jc w:val="left"/>
        <w:rPr>
          <w:rFonts w:ascii="宋体" w:hAnsi="宋体" w:cs="宋体" w:eastAsia="宋体" w:hint="default"/>
        </w:rPr>
      </w:pPr>
      <w:r>
        <w:rPr>
          <w:w w:val="100"/>
        </w:rPr>
        <w:t>其中</w:t>
      </w:r>
      <w:r>
        <w:rPr>
          <w:spacing w:val="-3"/>
          <w:w w:val="100"/>
        </w:rPr>
        <w:t>：</w:t>
      </w:r>
      <w:r>
        <w:rPr>
          <w:w w:val="100"/>
        </w:rPr>
        <w:t>境</w:t>
      </w:r>
      <w:r>
        <w:rPr>
          <w:spacing w:val="-3"/>
          <w:w w:val="100"/>
        </w:rPr>
        <w:t>外资</w:t>
      </w:r>
      <w:r>
        <w:rPr>
          <w:w w:val="100"/>
        </w:rPr>
        <w:t>产</w:t>
      </w:r>
      <w:r>
        <w:rPr>
          <w:spacing w:val="-53"/>
        </w:rPr>
        <w:t> </w:t>
      </w:r>
      <w:r>
        <w:rPr>
          <w:rFonts w:ascii="宋体" w:hAnsi="宋体" w:cs="宋体" w:eastAsia="宋体" w:hint="default"/>
          <w:w w:val="100"/>
        </w:rPr>
        <w:t>6,</w:t>
      </w:r>
      <w:r>
        <w:rPr>
          <w:rFonts w:ascii="宋体" w:hAnsi="宋体" w:cs="宋体" w:eastAsia="宋体" w:hint="default"/>
          <w:spacing w:val="-3"/>
          <w:w w:val="100"/>
        </w:rPr>
        <w:t>1</w:t>
      </w:r>
      <w:r>
        <w:rPr>
          <w:rFonts w:ascii="宋体" w:hAnsi="宋体" w:cs="宋体" w:eastAsia="宋体" w:hint="default"/>
          <w:w w:val="100"/>
        </w:rPr>
        <w:t>57,</w:t>
      </w:r>
      <w:r>
        <w:rPr>
          <w:rFonts w:ascii="宋体" w:hAnsi="宋体" w:cs="宋体" w:eastAsia="宋体" w:hint="default"/>
          <w:spacing w:val="-3"/>
          <w:w w:val="100"/>
        </w:rPr>
        <w:t>57</w:t>
      </w:r>
      <w:r>
        <w:rPr>
          <w:rFonts w:ascii="宋体" w:hAnsi="宋体" w:cs="宋体" w:eastAsia="宋体" w:hint="default"/>
          <w:w w:val="100"/>
        </w:rPr>
        <w:t>9.34</w:t>
      </w:r>
      <w:r>
        <w:rPr>
          <w:spacing w:val="-3"/>
          <w:w w:val="100"/>
        </w:rPr>
        <w:t>（</w:t>
      </w:r>
      <w:r>
        <w:rPr>
          <w:w w:val="100"/>
        </w:rPr>
        <w:t>单</w:t>
      </w:r>
      <w:r>
        <w:rPr>
          <w:spacing w:val="-3"/>
          <w:w w:val="100"/>
        </w:rPr>
        <w:t>位</w:t>
      </w:r>
      <w:r>
        <w:rPr>
          <w:spacing w:val="-1"/>
          <w:w w:val="100"/>
        </w:rPr>
        <w:t>：</w:t>
      </w:r>
      <w:r>
        <w:rPr>
          <w:spacing w:val="-3"/>
          <w:w w:val="100"/>
        </w:rPr>
        <w:t>元</w:t>
      </w:r>
      <w:r>
        <w:rPr>
          <w:rFonts w:ascii="宋体" w:hAnsi="宋体" w:cs="宋体" w:eastAsia="宋体" w:hint="default"/>
          <w:w w:val="100"/>
        </w:rPr>
        <w:t>  </w:t>
      </w:r>
      <w:r>
        <w:rPr>
          <w:spacing w:val="-3"/>
          <w:w w:val="100"/>
        </w:rPr>
        <w:t>币</w:t>
      </w:r>
      <w:r>
        <w:rPr>
          <w:w w:val="100"/>
        </w:rPr>
        <w:t>种</w:t>
      </w:r>
      <w:r>
        <w:rPr>
          <w:spacing w:val="-3"/>
          <w:w w:val="100"/>
        </w:rPr>
        <w:t>：</w:t>
      </w:r>
      <w:r>
        <w:rPr>
          <w:w w:val="100"/>
        </w:rPr>
        <w:t>人民</w:t>
      </w:r>
      <w:r>
        <w:rPr>
          <w:spacing w:val="-2"/>
          <w:w w:val="100"/>
        </w:rPr>
        <w:t>币</w:t>
      </w:r>
      <w:r>
        <w:rPr>
          <w:spacing w:val="-106"/>
          <w:w w:val="100"/>
        </w:rPr>
        <w:t>）</w:t>
      </w:r>
      <w:r>
        <w:rPr>
          <w:spacing w:val="-3"/>
          <w:w w:val="100"/>
        </w:rPr>
        <w:t>，</w:t>
      </w:r>
      <w:r>
        <w:rPr>
          <w:w w:val="100"/>
        </w:rPr>
        <w:t>占</w:t>
      </w:r>
      <w:r>
        <w:rPr>
          <w:spacing w:val="-3"/>
          <w:w w:val="100"/>
        </w:rPr>
        <w:t>总</w:t>
      </w:r>
      <w:r>
        <w:rPr>
          <w:w w:val="100"/>
        </w:rPr>
        <w:t>资</w:t>
      </w:r>
      <w:r>
        <w:rPr>
          <w:spacing w:val="-3"/>
          <w:w w:val="100"/>
        </w:rPr>
        <w:t>产</w:t>
      </w:r>
      <w:r>
        <w:rPr>
          <w:w w:val="100"/>
        </w:rPr>
        <w:t>的</w:t>
      </w:r>
      <w:r>
        <w:rPr>
          <w:spacing w:val="-3"/>
          <w:w w:val="100"/>
        </w:rPr>
        <w:t>比例</w:t>
      </w:r>
      <w:r>
        <w:rPr>
          <w:w w:val="100"/>
        </w:rPr>
        <w:t>为</w:t>
      </w:r>
      <w:r>
        <w:rPr>
          <w:spacing w:val="-53"/>
        </w:rPr>
        <w:t> </w:t>
      </w:r>
      <w:r>
        <w:rPr>
          <w:rFonts w:ascii="宋体" w:hAnsi="宋体" w:cs="宋体" w:eastAsia="宋体" w:hint="default"/>
          <w:w w:val="100"/>
        </w:rPr>
        <w:t>0.</w:t>
      </w:r>
      <w:r>
        <w:rPr>
          <w:rFonts w:ascii="宋体" w:hAnsi="宋体" w:cs="宋体" w:eastAsia="宋体" w:hint="default"/>
          <w:spacing w:val="-3"/>
          <w:w w:val="100"/>
        </w:rPr>
        <w:t>0</w:t>
      </w:r>
      <w:r>
        <w:rPr>
          <w:rFonts w:ascii="宋体" w:hAnsi="宋体" w:cs="宋体" w:eastAsia="宋体" w:hint="default"/>
          <w:w w:val="100"/>
        </w:rPr>
        <w:t>5%</w:t>
      </w:r>
      <w:r>
        <w:rPr>
          <w:spacing w:val="-3"/>
          <w:w w:val="100"/>
        </w:rPr>
        <w:t>。</w:t>
      </w:r>
      <w:r>
        <w:rPr>
          <w:rFonts w:ascii="宋体" w:hAnsi="宋体" w:cs="宋体" w:eastAsia="宋体" w:hint="default"/>
          <w:w w:val="100"/>
        </w:rPr>
        <w:t> </w:t>
      </w:r>
    </w:p>
    <w:p>
      <w:pPr>
        <w:spacing w:line="240" w:lineRule="auto" w:before="0"/>
        <w:rPr>
          <w:rFonts w:ascii="宋体" w:hAnsi="宋体" w:cs="宋体" w:eastAsia="宋体" w:hint="default"/>
          <w:sz w:val="23"/>
          <w:szCs w:val="23"/>
        </w:rPr>
      </w:pPr>
    </w:p>
    <w:p>
      <w:pPr>
        <w:pStyle w:val="Heading5"/>
        <w:spacing w:line="240" w:lineRule="auto" w:before="0"/>
        <w:ind w:left="496" w:right="0"/>
        <w:jc w:val="left"/>
        <w:rPr>
          <w:rFonts w:ascii="宋体" w:hAnsi="宋体" w:cs="宋体" w:eastAsia="宋体" w:hint="default"/>
          <w:b w:val="0"/>
          <w:bCs w:val="0"/>
        </w:rPr>
      </w:pPr>
      <w:r>
        <w:rPr/>
        <w:t>三、报告期内核心竞争力分析</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49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72" w:lineRule="exact" w:before="32"/>
        <w:ind w:left="917" w:right="0" w:firstLine="60"/>
        <w:jc w:val="left"/>
      </w:pPr>
      <w:r>
        <w:rPr/>
        <w:t>（一）技术及综合研发实力不断提升，新研产品及项目储备充足</w:t>
      </w:r>
      <w:r>
        <w:rPr>
          <w:rFonts w:ascii="宋体" w:hAnsi="宋体" w:cs="宋体" w:eastAsia="宋体" w:hint="default"/>
          <w:w w:val="100"/>
        </w:rPr>
        <w:t> </w:t>
      </w:r>
      <w:r>
        <w:rPr>
          <w:spacing w:val="-2"/>
        </w:rPr>
        <w:t>公司经过多年的持续研发与投入，在军工装备主要产品领域均具有深厚的技术积累及产品研</w:t>
      </w:r>
    </w:p>
    <w:p>
      <w:pPr>
        <w:pStyle w:val="BodyText"/>
        <w:spacing w:line="272" w:lineRule="exact" w:before="1"/>
        <w:ind w:left="496" w:right="0"/>
        <w:jc w:val="left"/>
      </w:pPr>
      <w:r>
        <w:rPr>
          <w:spacing w:val="-1"/>
        </w:rPr>
        <w:t>发经验，形成了技术领先、可靠性高的军工装备产品系列。在车载通信指挥系统方面，公司在复</w:t>
      </w:r>
      <w:r>
        <w:rPr>
          <w:spacing w:val="-55"/>
        </w:rPr>
        <w:t> </w:t>
      </w:r>
      <w:r>
        <w:rPr>
          <w:spacing w:val="-55"/>
        </w:rPr>
      </w:r>
      <w:r>
        <w:rPr>
          <w:spacing w:val="-1"/>
        </w:rPr>
        <w:t>杂通信指挥系统集成及电磁兼容技术、系统平台管控技术、轻量化复合材料一体化成型技术等方</w:t>
      </w:r>
    </w:p>
    <w:p>
      <w:pPr>
        <w:pStyle w:val="BodyText"/>
        <w:spacing w:line="249" w:lineRule="exact"/>
        <w:ind w:left="496" w:right="0"/>
        <w:jc w:val="left"/>
      </w:pPr>
      <w:r>
        <w:rPr/>
        <w:t>面具备优势，产品同时实现多功能、高集成、轻量化、高机动等多种特性，很好满足了军方的特</w:t>
      </w:r>
    </w:p>
    <w:p>
      <w:pPr>
        <w:spacing w:after="0" w:line="249" w:lineRule="exact"/>
        <w:jc w:val="left"/>
        <w:sectPr>
          <w:footerReference w:type="default" r:id="rId12"/>
          <w:pgSz w:w="11910" w:h="16840"/>
          <w:pgMar w:footer="1195" w:header="880" w:top="1120" w:bottom="1380" w:left="780" w:right="1280"/>
        </w:sectPr>
      </w:pPr>
    </w:p>
    <w:p>
      <w:pPr>
        <w:spacing w:line="240" w:lineRule="auto" w:before="11"/>
        <w:rPr>
          <w:rFonts w:ascii="宋体" w:hAnsi="宋体" w:cs="宋体" w:eastAsia="宋体" w:hint="default"/>
          <w:sz w:val="18"/>
          <w:szCs w:val="18"/>
        </w:rPr>
      </w:pPr>
    </w:p>
    <w:p>
      <w:pPr>
        <w:pStyle w:val="BodyText"/>
        <w:spacing w:line="237" w:lineRule="auto" w:before="38"/>
        <w:ind w:right="209"/>
        <w:jc w:val="both"/>
      </w:pPr>
      <w:r>
        <w:rPr>
          <w:spacing w:val="-6"/>
        </w:rPr>
        <w:t>殊需求，是我军通信系统主力集成制造商之一。军用电站方面，公司凭借在电站信息化智能控制、</w:t>
      </w:r>
      <w:r>
        <w:rPr>
          <w:spacing w:val="-54"/>
        </w:rPr>
        <w:t> </w:t>
      </w:r>
      <w:r>
        <w:rPr>
          <w:spacing w:val="-54"/>
        </w:rPr>
      </w:r>
      <w:r>
        <w:rPr>
          <w:spacing w:val="-1"/>
        </w:rPr>
        <w:t>复杂负载谐波控制等方面的核心技术，研发了系列化高品质、高可靠特种军用发电机、军用移动</w:t>
      </w:r>
      <w:r>
        <w:rPr>
          <w:spacing w:val="-55"/>
        </w:rPr>
        <w:t> </w:t>
      </w:r>
      <w:r>
        <w:rPr>
          <w:spacing w:val="-55"/>
        </w:rPr>
      </w:r>
      <w:r>
        <w:rPr>
          <w:spacing w:val="-6"/>
          <w:w w:val="100"/>
        </w:rPr>
        <w:t>电站，在军用雷达等对电力供应有特殊要求的领域形成了较强的优势。在舰载作战指挥系统方面，</w:t>
      </w:r>
      <w:r>
        <w:rPr>
          <w:w w:val="100"/>
        </w:rPr>
        <w:t> </w:t>
      </w:r>
      <w:r>
        <w:rPr>
          <w:spacing w:val="-1"/>
        </w:rPr>
        <w:t>公司掌握了多种复杂信息实时处理及应用的核心技术，并在深入理解海军作战系统的基础上，开</w:t>
      </w:r>
      <w:r>
        <w:rPr>
          <w:spacing w:val="-55"/>
        </w:rPr>
        <w:t> </w:t>
      </w:r>
      <w:r>
        <w:rPr>
          <w:spacing w:val="-55"/>
        </w:rPr>
      </w:r>
      <w:r>
        <w:rPr>
          <w:spacing w:val="-1"/>
        </w:rPr>
        <w:t>发了可满足作战系统特殊要求的系列产品，在部分领域形成了很强的竞争壁垒，是舰载作战指挥</w:t>
      </w:r>
      <w:r>
        <w:rPr>
          <w:spacing w:val="-54"/>
        </w:rPr>
        <w:t> </w:t>
      </w:r>
      <w:r>
        <w:rPr>
          <w:spacing w:val="-54"/>
        </w:rPr>
      </w:r>
      <w:r>
        <w:rPr/>
        <w:t>系统细分市场的核心供应商。</w:t>
      </w:r>
      <w:r>
        <w:rPr>
          <w:rFonts w:ascii="宋体" w:hAnsi="宋体" w:cs="宋体" w:eastAsia="宋体" w:hint="default"/>
        </w:rPr>
        <w:t>2019</w:t>
      </w:r>
      <w:r>
        <w:rPr>
          <w:rFonts w:ascii="宋体" w:hAnsi="宋体" w:cs="宋体" w:eastAsia="宋体" w:hint="default"/>
          <w:spacing w:val="-41"/>
        </w:rPr>
        <w:t> </w:t>
      </w:r>
      <w:r>
        <w:rPr/>
        <w:t>年</w:t>
      </w:r>
      <w:r>
        <w:rPr>
          <w:spacing w:val="-41"/>
        </w:rPr>
        <w:t> </w:t>
      </w:r>
      <w:r>
        <w:rPr>
          <w:rFonts w:ascii="宋体" w:hAnsi="宋体" w:cs="宋体" w:eastAsia="宋体" w:hint="default"/>
        </w:rPr>
        <w:t>10</w:t>
      </w:r>
      <w:r>
        <w:rPr>
          <w:rFonts w:ascii="宋体" w:hAnsi="宋体" w:cs="宋体" w:eastAsia="宋体" w:hint="default"/>
          <w:spacing w:val="-41"/>
        </w:rPr>
        <w:t> </w:t>
      </w:r>
      <w:r>
        <w:rPr/>
        <w:t>月</w:t>
      </w:r>
      <w:r>
        <w:rPr>
          <w:spacing w:val="-41"/>
        </w:rPr>
        <w:t> </w:t>
      </w:r>
      <w:r>
        <w:rPr>
          <w:rFonts w:ascii="宋体" w:hAnsi="宋体" w:cs="宋体" w:eastAsia="宋体" w:hint="default"/>
        </w:rPr>
        <w:t>1</w:t>
      </w:r>
      <w:r>
        <w:rPr>
          <w:rFonts w:ascii="宋体" w:hAnsi="宋体" w:cs="宋体" w:eastAsia="宋体" w:hint="default"/>
          <w:spacing w:val="-43"/>
        </w:rPr>
        <w:t> </w:t>
      </w:r>
      <w:r>
        <w:rPr/>
        <w:t>日，公司自主研制的通信车辆、军用电站等多型产</w:t>
      </w:r>
    </w:p>
    <w:p>
      <w:pPr>
        <w:pStyle w:val="BodyText"/>
        <w:spacing w:line="272" w:lineRule="exact"/>
        <w:ind w:right="0"/>
        <w:jc w:val="both"/>
        <w:rPr>
          <w:rFonts w:ascii="宋体" w:hAnsi="宋体" w:cs="宋体" w:eastAsia="宋体" w:hint="default"/>
        </w:rPr>
      </w:pPr>
      <w:r>
        <w:rPr/>
        <w:t>品亮相中华人民共和国成立</w:t>
      </w:r>
      <w:r>
        <w:rPr>
          <w:spacing w:val="-55"/>
        </w:rPr>
        <w:t> </w:t>
      </w:r>
      <w:r>
        <w:rPr>
          <w:rFonts w:ascii="宋体" w:hAnsi="宋体" w:cs="宋体" w:eastAsia="宋体" w:hint="default"/>
        </w:rPr>
        <w:t>70</w:t>
      </w:r>
      <w:r>
        <w:rPr>
          <w:rFonts w:ascii="宋体" w:hAnsi="宋体" w:cs="宋体" w:eastAsia="宋体" w:hint="default"/>
          <w:spacing w:val="-56"/>
        </w:rPr>
        <w:t> </w:t>
      </w:r>
      <w:r>
        <w:rPr/>
        <w:t>周年阅兵仪式。</w:t>
      </w:r>
      <w:r>
        <w:rPr>
          <w:rFonts w:ascii="宋体" w:hAnsi="宋体" w:cs="宋体" w:eastAsia="宋体" w:hint="default"/>
        </w:rPr>
        <w:t> </w:t>
      </w:r>
    </w:p>
    <w:p>
      <w:pPr>
        <w:pStyle w:val="BodyText"/>
        <w:spacing w:line="237" w:lineRule="auto"/>
        <w:ind w:right="208" w:firstLine="420"/>
        <w:jc w:val="both"/>
      </w:pPr>
      <w:r>
        <w:rPr/>
        <w:t>公司设有院士工作站、企业博士后科研工作站，截至报告期末，公司共拥有研发人员</w:t>
      </w:r>
      <w:r>
        <w:rPr>
          <w:spacing w:val="4"/>
        </w:rPr>
        <w:t> </w:t>
      </w:r>
      <w:r>
        <w:rPr>
          <w:rFonts w:ascii="宋体" w:hAnsi="宋体" w:cs="宋体" w:eastAsia="宋体" w:hint="default"/>
        </w:rPr>
        <w:t>1,238</w:t>
      </w:r>
      <w:r>
        <w:rPr>
          <w:rFonts w:ascii="宋体" w:hAnsi="宋体" w:cs="宋体" w:eastAsia="宋体" w:hint="default"/>
          <w:w w:val="100"/>
        </w:rPr>
        <w:t> </w:t>
      </w:r>
      <w:r>
        <w:rPr/>
        <w:t>人，占公司总人数的</w:t>
      </w:r>
      <w:r>
        <w:rPr>
          <w:spacing w:val="6"/>
        </w:rPr>
        <w:t> </w:t>
      </w:r>
      <w:r>
        <w:rPr>
          <w:rFonts w:ascii="宋体" w:hAnsi="宋体" w:cs="宋体" w:eastAsia="宋体" w:hint="default"/>
        </w:rPr>
        <w:t>42.5%</w:t>
      </w:r>
      <w:r>
        <w:rPr/>
        <w:t>以上。报告期内公司再次获批国家企业技术中心、国家技术创新示范</w:t>
      </w:r>
      <w:r>
        <w:rPr>
          <w:w w:val="100"/>
        </w:rPr>
        <w:t> </w:t>
      </w:r>
      <w:r>
        <w:rPr>
          <w:spacing w:val="-1"/>
        </w:rPr>
        <w:t>企业、国家知识产权示范企业、江西省智能电气工程技术研究中心，获批江西省氢燃料电池工程</w:t>
      </w:r>
      <w:r>
        <w:rPr>
          <w:spacing w:val="-55"/>
        </w:rPr>
        <w:t> </w:t>
      </w:r>
      <w:r>
        <w:rPr>
          <w:spacing w:val="-55"/>
        </w:rPr>
      </w:r>
      <w:r>
        <w:rPr>
          <w:spacing w:val="-1"/>
        </w:rPr>
        <w:t>研究中心、南昌市混合动力电源工程技术研究中心及南昌市电力设备运行大数据分析工程技术研</w:t>
      </w:r>
      <w:r>
        <w:rPr>
          <w:spacing w:val="-55"/>
        </w:rPr>
        <w:t> </w:t>
      </w:r>
      <w:r>
        <w:rPr>
          <w:spacing w:val="-55"/>
        </w:rPr>
      </w:r>
      <w:r>
        <w:rPr>
          <w:spacing w:val="-3"/>
        </w:rPr>
        <w:t>究中心。公司拥有有效授权专利和著作权</w:t>
      </w:r>
      <w:r>
        <w:rPr>
          <w:spacing w:val="-44"/>
        </w:rPr>
        <w:t> </w:t>
      </w:r>
      <w:r>
        <w:rPr>
          <w:rFonts w:ascii="宋体" w:hAnsi="宋体" w:cs="宋体" w:eastAsia="宋体" w:hint="default"/>
        </w:rPr>
        <w:t>1975</w:t>
      </w:r>
      <w:r>
        <w:rPr>
          <w:rFonts w:ascii="宋体" w:hAnsi="宋体" w:cs="宋体" w:eastAsia="宋体" w:hint="default"/>
          <w:spacing w:val="-44"/>
        </w:rPr>
        <w:t> </w:t>
      </w:r>
      <w:r>
        <w:rPr>
          <w:spacing w:val="-6"/>
        </w:rPr>
        <w:t>项，报告期内，公司参与</w:t>
      </w:r>
      <w:r>
        <w:rPr>
          <w:spacing w:val="-46"/>
        </w:rPr>
        <w:t> </w:t>
      </w:r>
      <w:r>
        <w:rPr>
          <w:rFonts w:ascii="宋体" w:hAnsi="宋体" w:cs="宋体" w:eastAsia="宋体" w:hint="default"/>
        </w:rPr>
        <w:t>2</w:t>
      </w:r>
      <w:r>
        <w:rPr>
          <w:rFonts w:ascii="宋体" w:hAnsi="宋体" w:cs="宋体" w:eastAsia="宋体" w:hint="default"/>
          <w:spacing w:val="-44"/>
        </w:rPr>
        <w:t> </w:t>
      </w:r>
      <w:r>
        <w:rPr>
          <w:spacing w:val="-7"/>
        </w:rPr>
        <w:t>项、获颁布</w:t>
      </w:r>
      <w:r>
        <w:rPr>
          <w:spacing w:val="-42"/>
        </w:rPr>
        <w:t> </w:t>
      </w:r>
      <w:r>
        <w:rPr>
          <w:rFonts w:ascii="宋体" w:hAnsi="宋体" w:cs="宋体" w:eastAsia="宋体" w:hint="default"/>
        </w:rPr>
        <w:t>1</w:t>
      </w:r>
      <w:r>
        <w:rPr>
          <w:rFonts w:ascii="宋体" w:hAnsi="宋体" w:cs="宋体" w:eastAsia="宋体" w:hint="default"/>
          <w:spacing w:val="-46"/>
        </w:rPr>
        <w:t> </w:t>
      </w:r>
      <w:r>
        <w:rPr/>
        <w:t>项国家及</w:t>
      </w:r>
    </w:p>
    <w:p>
      <w:pPr>
        <w:pStyle w:val="BodyText"/>
        <w:spacing w:line="272" w:lineRule="exact"/>
        <w:ind w:right="0"/>
        <w:jc w:val="both"/>
      </w:pPr>
      <w:r>
        <w:rPr/>
        <w:t>行业标准制修订；专利受理</w:t>
      </w:r>
      <w:r>
        <w:rPr>
          <w:spacing w:val="-51"/>
        </w:rPr>
        <w:t> </w:t>
      </w:r>
      <w:r>
        <w:rPr>
          <w:rFonts w:ascii="宋体" w:hAnsi="宋体" w:cs="宋体" w:eastAsia="宋体" w:hint="default"/>
        </w:rPr>
        <w:t>369</w:t>
      </w:r>
      <w:r>
        <w:rPr>
          <w:rFonts w:ascii="宋体" w:hAnsi="宋体" w:cs="宋体" w:eastAsia="宋体" w:hint="default"/>
          <w:spacing w:val="-54"/>
        </w:rPr>
        <w:t> </w:t>
      </w:r>
      <w:r>
        <w:rPr/>
        <w:t>件，授权</w:t>
      </w:r>
      <w:r>
        <w:rPr>
          <w:spacing w:val="-51"/>
        </w:rPr>
        <w:t> </w:t>
      </w:r>
      <w:r>
        <w:rPr>
          <w:rFonts w:ascii="宋体" w:hAnsi="宋体" w:cs="宋体" w:eastAsia="宋体" w:hint="default"/>
        </w:rPr>
        <w:t>271</w:t>
      </w:r>
      <w:r>
        <w:rPr>
          <w:rFonts w:ascii="宋体" w:hAnsi="宋体" w:cs="宋体" w:eastAsia="宋体" w:hint="default"/>
          <w:spacing w:val="-51"/>
        </w:rPr>
        <w:t> </w:t>
      </w:r>
      <w:r>
        <w:rPr/>
        <w:t>件，其中发明专利</w:t>
      </w:r>
      <w:r>
        <w:rPr>
          <w:spacing w:val="-54"/>
        </w:rPr>
        <w:t> </w:t>
      </w:r>
      <w:r>
        <w:rPr>
          <w:rFonts w:ascii="宋体" w:hAnsi="宋体" w:cs="宋体" w:eastAsia="宋体" w:hint="default"/>
        </w:rPr>
        <w:t>13</w:t>
      </w:r>
      <w:r>
        <w:rPr>
          <w:rFonts w:ascii="宋体" w:hAnsi="宋体" w:cs="宋体" w:eastAsia="宋体" w:hint="default"/>
          <w:spacing w:val="-54"/>
        </w:rPr>
        <w:t> </w:t>
      </w:r>
      <w:r>
        <w:rPr/>
        <w:t>件，获得软件著作权</w:t>
      </w:r>
      <w:r>
        <w:rPr>
          <w:spacing w:val="-51"/>
        </w:rPr>
        <w:t> </w:t>
      </w:r>
      <w:r>
        <w:rPr>
          <w:rFonts w:ascii="宋体" w:hAnsi="宋体" w:cs="宋体" w:eastAsia="宋体" w:hint="default"/>
        </w:rPr>
        <w:t>60</w:t>
      </w:r>
      <w:r>
        <w:rPr>
          <w:rFonts w:ascii="宋体" w:hAnsi="宋体" w:cs="宋体" w:eastAsia="宋体" w:hint="default"/>
          <w:spacing w:val="-51"/>
        </w:rPr>
        <w:t> </w:t>
      </w:r>
      <w:r>
        <w:rPr>
          <w:spacing w:val="-3"/>
        </w:rPr>
        <w:t>项。</w:t>
      </w:r>
      <w:r>
        <w:rPr/>
      </w:r>
    </w:p>
    <w:p>
      <w:pPr>
        <w:pStyle w:val="BodyText"/>
        <w:spacing w:line="240" w:lineRule="auto"/>
        <w:ind w:right="213"/>
        <w:jc w:val="both"/>
        <w:rPr>
          <w:rFonts w:ascii="宋体" w:hAnsi="宋体" w:cs="宋体" w:eastAsia="宋体" w:hint="default"/>
        </w:rPr>
      </w:pPr>
      <w:r>
        <w:rPr/>
        <w:t>获批国家重点专项重点研发计划项目课题</w:t>
      </w:r>
      <w:r>
        <w:rPr>
          <w:spacing w:val="-51"/>
        </w:rPr>
        <w:t> </w:t>
      </w:r>
      <w:r>
        <w:rPr>
          <w:rFonts w:ascii="宋体" w:hAnsi="宋体" w:cs="宋体" w:eastAsia="宋体" w:hint="default"/>
        </w:rPr>
        <w:t>1</w:t>
      </w:r>
      <w:r>
        <w:rPr>
          <w:rFonts w:ascii="宋体" w:hAnsi="宋体" w:cs="宋体" w:eastAsia="宋体" w:hint="default"/>
          <w:spacing w:val="-54"/>
        </w:rPr>
        <w:t> </w:t>
      </w:r>
      <w:r>
        <w:rPr/>
        <w:t>项，省优秀新产品</w:t>
      </w:r>
      <w:r>
        <w:rPr>
          <w:spacing w:val="-51"/>
        </w:rPr>
        <w:t> </w:t>
      </w:r>
      <w:r>
        <w:rPr>
          <w:rFonts w:ascii="宋体" w:hAnsi="宋体" w:cs="宋体" w:eastAsia="宋体" w:hint="default"/>
        </w:rPr>
        <w:t>9</w:t>
      </w:r>
      <w:r>
        <w:rPr>
          <w:rFonts w:ascii="宋体" w:hAnsi="宋体" w:cs="宋体" w:eastAsia="宋体" w:hint="default"/>
          <w:spacing w:val="-54"/>
        </w:rPr>
        <w:t> </w:t>
      </w:r>
      <w:r>
        <w:rPr/>
        <w:t>项，电力科技创新一等奖</w:t>
      </w:r>
      <w:r>
        <w:rPr>
          <w:spacing w:val="-53"/>
        </w:rPr>
        <w:t> </w:t>
      </w:r>
      <w:r>
        <w:rPr>
          <w:rFonts w:ascii="宋体" w:hAnsi="宋体" w:cs="宋体" w:eastAsia="宋体" w:hint="default"/>
        </w:rPr>
        <w:t>1</w:t>
      </w:r>
      <w:r>
        <w:rPr>
          <w:rFonts w:ascii="宋体" w:hAnsi="宋体" w:cs="宋体" w:eastAsia="宋体" w:hint="default"/>
          <w:spacing w:val="-51"/>
        </w:rPr>
        <w:t> </w:t>
      </w:r>
      <w:r>
        <w:rPr>
          <w:spacing w:val="-3"/>
        </w:rPr>
        <w:t>项，</w:t>
      </w:r>
      <w:r>
        <w:rPr>
          <w:spacing w:val="-3"/>
          <w:w w:val="100"/>
        </w:rPr>
        <w:t> </w:t>
      </w:r>
      <w:r>
        <w:rPr/>
        <w:t>国家电网科技进步二等奖</w:t>
      </w:r>
      <w:r>
        <w:rPr>
          <w:spacing w:val="-55"/>
        </w:rPr>
        <w:t> </w:t>
      </w:r>
      <w:r>
        <w:rPr>
          <w:rFonts w:ascii="宋体" w:hAnsi="宋体" w:cs="宋体" w:eastAsia="宋体" w:hint="default"/>
        </w:rPr>
        <w:t>1</w:t>
      </w:r>
      <w:r>
        <w:rPr>
          <w:rFonts w:ascii="宋体" w:hAnsi="宋体" w:cs="宋体" w:eastAsia="宋体" w:hint="default"/>
          <w:spacing w:val="-53"/>
        </w:rPr>
        <w:t> </w:t>
      </w:r>
      <w:r>
        <w:rPr/>
        <w:t>项，电网调度</w:t>
      </w:r>
      <w:r>
        <w:rPr>
          <w:spacing w:val="-55"/>
        </w:rPr>
        <w:t> </w:t>
      </w:r>
      <w:r>
        <w:rPr>
          <w:rFonts w:ascii="宋体" w:hAnsi="宋体" w:cs="宋体" w:eastAsia="宋体" w:hint="default"/>
        </w:rPr>
        <w:t>AI</w:t>
      </w:r>
      <w:r>
        <w:rPr>
          <w:rFonts w:ascii="宋体" w:hAnsi="宋体" w:cs="宋体" w:eastAsia="宋体" w:hint="default"/>
          <w:spacing w:val="-55"/>
        </w:rPr>
        <w:t> </w:t>
      </w:r>
      <w:r>
        <w:rPr/>
        <w:t>邀请赛二等奖</w:t>
      </w:r>
      <w:r>
        <w:rPr>
          <w:spacing w:val="-53"/>
        </w:rPr>
        <w:t> </w:t>
      </w:r>
      <w:r>
        <w:rPr>
          <w:rFonts w:ascii="宋体" w:hAnsi="宋体" w:cs="宋体" w:eastAsia="宋体" w:hint="default"/>
        </w:rPr>
        <w:t>1</w:t>
      </w:r>
      <w:r>
        <w:rPr>
          <w:rFonts w:ascii="宋体" w:hAnsi="宋体" w:cs="宋体" w:eastAsia="宋体" w:hint="default"/>
          <w:spacing w:val="-53"/>
        </w:rPr>
        <w:t> </w:t>
      </w:r>
      <w:r>
        <w:rPr>
          <w:spacing w:val="-3"/>
        </w:rPr>
        <w:t>项。</w:t>
      </w:r>
      <w:r>
        <w:rPr>
          <w:rFonts w:ascii="宋体" w:hAnsi="宋体" w:cs="宋体" w:eastAsia="宋体" w:hint="default"/>
        </w:rPr>
        <w:t> </w:t>
      </w:r>
    </w:p>
    <w:p>
      <w:pPr>
        <w:pStyle w:val="BodyText"/>
        <w:spacing w:line="274" w:lineRule="exact" w:before="22"/>
        <w:ind w:left="557" w:right="102"/>
        <w:jc w:val="left"/>
      </w:pPr>
      <w:r>
        <w:rPr/>
        <w:t>（二）成熟的营销网络及服务体系</w:t>
      </w:r>
      <w:r>
        <w:rPr>
          <w:rFonts w:ascii="宋体" w:hAnsi="宋体" w:cs="宋体" w:eastAsia="宋体" w:hint="default"/>
          <w:w w:val="100"/>
        </w:rPr>
        <w:t> </w:t>
      </w:r>
      <w:r>
        <w:rPr>
          <w:spacing w:val="-4"/>
          <w:w w:val="100"/>
        </w:rPr>
        <w:t>公司建立了较为健全的营销网络及服务体系，以保障公司产品能够快速有效地覆盖目标市场。</w:t>
      </w:r>
    </w:p>
    <w:p>
      <w:pPr>
        <w:pStyle w:val="BodyText"/>
        <w:spacing w:line="245" w:lineRule="exact"/>
        <w:ind w:right="0"/>
        <w:jc w:val="both"/>
      </w:pPr>
      <w:r>
        <w:rPr/>
        <w:t>军工装备产业，公司以北京为中心设立营销及服务中心，集中优质资源为公司产品提供全面的市</w:t>
      </w:r>
    </w:p>
    <w:p>
      <w:pPr>
        <w:pStyle w:val="BodyText"/>
        <w:spacing w:line="237" w:lineRule="auto" w:before="2"/>
        <w:ind w:right="209"/>
        <w:jc w:val="both"/>
        <w:rPr>
          <w:rFonts w:ascii="宋体" w:hAnsi="宋体" w:cs="宋体" w:eastAsia="宋体" w:hint="default"/>
        </w:rPr>
      </w:pPr>
      <w:r>
        <w:rPr/>
        <w:t>场营销支持和售前售后服务保障。智能电力产业，公司已在全球发展了超过</w:t>
      </w:r>
      <w:r>
        <w:rPr>
          <w:spacing w:val="-50"/>
        </w:rPr>
        <w:t> </w:t>
      </w:r>
      <w:r>
        <w:rPr>
          <w:rFonts w:ascii="宋体" w:hAnsi="宋体" w:cs="宋体" w:eastAsia="宋体" w:hint="default"/>
        </w:rPr>
        <w:t>200</w:t>
      </w:r>
      <w:r>
        <w:rPr>
          <w:rFonts w:ascii="宋体" w:hAnsi="宋体" w:cs="宋体" w:eastAsia="宋体" w:hint="default"/>
          <w:spacing w:val="-50"/>
        </w:rPr>
        <w:t> </w:t>
      </w:r>
      <w:r>
        <w:rPr/>
        <w:t>家经销商网络，</w:t>
      </w:r>
      <w:r>
        <w:rPr>
          <w:w w:val="100"/>
        </w:rPr>
        <w:t> </w:t>
      </w:r>
      <w:r>
        <w:rPr>
          <w:spacing w:val="-1"/>
        </w:rPr>
        <w:t>促使智能应急电源产业规模得以快速成长并保持市场领先地位。此外，公司的电力信息化系统业</w:t>
      </w:r>
      <w:r>
        <w:rPr>
          <w:spacing w:val="-55"/>
        </w:rPr>
        <w:t> </w:t>
      </w:r>
      <w:r>
        <w:rPr>
          <w:spacing w:val="-55"/>
        </w:rPr>
      </w:r>
      <w:r>
        <w:rPr/>
        <w:t>务客户已遍及全国</w:t>
      </w:r>
      <w:r>
        <w:rPr>
          <w:spacing w:val="-57"/>
        </w:rPr>
        <w:t> </w:t>
      </w:r>
      <w:r>
        <w:rPr>
          <w:rFonts w:ascii="宋体" w:hAnsi="宋体" w:cs="宋体" w:eastAsia="宋体" w:hint="default"/>
        </w:rPr>
        <w:t>17</w:t>
      </w:r>
      <w:r>
        <w:rPr>
          <w:rFonts w:ascii="宋体" w:hAnsi="宋体" w:cs="宋体" w:eastAsia="宋体" w:hint="default"/>
          <w:spacing w:val="-57"/>
        </w:rPr>
        <w:t> </w:t>
      </w:r>
      <w:r>
        <w:rPr/>
        <w:t>个网省，为供电服务指挥系统等新产品的推广提供了良好的客户基础。</w:t>
      </w:r>
      <w:r>
        <w:rPr>
          <w:rFonts w:ascii="宋体" w:hAnsi="宋体" w:cs="宋体" w:eastAsia="宋体" w:hint="default"/>
        </w:rPr>
        <w:t> </w:t>
      </w:r>
    </w:p>
    <w:p>
      <w:pPr>
        <w:pStyle w:val="BodyText"/>
        <w:spacing w:line="272" w:lineRule="exact" w:before="24"/>
        <w:ind w:left="557" w:right="102"/>
        <w:jc w:val="left"/>
      </w:pPr>
      <w:r>
        <w:rPr/>
        <w:t>（三）行之有效的人才的培养及激励体系</w:t>
      </w:r>
      <w:r>
        <w:rPr>
          <w:rFonts w:ascii="宋体" w:hAnsi="宋体" w:cs="宋体" w:eastAsia="宋体" w:hint="default"/>
          <w:w w:val="100"/>
        </w:rPr>
        <w:t> </w:t>
      </w:r>
      <w:r>
        <w:rPr>
          <w:spacing w:val="-2"/>
        </w:rPr>
        <w:t>在坚持创新发展赢得企业发展机会的同时，公司十分重视人才的选聘、培养与发展。公司紧</w:t>
      </w:r>
    </w:p>
    <w:p>
      <w:pPr>
        <w:pStyle w:val="BodyText"/>
        <w:spacing w:line="272" w:lineRule="exact" w:before="1"/>
        <w:ind w:right="209"/>
        <w:jc w:val="both"/>
      </w:pPr>
      <w:r>
        <w:rPr>
          <w:spacing w:val="-1"/>
        </w:rPr>
        <w:t>密结合战略发展目标及员工需求，提出以奋斗者为本、年轻人为主体的人才队伍建设理念，每年</w:t>
      </w:r>
      <w:r>
        <w:rPr>
          <w:spacing w:val="-55"/>
        </w:rPr>
        <w:t> </w:t>
      </w:r>
      <w:r>
        <w:rPr>
          <w:spacing w:val="-55"/>
        </w:rPr>
      </w:r>
      <w:r>
        <w:rPr/>
        <w:t>招聘高校应届毕业生近</w:t>
      </w:r>
      <w:r>
        <w:rPr>
          <w:spacing w:val="-52"/>
        </w:rPr>
        <w:t> </w:t>
      </w:r>
      <w:r>
        <w:rPr>
          <w:rFonts w:ascii="宋体" w:hAnsi="宋体" w:cs="宋体" w:eastAsia="宋体" w:hint="default"/>
        </w:rPr>
        <w:t>300</w:t>
      </w:r>
      <w:r>
        <w:rPr>
          <w:rFonts w:ascii="宋体" w:hAnsi="宋体" w:cs="宋体" w:eastAsia="宋体" w:hint="default"/>
          <w:spacing w:val="-49"/>
        </w:rPr>
        <w:t> </w:t>
      </w:r>
      <w:r>
        <w:rPr/>
        <w:t>人加入公司，同时报告期内公司继续在全球范围内选拔优秀硕士及以</w:t>
      </w:r>
    </w:p>
    <w:p>
      <w:pPr>
        <w:pStyle w:val="BodyText"/>
        <w:spacing w:line="272" w:lineRule="exact" w:before="1"/>
        <w:ind w:left="557" w:right="102" w:hanging="421"/>
        <w:jc w:val="left"/>
      </w:pPr>
      <w:r>
        <w:rPr/>
        <w:t>上毕业生加入“未来领军人才”计划培养，持续为公司发展储备人才。</w:t>
      </w:r>
      <w:r>
        <w:rPr>
          <w:rFonts w:ascii="宋体" w:hAnsi="宋体" w:cs="宋体" w:eastAsia="宋体" w:hint="default"/>
          <w:w w:val="100"/>
        </w:rPr>
        <w:t> </w:t>
      </w:r>
      <w:r>
        <w:rPr>
          <w:spacing w:val="-2"/>
        </w:rPr>
        <w:t>在员工培养与发展上，公司分层级多维度着力培养奋斗型人才、责任型人才、知识型人才。</w:t>
      </w:r>
    </w:p>
    <w:p>
      <w:pPr>
        <w:pStyle w:val="BodyText"/>
        <w:spacing w:line="272" w:lineRule="exact" w:before="2"/>
        <w:ind w:right="208"/>
        <w:jc w:val="both"/>
      </w:pPr>
      <w:r>
        <w:rPr>
          <w:spacing w:val="-1"/>
        </w:rPr>
        <w:t>对入司不满三年的应届毕业生安排“绿色人才”三年成才培养计划，挖掘有管理潜质的人员储备</w:t>
      </w:r>
      <w:r>
        <w:rPr>
          <w:spacing w:val="-55"/>
        </w:rPr>
        <w:t> </w:t>
      </w:r>
      <w:r>
        <w:rPr>
          <w:spacing w:val="-55"/>
        </w:rPr>
      </w:r>
      <w:r>
        <w:rPr/>
        <w:t>培养任用；对中高层管理人员提供知名院校的</w:t>
      </w:r>
      <w:r>
        <w:rPr>
          <w:spacing w:val="-46"/>
        </w:rPr>
        <w:t> </w:t>
      </w:r>
      <w:r>
        <w:rPr>
          <w:rFonts w:ascii="宋体" w:hAnsi="宋体" w:cs="宋体" w:eastAsia="宋体" w:hint="default"/>
        </w:rPr>
        <w:t>MBA</w:t>
      </w:r>
      <w:r>
        <w:rPr>
          <w:rFonts w:ascii="宋体" w:hAnsi="宋体" w:cs="宋体" w:eastAsia="宋体" w:hint="default"/>
          <w:spacing w:val="-4"/>
        </w:rPr>
        <w:t> </w:t>
      </w:r>
      <w:r>
        <w:rPr/>
        <w:t>和</w:t>
      </w:r>
      <w:r>
        <w:rPr>
          <w:spacing w:val="-46"/>
        </w:rPr>
        <w:t> </w:t>
      </w:r>
      <w:r>
        <w:rPr>
          <w:rFonts w:ascii="宋体" w:hAnsi="宋体" w:cs="宋体" w:eastAsia="宋体" w:hint="default"/>
        </w:rPr>
        <w:t>EMBA</w:t>
      </w:r>
      <w:r>
        <w:rPr>
          <w:rFonts w:ascii="宋体" w:hAnsi="宋体" w:cs="宋体" w:eastAsia="宋体" w:hint="default"/>
          <w:spacing w:val="-4"/>
        </w:rPr>
        <w:t> </w:t>
      </w:r>
      <w:r>
        <w:rPr/>
        <w:t>课程学习，对“未来领军人才”安排</w:t>
      </w:r>
    </w:p>
    <w:p>
      <w:pPr>
        <w:pStyle w:val="BodyText"/>
        <w:spacing w:line="272" w:lineRule="exact" w:before="1"/>
        <w:ind w:right="209"/>
        <w:jc w:val="both"/>
        <w:rPr>
          <w:rFonts w:ascii="宋体" w:hAnsi="宋体" w:cs="宋体" w:eastAsia="宋体" w:hint="default"/>
        </w:rPr>
      </w:pPr>
      <w:r>
        <w:rPr>
          <w:spacing w:val="-1"/>
        </w:rPr>
        <w:t>高级管理人员培训，提供重要职位培养。同时优化任职资格及职业发展通道，重点打造多通道职</w:t>
      </w:r>
      <w:r>
        <w:rPr>
          <w:spacing w:val="-54"/>
        </w:rPr>
        <w:t> </w:t>
      </w:r>
      <w:r>
        <w:rPr>
          <w:spacing w:val="-54"/>
        </w:rPr>
      </w:r>
      <w:r>
        <w:rPr/>
        <w:t>业发展，帮助员工找到发展方向，实现企业和个人双赢的良好格局。</w:t>
      </w:r>
      <w:r>
        <w:rPr>
          <w:rFonts w:ascii="宋体" w:hAnsi="宋体" w:cs="宋体" w:eastAsia="宋体" w:hint="default"/>
        </w:rPr>
        <w:t> </w:t>
      </w:r>
    </w:p>
    <w:p>
      <w:pPr>
        <w:pStyle w:val="BodyText"/>
        <w:spacing w:line="272" w:lineRule="exact" w:before="1"/>
        <w:ind w:right="208" w:firstLine="420"/>
        <w:jc w:val="both"/>
      </w:pPr>
      <w:r>
        <w:rPr>
          <w:spacing w:val="-2"/>
        </w:rPr>
        <w:t>公司高度重视员工绩效管理，涵盖员工绩效计划、绩效实施、绩效评估与反馈、绩效改进及</w:t>
      </w:r>
      <w:r>
        <w:rPr>
          <w:w w:val="100"/>
        </w:rPr>
        <w:t> </w:t>
      </w:r>
      <w:r>
        <w:rPr>
          <w:spacing w:val="-1"/>
        </w:rPr>
        <w:t>绩效结果应用等重要环节，并不断完善股权激励机制，实施了多次限制性股票激励计划和员工持</w:t>
      </w:r>
    </w:p>
    <w:p>
      <w:pPr>
        <w:pStyle w:val="BodyText"/>
        <w:spacing w:line="272" w:lineRule="exact" w:before="1"/>
        <w:ind w:right="208"/>
        <w:jc w:val="both"/>
        <w:rPr>
          <w:rFonts w:ascii="宋体" w:hAnsi="宋体" w:cs="宋体" w:eastAsia="宋体" w:hint="default"/>
        </w:rPr>
      </w:pPr>
      <w:r>
        <w:rPr>
          <w:spacing w:val="-1"/>
        </w:rPr>
        <w:t>股计划，覆盖公司各级核心骨干。通过多类短期、中期、长期协同配套激励机制，提升了员工履</w:t>
      </w:r>
      <w:r>
        <w:rPr>
          <w:spacing w:val="-55"/>
        </w:rPr>
        <w:t> </w:t>
      </w:r>
      <w:r>
        <w:rPr>
          <w:spacing w:val="-55"/>
        </w:rPr>
      </w:r>
      <w:r>
        <w:rPr/>
        <w:t>职达标意识和工作主动性，增强了员工凝聚力，为促进公司稳步经营起到积极的促进作用。</w:t>
      </w:r>
      <w:r>
        <w:rPr>
          <w:rFonts w:ascii="宋体" w:hAnsi="宋体" w:cs="宋体" w:eastAsia="宋体" w:hint="default"/>
        </w:rPr>
        <w:t> </w:t>
      </w:r>
    </w:p>
    <w:p>
      <w:pPr>
        <w:pStyle w:val="BodyText"/>
        <w:spacing w:line="247" w:lineRule="exact"/>
        <w:ind w:left="557" w:right="102"/>
        <w:jc w:val="left"/>
        <w:rPr>
          <w:rFonts w:ascii="宋体" w:hAnsi="宋体" w:cs="宋体" w:eastAsia="宋体" w:hint="default"/>
        </w:rPr>
      </w:pPr>
      <w:r>
        <w:rPr/>
        <w:t>（四）质量管理体系保障能力</w:t>
      </w:r>
      <w:r>
        <w:rPr>
          <w:rFonts w:ascii="宋体" w:hAnsi="宋体" w:cs="宋体" w:eastAsia="宋体" w:hint="default"/>
        </w:rPr>
        <w:t> </w:t>
      </w:r>
    </w:p>
    <w:p>
      <w:pPr>
        <w:pStyle w:val="BodyText"/>
        <w:spacing w:line="237" w:lineRule="auto"/>
        <w:ind w:right="208" w:firstLine="420"/>
        <w:jc w:val="both"/>
        <w:rPr>
          <w:rFonts w:ascii="宋体" w:hAnsi="宋体" w:cs="宋体" w:eastAsia="宋体" w:hint="default"/>
        </w:rPr>
      </w:pPr>
      <w:r>
        <w:rPr>
          <w:spacing w:val="-5"/>
        </w:rPr>
        <w:t>公司提倡新型的质量管理模式，以 </w:t>
      </w:r>
      <w:r>
        <w:rPr>
          <w:rFonts w:ascii="宋体" w:hAnsi="宋体" w:cs="宋体" w:eastAsia="宋体" w:hint="default"/>
        </w:rPr>
        <w:t>ISO9001:2015</w:t>
      </w:r>
      <w:r>
        <w:rPr>
          <w:rFonts w:ascii="宋体" w:hAnsi="宋体" w:cs="宋体" w:eastAsia="宋体" w:hint="default"/>
          <w:spacing w:val="-59"/>
        </w:rPr>
        <w:t> </w:t>
      </w:r>
      <w:r>
        <w:rPr>
          <w:spacing w:val="-4"/>
        </w:rPr>
        <w:t>为基础，打造了一支专业化质量管理团队服</w:t>
      </w:r>
      <w:r>
        <w:rPr>
          <w:w w:val="100"/>
        </w:rPr>
        <w:t> </w:t>
      </w:r>
      <w:r>
        <w:rPr>
          <w:spacing w:val="-1"/>
        </w:rPr>
        <w:t>务于公司质量管理体系建设，并结合公司卓越绩效、“6S”管理、全面质量管理、精益化生产等</w:t>
      </w:r>
      <w:r>
        <w:rPr>
          <w:spacing w:val="-54"/>
        </w:rPr>
        <w:t> </w:t>
      </w:r>
      <w:r>
        <w:rPr>
          <w:spacing w:val="-54"/>
        </w:rPr>
      </w:r>
      <w:r>
        <w:rPr/>
        <w:t>多个管理模式，运用 </w:t>
      </w:r>
      <w:r>
        <w:rPr>
          <w:rFonts w:ascii="宋体" w:hAnsi="宋体" w:cs="宋体" w:eastAsia="宋体" w:hint="default"/>
          <w:spacing w:val="-3"/>
        </w:rPr>
        <w:t>DFEMA</w:t>
      </w:r>
      <w:r>
        <w:rPr>
          <w:spacing w:val="-3"/>
        </w:rPr>
        <w:t>、</w:t>
      </w:r>
      <w:r>
        <w:rPr>
          <w:rFonts w:ascii="宋体" w:hAnsi="宋体" w:cs="宋体" w:eastAsia="宋体" w:hint="default"/>
          <w:spacing w:val="-3"/>
        </w:rPr>
        <w:t>PFEMA</w:t>
      </w:r>
      <w:r>
        <w:rPr>
          <w:spacing w:val="-3"/>
        </w:rPr>
        <w:t>、</w:t>
      </w:r>
      <w:r>
        <w:rPr>
          <w:rFonts w:ascii="宋体" w:hAnsi="宋体" w:cs="宋体" w:eastAsia="宋体" w:hint="default"/>
          <w:spacing w:val="-3"/>
        </w:rPr>
        <w:t>PDCA</w:t>
      </w:r>
      <w:r>
        <w:rPr>
          <w:spacing w:val="-3"/>
        </w:rPr>
        <w:t>、</w:t>
      </w:r>
      <w:r>
        <w:rPr>
          <w:rFonts w:ascii="宋体" w:hAnsi="宋体" w:cs="宋体" w:eastAsia="宋体" w:hint="default"/>
          <w:spacing w:val="-3"/>
        </w:rPr>
        <w:t>8D</w:t>
      </w:r>
      <w:r>
        <w:rPr>
          <w:spacing w:val="-3"/>
        </w:rPr>
        <w:t>、雷达图等多种质量工具，持续推动实现公司质量</w:t>
      </w:r>
      <w:r>
        <w:rPr>
          <w:spacing w:val="-86"/>
        </w:rPr>
        <w:t> </w:t>
      </w:r>
      <w:r>
        <w:rPr>
          <w:spacing w:val="-86"/>
        </w:rPr>
      </w:r>
      <w:r>
        <w:rPr/>
        <w:t>管理重大产品</w:t>
      </w:r>
      <w:r>
        <w:rPr>
          <w:spacing w:val="-54"/>
        </w:rPr>
        <w:t> </w:t>
      </w:r>
      <w:r>
        <w:rPr>
          <w:rFonts w:ascii="宋体" w:hAnsi="宋体" w:cs="宋体" w:eastAsia="宋体" w:hint="default"/>
        </w:rPr>
        <w:t>0</w:t>
      </w:r>
      <w:r>
        <w:rPr>
          <w:rFonts w:ascii="宋体" w:hAnsi="宋体" w:cs="宋体" w:eastAsia="宋体" w:hint="default"/>
          <w:spacing w:val="-57"/>
        </w:rPr>
        <w:t> </w:t>
      </w:r>
      <w:r>
        <w:rPr/>
        <w:t>投诉、环保</w:t>
      </w:r>
      <w:r>
        <w:rPr>
          <w:spacing w:val="-55"/>
        </w:rPr>
        <w:t> </w:t>
      </w:r>
      <w:r>
        <w:rPr>
          <w:rFonts w:ascii="宋体" w:hAnsi="宋体" w:cs="宋体" w:eastAsia="宋体" w:hint="default"/>
        </w:rPr>
        <w:t>0</w:t>
      </w:r>
      <w:r>
        <w:rPr>
          <w:rFonts w:ascii="宋体" w:hAnsi="宋体" w:cs="宋体" w:eastAsia="宋体" w:hint="default"/>
          <w:spacing w:val="-54"/>
        </w:rPr>
        <w:t> </w:t>
      </w:r>
      <w:r>
        <w:rPr/>
        <w:t>投诉、重大安全</w:t>
      </w:r>
      <w:r>
        <w:rPr>
          <w:spacing w:val="-55"/>
        </w:rPr>
        <w:t> </w:t>
      </w:r>
      <w:r>
        <w:rPr>
          <w:rFonts w:ascii="宋体" w:hAnsi="宋体" w:cs="宋体" w:eastAsia="宋体" w:hint="default"/>
        </w:rPr>
        <w:t>0</w:t>
      </w:r>
      <w:r>
        <w:rPr>
          <w:rFonts w:ascii="宋体" w:hAnsi="宋体" w:cs="宋体" w:eastAsia="宋体" w:hint="default"/>
          <w:spacing w:val="-55"/>
        </w:rPr>
        <w:t> </w:t>
      </w:r>
      <w:r>
        <w:rPr/>
        <w:t>事故的三“0”管理目标。</w:t>
      </w:r>
      <w:r>
        <w:rPr>
          <w:rFonts w:ascii="宋体" w:hAnsi="宋体" w:cs="宋体" w:eastAsia="宋体" w:hint="default"/>
        </w:rPr>
        <w:t> </w:t>
      </w:r>
    </w:p>
    <w:p>
      <w:pPr>
        <w:pStyle w:val="BodyText"/>
        <w:spacing w:line="237" w:lineRule="auto"/>
        <w:ind w:right="208" w:firstLine="420"/>
        <w:jc w:val="both"/>
        <w:rPr>
          <w:rFonts w:ascii="宋体" w:hAnsi="宋体" w:cs="宋体" w:eastAsia="宋体" w:hint="default"/>
        </w:rPr>
      </w:pPr>
      <w:r>
        <w:rPr>
          <w:spacing w:val="-12"/>
          <w:w w:val="100"/>
        </w:rPr>
        <w:t>报告期内，公司通过了“国家火炬计划软件产业基地骨干企业”、“全国质量管理先进企业”、</w:t>
      </w:r>
      <w:r>
        <w:rPr>
          <w:w w:val="100"/>
        </w:rPr>
        <w:t> </w:t>
      </w:r>
      <w:r>
        <w:rPr>
          <w:spacing w:val="-8"/>
        </w:rPr>
        <w:t>“全国用户满意企业”等荣誉的复评。此外，公司在 </w:t>
      </w:r>
      <w:r>
        <w:rPr>
          <w:rFonts w:ascii="宋体" w:hAnsi="宋体" w:cs="宋体" w:eastAsia="宋体" w:hint="default"/>
          <w:spacing w:val="-4"/>
        </w:rPr>
        <w:t>GJB9001C</w:t>
      </w:r>
      <w:r>
        <w:rPr>
          <w:spacing w:val="-4"/>
        </w:rPr>
        <w:t>、</w:t>
      </w:r>
      <w:r>
        <w:rPr>
          <w:rFonts w:ascii="宋体" w:hAnsi="宋体" w:cs="宋体" w:eastAsia="宋体" w:hint="default"/>
          <w:spacing w:val="-4"/>
        </w:rPr>
        <w:t>ISO19001:2015</w:t>
      </w:r>
      <w:r>
        <w:rPr>
          <w:spacing w:val="-4"/>
        </w:rPr>
        <w:t>、</w:t>
      </w:r>
      <w:r>
        <w:rPr>
          <w:rFonts w:ascii="宋体" w:hAnsi="宋体" w:cs="宋体" w:eastAsia="宋体" w:hint="default"/>
          <w:spacing w:val="-4"/>
        </w:rPr>
        <w:t>ISO14001:2015</w:t>
      </w:r>
      <w:r>
        <w:rPr>
          <w:spacing w:val="-4"/>
        </w:rPr>
        <w:t>、</w:t>
      </w:r>
      <w:r>
        <w:rPr>
          <w:spacing w:val="-78"/>
        </w:rPr>
        <w:t> </w:t>
      </w:r>
      <w:r>
        <w:rPr>
          <w:rFonts w:ascii="宋体" w:hAnsi="宋体" w:cs="宋体" w:eastAsia="宋体" w:hint="default"/>
        </w:rPr>
        <w:t>OHSAS18001:2007</w:t>
      </w:r>
      <w:r>
        <w:rPr>
          <w:rFonts w:ascii="宋体" w:hAnsi="宋体" w:cs="宋体" w:eastAsia="宋体" w:hint="default"/>
          <w:spacing w:val="-39"/>
        </w:rPr>
        <w:t> </w:t>
      </w:r>
      <w:r>
        <w:rPr>
          <w:spacing w:val="-3"/>
        </w:rPr>
        <w:t>多项体系认证基础上，新增</w:t>
      </w:r>
      <w:r>
        <w:rPr>
          <w:spacing w:val="-39"/>
        </w:rPr>
        <w:t> </w:t>
      </w:r>
      <w:r>
        <w:rPr>
          <w:rFonts w:ascii="宋体" w:hAnsi="宋体" w:cs="宋体" w:eastAsia="宋体" w:hint="default"/>
        </w:rPr>
        <w:t>CNAS</w:t>
      </w:r>
      <w:r>
        <w:rPr>
          <w:rFonts w:ascii="宋体" w:hAnsi="宋体" w:cs="宋体" w:eastAsia="宋体" w:hint="default"/>
          <w:spacing w:val="-42"/>
        </w:rPr>
        <w:t> </w:t>
      </w:r>
      <w:r>
        <w:rPr>
          <w:spacing w:val="-3"/>
        </w:rPr>
        <w:t>认可实验室，提升公司试验测试能力；扩大了</w:t>
      </w:r>
      <w:r>
        <w:rPr>
          <w:spacing w:val="-99"/>
        </w:rPr>
        <w:t> </w:t>
      </w:r>
      <w:r>
        <w:rPr>
          <w:spacing w:val="-99"/>
        </w:rPr>
      </w:r>
      <w:r>
        <w:rPr>
          <w:rFonts w:ascii="宋体" w:hAnsi="宋体" w:cs="宋体" w:eastAsia="宋体" w:hint="default"/>
        </w:rPr>
        <w:t>3C </w:t>
      </w:r>
      <w:r>
        <w:rPr>
          <w:spacing w:val="-3"/>
        </w:rPr>
        <w:t>产品认证、泰尔认证、核产品合格供应商等产品认证范围；在软件及信息安全服务方面，公司</w:t>
      </w:r>
      <w:r>
        <w:rPr>
          <w:spacing w:val="-87"/>
        </w:rPr>
        <w:t> </w:t>
      </w:r>
      <w:r>
        <w:rPr>
          <w:spacing w:val="-87"/>
        </w:rPr>
      </w:r>
      <w:r>
        <w:rPr/>
        <w:t>复评了</w:t>
      </w:r>
      <w:r>
        <w:rPr>
          <w:spacing w:val="-55"/>
        </w:rPr>
        <w:t> </w:t>
      </w:r>
      <w:r>
        <w:rPr>
          <w:rFonts w:ascii="宋体" w:hAnsi="宋体" w:cs="宋体" w:eastAsia="宋体" w:hint="default"/>
        </w:rPr>
        <w:t>ISO/IEC27001:2013</w:t>
      </w:r>
      <w:r>
        <w:rPr/>
        <w:t>、</w:t>
      </w:r>
      <w:r>
        <w:rPr>
          <w:rFonts w:ascii="宋体" w:hAnsi="宋体" w:cs="宋体" w:eastAsia="宋体" w:hint="default"/>
        </w:rPr>
        <w:t>ISO/IEC20000-1:2011</w:t>
      </w:r>
      <w:r>
        <w:rPr>
          <w:rFonts w:ascii="宋体" w:hAnsi="宋体" w:cs="宋体" w:eastAsia="宋体" w:hint="default"/>
          <w:spacing w:val="-57"/>
        </w:rPr>
        <w:t> </w:t>
      </w:r>
      <w:r>
        <w:rPr/>
        <w:t>体系的认证，取得</w:t>
      </w:r>
      <w:r>
        <w:rPr>
          <w:spacing w:val="-57"/>
        </w:rPr>
        <w:t> </w:t>
      </w:r>
      <w:r>
        <w:rPr>
          <w:rFonts w:ascii="宋体" w:hAnsi="宋体" w:cs="宋体" w:eastAsia="宋体" w:hint="default"/>
          <w:spacing w:val="-3"/>
        </w:rPr>
        <w:t>CMMI5</w:t>
      </w:r>
      <w:r>
        <w:rPr>
          <w:spacing w:val="-3"/>
        </w:rPr>
        <w:t>（最高等级）、涉密</w:t>
      </w:r>
      <w:r>
        <w:rPr>
          <w:w w:val="100"/>
        </w:rPr>
        <w:t> </w:t>
      </w:r>
      <w:r>
        <w:rPr>
          <w:spacing w:val="-1"/>
        </w:rPr>
        <w:t>信息系统集成甲级资质、信息系统集成及服务一级资质等认证。公司质量管理质量不断提升、管</w:t>
      </w:r>
      <w:r>
        <w:rPr>
          <w:spacing w:val="-54"/>
        </w:rPr>
        <w:t> </w:t>
      </w:r>
      <w:r>
        <w:rPr>
          <w:spacing w:val="-54"/>
        </w:rPr>
      </w:r>
      <w:r>
        <w:rPr/>
        <w:t>理体系不断丰富。</w:t>
      </w:r>
      <w:r>
        <w:rPr>
          <w:rFonts w:ascii="宋体" w:hAnsi="宋体" w:cs="宋体" w:eastAsia="宋体" w:hint="default"/>
        </w:rPr>
        <w:t> </w:t>
      </w:r>
    </w:p>
    <w:p>
      <w:pPr>
        <w:spacing w:after="0" w:line="237" w:lineRule="auto"/>
        <w:jc w:val="both"/>
        <w:rPr>
          <w:rFonts w:ascii="宋体" w:hAnsi="宋体" w:cs="宋体" w:eastAsia="宋体" w:hint="default"/>
        </w:rPr>
        <w:sectPr>
          <w:footerReference w:type="default" r:id="rId13"/>
          <w:pgSz w:w="11910" w:h="16840"/>
          <w:pgMar w:footer="1195" w:header="880" w:top="1120" w:bottom="1380" w:left="1140" w:right="1580"/>
          <w:pgNumType w:start="11"/>
        </w:sectPr>
      </w:pPr>
    </w:p>
    <w:p>
      <w:pPr>
        <w:spacing w:line="240" w:lineRule="auto" w:before="5"/>
        <w:rPr>
          <w:rFonts w:ascii="宋体" w:hAnsi="宋体" w:cs="宋体" w:eastAsia="宋体" w:hint="default"/>
          <w:sz w:val="19"/>
          <w:szCs w:val="19"/>
        </w:rPr>
      </w:pPr>
    </w:p>
    <w:p>
      <w:pPr>
        <w:pStyle w:val="Heading1"/>
        <w:tabs>
          <w:tab w:pos="3995" w:val="left" w:leader="none"/>
        </w:tabs>
        <w:spacing w:line="240" w:lineRule="auto" w:before="14"/>
        <w:ind w:left="2734" w:right="0"/>
        <w:jc w:val="left"/>
        <w:rPr>
          <w:b w:val="0"/>
          <w:bCs w:val="0"/>
        </w:rPr>
      </w:pPr>
      <w:bookmarkStart w:name="_bookmark3" w:id="4"/>
      <w:bookmarkEnd w:id="4"/>
      <w:r>
        <w:rPr>
          <w:b w:val="0"/>
          <w:bCs w:val="0"/>
        </w:rPr>
      </w:r>
      <w:r>
        <w:rPr>
          <w:w w:val="95"/>
        </w:rPr>
        <w:t>第四节</w:t>
      </w:r>
      <w:r>
        <w:rPr>
          <w:rFonts w:ascii="宋体" w:hAnsi="宋体" w:cs="宋体" w:eastAsia="宋体" w:hint="default"/>
          <w:w w:val="95"/>
        </w:rPr>
        <w:tab/>
      </w:r>
      <w:r>
        <w:rPr/>
        <w:t>经营情况讨论与分析</w:t>
      </w:r>
      <w:r>
        <w:rPr>
          <w:b w:val="0"/>
          <w:bCs w:val="0"/>
        </w:rPr>
      </w:r>
    </w:p>
    <w:p>
      <w:pPr>
        <w:spacing w:line="240" w:lineRule="auto" w:before="5"/>
        <w:rPr>
          <w:rFonts w:ascii="黑体" w:hAnsi="黑体" w:cs="黑体" w:eastAsia="黑体" w:hint="default"/>
          <w:b/>
          <w:bCs/>
          <w:sz w:val="19"/>
          <w:szCs w:val="19"/>
        </w:rPr>
      </w:pPr>
    </w:p>
    <w:p>
      <w:pPr>
        <w:pStyle w:val="Heading5"/>
        <w:spacing w:line="240" w:lineRule="auto" w:before="0"/>
        <w:ind w:right="0"/>
        <w:jc w:val="left"/>
        <w:rPr>
          <w:b w:val="0"/>
          <w:bCs w:val="0"/>
        </w:rPr>
      </w:pPr>
      <w:r>
        <w:rPr/>
        <w:t>一、经营情况讨论与分析</w:t>
      </w:r>
      <w:r>
        <w:rPr>
          <w:b w:val="0"/>
          <w:bCs w:val="0"/>
        </w:rPr>
      </w:r>
    </w:p>
    <w:p>
      <w:pPr>
        <w:pStyle w:val="BodyText"/>
        <w:spacing w:line="237" w:lineRule="auto" w:before="59"/>
        <w:ind w:left="216" w:right="308" w:firstLine="480"/>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3"/>
        </w:rPr>
        <w:t> </w:t>
      </w:r>
      <w:r>
        <w:rPr/>
        <w:t>年，我国</w:t>
      </w:r>
      <w:r>
        <w:rPr>
          <w:spacing w:val="-40"/>
        </w:rPr>
        <w:t> </w:t>
      </w:r>
      <w:r>
        <w:rPr>
          <w:rFonts w:ascii="宋体" w:hAnsi="宋体" w:cs="宋体" w:eastAsia="宋体" w:hint="default"/>
        </w:rPr>
        <w:t>GDP</w:t>
      </w:r>
      <w:r>
        <w:rPr>
          <w:rFonts w:ascii="宋体" w:hAnsi="宋体" w:cs="宋体" w:eastAsia="宋体" w:hint="default"/>
          <w:spacing w:val="-40"/>
        </w:rPr>
        <w:t> </w:t>
      </w:r>
      <w:r>
        <w:rPr/>
        <w:t>同比增长</w:t>
      </w:r>
      <w:r>
        <w:rPr>
          <w:spacing w:val="-40"/>
        </w:rPr>
        <w:t> </w:t>
      </w:r>
      <w:r>
        <w:rPr>
          <w:rFonts w:ascii="宋体" w:hAnsi="宋体" w:cs="宋体" w:eastAsia="宋体" w:hint="default"/>
        </w:rPr>
        <w:t>6.1%</w:t>
      </w:r>
      <w:r>
        <w:rPr/>
        <w:t>，增速持续下行，加之中美贸易摩擦加剧，国内整体货币</w:t>
      </w:r>
      <w:r>
        <w:rPr>
          <w:w w:val="100"/>
        </w:rPr>
        <w:t> </w:t>
      </w:r>
      <w:r>
        <w:rPr>
          <w:spacing w:val="-1"/>
        </w:rPr>
        <w:t>和信用环境趋紧，宏观经济下行压力加大。为应对新的经济形势，公司在继续坚持“内生外延、</w:t>
      </w:r>
      <w:r>
        <w:rPr>
          <w:spacing w:val="-54"/>
        </w:rPr>
        <w:t> </w:t>
      </w:r>
      <w:r>
        <w:rPr>
          <w:spacing w:val="-54"/>
        </w:rPr>
      </w:r>
      <w:r>
        <w:rPr>
          <w:spacing w:val="-1"/>
        </w:rPr>
        <w:t>创新发展”总体发展战略的基础上，进一步明确了聚焦主业、集中资源发展军工装备产业、提升</w:t>
      </w:r>
      <w:r>
        <w:rPr>
          <w:spacing w:val="-54"/>
        </w:rPr>
        <w:t> </w:t>
      </w:r>
      <w:r>
        <w:rPr>
          <w:spacing w:val="-54"/>
        </w:rPr>
      </w:r>
      <w:r>
        <w:rPr>
          <w:spacing w:val="-1"/>
        </w:rPr>
        <w:t>公司盈利能力的经营思路。为此，报告期内，公司逐步对产业结构进行调整，退出或收缩盈利能</w:t>
      </w:r>
      <w:r>
        <w:rPr>
          <w:spacing w:val="-55"/>
        </w:rPr>
        <w:t> </w:t>
      </w:r>
      <w:r>
        <w:rPr>
          <w:spacing w:val="-55"/>
        </w:rPr>
      </w:r>
      <w:r>
        <w:rPr>
          <w:spacing w:val="-1"/>
        </w:rPr>
        <w:t>力不足的业务和产品，并集中精力关注重点市场，同时进一步加大“清收减库”、“降本增效”</w:t>
      </w:r>
      <w:r>
        <w:rPr>
          <w:spacing w:val="-56"/>
        </w:rPr>
        <w:t> </w:t>
      </w:r>
      <w:r>
        <w:rPr>
          <w:spacing w:val="-56"/>
        </w:rPr>
      </w:r>
      <w:r>
        <w:rPr/>
        <w:t>的工作力度。虽然报告期内公司营业收入同比降低</w:t>
      </w:r>
      <w:r>
        <w:rPr>
          <w:spacing w:val="-34"/>
        </w:rPr>
        <w:t> </w:t>
      </w:r>
      <w:r>
        <w:rPr>
          <w:rFonts w:ascii="宋体" w:hAnsi="宋体" w:cs="宋体" w:eastAsia="宋体" w:hint="default"/>
        </w:rPr>
        <w:t>8.23</w:t>
      </w:r>
      <w:r>
        <w:rPr>
          <w:rFonts w:ascii="宋体" w:hAnsi="宋体" w:cs="宋体" w:eastAsia="宋体" w:hint="default"/>
          <w:spacing w:val="-34"/>
        </w:rPr>
        <w:t> </w:t>
      </w:r>
      <w:r>
        <w:rPr/>
        <w:t>亿元，但公司整体毛利率同比增长</w:t>
      </w:r>
      <w:r>
        <w:rPr>
          <w:spacing w:val="-32"/>
        </w:rPr>
        <w:t> </w:t>
      </w:r>
      <w:r>
        <w:rPr>
          <w:rFonts w:ascii="宋体" w:hAnsi="宋体" w:cs="宋体" w:eastAsia="宋体" w:hint="default"/>
        </w:rPr>
        <w:t>2.98</w:t>
      </w:r>
      <w:r>
        <w:rPr>
          <w:rFonts w:ascii="宋体" w:hAnsi="宋体" w:cs="宋体" w:eastAsia="宋体" w:hint="default"/>
          <w:w w:val="100"/>
        </w:rPr>
        <w:t> </w:t>
      </w:r>
      <w:r>
        <w:rPr/>
        <w:t>百分点；应收账款降低</w:t>
      </w:r>
      <w:r>
        <w:rPr>
          <w:spacing w:val="-56"/>
        </w:rPr>
        <w:t> </w:t>
      </w:r>
      <w:r>
        <w:rPr>
          <w:rFonts w:ascii="宋体" w:hAnsi="宋体" w:cs="宋体" w:eastAsia="宋体" w:hint="default"/>
        </w:rPr>
        <w:t>13.83</w:t>
      </w:r>
      <w:r>
        <w:rPr>
          <w:rFonts w:ascii="宋体" w:hAnsi="宋体" w:cs="宋体" w:eastAsia="宋体" w:hint="default"/>
          <w:spacing w:val="-55"/>
        </w:rPr>
        <w:t> </w:t>
      </w:r>
      <w:r>
        <w:rPr/>
        <w:t>亿元，同比降低</w:t>
      </w:r>
      <w:r>
        <w:rPr>
          <w:spacing w:val="-58"/>
        </w:rPr>
        <w:t> </w:t>
      </w:r>
      <w:r>
        <w:rPr>
          <w:rFonts w:ascii="宋体" w:hAnsi="宋体" w:cs="宋体" w:eastAsia="宋体" w:hint="default"/>
        </w:rPr>
        <w:t>25.96%</w:t>
      </w:r>
      <w:r>
        <w:rPr/>
        <w:t>。</w:t>
      </w:r>
      <w:r>
        <w:rPr>
          <w:rFonts w:ascii="宋体" w:hAnsi="宋体" w:cs="宋体" w:eastAsia="宋体" w:hint="default"/>
        </w:rPr>
        <w:t> </w:t>
      </w:r>
    </w:p>
    <w:p>
      <w:pPr>
        <w:pStyle w:val="BodyText"/>
        <w:spacing w:line="237" w:lineRule="auto" w:before="1"/>
        <w:ind w:left="216" w:right="308" w:firstLine="420"/>
        <w:jc w:val="both"/>
        <w:rPr>
          <w:rFonts w:ascii="宋体" w:hAnsi="宋体" w:cs="宋体" w:eastAsia="宋体" w:hint="default"/>
        </w:rPr>
      </w:pPr>
      <w:r>
        <w:rPr>
          <w:spacing w:val="-3"/>
        </w:rPr>
        <w:t>报告期内，公司军工装备产品营业收入增长近</w:t>
      </w:r>
      <w:r>
        <w:rPr>
          <w:spacing w:val="-2"/>
        </w:rPr>
        <w:t> </w:t>
      </w:r>
      <w:r>
        <w:rPr>
          <w:rFonts w:ascii="宋体" w:hAnsi="宋体" w:cs="宋体" w:eastAsia="宋体" w:hint="default"/>
          <w:spacing w:val="-3"/>
        </w:rPr>
        <w:t>8%</w:t>
      </w:r>
      <w:r>
        <w:rPr>
          <w:spacing w:val="-3"/>
        </w:rPr>
        <w:t>，产品订单增长较好，随之也造成公司军工</w:t>
      </w:r>
      <w:r>
        <w:rPr>
          <w:w w:val="100"/>
        </w:rPr>
        <w:t> </w:t>
      </w:r>
      <w:r>
        <w:rPr>
          <w:spacing w:val="-1"/>
        </w:rPr>
        <w:t>装备产品交付压力较大，部分产品在报告期内尚未完成交付及验收。未来，公司将持续加大军工</w:t>
      </w:r>
      <w:r>
        <w:rPr>
          <w:spacing w:val="-55"/>
        </w:rPr>
        <w:t> </w:t>
      </w:r>
      <w:r>
        <w:rPr>
          <w:spacing w:val="-55"/>
        </w:rPr>
      </w:r>
      <w:r>
        <w:rPr>
          <w:spacing w:val="-1"/>
        </w:rPr>
        <w:t>装备产业的技改投入，提升生产效率，缩短产品交付周期。报告期内，公司继续加大对军工装备</w:t>
      </w:r>
      <w:r>
        <w:rPr>
          <w:spacing w:val="-55"/>
        </w:rPr>
        <w:t> </w:t>
      </w:r>
      <w:r>
        <w:rPr>
          <w:spacing w:val="-55"/>
        </w:rPr>
      </w:r>
      <w:r>
        <w:rPr>
          <w:spacing w:val="-1"/>
        </w:rPr>
        <w:t>的研发投入，多型新型号产品均陆续完成研制并通过军方鉴定，如车载通信车辆指挥系统顺利完</w:t>
      </w:r>
      <w:r>
        <w:rPr>
          <w:spacing w:val="-55"/>
        </w:rPr>
        <w:t> </w:t>
      </w:r>
      <w:r>
        <w:rPr>
          <w:spacing w:val="-55"/>
        </w:rPr>
      </w:r>
      <w:r>
        <w:rPr>
          <w:spacing w:val="-1"/>
        </w:rPr>
        <w:t>成某三型型号产品的军方鉴定、军用电站六型产品通过军方鉴定等，保证了公司军工装备产业未</w:t>
      </w:r>
      <w:r>
        <w:rPr>
          <w:spacing w:val="-55"/>
        </w:rPr>
        <w:t> </w:t>
      </w:r>
      <w:r>
        <w:rPr>
          <w:spacing w:val="-55"/>
        </w:rPr>
      </w:r>
      <w:r>
        <w:rPr>
          <w:spacing w:val="-1"/>
        </w:rPr>
        <w:t>来的持续发展。此外，重大在研项目也取得一定成果，在军用信息化装备方面，如激光测风雷达</w:t>
      </w:r>
      <w:r>
        <w:rPr>
          <w:spacing w:val="-55"/>
        </w:rPr>
        <w:t> </w:t>
      </w:r>
      <w:r>
        <w:rPr>
          <w:spacing w:val="-55"/>
        </w:rPr>
      </w:r>
      <w:r>
        <w:rPr>
          <w:spacing w:val="-1"/>
        </w:rPr>
        <w:t>完成样机测试并完成实物比测、某预警探测系统中标军方型号项目；在军用能源装备方面，军内</w:t>
      </w:r>
      <w:r>
        <w:rPr>
          <w:spacing w:val="-54"/>
        </w:rPr>
        <w:t> </w:t>
      </w:r>
      <w:r>
        <w:rPr>
          <w:spacing w:val="-54"/>
        </w:rPr>
      </w:r>
      <w:r>
        <w:rPr>
          <w:spacing w:val="-1"/>
        </w:rPr>
        <w:t>重大预研项目“无人平台动力源”及科技部重点科研项目“特殊环境下应急电源系统”均完成样</w:t>
      </w:r>
      <w:r>
        <w:rPr>
          <w:spacing w:val="-55"/>
        </w:rPr>
        <w:t> </w:t>
      </w:r>
      <w:r>
        <w:rPr>
          <w:spacing w:val="-55"/>
        </w:rPr>
      </w:r>
      <w:r>
        <w:rPr>
          <w:spacing w:val="-1"/>
        </w:rPr>
        <w:t>机研制取得阶段性成果。型号项目的储备将为公司持续在军用信息化及军用能源装备领域的快速</w:t>
      </w:r>
      <w:r>
        <w:rPr>
          <w:spacing w:val="-55"/>
        </w:rPr>
        <w:t> </w:t>
      </w:r>
      <w:r>
        <w:rPr>
          <w:spacing w:val="-55"/>
        </w:rPr>
      </w:r>
      <w:r>
        <w:rPr/>
        <w:t>发展起到较好的支撑。</w:t>
      </w:r>
      <w:r>
        <w:rPr>
          <w:rFonts w:ascii="宋体" w:hAnsi="宋体" w:cs="宋体" w:eastAsia="宋体" w:hint="default"/>
        </w:rPr>
        <w:t> </w:t>
      </w:r>
    </w:p>
    <w:p>
      <w:pPr>
        <w:pStyle w:val="BodyText"/>
        <w:spacing w:line="237" w:lineRule="auto" w:before="1"/>
        <w:ind w:left="216" w:right="309" w:firstLine="420"/>
        <w:jc w:val="both"/>
        <w:rPr>
          <w:rFonts w:ascii="宋体" w:hAnsi="宋体" w:cs="宋体" w:eastAsia="宋体" w:hint="default"/>
        </w:rPr>
      </w:pPr>
      <w:r>
        <w:rPr>
          <w:spacing w:val="-2"/>
        </w:rPr>
        <w:t>报告期内，公司紧跟产业发展趋势，在国家电网、南方电网公司缩减电力产业总投资规模、</w:t>
      </w:r>
      <w:r>
        <w:rPr>
          <w:w w:val="100"/>
        </w:rPr>
        <w:t> </w:t>
      </w:r>
      <w:r>
        <w:rPr>
          <w:spacing w:val="-1"/>
        </w:rPr>
        <w:t>重点推进电力物联网建设的大背景下，公司也完成了对智能电力业务的梳理，加快了智能电力业</w:t>
      </w:r>
      <w:r>
        <w:rPr>
          <w:spacing w:val="-55"/>
        </w:rPr>
        <w:t> </w:t>
      </w:r>
      <w:r>
        <w:rPr>
          <w:spacing w:val="-55"/>
        </w:rPr>
      </w:r>
      <w:r>
        <w:rPr>
          <w:spacing w:val="-1"/>
        </w:rPr>
        <w:t>务领域的产业结构调整。同时，为把握电力物联网建设带来的产业升级机会，公司在巩固电力调</w:t>
      </w:r>
      <w:r>
        <w:rPr>
          <w:spacing w:val="-55"/>
        </w:rPr>
        <w:t> </w:t>
      </w:r>
      <w:r>
        <w:rPr>
          <w:spacing w:val="-55"/>
        </w:rPr>
      </w:r>
      <w:r>
        <w:rPr>
          <w:spacing w:val="-1"/>
        </w:rPr>
        <w:t>度及运检系统信息化软件领域领先地位的同时，形成了以配电物联系列、调度运行指挥系列、输</w:t>
      </w:r>
      <w:r>
        <w:rPr>
          <w:spacing w:val="-55"/>
        </w:rPr>
        <w:t> </w:t>
      </w:r>
      <w:r>
        <w:rPr>
          <w:spacing w:val="-55"/>
        </w:rPr>
      </w:r>
      <w:r>
        <w:rPr>
          <w:spacing w:val="-1"/>
        </w:rPr>
        <w:t>变电物联系列、物联网调控云系列等为代表的电力物联网产品线，由应用层产品向国家电网、南</w:t>
      </w:r>
      <w:r>
        <w:rPr>
          <w:spacing w:val="-55"/>
        </w:rPr>
        <w:t> </w:t>
      </w:r>
      <w:r>
        <w:rPr>
          <w:spacing w:val="-55"/>
        </w:rPr>
      </w:r>
      <w:r>
        <w:rPr>
          <w:spacing w:val="-1"/>
        </w:rPr>
        <w:t>方电网数据中台产品线发展；打造电力交易系列产品和能源服务平台，为客户提供综合能源解决</w:t>
      </w:r>
      <w:r>
        <w:rPr>
          <w:spacing w:val="-54"/>
        </w:rPr>
        <w:t> </w:t>
      </w:r>
      <w:r>
        <w:rPr>
          <w:spacing w:val="-54"/>
        </w:rPr>
      </w:r>
      <w:r>
        <w:rPr/>
        <w:t>方案。</w:t>
      </w:r>
      <w:r>
        <w:rPr>
          <w:rFonts w:ascii="宋体" w:hAnsi="宋体" w:cs="宋体" w:eastAsia="宋体" w:hint="default"/>
        </w:rPr>
        <w:t> </w:t>
      </w:r>
    </w:p>
    <w:p>
      <w:pPr>
        <w:pStyle w:val="Heading3"/>
        <w:spacing w:line="307" w:lineRule="exact"/>
        <w:ind w:right="0"/>
        <w:jc w:val="left"/>
        <w:rPr>
          <w:rFonts w:ascii="宋体" w:hAnsi="宋体" w:cs="宋体" w:eastAsia="宋体" w:hint="default"/>
        </w:rPr>
      </w:pPr>
      <w:r>
        <w:rPr>
          <w:rFonts w:ascii="宋体"/>
        </w:rPr>
        <w:t> </w:t>
      </w:r>
    </w:p>
    <w:p>
      <w:pPr>
        <w:pStyle w:val="Heading5"/>
        <w:spacing w:line="240" w:lineRule="auto"/>
        <w:ind w:right="0"/>
        <w:jc w:val="left"/>
        <w:rPr>
          <w:b w:val="0"/>
          <w:bCs w:val="0"/>
        </w:rPr>
      </w:pPr>
      <w:r>
        <w:rPr/>
        <w:t>二、报告期内主要经营情况</w:t>
      </w:r>
      <w:r>
        <w:rPr>
          <w:b w:val="0"/>
          <w:bCs w:val="0"/>
        </w:rPr>
      </w:r>
    </w:p>
    <w:p>
      <w:pPr>
        <w:pStyle w:val="BodyText"/>
        <w:spacing w:line="274" w:lineRule="exact" w:before="56"/>
        <w:ind w:left="697" w:right="0"/>
        <w:jc w:val="left"/>
      </w:pPr>
      <w:r>
        <w:rPr>
          <w:rFonts w:ascii="宋体" w:hAnsi="宋体" w:cs="宋体" w:eastAsia="宋体" w:hint="default"/>
        </w:rPr>
        <w:t>2019</w:t>
      </w:r>
      <w:r>
        <w:rPr>
          <w:rFonts w:ascii="宋体" w:hAnsi="宋体" w:cs="宋体" w:eastAsia="宋体" w:hint="default"/>
          <w:spacing w:val="-50"/>
        </w:rPr>
        <w:t> </w:t>
      </w:r>
      <w:r>
        <w:rPr/>
        <w:t>年公司实现营业总收入</w:t>
      </w:r>
      <w:r>
        <w:rPr>
          <w:spacing w:val="-46"/>
        </w:rPr>
        <w:t> </w:t>
      </w:r>
      <w:r>
        <w:rPr>
          <w:rFonts w:ascii="宋体" w:hAnsi="宋体" w:cs="宋体" w:eastAsia="宋体" w:hint="default"/>
        </w:rPr>
        <w:t>530,446</w:t>
      </w:r>
      <w:r>
        <w:rPr>
          <w:rFonts w:ascii="宋体" w:hAnsi="宋体" w:cs="宋体" w:eastAsia="宋体" w:hint="default"/>
          <w:spacing w:val="-50"/>
        </w:rPr>
        <w:t> </w:t>
      </w:r>
      <w:r>
        <w:rPr>
          <w:spacing w:val="-4"/>
        </w:rPr>
        <w:t>万元，较上年减少</w:t>
      </w:r>
      <w:r>
        <w:rPr>
          <w:spacing w:val="-46"/>
        </w:rPr>
        <w:t> </w:t>
      </w:r>
      <w:r>
        <w:rPr>
          <w:rFonts w:ascii="宋体" w:hAnsi="宋体" w:cs="宋体" w:eastAsia="宋体" w:hint="default"/>
        </w:rPr>
        <w:t>82,293</w:t>
      </w:r>
      <w:r>
        <w:rPr>
          <w:rFonts w:ascii="宋体" w:hAnsi="宋体" w:cs="宋体" w:eastAsia="宋体" w:hint="default"/>
          <w:spacing w:val="-47"/>
        </w:rPr>
        <w:t> </w:t>
      </w:r>
      <w:r>
        <w:rPr>
          <w:spacing w:val="-5"/>
        </w:rPr>
        <w:t>万元，降幅</w:t>
      </w:r>
      <w:r>
        <w:rPr>
          <w:spacing w:val="-47"/>
        </w:rPr>
        <w:t> </w:t>
      </w:r>
      <w:r>
        <w:rPr>
          <w:rFonts w:ascii="宋体" w:hAnsi="宋体" w:cs="宋体" w:eastAsia="宋体" w:hint="default"/>
          <w:spacing w:val="-3"/>
        </w:rPr>
        <w:t>13.43%</w:t>
      </w:r>
      <w:r>
        <w:rPr>
          <w:spacing w:val="-3"/>
        </w:rPr>
        <w:t>。实现净</w:t>
      </w:r>
    </w:p>
    <w:p>
      <w:pPr>
        <w:pStyle w:val="BodyText"/>
        <w:spacing w:line="272" w:lineRule="exact" w:before="27"/>
        <w:ind w:left="216" w:right="0"/>
        <w:jc w:val="left"/>
        <w:rPr>
          <w:rFonts w:ascii="宋体" w:hAnsi="宋体" w:cs="宋体" w:eastAsia="宋体" w:hint="default"/>
          <w:sz w:val="24"/>
          <w:szCs w:val="24"/>
        </w:rPr>
      </w:pPr>
      <w:r>
        <w:rPr/>
        <w:t>利润</w:t>
      </w:r>
      <w:r>
        <w:rPr>
          <w:spacing w:val="-45"/>
        </w:rPr>
        <w:t> </w:t>
      </w:r>
      <w:r>
        <w:rPr>
          <w:rFonts w:ascii="宋体" w:hAnsi="宋体" w:cs="宋体" w:eastAsia="宋体" w:hint="default"/>
        </w:rPr>
        <w:t>15,076</w:t>
      </w:r>
      <w:r>
        <w:rPr>
          <w:rFonts w:ascii="宋体" w:hAnsi="宋体" w:cs="宋体" w:eastAsia="宋体" w:hint="default"/>
          <w:spacing w:val="-45"/>
        </w:rPr>
        <w:t> </w:t>
      </w:r>
      <w:r>
        <w:rPr/>
        <w:t>万元，比上年减少</w:t>
      </w:r>
      <w:r>
        <w:rPr>
          <w:spacing w:val="-44"/>
        </w:rPr>
        <w:t> </w:t>
      </w:r>
      <w:r>
        <w:rPr>
          <w:rFonts w:ascii="宋体" w:hAnsi="宋体" w:cs="宋体" w:eastAsia="宋体" w:hint="default"/>
        </w:rPr>
        <w:t>12,341</w:t>
      </w:r>
      <w:r>
        <w:rPr>
          <w:rFonts w:ascii="宋体" w:hAnsi="宋体" w:cs="宋体" w:eastAsia="宋体" w:hint="default"/>
          <w:spacing w:val="-45"/>
        </w:rPr>
        <w:t> </w:t>
      </w:r>
      <w:r>
        <w:rPr/>
        <w:t>万元，降幅</w:t>
      </w:r>
      <w:r>
        <w:rPr>
          <w:spacing w:val="-45"/>
        </w:rPr>
        <w:t> </w:t>
      </w:r>
      <w:r>
        <w:rPr>
          <w:rFonts w:ascii="宋体" w:hAnsi="宋体" w:cs="宋体" w:eastAsia="宋体" w:hint="default"/>
        </w:rPr>
        <w:t>45.01%</w:t>
      </w:r>
      <w:r>
        <w:rPr/>
        <w:t>，其中归属于母公司净利润</w:t>
      </w:r>
      <w:r>
        <w:rPr>
          <w:spacing w:val="-45"/>
        </w:rPr>
        <w:t> </w:t>
      </w:r>
      <w:r>
        <w:rPr>
          <w:rFonts w:ascii="宋体" w:hAnsi="宋体" w:cs="宋体" w:eastAsia="宋体" w:hint="default"/>
        </w:rPr>
        <w:t>14,405</w:t>
      </w:r>
      <w:r>
        <w:rPr>
          <w:rFonts w:ascii="宋体" w:hAnsi="宋体" w:cs="宋体" w:eastAsia="宋体" w:hint="default"/>
          <w:spacing w:val="-47"/>
        </w:rPr>
        <w:t> </w:t>
      </w:r>
      <w:r>
        <w:rPr/>
        <w:t>万</w:t>
      </w:r>
      <w:r>
        <w:rPr>
          <w:w w:val="100"/>
        </w:rPr>
        <w:t> </w:t>
      </w:r>
      <w:r>
        <w:rPr/>
        <w:t>元，比上年减少</w:t>
      </w:r>
      <w:r>
        <w:rPr>
          <w:spacing w:val="-55"/>
        </w:rPr>
        <w:t> </w:t>
      </w:r>
      <w:r>
        <w:rPr>
          <w:rFonts w:ascii="宋体" w:hAnsi="宋体" w:cs="宋体" w:eastAsia="宋体" w:hint="default"/>
        </w:rPr>
        <w:t>11,813</w:t>
      </w:r>
      <w:r>
        <w:rPr>
          <w:rFonts w:ascii="宋体" w:hAnsi="宋体" w:cs="宋体" w:eastAsia="宋体" w:hint="default"/>
          <w:spacing w:val="-57"/>
        </w:rPr>
        <w:t> </w:t>
      </w:r>
      <w:r>
        <w:rPr/>
        <w:t>万元，降幅</w:t>
      </w:r>
      <w:r>
        <w:rPr>
          <w:spacing w:val="-55"/>
        </w:rPr>
        <w:t> </w:t>
      </w:r>
      <w:r>
        <w:rPr>
          <w:rFonts w:ascii="宋体" w:hAnsi="宋体" w:cs="宋体" w:eastAsia="宋体" w:hint="default"/>
        </w:rPr>
        <w:t>45.06%</w:t>
      </w:r>
      <w:r>
        <w:rPr/>
        <w:t>。</w:t>
      </w:r>
      <w:r>
        <w:rPr>
          <w:rFonts w:ascii="宋体" w:hAnsi="宋体" w:cs="宋体" w:eastAsia="宋体" w:hint="default"/>
          <w:sz w:val="24"/>
          <w:szCs w:val="24"/>
        </w:rPr>
        <w:t> </w:t>
      </w:r>
    </w:p>
    <w:p>
      <w:pPr>
        <w:pStyle w:val="Heading5"/>
        <w:tabs>
          <w:tab w:pos="1057" w:val="left" w:leader="none"/>
        </w:tabs>
        <w:spacing w:line="240" w:lineRule="auto" w:before="31"/>
        <w:ind w:right="0"/>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tab/>
      </w:r>
      <w:r>
        <w:rPr/>
        <w:t>主营业务分析</w:t>
      </w:r>
      <w:r>
        <w:rPr>
          <w:b w:val="0"/>
          <w:bCs w:val="0"/>
        </w:rPr>
      </w:r>
    </w:p>
    <w:p>
      <w:pPr>
        <w:pStyle w:val="Heading5"/>
        <w:tabs>
          <w:tab w:pos="637" w:val="left" w:leader="none"/>
        </w:tabs>
        <w:spacing w:line="240" w:lineRule="auto" w:before="58"/>
        <w:ind w:right="0"/>
        <w:jc w:val="left"/>
        <w:rPr>
          <w:rFonts w:ascii="宋体" w:hAnsi="宋体" w:cs="宋体" w:eastAsia="宋体" w:hint="default"/>
          <w:b w:val="0"/>
          <w:bCs w:val="0"/>
        </w:rPr>
      </w:pPr>
      <w:r>
        <w:rPr>
          <w:rFonts w:ascii="宋体" w:hAnsi="宋体" w:cs="宋体" w:eastAsia="宋体" w:hint="default"/>
          <w:w w:val="95"/>
        </w:rPr>
        <w:t>1.</w:t>
        <w:tab/>
      </w:r>
      <w:r>
        <w:rPr/>
        <w:t>利润表及现金流量表相关科目变动分析表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0" w:right="208"/>
        <w:jc w:val="righ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474"/>
        <w:gridCol w:w="1781"/>
        <w:gridCol w:w="1781"/>
        <w:gridCol w:w="2014"/>
      </w:tblGrid>
      <w:tr>
        <w:trPr>
          <w:trHeight w:val="322" w:hRule="exact"/>
        </w:trPr>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sz w:val="24"/>
                <w:szCs w:val="24"/>
              </w:rPr>
              <w:t>科目</w:t>
            </w:r>
            <w:r>
              <w:rPr>
                <w:rFonts w:ascii="宋体" w:hAnsi="宋体" w:cs="宋体" w:eastAsia="宋体" w:hint="default"/>
                <w:sz w:val="24"/>
                <w:szCs w:val="24"/>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5" w:right="0"/>
              <w:jc w:val="left"/>
              <w:rPr>
                <w:rFonts w:ascii="宋体" w:hAnsi="宋体" w:cs="宋体" w:eastAsia="宋体" w:hint="default"/>
                <w:sz w:val="24"/>
                <w:szCs w:val="24"/>
              </w:rPr>
            </w:pPr>
            <w:r>
              <w:rPr>
                <w:rFonts w:ascii="宋体" w:hAnsi="宋体" w:cs="宋体" w:eastAsia="宋体" w:hint="default"/>
                <w:sz w:val="24"/>
                <w:szCs w:val="24"/>
              </w:rPr>
              <w:t>本期数</w:t>
            </w:r>
            <w:r>
              <w:rPr>
                <w:rFonts w:ascii="宋体" w:hAnsi="宋体" w:cs="宋体" w:eastAsia="宋体" w:hint="default"/>
                <w:sz w:val="24"/>
                <w:szCs w:val="24"/>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6" w:right="0"/>
              <w:jc w:val="left"/>
              <w:rPr>
                <w:rFonts w:ascii="宋体" w:hAnsi="宋体" w:cs="宋体" w:eastAsia="宋体" w:hint="default"/>
                <w:sz w:val="24"/>
                <w:szCs w:val="24"/>
              </w:rPr>
            </w:pPr>
            <w:r>
              <w:rPr>
                <w:rFonts w:ascii="宋体" w:hAnsi="宋体" w:cs="宋体" w:eastAsia="宋体" w:hint="default"/>
                <w:sz w:val="24"/>
                <w:szCs w:val="24"/>
              </w:rPr>
              <w:t>上年同期数</w:t>
            </w:r>
            <w:r>
              <w:rPr>
                <w:rFonts w:ascii="宋体" w:hAnsi="宋体" w:cs="宋体" w:eastAsia="宋体" w:hint="default"/>
                <w:sz w:val="24"/>
                <w:szCs w:val="24"/>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4"/>
                <w:szCs w:val="24"/>
              </w:rPr>
            </w:pPr>
            <w:r>
              <w:rPr>
                <w:rFonts w:ascii="宋体" w:hAnsi="宋体" w:cs="宋体" w:eastAsia="宋体" w:hint="default"/>
                <w:sz w:val="24"/>
                <w:szCs w:val="24"/>
              </w:rPr>
              <w:t>变动比例（</w:t>
            </w: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 </w:t>
            </w:r>
          </w:p>
        </w:tc>
      </w:tr>
      <w:tr>
        <w:trPr>
          <w:trHeight w:val="281" w:hRule="exact"/>
        </w:trPr>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spacing w:val="-1"/>
                <w:sz w:val="20"/>
              </w:rPr>
              <w:t>5,304,460,043.57</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spacing w:val="-1"/>
                <w:sz w:val="20"/>
              </w:rPr>
              <w:t>6,127,385,118.49</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w w:val="95"/>
                <w:sz w:val="20"/>
              </w:rPr>
              <w:t>-13.43</w:t>
            </w:r>
            <w:r>
              <w:rPr>
                <w:rFonts w:ascii="Times New Roman"/>
                <w:sz w:val="20"/>
              </w:rPr>
            </w:r>
          </w:p>
        </w:tc>
      </w:tr>
      <w:tr>
        <w:trPr>
          <w:trHeight w:val="284" w:hRule="exact"/>
        </w:trPr>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Times New Roman" w:hAnsi="Times New Roman" w:cs="Times New Roman" w:eastAsia="Times New Roman" w:hint="default"/>
                <w:sz w:val="20"/>
                <w:szCs w:val="20"/>
              </w:rPr>
            </w:pPr>
            <w:r>
              <w:rPr>
                <w:rFonts w:ascii="Times New Roman"/>
                <w:spacing w:val="-1"/>
                <w:sz w:val="20"/>
              </w:rPr>
              <w:t>4,038,514,088.01</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Times New Roman" w:hAnsi="Times New Roman" w:cs="Times New Roman" w:eastAsia="Times New Roman" w:hint="default"/>
                <w:sz w:val="20"/>
                <w:szCs w:val="20"/>
              </w:rPr>
            </w:pPr>
            <w:r>
              <w:rPr>
                <w:rFonts w:ascii="Times New Roman"/>
                <w:spacing w:val="-1"/>
                <w:sz w:val="20"/>
              </w:rPr>
              <w:t>4,847,608,583.05</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Times New Roman" w:hAnsi="Times New Roman" w:cs="Times New Roman" w:eastAsia="Times New Roman" w:hint="default"/>
                <w:sz w:val="20"/>
                <w:szCs w:val="20"/>
              </w:rPr>
            </w:pPr>
            <w:r>
              <w:rPr>
                <w:rFonts w:ascii="Times New Roman"/>
                <w:w w:val="95"/>
                <w:sz w:val="20"/>
              </w:rPr>
              <w:t>-16.69</w:t>
            </w:r>
            <w:r>
              <w:rPr>
                <w:rFonts w:ascii="Times New Roman"/>
                <w:sz w:val="20"/>
              </w:rPr>
            </w:r>
          </w:p>
        </w:tc>
      </w:tr>
      <w:tr>
        <w:trPr>
          <w:trHeight w:val="283" w:hRule="exact"/>
        </w:trPr>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195,298,836.73</w:t>
            </w:r>
            <w:r>
              <w:rPr>
                <w:rFonts w:ascii="Times New Roman"/>
                <w:sz w:val="20"/>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201,598,684.31</w:t>
            </w:r>
            <w:r>
              <w:rPr>
                <w:rFonts w:ascii="Times New Roman"/>
                <w:sz w:val="20"/>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w w:val="95"/>
                <w:sz w:val="20"/>
              </w:rPr>
              <w:t>-3.12</w:t>
            </w:r>
            <w:r>
              <w:rPr>
                <w:rFonts w:ascii="Times New Roman"/>
                <w:sz w:val="20"/>
              </w:rPr>
            </w:r>
          </w:p>
        </w:tc>
      </w:tr>
      <w:tr>
        <w:trPr>
          <w:trHeight w:val="281" w:hRule="exact"/>
        </w:trPr>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324,044,570.24</w:t>
            </w:r>
            <w:r>
              <w:rPr>
                <w:rFonts w:ascii="Times New Roman"/>
                <w:sz w:val="20"/>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298,509,946.94</w:t>
            </w:r>
            <w:r>
              <w:rPr>
                <w:rFonts w:ascii="Times New Roman"/>
                <w:sz w:val="20"/>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sz w:val="20"/>
              </w:rPr>
              <w:t>8.55</w:t>
            </w:r>
          </w:p>
        </w:tc>
      </w:tr>
      <w:tr>
        <w:trPr>
          <w:trHeight w:val="283" w:hRule="exact"/>
        </w:trPr>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187,466,183.47</w:t>
            </w:r>
            <w:r>
              <w:rPr>
                <w:rFonts w:ascii="Times New Roman"/>
                <w:sz w:val="20"/>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178,330,685.56</w:t>
            </w:r>
            <w:r>
              <w:rPr>
                <w:rFonts w:ascii="Times New Roman"/>
                <w:sz w:val="20"/>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sz w:val="20"/>
              </w:rPr>
              <w:t>5.12</w:t>
            </w:r>
          </w:p>
        </w:tc>
      </w:tr>
      <w:tr>
        <w:trPr>
          <w:trHeight w:val="283" w:hRule="exact"/>
        </w:trPr>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175,460,839.37</w:t>
            </w:r>
            <w:r>
              <w:rPr>
                <w:rFonts w:ascii="Times New Roman"/>
                <w:sz w:val="20"/>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188,054,838.67</w:t>
            </w:r>
            <w:r>
              <w:rPr>
                <w:rFonts w:ascii="Times New Roman"/>
                <w:sz w:val="20"/>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w w:val="95"/>
                <w:sz w:val="20"/>
              </w:rPr>
              <w:t>-6.70</w:t>
            </w:r>
            <w:r>
              <w:rPr>
                <w:rFonts w:ascii="Times New Roman"/>
                <w:sz w:val="20"/>
              </w:rPr>
            </w:r>
          </w:p>
        </w:tc>
      </w:tr>
      <w:tr>
        <w:trPr>
          <w:trHeight w:val="281" w:hRule="exact"/>
        </w:trPr>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412,007,652.78</w:t>
            </w:r>
            <w:r>
              <w:rPr>
                <w:rFonts w:ascii="Times New Roman"/>
                <w:sz w:val="20"/>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16,182,835.15</w:t>
            </w:r>
            <w:r>
              <w:rPr>
                <w:rFonts w:ascii="Times New Roman"/>
                <w:sz w:val="20"/>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2,445.95</w:t>
            </w:r>
            <w:r>
              <w:rPr>
                <w:rFonts w:ascii="Times New Roman"/>
                <w:sz w:val="20"/>
              </w:rPr>
            </w:r>
          </w:p>
        </w:tc>
      </w:tr>
      <w:tr>
        <w:trPr>
          <w:trHeight w:val="283" w:hRule="exact"/>
        </w:trPr>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-32,674,046.42</w:t>
            </w:r>
            <w:r>
              <w:rPr>
                <w:rFonts w:ascii="Times New Roman"/>
                <w:sz w:val="20"/>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-64,628,176.79</w:t>
            </w:r>
            <w:r>
              <w:rPr>
                <w:rFonts w:ascii="Times New Roman"/>
                <w:sz w:val="20"/>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w w:val="95"/>
                <w:sz w:val="20"/>
              </w:rPr>
              <w:t>-49.44</w:t>
            </w:r>
            <w:r>
              <w:rPr>
                <w:rFonts w:ascii="Times New Roman"/>
                <w:sz w:val="20"/>
              </w:rPr>
            </w:r>
          </w:p>
        </w:tc>
      </w:tr>
      <w:tr>
        <w:trPr>
          <w:trHeight w:val="283" w:hRule="exact"/>
        </w:trPr>
        <w:tc>
          <w:tcPr>
            <w:tcW w:w="3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-60,911,619.50</w:t>
            </w:r>
            <w:r>
              <w:rPr>
                <w:rFonts w:ascii="Times New Roman"/>
                <w:sz w:val="20"/>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345,498,560.52</w:t>
            </w:r>
            <w:r>
              <w:rPr>
                <w:rFonts w:ascii="Times New Roman"/>
                <w:sz w:val="20"/>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-117.63</w:t>
            </w:r>
            <w:r>
              <w:rPr>
                <w:rFonts w:ascii="Times New Roman"/>
                <w:sz w:val="20"/>
              </w:rPr>
            </w:r>
          </w:p>
        </w:tc>
      </w:tr>
    </w:tbl>
    <w:p>
      <w:pPr>
        <w:spacing w:line="240" w:lineRule="auto" w:before="13"/>
        <w:rPr>
          <w:rFonts w:ascii="宋体" w:hAnsi="宋体" w:cs="宋体" w:eastAsia="宋体" w:hint="default"/>
          <w:sz w:val="12"/>
          <w:szCs w:val="12"/>
        </w:rPr>
      </w:pPr>
    </w:p>
    <w:p>
      <w:pPr>
        <w:pStyle w:val="BodyText"/>
        <w:spacing w:line="240" w:lineRule="auto" w:before="36"/>
        <w:ind w:left="216" w:right="0"/>
        <w:jc w:val="left"/>
      </w:pPr>
      <w:r>
        <w:rPr/>
        <w:t>营业收入变动原因说明</w:t>
      </w:r>
      <w:r>
        <w:rPr>
          <w:rFonts w:ascii="宋体" w:hAnsi="宋体" w:cs="宋体" w:eastAsia="宋体" w:hint="default"/>
        </w:rPr>
        <w:t>:</w:t>
      </w:r>
      <w:r>
        <w:rPr/>
        <w:t>军工装备业务较上年同期增长</w:t>
      </w:r>
      <w:r>
        <w:rPr>
          <w:spacing w:val="-27"/>
        </w:rPr>
        <w:t> </w:t>
      </w:r>
      <w:r>
        <w:rPr>
          <w:rFonts w:ascii="宋体" w:hAnsi="宋体" w:cs="宋体" w:eastAsia="宋体" w:hint="default"/>
          <w:spacing w:val="-4"/>
        </w:rPr>
        <w:t>7.92%</w:t>
      </w:r>
      <w:r>
        <w:rPr>
          <w:spacing w:val="-4"/>
        </w:rPr>
        <w:t>，主要是车载通信指挥系统业务增长；</w:t>
      </w:r>
      <w:r>
        <w:rPr>
          <w:spacing w:val="-94"/>
        </w:rPr>
        <w:t> </w:t>
      </w:r>
      <w:r>
        <w:rPr>
          <w:spacing w:val="-94"/>
        </w:rPr>
      </w:r>
      <w:r>
        <w:rPr/>
        <w:t>智能电力业务较上年同期降低</w:t>
      </w:r>
      <w:r>
        <w:rPr>
          <w:spacing w:val="-4"/>
        </w:rPr>
        <w:t> </w:t>
      </w:r>
      <w:r>
        <w:rPr>
          <w:rFonts w:ascii="宋体" w:hAnsi="宋体" w:cs="宋体" w:eastAsia="宋体" w:hint="default"/>
          <w:spacing w:val="-3"/>
        </w:rPr>
        <w:t>18.78%</w:t>
      </w:r>
      <w:r>
        <w:rPr>
          <w:spacing w:val="-3"/>
        </w:rPr>
        <w:t>，主要是公司对智能电力业务中部分盈利能力不足、回款周</w:t>
      </w:r>
    </w:p>
    <w:p>
      <w:pPr>
        <w:spacing w:after="0" w:line="240" w:lineRule="auto"/>
        <w:jc w:val="left"/>
        <w:sectPr>
          <w:pgSz w:w="11910" w:h="16840"/>
          <w:pgMar w:header="880" w:footer="1195" w:top="1120" w:bottom="1380" w:left="1060" w:right="1480"/>
        </w:sectPr>
      </w:pPr>
    </w:p>
    <w:p>
      <w:pPr>
        <w:spacing w:line="240" w:lineRule="auto" w:before="11"/>
        <w:rPr>
          <w:rFonts w:ascii="宋体" w:hAnsi="宋体" w:cs="宋体" w:eastAsia="宋体" w:hint="default"/>
          <w:sz w:val="18"/>
          <w:szCs w:val="18"/>
        </w:rPr>
      </w:pPr>
    </w:p>
    <w:p>
      <w:pPr>
        <w:pStyle w:val="BodyText"/>
        <w:spacing w:line="237" w:lineRule="auto" w:before="38"/>
        <w:ind w:left="556" w:right="3418"/>
        <w:jc w:val="left"/>
        <w:rPr>
          <w:rFonts w:ascii="宋体" w:hAnsi="宋体" w:cs="宋体" w:eastAsia="宋体" w:hint="default"/>
        </w:rPr>
      </w:pPr>
      <w:r>
        <w:rPr/>
        <w:t>期长的领域进行了收缩；</w:t>
      </w:r>
      <w:r>
        <w:rPr>
          <w:rFonts w:ascii="宋体" w:hAnsi="宋体" w:cs="宋体" w:eastAsia="宋体" w:hint="default"/>
          <w:w w:val="100"/>
        </w:rPr>
        <w:t> </w:t>
      </w:r>
      <w:r>
        <w:rPr>
          <w:rFonts w:ascii="宋体" w:hAnsi="宋体" w:cs="宋体" w:eastAsia="宋体" w:hint="default"/>
          <w:w w:val="100"/>
        </w:rPr>
        <w:t> </w:t>
      </w:r>
      <w:r>
        <w:rPr/>
        <w:t>营业成本变动原因说明：同营业收入；</w:t>
      </w:r>
      <w:r>
        <w:rPr>
          <w:rFonts w:ascii="宋体" w:hAnsi="宋体" w:cs="宋体" w:eastAsia="宋体" w:hint="default"/>
          <w:w w:val="100"/>
        </w:rPr>
        <w:t> </w:t>
      </w:r>
      <w:r>
        <w:rPr>
          <w:rFonts w:ascii="宋体" w:hAnsi="宋体" w:cs="宋体" w:eastAsia="宋体" w:hint="default"/>
          <w:w w:val="100"/>
        </w:rPr>
        <w:t>  </w:t>
      </w:r>
      <w:r>
        <w:rPr/>
        <w:t>销售费用变动原因说明</w:t>
      </w:r>
      <w:r>
        <w:rPr>
          <w:rFonts w:ascii="宋体" w:hAnsi="宋体" w:cs="宋体" w:eastAsia="宋体" w:hint="default"/>
        </w:rPr>
        <w:t>:</w:t>
      </w:r>
      <w:r>
        <w:rPr>
          <w:rFonts w:ascii="宋体" w:hAnsi="宋体" w:cs="宋体" w:eastAsia="宋体" w:hint="default"/>
          <w:spacing w:val="-4"/>
        </w:rPr>
        <w:t> </w:t>
      </w:r>
      <w:r>
        <w:rPr/>
        <w:t>低盈利业务收缩，市场费用减少所致；</w:t>
      </w:r>
      <w:r>
        <w:rPr>
          <w:rFonts w:ascii="宋体" w:hAnsi="宋体" w:cs="宋体" w:eastAsia="宋体" w:hint="default"/>
          <w:w w:val="100"/>
        </w:rPr>
        <w:t> </w:t>
      </w:r>
      <w:r>
        <w:rPr/>
        <w:t>管理费用变动原因说明</w:t>
      </w:r>
      <w:r>
        <w:rPr>
          <w:rFonts w:ascii="宋体" w:hAnsi="宋体" w:cs="宋体" w:eastAsia="宋体" w:hint="default"/>
        </w:rPr>
        <w:t>:</w:t>
      </w:r>
      <w:r>
        <w:rPr>
          <w:rFonts w:ascii="宋体" w:hAnsi="宋体" w:cs="宋体" w:eastAsia="宋体" w:hint="default"/>
          <w:spacing w:val="-4"/>
        </w:rPr>
        <w:t> </w:t>
      </w:r>
      <w:r>
        <w:rPr/>
        <w:t>计提公司年度激励基金增加所致；</w:t>
      </w:r>
      <w:r>
        <w:rPr>
          <w:rFonts w:ascii="宋体" w:hAnsi="宋体" w:cs="宋体" w:eastAsia="宋体" w:hint="default"/>
        </w:rPr>
        <w:t> </w:t>
      </w:r>
    </w:p>
    <w:p>
      <w:pPr>
        <w:pStyle w:val="BodyText"/>
        <w:spacing w:line="272" w:lineRule="exact"/>
        <w:ind w:left="556" w:right="563"/>
        <w:jc w:val="left"/>
        <w:rPr>
          <w:rFonts w:ascii="宋体" w:hAnsi="宋体" w:cs="宋体" w:eastAsia="宋体" w:hint="default"/>
        </w:rPr>
      </w:pPr>
      <w:r>
        <w:rPr/>
        <w:t>研发费用变动原因说明：公司主营业务的技术研究费用投入增加；</w:t>
      </w:r>
      <w:r>
        <w:rPr>
          <w:rFonts w:ascii="宋体" w:hAnsi="宋体" w:cs="宋体" w:eastAsia="宋体" w:hint="default"/>
        </w:rPr>
        <w:t> </w:t>
      </w:r>
    </w:p>
    <w:p>
      <w:pPr>
        <w:pStyle w:val="BodyText"/>
        <w:spacing w:line="240" w:lineRule="auto"/>
        <w:ind w:left="556" w:right="563"/>
        <w:jc w:val="left"/>
        <w:rPr>
          <w:rFonts w:ascii="宋体" w:hAnsi="宋体" w:cs="宋体" w:eastAsia="宋体" w:hint="default"/>
        </w:rPr>
      </w:pPr>
      <w:r>
        <w:rPr/>
        <w:t>财务费用变动原因说明</w:t>
      </w:r>
      <w:r>
        <w:rPr>
          <w:rFonts w:ascii="宋体" w:hAnsi="宋体" w:cs="宋体" w:eastAsia="宋体" w:hint="default"/>
        </w:rPr>
        <w:t>:</w:t>
      </w:r>
      <w:r>
        <w:rPr>
          <w:rFonts w:ascii="宋体" w:hAnsi="宋体" w:cs="宋体" w:eastAsia="宋体" w:hint="default"/>
          <w:spacing w:val="7"/>
        </w:rPr>
        <w:t> </w:t>
      </w:r>
      <w:r>
        <w:rPr/>
        <w:t>按新金融工具准则规定将票据及信用证贴现费用转入至投资收益列报所</w:t>
      </w:r>
      <w:r>
        <w:rPr>
          <w:w w:val="100"/>
        </w:rPr>
        <w:t> </w:t>
      </w:r>
      <w:r>
        <w:rPr/>
        <w:t>致；</w:t>
      </w:r>
      <w:r>
        <w:rPr>
          <w:rFonts w:ascii="宋体" w:hAnsi="宋体" w:cs="宋体" w:eastAsia="宋体" w:hint="default"/>
        </w:rPr>
        <w:t> </w:t>
      </w:r>
    </w:p>
    <w:p>
      <w:pPr>
        <w:pStyle w:val="BodyText"/>
        <w:spacing w:line="237" w:lineRule="auto"/>
        <w:ind w:left="556" w:right="563"/>
        <w:jc w:val="left"/>
        <w:rPr>
          <w:rFonts w:ascii="宋体" w:hAnsi="宋体" w:cs="宋体" w:eastAsia="宋体" w:hint="default"/>
        </w:rPr>
      </w:pPr>
      <w:r>
        <w:rPr/>
        <w:t>经营活动产生的现金流量净额变动原因说明</w:t>
      </w:r>
      <w:r>
        <w:rPr>
          <w:rFonts w:ascii="宋体" w:hAnsi="宋体" w:cs="宋体" w:eastAsia="宋体" w:hint="default"/>
        </w:rPr>
        <w:t>:</w:t>
      </w:r>
      <w:r>
        <w:rPr>
          <w:rFonts w:ascii="宋体" w:hAnsi="宋体" w:cs="宋体" w:eastAsia="宋体" w:hint="default"/>
          <w:spacing w:val="-3"/>
        </w:rPr>
        <w:t> </w:t>
      </w:r>
      <w:r>
        <w:rPr/>
        <w:t>货款加速回笼所致</w:t>
      </w:r>
      <w:r>
        <w:rPr>
          <w:rFonts w:ascii="宋体" w:hAnsi="宋体" w:cs="宋体" w:eastAsia="宋体" w:hint="default"/>
        </w:rPr>
        <w:t>;</w:t>
      </w:r>
      <w:r>
        <w:rPr>
          <w:rFonts w:ascii="宋体" w:hAnsi="宋体" w:cs="宋体" w:eastAsia="宋体" w:hint="default"/>
          <w:w w:val="100"/>
        </w:rPr>
        <w:t> </w:t>
      </w:r>
      <w:r>
        <w:rPr/>
        <w:t>投资活动产生的现金流量净额变动原因说明</w:t>
      </w:r>
      <w:r>
        <w:rPr>
          <w:rFonts w:ascii="宋体" w:hAnsi="宋体" w:cs="宋体" w:eastAsia="宋体" w:hint="default"/>
        </w:rPr>
        <w:t>:</w:t>
      </w:r>
      <w:r>
        <w:rPr>
          <w:rFonts w:ascii="宋体" w:hAnsi="宋体" w:cs="宋体" w:eastAsia="宋体" w:hint="default"/>
          <w:spacing w:val="-4"/>
        </w:rPr>
        <w:t> </w:t>
      </w:r>
      <w:r>
        <w:rPr/>
        <w:t>本期处置股权现金流入增加所致；</w:t>
      </w:r>
      <w:r>
        <w:rPr>
          <w:rFonts w:ascii="宋体" w:hAnsi="宋体" w:cs="宋体" w:eastAsia="宋体" w:hint="default"/>
          <w:w w:val="100"/>
        </w:rPr>
        <w:t> </w:t>
      </w:r>
      <w:r>
        <w:rPr/>
        <w:t>筹活动产生的现金流量净额变动原因说明</w:t>
      </w:r>
      <w:r>
        <w:rPr>
          <w:rFonts w:ascii="宋体" w:hAnsi="宋体" w:cs="宋体" w:eastAsia="宋体" w:hint="default"/>
        </w:rPr>
        <w:t>:</w:t>
      </w:r>
      <w:r>
        <w:rPr>
          <w:rFonts w:ascii="宋体" w:hAnsi="宋体" w:cs="宋体" w:eastAsia="宋体" w:hint="default"/>
          <w:spacing w:val="-5"/>
        </w:rPr>
        <w:t> </w:t>
      </w:r>
      <w:r>
        <w:rPr/>
        <w:t>公司债及中期票据到期兑付所致。</w:t>
      </w:r>
      <w:r>
        <w:rPr>
          <w:rFonts w:ascii="宋体" w:hAnsi="宋体" w:cs="宋体" w:eastAsia="宋体" w:hint="default"/>
        </w:rPr>
        <w:t> </w:t>
      </w:r>
    </w:p>
    <w:p>
      <w:pPr>
        <w:pStyle w:val="Heading3"/>
        <w:spacing w:line="307" w:lineRule="exact"/>
        <w:ind w:left="556" w:right="0"/>
        <w:jc w:val="left"/>
        <w:rPr>
          <w:rFonts w:ascii="宋体" w:hAnsi="宋体" w:cs="宋体" w:eastAsia="宋体" w:hint="default"/>
        </w:rPr>
      </w:pPr>
      <w:r>
        <w:rPr>
          <w:rFonts w:ascii="宋体"/>
        </w:rPr>
        <w:t> </w:t>
      </w:r>
    </w:p>
    <w:p>
      <w:pPr>
        <w:pStyle w:val="Heading5"/>
        <w:tabs>
          <w:tab w:pos="977" w:val="left" w:leader="none"/>
        </w:tabs>
        <w:spacing w:line="240" w:lineRule="auto" w:before="61"/>
        <w:ind w:left="556" w:right="3418"/>
        <w:jc w:val="left"/>
        <w:rPr>
          <w:rFonts w:ascii="宋体" w:hAnsi="宋体" w:cs="宋体" w:eastAsia="宋体" w:hint="default"/>
          <w:b w:val="0"/>
          <w:bCs w:val="0"/>
        </w:rPr>
      </w:pPr>
      <w:r>
        <w:rPr>
          <w:rFonts w:ascii="宋体" w:hAnsi="宋体" w:cs="宋体" w:eastAsia="宋体" w:hint="default"/>
          <w:w w:val="95"/>
        </w:rPr>
        <w:t>2.</w:t>
        <w:tab/>
      </w:r>
      <w:r>
        <w:rPr/>
        <w:t>收入和成本分析</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2"/>
        <w:ind w:left="556" w:right="341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tabs>
          <w:tab w:pos="1409" w:val="left" w:leader="none"/>
        </w:tabs>
        <w:spacing w:line="313" w:lineRule="exact"/>
        <w:ind w:left="556" w:right="0"/>
        <w:jc w:val="left"/>
        <w:rPr>
          <w:rFonts w:ascii="宋体" w:hAnsi="宋体" w:cs="宋体" w:eastAsia="宋体" w:hint="default"/>
        </w:rPr>
      </w:pPr>
      <w:r>
        <w:rPr>
          <w:rFonts w:ascii="宋体"/>
        </w:rPr>
        <w:t> </w:t>
        <w:tab/>
        <w:t> </w:t>
      </w:r>
    </w:p>
    <w:p>
      <w:pPr>
        <w:pStyle w:val="Heading5"/>
        <w:spacing w:line="240" w:lineRule="auto" w:before="61"/>
        <w:ind w:left="556" w:right="3418"/>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spacing w:line="240" w:lineRule="auto" w:before="58"/>
        <w:ind w:left="0" w:right="468"/>
        <w:jc w:val="righ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577"/>
        <w:gridCol w:w="1724"/>
        <w:gridCol w:w="1723"/>
        <w:gridCol w:w="723"/>
        <w:gridCol w:w="1006"/>
        <w:gridCol w:w="1006"/>
        <w:gridCol w:w="1981"/>
      </w:tblGrid>
      <w:tr>
        <w:trPr>
          <w:trHeight w:val="283" w:hRule="exact"/>
        </w:trPr>
        <w:tc>
          <w:tcPr>
            <w:tcW w:w="973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 w:right="0"/>
              <w:jc w:val="center"/>
              <w:rPr>
                <w:rFonts w:ascii="宋体" w:hAnsi="宋体" w:cs="宋体" w:eastAsia="宋体" w:hint="default"/>
                <w:sz w:val="24"/>
                <w:szCs w:val="24"/>
              </w:rPr>
            </w:pPr>
            <w:r>
              <w:rPr>
                <w:rFonts w:ascii="宋体" w:hAnsi="宋体" w:cs="宋体" w:eastAsia="宋体" w:hint="default"/>
                <w:sz w:val="21"/>
                <w:szCs w:val="21"/>
              </w:rPr>
              <w:t>主营业务分行业情况</w:t>
            </w:r>
            <w:r>
              <w:rPr>
                <w:rFonts w:ascii="宋体" w:hAnsi="宋体" w:cs="宋体" w:eastAsia="宋体" w:hint="default"/>
                <w:sz w:val="24"/>
                <w:szCs w:val="24"/>
              </w:rPr>
              <w:t> </w:t>
            </w:r>
          </w:p>
        </w:tc>
      </w:tr>
      <w:tr>
        <w:trPr>
          <w:trHeight w:val="1099"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66" w:right="0"/>
              <w:jc w:val="left"/>
              <w:rPr>
                <w:rFonts w:ascii="宋体" w:hAnsi="宋体" w:cs="宋体" w:eastAsia="宋体" w:hint="default"/>
                <w:sz w:val="21"/>
                <w:szCs w:val="21"/>
              </w:rPr>
            </w:pPr>
            <w:r>
              <w:rPr>
                <w:rFonts w:ascii="宋体" w:hAnsi="宋体" w:cs="宋体" w:eastAsia="宋体" w:hint="default"/>
                <w:sz w:val="21"/>
                <w:szCs w:val="21"/>
              </w:rPr>
              <w:t>分行业</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36"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34"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7"/>
              <w:jc w:val="left"/>
              <w:rPr>
                <w:rFonts w:ascii="宋体" w:hAnsi="宋体" w:cs="宋体" w:eastAsia="宋体" w:hint="default"/>
                <w:sz w:val="21"/>
                <w:szCs w:val="21"/>
              </w:rPr>
            </w:pPr>
            <w:r>
              <w:rPr>
                <w:rFonts w:ascii="宋体" w:hAnsi="宋体" w:cs="宋体" w:eastAsia="宋体" w:hint="default"/>
                <w:spacing w:val="41"/>
                <w:sz w:val="21"/>
                <w:szCs w:val="21"/>
              </w:rPr>
              <w:t>毛利</w:t>
            </w:r>
            <w:r>
              <w:rPr>
                <w:rFonts w:ascii="宋体" w:hAnsi="宋体" w:cs="宋体" w:eastAsia="宋体" w:hint="default"/>
                <w:spacing w:val="-101"/>
                <w:sz w:val="21"/>
                <w:szCs w:val="21"/>
              </w:rPr>
              <w:t> </w:t>
            </w:r>
            <w:r>
              <w:rPr>
                <w:rFonts w:ascii="宋体" w:hAnsi="宋体" w:cs="宋体" w:eastAsia="宋体" w:hint="default"/>
                <w:sz w:val="21"/>
                <w:szCs w:val="21"/>
              </w:rPr>
              <w:t>率</w:t>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w:t>
            </w:r>
            <w:r>
              <w:rPr>
                <w:rFonts w:ascii="宋体" w:hAnsi="宋体" w:cs="宋体" w:eastAsia="宋体" w:hint="default"/>
                <w:spacing w:val="-9"/>
                <w:sz w:val="21"/>
                <w:szCs w:val="21"/>
              </w:rPr>
              <w:t>%</w:t>
            </w:r>
            <w:r>
              <w:rPr>
                <w:rFonts w:ascii="宋体" w:hAnsi="宋体" w:cs="宋体" w:eastAsia="宋体" w:hint="default"/>
                <w:spacing w:val="-9"/>
                <w:sz w:val="21"/>
                <w:szCs w:val="21"/>
              </w:rPr>
              <w:t>）</w:t>
            </w:r>
            <w:r>
              <w:rPr>
                <w:rFonts w:ascii="宋体" w:hAnsi="宋体" w:cs="宋体" w:eastAsia="宋体" w:hint="default"/>
                <w:sz w:val="21"/>
                <w:szCs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营 业</w:t>
            </w:r>
            <w:r>
              <w:rPr>
                <w:rFonts w:ascii="宋体" w:hAnsi="宋体" w:cs="宋体" w:eastAsia="宋体" w:hint="default"/>
                <w:spacing w:val="-47"/>
                <w:sz w:val="21"/>
                <w:szCs w:val="21"/>
              </w:rPr>
              <w:t> </w:t>
            </w:r>
            <w:r>
              <w:rPr>
                <w:rFonts w:ascii="宋体" w:hAnsi="宋体" w:cs="宋体" w:eastAsia="宋体" w:hint="default"/>
                <w:sz w:val="21"/>
                <w:szCs w:val="21"/>
              </w:rPr>
              <w:t>收</w:t>
            </w:r>
          </w:p>
          <w:p>
            <w:pPr>
              <w:pStyle w:val="TableParagraph"/>
              <w:spacing w:line="272" w:lineRule="exact" w:before="27"/>
              <w:ind w:left="100" w:right="99"/>
              <w:jc w:val="left"/>
              <w:rPr>
                <w:rFonts w:ascii="宋体" w:hAnsi="宋体" w:cs="宋体" w:eastAsia="宋体" w:hint="default"/>
                <w:sz w:val="21"/>
                <w:szCs w:val="21"/>
              </w:rPr>
            </w:pPr>
            <w:r>
              <w:rPr>
                <w:rFonts w:ascii="宋体" w:hAnsi="宋体" w:cs="宋体" w:eastAsia="宋体" w:hint="default"/>
                <w:sz w:val="21"/>
                <w:szCs w:val="21"/>
              </w:rPr>
              <w:t>入 比</w:t>
            </w:r>
            <w:r>
              <w:rPr>
                <w:rFonts w:ascii="宋体" w:hAnsi="宋体" w:cs="宋体" w:eastAsia="宋体" w:hint="default"/>
                <w:spacing w:val="-47"/>
                <w:sz w:val="21"/>
                <w:szCs w:val="21"/>
              </w:rPr>
              <w:t> </w:t>
            </w:r>
            <w:r>
              <w:rPr>
                <w:rFonts w:ascii="宋体" w:hAnsi="宋体" w:cs="宋体" w:eastAsia="宋体" w:hint="default"/>
                <w:sz w:val="21"/>
                <w:szCs w:val="21"/>
              </w:rPr>
              <w:t>上</w:t>
            </w:r>
            <w:r>
              <w:rPr>
                <w:rFonts w:ascii="宋体" w:hAnsi="宋体" w:cs="宋体" w:eastAsia="宋体" w:hint="default"/>
                <w:w w:val="100"/>
                <w:sz w:val="21"/>
                <w:szCs w:val="21"/>
              </w:rPr>
              <w:t> </w:t>
            </w:r>
            <w:r>
              <w:rPr>
                <w:rFonts w:ascii="宋体" w:hAnsi="宋体" w:cs="宋体" w:eastAsia="宋体" w:hint="default"/>
                <w:sz w:val="21"/>
                <w:szCs w:val="21"/>
              </w:rPr>
              <w:t>年 增</w:t>
            </w:r>
            <w:r>
              <w:rPr>
                <w:rFonts w:ascii="宋体" w:hAnsi="宋体" w:cs="宋体" w:eastAsia="宋体" w:hint="default"/>
                <w:spacing w:val="-47"/>
                <w:sz w:val="21"/>
                <w:szCs w:val="21"/>
              </w:rPr>
              <w:t> </w:t>
            </w:r>
            <w:r>
              <w:rPr>
                <w:rFonts w:ascii="宋体" w:hAnsi="宋体" w:cs="宋体" w:eastAsia="宋体" w:hint="default"/>
                <w:sz w:val="21"/>
                <w:szCs w:val="21"/>
              </w:rPr>
              <w:t>减</w:t>
            </w:r>
          </w:p>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2"/>
                <w:sz w:val="21"/>
                <w:szCs w:val="21"/>
              </w:rPr>
              <w:t>营业成</w:t>
            </w:r>
            <w:r>
              <w:rPr>
                <w:rFonts w:ascii="宋体" w:hAnsi="宋体" w:cs="宋体" w:eastAsia="宋体" w:hint="default"/>
                <w:spacing w:val="-26"/>
                <w:sz w:val="21"/>
                <w:szCs w:val="21"/>
              </w:rPr>
              <w:t> </w:t>
            </w:r>
            <w:r>
              <w:rPr>
                <w:rFonts w:ascii="宋体" w:hAnsi="宋体" w:cs="宋体" w:eastAsia="宋体" w:hint="default"/>
                <w:sz w:val="21"/>
                <w:szCs w:val="21"/>
              </w:rPr>
            </w:r>
          </w:p>
          <w:p>
            <w:pPr>
              <w:pStyle w:val="TableParagraph"/>
              <w:spacing w:line="272" w:lineRule="exact" w:before="27"/>
              <w:ind w:left="103" w:right="19"/>
              <w:jc w:val="left"/>
              <w:rPr>
                <w:rFonts w:ascii="宋体" w:hAnsi="宋体" w:cs="宋体" w:eastAsia="宋体" w:hint="default"/>
                <w:sz w:val="21"/>
                <w:szCs w:val="21"/>
              </w:rPr>
            </w:pPr>
            <w:r>
              <w:rPr>
                <w:rFonts w:ascii="宋体" w:hAnsi="宋体" w:cs="宋体" w:eastAsia="宋体" w:hint="default"/>
                <w:spacing w:val="52"/>
                <w:sz w:val="21"/>
                <w:szCs w:val="21"/>
              </w:rPr>
              <w:t>本比上</w:t>
            </w:r>
            <w:r>
              <w:rPr>
                <w:rFonts w:ascii="宋体" w:hAnsi="宋体" w:cs="宋体" w:eastAsia="宋体" w:hint="default"/>
                <w:spacing w:val="-100"/>
                <w:sz w:val="21"/>
                <w:szCs w:val="21"/>
              </w:rPr>
              <w:t> </w:t>
            </w:r>
            <w:r>
              <w:rPr>
                <w:rFonts w:ascii="宋体" w:hAnsi="宋体" w:cs="宋体" w:eastAsia="宋体" w:hint="default"/>
                <w:spacing w:val="52"/>
                <w:sz w:val="21"/>
                <w:szCs w:val="21"/>
              </w:rPr>
              <w:t>年增减</w:t>
            </w:r>
            <w:r>
              <w:rPr>
                <w:rFonts w:ascii="宋体" w:hAnsi="宋体" w:cs="宋体" w:eastAsia="宋体" w:hint="default"/>
                <w:spacing w:val="-26"/>
                <w:sz w:val="21"/>
                <w:szCs w:val="21"/>
              </w:rPr>
              <w:t> </w:t>
            </w:r>
            <w:r>
              <w:rPr>
                <w:rFonts w:ascii="宋体" w:hAnsi="宋体" w:cs="宋体" w:eastAsia="宋体" w:hint="default"/>
                <w:sz w:val="21"/>
                <w:szCs w:val="21"/>
              </w:rPr>
            </w:r>
          </w:p>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毛利率比上年增减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军工装备业务</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spacing w:val="-1"/>
                <w:sz w:val="20"/>
              </w:rPr>
              <w:t>1,250,224,602.37</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956,108,721.05</w:t>
            </w:r>
            <w:r>
              <w:rPr>
                <w:rFonts w:ascii="Times New Roman"/>
                <w:sz w:val="20"/>
              </w:rPr>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sz w:val="20"/>
              </w:rPr>
              <w:t>23.53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sz w:val="20"/>
              </w:rPr>
              <w:t>7.92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sz w:val="20"/>
              </w:rPr>
              <w:t>6.77</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3"/>
              <w:jc w:val="right"/>
              <w:rPr>
                <w:rFonts w:ascii="宋体" w:hAnsi="宋体" w:cs="宋体" w:eastAsia="宋体" w:hint="default"/>
                <w:sz w:val="20"/>
                <w:szCs w:val="20"/>
              </w:rPr>
            </w:pPr>
            <w:r>
              <w:rPr>
                <w:rFonts w:ascii="宋体" w:hAnsi="宋体" w:cs="宋体" w:eastAsia="宋体" w:hint="default"/>
                <w:sz w:val="20"/>
                <w:szCs w:val="20"/>
              </w:rPr>
              <w:t>增加</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0.83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个百分点</w:t>
            </w:r>
          </w:p>
        </w:tc>
      </w:tr>
      <w:tr>
        <w:trPr>
          <w:trHeight w:val="281"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智能电力业务</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spacing w:val="-1"/>
                <w:sz w:val="20"/>
              </w:rPr>
              <w:t>3,978,951,787.14</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spacing w:val="-1"/>
                <w:sz w:val="20"/>
              </w:rPr>
              <w:t>3,066,520,815.10</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sz w:val="20"/>
              </w:rPr>
              <w:t>22.93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w w:val="95"/>
                <w:sz w:val="20"/>
              </w:rPr>
              <w:t>-18.78</w:t>
            </w:r>
            <w:r>
              <w:rPr>
                <w:rFonts w:ascii="Times New Roman"/>
                <w:sz w:val="20"/>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w w:val="95"/>
                <w:sz w:val="20"/>
              </w:rPr>
              <w:t>-22.04</w:t>
            </w:r>
            <w:r>
              <w:rPr>
                <w:rFonts w:ascii="Times New Roman"/>
                <w:sz w:val="20"/>
              </w:rPr>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3"/>
              <w:jc w:val="right"/>
              <w:rPr>
                <w:rFonts w:ascii="宋体" w:hAnsi="宋体" w:cs="宋体" w:eastAsia="宋体" w:hint="default"/>
                <w:sz w:val="20"/>
                <w:szCs w:val="20"/>
              </w:rPr>
            </w:pPr>
            <w:r>
              <w:rPr>
                <w:rFonts w:ascii="宋体" w:hAnsi="宋体" w:cs="宋体" w:eastAsia="宋体" w:hint="default"/>
                <w:sz w:val="20"/>
                <w:szCs w:val="20"/>
              </w:rPr>
              <w:t>增加</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3.22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个百分点</w:t>
            </w:r>
          </w:p>
        </w:tc>
      </w:tr>
      <w:tr>
        <w:trPr>
          <w:trHeight w:val="283" w:hRule="exact"/>
        </w:trPr>
        <w:tc>
          <w:tcPr>
            <w:tcW w:w="973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 w:right="0"/>
              <w:jc w:val="center"/>
              <w:rPr>
                <w:rFonts w:ascii="宋体" w:hAnsi="宋体" w:cs="宋体" w:eastAsia="宋体" w:hint="default"/>
                <w:sz w:val="24"/>
                <w:szCs w:val="24"/>
              </w:rPr>
            </w:pPr>
            <w:r>
              <w:rPr>
                <w:rFonts w:ascii="宋体" w:hAnsi="宋体" w:cs="宋体" w:eastAsia="宋体" w:hint="default"/>
                <w:sz w:val="21"/>
                <w:szCs w:val="21"/>
              </w:rPr>
              <w:t>主营业务分产品情况</w:t>
            </w:r>
            <w:r>
              <w:rPr>
                <w:rFonts w:ascii="宋体" w:hAnsi="宋体" w:cs="宋体" w:eastAsia="宋体" w:hint="default"/>
                <w:sz w:val="24"/>
                <w:szCs w:val="24"/>
              </w:rPr>
              <w:t> </w:t>
            </w:r>
          </w:p>
        </w:tc>
      </w:tr>
      <w:tr>
        <w:trPr>
          <w:trHeight w:val="1100"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66"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36"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34"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7"/>
              <w:jc w:val="left"/>
              <w:rPr>
                <w:rFonts w:ascii="宋体" w:hAnsi="宋体" w:cs="宋体" w:eastAsia="宋体" w:hint="default"/>
                <w:sz w:val="21"/>
                <w:szCs w:val="21"/>
              </w:rPr>
            </w:pPr>
            <w:r>
              <w:rPr>
                <w:rFonts w:ascii="宋体" w:hAnsi="宋体" w:cs="宋体" w:eastAsia="宋体" w:hint="default"/>
                <w:spacing w:val="41"/>
                <w:sz w:val="21"/>
                <w:szCs w:val="21"/>
              </w:rPr>
              <w:t>毛利</w:t>
            </w:r>
            <w:r>
              <w:rPr>
                <w:rFonts w:ascii="宋体" w:hAnsi="宋体" w:cs="宋体" w:eastAsia="宋体" w:hint="default"/>
                <w:spacing w:val="-101"/>
                <w:sz w:val="21"/>
                <w:szCs w:val="21"/>
              </w:rPr>
              <w:t> </w:t>
            </w:r>
            <w:r>
              <w:rPr>
                <w:rFonts w:ascii="宋体" w:hAnsi="宋体" w:cs="宋体" w:eastAsia="宋体" w:hint="default"/>
                <w:sz w:val="21"/>
                <w:szCs w:val="21"/>
              </w:rPr>
              <w:t>率</w:t>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w:t>
            </w:r>
            <w:r>
              <w:rPr>
                <w:rFonts w:ascii="宋体" w:hAnsi="宋体" w:cs="宋体" w:eastAsia="宋体" w:hint="default"/>
                <w:spacing w:val="-9"/>
                <w:sz w:val="21"/>
                <w:szCs w:val="21"/>
              </w:rPr>
              <w:t>%</w:t>
            </w:r>
            <w:r>
              <w:rPr>
                <w:rFonts w:ascii="宋体" w:hAnsi="宋体" w:cs="宋体" w:eastAsia="宋体" w:hint="default"/>
                <w:spacing w:val="-9"/>
                <w:sz w:val="21"/>
                <w:szCs w:val="21"/>
              </w:rPr>
              <w:t>）</w:t>
            </w:r>
            <w:r>
              <w:rPr>
                <w:rFonts w:ascii="宋体" w:hAnsi="宋体" w:cs="宋体" w:eastAsia="宋体" w:hint="default"/>
                <w:sz w:val="21"/>
                <w:szCs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营 业</w:t>
            </w:r>
            <w:r>
              <w:rPr>
                <w:rFonts w:ascii="宋体" w:hAnsi="宋体" w:cs="宋体" w:eastAsia="宋体" w:hint="default"/>
                <w:spacing w:val="-47"/>
                <w:sz w:val="21"/>
                <w:szCs w:val="21"/>
              </w:rPr>
              <w:t> </w:t>
            </w:r>
            <w:r>
              <w:rPr>
                <w:rFonts w:ascii="宋体" w:hAnsi="宋体" w:cs="宋体" w:eastAsia="宋体" w:hint="default"/>
                <w:sz w:val="21"/>
                <w:szCs w:val="21"/>
              </w:rPr>
              <w:t>收</w:t>
            </w:r>
          </w:p>
          <w:p>
            <w:pPr>
              <w:pStyle w:val="TableParagraph"/>
              <w:spacing w:line="272" w:lineRule="exact" w:before="27"/>
              <w:ind w:left="100" w:right="99"/>
              <w:jc w:val="left"/>
              <w:rPr>
                <w:rFonts w:ascii="宋体" w:hAnsi="宋体" w:cs="宋体" w:eastAsia="宋体" w:hint="default"/>
                <w:sz w:val="21"/>
                <w:szCs w:val="21"/>
              </w:rPr>
            </w:pPr>
            <w:r>
              <w:rPr>
                <w:rFonts w:ascii="宋体" w:hAnsi="宋体" w:cs="宋体" w:eastAsia="宋体" w:hint="default"/>
                <w:sz w:val="21"/>
                <w:szCs w:val="21"/>
              </w:rPr>
              <w:t>入 比</w:t>
            </w:r>
            <w:r>
              <w:rPr>
                <w:rFonts w:ascii="宋体" w:hAnsi="宋体" w:cs="宋体" w:eastAsia="宋体" w:hint="default"/>
                <w:spacing w:val="-47"/>
                <w:sz w:val="21"/>
                <w:szCs w:val="21"/>
              </w:rPr>
              <w:t> </w:t>
            </w:r>
            <w:r>
              <w:rPr>
                <w:rFonts w:ascii="宋体" w:hAnsi="宋体" w:cs="宋体" w:eastAsia="宋体" w:hint="default"/>
                <w:sz w:val="21"/>
                <w:szCs w:val="21"/>
              </w:rPr>
              <w:t>上</w:t>
            </w:r>
            <w:r>
              <w:rPr>
                <w:rFonts w:ascii="宋体" w:hAnsi="宋体" w:cs="宋体" w:eastAsia="宋体" w:hint="default"/>
                <w:w w:val="100"/>
                <w:sz w:val="21"/>
                <w:szCs w:val="21"/>
              </w:rPr>
              <w:t> </w:t>
            </w:r>
            <w:r>
              <w:rPr>
                <w:rFonts w:ascii="宋体" w:hAnsi="宋体" w:cs="宋体" w:eastAsia="宋体" w:hint="default"/>
                <w:sz w:val="21"/>
                <w:szCs w:val="21"/>
              </w:rPr>
              <w:t>年 增</w:t>
            </w:r>
            <w:r>
              <w:rPr>
                <w:rFonts w:ascii="宋体" w:hAnsi="宋体" w:cs="宋体" w:eastAsia="宋体" w:hint="default"/>
                <w:spacing w:val="-47"/>
                <w:sz w:val="21"/>
                <w:szCs w:val="21"/>
              </w:rPr>
              <w:t> </w:t>
            </w:r>
            <w:r>
              <w:rPr>
                <w:rFonts w:ascii="宋体" w:hAnsi="宋体" w:cs="宋体" w:eastAsia="宋体" w:hint="default"/>
                <w:sz w:val="21"/>
                <w:szCs w:val="21"/>
              </w:rPr>
              <w:t>减</w:t>
            </w:r>
          </w:p>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2"/>
                <w:sz w:val="21"/>
                <w:szCs w:val="21"/>
              </w:rPr>
              <w:t>营业成</w:t>
            </w:r>
            <w:r>
              <w:rPr>
                <w:rFonts w:ascii="宋体" w:hAnsi="宋体" w:cs="宋体" w:eastAsia="宋体" w:hint="default"/>
                <w:spacing w:val="-26"/>
                <w:sz w:val="21"/>
                <w:szCs w:val="21"/>
              </w:rPr>
              <w:t> </w:t>
            </w:r>
            <w:r>
              <w:rPr>
                <w:rFonts w:ascii="宋体" w:hAnsi="宋体" w:cs="宋体" w:eastAsia="宋体" w:hint="default"/>
                <w:sz w:val="21"/>
                <w:szCs w:val="21"/>
              </w:rPr>
            </w:r>
          </w:p>
          <w:p>
            <w:pPr>
              <w:pStyle w:val="TableParagraph"/>
              <w:spacing w:line="272" w:lineRule="exact" w:before="27"/>
              <w:ind w:left="103" w:right="19"/>
              <w:jc w:val="left"/>
              <w:rPr>
                <w:rFonts w:ascii="宋体" w:hAnsi="宋体" w:cs="宋体" w:eastAsia="宋体" w:hint="default"/>
                <w:sz w:val="21"/>
                <w:szCs w:val="21"/>
              </w:rPr>
            </w:pPr>
            <w:r>
              <w:rPr>
                <w:rFonts w:ascii="宋体" w:hAnsi="宋体" w:cs="宋体" w:eastAsia="宋体" w:hint="default"/>
                <w:spacing w:val="52"/>
                <w:sz w:val="21"/>
                <w:szCs w:val="21"/>
              </w:rPr>
              <w:t>本比上</w:t>
            </w:r>
            <w:r>
              <w:rPr>
                <w:rFonts w:ascii="宋体" w:hAnsi="宋体" w:cs="宋体" w:eastAsia="宋体" w:hint="default"/>
                <w:spacing w:val="-100"/>
                <w:sz w:val="21"/>
                <w:szCs w:val="21"/>
              </w:rPr>
              <w:t> </w:t>
            </w:r>
            <w:r>
              <w:rPr>
                <w:rFonts w:ascii="宋体" w:hAnsi="宋体" w:cs="宋体" w:eastAsia="宋体" w:hint="default"/>
                <w:spacing w:val="52"/>
                <w:sz w:val="21"/>
                <w:szCs w:val="21"/>
              </w:rPr>
              <w:t>年增减</w:t>
            </w:r>
            <w:r>
              <w:rPr>
                <w:rFonts w:ascii="宋体" w:hAnsi="宋体" w:cs="宋体" w:eastAsia="宋体" w:hint="default"/>
                <w:spacing w:val="-26"/>
                <w:sz w:val="21"/>
                <w:szCs w:val="21"/>
              </w:rPr>
              <w:t> </w:t>
            </w:r>
            <w:r>
              <w:rPr>
                <w:rFonts w:ascii="宋体" w:hAnsi="宋体" w:cs="宋体" w:eastAsia="宋体" w:hint="default"/>
                <w:sz w:val="21"/>
                <w:szCs w:val="21"/>
              </w:rPr>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毛利率比上年增减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军用电站</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322,512,128.16</w:t>
            </w:r>
            <w:r>
              <w:rPr>
                <w:rFonts w:ascii="Times New Roman"/>
                <w:sz w:val="20"/>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244,677,823.31</w:t>
            </w:r>
            <w:r>
              <w:rPr>
                <w:rFonts w:ascii="Times New Roman"/>
                <w:sz w:val="20"/>
              </w:rPr>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sz w:val="20"/>
              </w:rPr>
              <w:t>24.13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-1.37</w:t>
            </w:r>
            <w:r>
              <w:rPr>
                <w:rFonts w:ascii="Times New Roman"/>
                <w:sz w:val="20"/>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-0.25</w:t>
            </w:r>
            <w:r>
              <w:rPr>
                <w:rFonts w:ascii="Times New Roman"/>
                <w:sz w:val="20"/>
              </w:rPr>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3"/>
              <w:jc w:val="right"/>
              <w:rPr>
                <w:rFonts w:ascii="宋体" w:hAnsi="宋体" w:cs="宋体" w:eastAsia="宋体" w:hint="default"/>
                <w:sz w:val="20"/>
                <w:szCs w:val="20"/>
              </w:rPr>
            </w:pPr>
            <w:r>
              <w:rPr>
                <w:rFonts w:ascii="宋体" w:hAnsi="宋体" w:cs="宋体" w:eastAsia="宋体" w:hint="default"/>
                <w:sz w:val="20"/>
                <w:szCs w:val="20"/>
              </w:rPr>
              <w:t>减少</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0.85</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个百分点</w:t>
            </w:r>
          </w:p>
        </w:tc>
      </w:tr>
      <w:tr>
        <w:trPr>
          <w:trHeight w:val="281"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通信指挥系统</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927,712,474.21</w:t>
            </w:r>
            <w:r>
              <w:rPr>
                <w:rFonts w:ascii="Times New Roman"/>
                <w:sz w:val="20"/>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711,430,897.74</w:t>
            </w:r>
            <w:r>
              <w:rPr>
                <w:rFonts w:ascii="Times New Roman"/>
                <w:sz w:val="20"/>
              </w:rPr>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sz w:val="20"/>
              </w:rPr>
              <w:t>23.31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sz w:val="20"/>
              </w:rPr>
              <w:t>11.58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sz w:val="20"/>
              </w:rPr>
              <w:t>9.42</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3"/>
              <w:jc w:val="right"/>
              <w:rPr>
                <w:rFonts w:ascii="宋体" w:hAnsi="宋体" w:cs="宋体" w:eastAsia="宋体" w:hint="default"/>
                <w:sz w:val="20"/>
                <w:szCs w:val="20"/>
              </w:rPr>
            </w:pPr>
            <w:r>
              <w:rPr>
                <w:rFonts w:ascii="宋体" w:hAnsi="宋体" w:cs="宋体" w:eastAsia="宋体" w:hint="default"/>
                <w:sz w:val="20"/>
                <w:szCs w:val="20"/>
              </w:rPr>
              <w:t>增加</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1.51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个百分点</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军工装备业务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spacing w:val="-1"/>
                <w:sz w:val="20"/>
              </w:rPr>
              <w:t>1,250,224,602.37</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w w:val="95"/>
                <w:sz w:val="20"/>
              </w:rPr>
              <w:t>956,108,721.05</w:t>
            </w:r>
            <w:r>
              <w:rPr>
                <w:rFonts w:ascii="Times New Roman"/>
                <w:sz w:val="20"/>
              </w:rPr>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20"/>
                <w:szCs w:val="20"/>
              </w:rPr>
            </w:pPr>
            <w:r>
              <w:rPr>
                <w:rFonts w:ascii="Times New Roman"/>
                <w:sz w:val="20"/>
              </w:rPr>
              <w:t>23.53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20"/>
                <w:szCs w:val="20"/>
              </w:rPr>
            </w:pPr>
            <w:r>
              <w:rPr>
                <w:rFonts w:ascii="Times New Roman"/>
                <w:sz w:val="20"/>
              </w:rPr>
              <w:t>7.92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20"/>
                <w:szCs w:val="20"/>
              </w:rPr>
            </w:pPr>
            <w:r>
              <w:rPr>
                <w:rFonts w:ascii="Times New Roman"/>
                <w:sz w:val="20"/>
              </w:rPr>
              <w:t>6.77</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3"/>
              <w:jc w:val="right"/>
              <w:rPr>
                <w:rFonts w:ascii="宋体" w:hAnsi="宋体" w:cs="宋体" w:eastAsia="宋体" w:hint="default"/>
                <w:sz w:val="20"/>
                <w:szCs w:val="20"/>
              </w:rPr>
            </w:pPr>
            <w:r>
              <w:rPr>
                <w:rFonts w:ascii="宋体" w:hAnsi="宋体" w:cs="宋体" w:eastAsia="宋体" w:hint="default"/>
                <w:sz w:val="20"/>
                <w:szCs w:val="20"/>
              </w:rPr>
              <w:t>增加</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0.83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个百分点</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智能应急电源</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spacing w:val="-1"/>
                <w:sz w:val="20"/>
              </w:rPr>
              <w:t>1,838,483,876.49</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spacing w:val="-1"/>
                <w:sz w:val="20"/>
              </w:rPr>
              <w:t>1,639,243,774.77</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sz w:val="20"/>
              </w:rPr>
              <w:t>10.84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w w:val="95"/>
                <w:sz w:val="20"/>
              </w:rPr>
              <w:t>-28.49</w:t>
            </w:r>
            <w:r>
              <w:rPr>
                <w:rFonts w:ascii="Times New Roman"/>
                <w:sz w:val="20"/>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w w:val="95"/>
                <w:sz w:val="20"/>
              </w:rPr>
              <w:t>-30.35</w:t>
            </w:r>
            <w:r>
              <w:rPr>
                <w:rFonts w:ascii="Times New Roman"/>
                <w:sz w:val="20"/>
              </w:rPr>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3"/>
              <w:jc w:val="right"/>
              <w:rPr>
                <w:rFonts w:ascii="宋体" w:hAnsi="宋体" w:cs="宋体" w:eastAsia="宋体" w:hint="default"/>
                <w:sz w:val="20"/>
                <w:szCs w:val="20"/>
              </w:rPr>
            </w:pPr>
            <w:r>
              <w:rPr>
                <w:rFonts w:ascii="宋体" w:hAnsi="宋体" w:cs="宋体" w:eastAsia="宋体" w:hint="default"/>
                <w:sz w:val="20"/>
                <w:szCs w:val="20"/>
              </w:rPr>
              <w:t>增加</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2.39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个百分点</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电网软件及系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统集成</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spacing w:val="-1"/>
                <w:sz w:val="20"/>
              </w:rPr>
              <w:t>1,096,687,326.13</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w w:val="95"/>
                <w:sz w:val="20"/>
              </w:rPr>
              <w:t>596,332,444.99</w:t>
            </w:r>
            <w:r>
              <w:rPr>
                <w:rFonts w:ascii="Times New Roman"/>
                <w:sz w:val="20"/>
              </w:rPr>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20"/>
                <w:szCs w:val="20"/>
              </w:rPr>
            </w:pPr>
            <w:r>
              <w:rPr>
                <w:rFonts w:ascii="Times New Roman"/>
                <w:sz w:val="20"/>
              </w:rPr>
              <w:t>45.62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20"/>
                <w:szCs w:val="20"/>
              </w:rPr>
            </w:pPr>
            <w:r>
              <w:rPr>
                <w:rFonts w:ascii="Times New Roman"/>
                <w:w w:val="95"/>
                <w:sz w:val="20"/>
              </w:rPr>
              <w:t>-9.84</w:t>
            </w:r>
            <w:r>
              <w:rPr>
                <w:rFonts w:ascii="Times New Roman"/>
                <w:sz w:val="20"/>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20"/>
                <w:szCs w:val="20"/>
              </w:rPr>
            </w:pPr>
            <w:r>
              <w:rPr>
                <w:rFonts w:ascii="Times New Roman"/>
                <w:w w:val="95"/>
                <w:sz w:val="20"/>
              </w:rPr>
              <w:t>-12.90</w:t>
            </w:r>
            <w:r>
              <w:rPr>
                <w:rFonts w:ascii="Times New Roman"/>
                <w:sz w:val="20"/>
              </w:rPr>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3"/>
              <w:jc w:val="right"/>
              <w:rPr>
                <w:rFonts w:ascii="宋体" w:hAnsi="宋体" w:cs="宋体" w:eastAsia="宋体" w:hint="default"/>
                <w:sz w:val="20"/>
                <w:szCs w:val="20"/>
              </w:rPr>
            </w:pPr>
            <w:r>
              <w:rPr>
                <w:rFonts w:ascii="宋体" w:hAnsi="宋体" w:cs="宋体" w:eastAsia="宋体" w:hint="default"/>
                <w:sz w:val="20"/>
                <w:szCs w:val="20"/>
              </w:rPr>
              <w:t>增加</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1.91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个百分点</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配电设备</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spacing w:val="-1"/>
                <w:sz w:val="20"/>
              </w:rPr>
              <w:t>1,043,780,584.52</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830,944,595.34</w:t>
            </w:r>
            <w:r>
              <w:rPr>
                <w:rFonts w:ascii="Times New Roman"/>
                <w:sz w:val="20"/>
              </w:rPr>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sz w:val="20"/>
              </w:rPr>
              <w:t>20.39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-6.10</w:t>
            </w:r>
            <w:r>
              <w:rPr>
                <w:rFonts w:ascii="Times New Roman"/>
                <w:sz w:val="20"/>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-7.15</w:t>
            </w:r>
            <w:r>
              <w:rPr>
                <w:rFonts w:ascii="Times New Roman"/>
                <w:sz w:val="20"/>
              </w:rPr>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3"/>
              <w:jc w:val="right"/>
              <w:rPr>
                <w:rFonts w:ascii="宋体" w:hAnsi="宋体" w:cs="宋体" w:eastAsia="宋体" w:hint="default"/>
                <w:sz w:val="20"/>
                <w:szCs w:val="20"/>
              </w:rPr>
            </w:pPr>
            <w:r>
              <w:rPr>
                <w:rFonts w:ascii="宋体" w:hAnsi="宋体" w:cs="宋体" w:eastAsia="宋体" w:hint="default"/>
                <w:sz w:val="20"/>
                <w:szCs w:val="20"/>
              </w:rPr>
              <w:t>增加</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0.90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个百分点</w:t>
            </w:r>
          </w:p>
        </w:tc>
      </w:tr>
      <w:tr>
        <w:trPr>
          <w:trHeight w:val="555"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8" w:right="0"/>
              <w:jc w:val="left"/>
              <w:rPr>
                <w:rFonts w:ascii="宋体" w:hAnsi="宋体" w:cs="宋体" w:eastAsia="宋体" w:hint="default"/>
                <w:sz w:val="21"/>
                <w:szCs w:val="21"/>
              </w:rPr>
            </w:pPr>
            <w:r>
              <w:rPr>
                <w:rFonts w:ascii="宋体" w:hAnsi="宋体" w:cs="宋体" w:eastAsia="宋体" w:hint="default"/>
                <w:spacing w:val="5"/>
                <w:sz w:val="21"/>
                <w:szCs w:val="21"/>
              </w:rPr>
              <w:t>智能电力业务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spacing w:val="-1"/>
                <w:sz w:val="20"/>
              </w:rPr>
              <w:t>3,978,951,787.14</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spacing w:val="-1"/>
                <w:sz w:val="20"/>
              </w:rPr>
              <w:t>3,066,520,815.10</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20"/>
                <w:szCs w:val="20"/>
              </w:rPr>
            </w:pPr>
            <w:r>
              <w:rPr>
                <w:rFonts w:ascii="Times New Roman"/>
                <w:sz w:val="20"/>
              </w:rPr>
              <w:t>22.93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20"/>
                <w:szCs w:val="20"/>
              </w:rPr>
            </w:pPr>
            <w:r>
              <w:rPr>
                <w:rFonts w:ascii="Times New Roman"/>
                <w:w w:val="95"/>
                <w:sz w:val="20"/>
              </w:rPr>
              <w:t>-18.78</w:t>
            </w:r>
            <w:r>
              <w:rPr>
                <w:rFonts w:ascii="Times New Roman"/>
                <w:sz w:val="20"/>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20"/>
                <w:szCs w:val="20"/>
              </w:rPr>
            </w:pPr>
            <w:r>
              <w:rPr>
                <w:rFonts w:ascii="Times New Roman"/>
                <w:w w:val="95"/>
                <w:sz w:val="20"/>
              </w:rPr>
              <w:t>-22.04</w:t>
            </w:r>
            <w:r>
              <w:rPr>
                <w:rFonts w:ascii="Times New Roman"/>
                <w:sz w:val="20"/>
              </w:rPr>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宋体" w:hAnsi="宋体" w:cs="宋体" w:eastAsia="宋体" w:hint="default"/>
                <w:sz w:val="20"/>
                <w:szCs w:val="20"/>
              </w:rPr>
            </w:pPr>
            <w:r>
              <w:rPr>
                <w:rFonts w:ascii="宋体" w:hAnsi="宋体" w:cs="宋体" w:eastAsia="宋体" w:hint="default"/>
                <w:sz w:val="20"/>
                <w:szCs w:val="20"/>
              </w:rPr>
              <w:t>增加</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3.22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个百分点</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spacing w:val="-1"/>
                <w:sz w:val="20"/>
              </w:rPr>
              <w:t>5,229,176,389.51</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spacing w:val="-1"/>
                <w:sz w:val="20"/>
              </w:rPr>
              <w:t>4,022,629,536.15</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sz w:val="20"/>
              </w:rPr>
              <w:t>23.07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w w:val="95"/>
                <w:sz w:val="20"/>
              </w:rPr>
              <w:t>-13.67</w:t>
            </w:r>
            <w:r>
              <w:rPr>
                <w:rFonts w:ascii="Times New Roman"/>
                <w:sz w:val="20"/>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w w:val="95"/>
                <w:sz w:val="20"/>
              </w:rPr>
              <w:t>-16.69</w:t>
            </w:r>
            <w:r>
              <w:rPr>
                <w:rFonts w:ascii="Times New Roman"/>
                <w:sz w:val="20"/>
              </w:rPr>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3"/>
              <w:jc w:val="right"/>
              <w:rPr>
                <w:rFonts w:ascii="宋体" w:hAnsi="宋体" w:cs="宋体" w:eastAsia="宋体" w:hint="default"/>
                <w:sz w:val="20"/>
                <w:szCs w:val="20"/>
              </w:rPr>
            </w:pPr>
            <w:r>
              <w:rPr>
                <w:rFonts w:ascii="宋体" w:hAnsi="宋体" w:cs="宋体" w:eastAsia="宋体" w:hint="default"/>
                <w:sz w:val="20"/>
                <w:szCs w:val="20"/>
              </w:rPr>
              <w:t>增加</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2.79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个百分点</w:t>
            </w:r>
          </w:p>
        </w:tc>
      </w:tr>
      <w:tr>
        <w:trPr>
          <w:trHeight w:val="281" w:hRule="exact"/>
        </w:trPr>
        <w:tc>
          <w:tcPr>
            <w:tcW w:w="973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 w:right="0"/>
              <w:jc w:val="center"/>
              <w:rPr>
                <w:rFonts w:ascii="宋体" w:hAnsi="宋体" w:cs="宋体" w:eastAsia="宋体" w:hint="default"/>
                <w:sz w:val="24"/>
                <w:szCs w:val="24"/>
              </w:rPr>
            </w:pPr>
            <w:r>
              <w:rPr>
                <w:rFonts w:ascii="宋体" w:hAnsi="宋体" w:cs="宋体" w:eastAsia="宋体" w:hint="default"/>
                <w:sz w:val="21"/>
                <w:szCs w:val="21"/>
              </w:rPr>
              <w:t>主营业务分地区情况</w:t>
            </w:r>
            <w:r>
              <w:rPr>
                <w:rFonts w:ascii="宋体" w:hAnsi="宋体" w:cs="宋体" w:eastAsia="宋体" w:hint="default"/>
                <w:sz w:val="24"/>
                <w:szCs w:val="24"/>
              </w:rPr>
              <w:t> </w:t>
            </w:r>
          </w:p>
        </w:tc>
      </w:tr>
      <w:tr>
        <w:trPr>
          <w:trHeight w:val="1099"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66" w:right="0"/>
              <w:jc w:val="left"/>
              <w:rPr>
                <w:rFonts w:ascii="宋体" w:hAnsi="宋体" w:cs="宋体" w:eastAsia="宋体" w:hint="default"/>
                <w:sz w:val="21"/>
                <w:szCs w:val="21"/>
              </w:rPr>
            </w:pPr>
            <w:r>
              <w:rPr>
                <w:rFonts w:ascii="宋体" w:hAnsi="宋体" w:cs="宋体" w:eastAsia="宋体" w:hint="default"/>
                <w:sz w:val="21"/>
                <w:szCs w:val="21"/>
              </w:rPr>
              <w:t>分地区</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36"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34"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9" w:right="144" w:hanging="106"/>
              <w:jc w:val="left"/>
              <w:rPr>
                <w:rFonts w:ascii="宋体" w:hAnsi="宋体" w:cs="宋体" w:eastAsia="宋体" w:hint="default"/>
                <w:sz w:val="21"/>
                <w:szCs w:val="21"/>
              </w:rPr>
            </w:pPr>
            <w:r>
              <w:rPr>
                <w:rFonts w:ascii="宋体" w:hAnsi="宋体" w:cs="宋体" w:eastAsia="宋体" w:hint="default"/>
                <w:sz w:val="21"/>
                <w:szCs w:val="21"/>
              </w:rPr>
              <w:t>毛利</w:t>
            </w:r>
            <w:r>
              <w:rPr>
                <w:rFonts w:ascii="宋体" w:hAnsi="宋体" w:cs="宋体" w:eastAsia="宋体" w:hint="default"/>
                <w:spacing w:val="-103"/>
                <w:sz w:val="21"/>
                <w:szCs w:val="21"/>
              </w:rPr>
              <w:t> </w:t>
            </w:r>
            <w:r>
              <w:rPr>
                <w:rFonts w:ascii="宋体" w:hAnsi="宋体" w:cs="宋体" w:eastAsia="宋体" w:hint="default"/>
                <w:sz w:val="21"/>
                <w:szCs w:val="21"/>
              </w:rPr>
              <w:t>率</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w:t>
            </w:r>
            <w:r>
              <w:rPr>
                <w:rFonts w:ascii="宋体" w:hAnsi="宋体" w:cs="宋体" w:eastAsia="宋体" w:hint="default"/>
                <w:spacing w:val="-9"/>
                <w:sz w:val="21"/>
                <w:szCs w:val="21"/>
              </w:rPr>
              <w:t>%</w:t>
            </w:r>
            <w:r>
              <w:rPr>
                <w:rFonts w:ascii="宋体" w:hAnsi="宋体" w:cs="宋体" w:eastAsia="宋体" w:hint="default"/>
                <w:spacing w:val="-9"/>
                <w:sz w:val="21"/>
                <w:szCs w:val="21"/>
              </w:rPr>
              <w:t>）</w:t>
            </w:r>
            <w:r>
              <w:rPr>
                <w:rFonts w:ascii="宋体" w:hAnsi="宋体" w:cs="宋体" w:eastAsia="宋体" w:hint="default"/>
                <w:sz w:val="21"/>
                <w:szCs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9"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2" w:lineRule="exact" w:before="27"/>
              <w:ind w:left="179" w:right="180"/>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9" w:lineRule="exact"/>
              <w:ind w:left="23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2" w:lineRule="exact" w:before="27"/>
              <w:ind w:left="182" w:right="179"/>
              <w:jc w:val="left"/>
              <w:rPr>
                <w:rFonts w:ascii="宋体" w:hAnsi="宋体" w:cs="宋体" w:eastAsia="宋体" w:hint="default"/>
                <w:sz w:val="21"/>
                <w:szCs w:val="21"/>
              </w:rPr>
            </w:pP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9" w:lineRule="exact"/>
              <w:ind w:left="23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毛利率比上年增减</w:t>
            </w:r>
          </w:p>
          <w:p>
            <w:pPr>
              <w:pStyle w:val="TableParagraph"/>
              <w:spacing w:line="273" w:lineRule="exact"/>
              <w:ind w:left="106"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国内</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spacing w:val="-1"/>
                <w:sz w:val="20"/>
              </w:rPr>
              <w:t>5,051,404,186.69</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spacing w:val="-1"/>
                <w:sz w:val="20"/>
              </w:rPr>
              <w:t>3,862,430,118.99</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sz w:val="20"/>
              </w:rPr>
              <w:t>23.54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-2.57</w:t>
            </w:r>
            <w:r>
              <w:rPr>
                <w:rFonts w:ascii="Times New Roman"/>
                <w:sz w:val="20"/>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-3.47</w:t>
            </w:r>
            <w:r>
              <w:rPr>
                <w:rFonts w:ascii="Times New Roman"/>
                <w:sz w:val="20"/>
              </w:rPr>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3"/>
              <w:jc w:val="right"/>
              <w:rPr>
                <w:rFonts w:ascii="宋体" w:hAnsi="宋体" w:cs="宋体" w:eastAsia="宋体" w:hint="default"/>
                <w:sz w:val="20"/>
                <w:szCs w:val="20"/>
              </w:rPr>
            </w:pPr>
            <w:r>
              <w:rPr>
                <w:rFonts w:ascii="宋体" w:hAnsi="宋体" w:cs="宋体" w:eastAsia="宋体" w:hint="default"/>
                <w:sz w:val="20"/>
                <w:szCs w:val="20"/>
              </w:rPr>
              <w:t>增加</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0.71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个百分点</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国外</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177,772,202.82</w:t>
            </w:r>
            <w:r>
              <w:rPr>
                <w:rFonts w:ascii="Times New Roman"/>
                <w:sz w:val="20"/>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160,199,417.16</w:t>
            </w:r>
            <w:r>
              <w:rPr>
                <w:rFonts w:ascii="Times New Roman"/>
                <w:sz w:val="20"/>
              </w:rPr>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sz w:val="20"/>
              </w:rPr>
              <w:t>9.89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w w:val="95"/>
                <w:sz w:val="20"/>
              </w:rPr>
              <w:t>-79.63</w:t>
            </w:r>
            <w:r>
              <w:rPr>
                <w:rFonts w:ascii="Times New Roman"/>
                <w:sz w:val="20"/>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w w:val="95"/>
                <w:sz w:val="20"/>
              </w:rPr>
              <w:t>-80.64</w:t>
            </w:r>
            <w:r>
              <w:rPr>
                <w:rFonts w:ascii="Times New Roman"/>
                <w:sz w:val="20"/>
              </w:rPr>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3"/>
              <w:jc w:val="right"/>
              <w:rPr>
                <w:rFonts w:ascii="宋体" w:hAnsi="宋体" w:cs="宋体" w:eastAsia="宋体" w:hint="default"/>
                <w:sz w:val="20"/>
                <w:szCs w:val="20"/>
              </w:rPr>
            </w:pPr>
            <w:r>
              <w:rPr>
                <w:rFonts w:ascii="宋体" w:hAnsi="宋体" w:cs="宋体" w:eastAsia="宋体" w:hint="default"/>
                <w:sz w:val="20"/>
                <w:szCs w:val="20"/>
              </w:rPr>
              <w:t>增加</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4.73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个百分点</w:t>
            </w:r>
          </w:p>
        </w:tc>
      </w:tr>
    </w:tbl>
    <w:p>
      <w:pPr>
        <w:spacing w:line="240" w:lineRule="auto" w:before="5"/>
        <w:rPr>
          <w:rFonts w:ascii="宋体" w:hAnsi="宋体" w:cs="宋体" w:eastAsia="宋体" w:hint="default"/>
          <w:sz w:val="10"/>
          <w:szCs w:val="10"/>
        </w:rPr>
      </w:pPr>
    </w:p>
    <w:p>
      <w:pPr>
        <w:pStyle w:val="BodyText"/>
        <w:spacing w:line="272" w:lineRule="exact" w:before="64"/>
        <w:ind w:left="556" w:right="4665"/>
        <w:jc w:val="left"/>
        <w:rPr>
          <w:rFonts w:ascii="宋体" w:hAnsi="宋体" w:cs="宋体" w:eastAsia="宋体" w:hint="default"/>
        </w:rPr>
      </w:pPr>
      <w:r>
        <w:rPr/>
        <w:t>主营业务分行业、分产品、分地区情况的说明 </w:t>
      </w:r>
      <w:r>
        <w:rPr>
          <w:rFonts w:ascii="宋体" w:hAnsi="宋体" w:cs="宋体" w:eastAsia="宋体" w:hint="default"/>
        </w:rPr>
        <w:t>2019</w:t>
      </w:r>
      <w:r>
        <w:rPr>
          <w:rFonts w:ascii="宋体" w:hAnsi="宋体" w:cs="宋体" w:eastAsia="宋体" w:hint="default"/>
          <w:spacing w:val="-55"/>
        </w:rPr>
        <w:t> </w:t>
      </w:r>
      <w:r>
        <w:rPr/>
        <w:t>年公司主营业务收入同比降低</w:t>
      </w:r>
      <w:r>
        <w:rPr>
          <w:spacing w:val="-62"/>
        </w:rPr>
        <w:t> </w:t>
      </w:r>
      <w:r>
        <w:rPr>
          <w:rFonts w:ascii="宋体" w:hAnsi="宋体" w:cs="宋体" w:eastAsia="宋体" w:hint="default"/>
        </w:rPr>
        <w:t>13.67%</w:t>
      </w:r>
      <w:r>
        <w:rPr/>
        <w:t>，其中</w:t>
      </w:r>
      <w:r>
        <w:rPr>
          <w:rFonts w:ascii="宋体" w:hAnsi="宋体" w:cs="宋体" w:eastAsia="宋体" w:hint="default"/>
        </w:rPr>
        <w:t>: </w:t>
      </w:r>
    </w:p>
    <w:p>
      <w:pPr>
        <w:spacing w:after="0" w:line="272" w:lineRule="exact"/>
        <w:jc w:val="left"/>
        <w:rPr>
          <w:rFonts w:ascii="宋体" w:hAnsi="宋体" w:cs="宋体" w:eastAsia="宋体" w:hint="default"/>
        </w:rPr>
        <w:sectPr>
          <w:pgSz w:w="11910" w:h="16840"/>
          <w:pgMar w:header="880" w:footer="1195" w:top="1120" w:bottom="1380" w:left="720" w:right="1220"/>
        </w:sectPr>
      </w:pPr>
    </w:p>
    <w:p>
      <w:pPr>
        <w:spacing w:line="240" w:lineRule="auto" w:before="11"/>
        <w:rPr>
          <w:rFonts w:ascii="宋体" w:hAnsi="宋体" w:cs="宋体" w:eastAsia="宋体" w:hint="default"/>
          <w:sz w:val="18"/>
          <w:szCs w:val="18"/>
        </w:rPr>
      </w:pPr>
    </w:p>
    <w:p>
      <w:pPr>
        <w:pStyle w:val="BodyText"/>
        <w:spacing w:line="272" w:lineRule="exact" w:before="64"/>
        <w:ind w:left="216" w:right="224"/>
        <w:jc w:val="left"/>
        <w:rPr>
          <w:rFonts w:ascii="宋体" w:hAnsi="宋体" w:cs="宋体" w:eastAsia="宋体" w:hint="default"/>
        </w:rPr>
      </w:pPr>
      <w:r>
        <w:rPr>
          <w:rFonts w:ascii="宋体" w:hAnsi="宋体" w:cs="宋体" w:eastAsia="宋体" w:hint="default"/>
        </w:rPr>
        <w:t>1)</w:t>
      </w:r>
      <w:r>
        <w:rPr/>
        <w:t>军工装备业务较去年同期增长</w:t>
      </w:r>
      <w:r>
        <w:rPr>
          <w:spacing w:val="6"/>
        </w:rPr>
        <w:t> </w:t>
      </w:r>
      <w:r>
        <w:rPr>
          <w:rFonts w:ascii="宋体" w:hAnsi="宋体" w:cs="宋体" w:eastAsia="宋体" w:hint="default"/>
        </w:rPr>
        <w:t>7.92%</w:t>
      </w:r>
      <w:r>
        <w:rPr/>
        <w:t>，主要是“军改”后市场订单恢复，公司车载通信指挥系</w:t>
      </w:r>
      <w:r>
        <w:rPr>
          <w:w w:val="100"/>
        </w:rPr>
        <w:t> </w:t>
      </w:r>
      <w:r>
        <w:rPr/>
        <w:t>统业务大幅增长；</w:t>
      </w:r>
      <w:r>
        <w:rPr>
          <w:rFonts w:ascii="宋体" w:hAnsi="宋体" w:cs="宋体" w:eastAsia="宋体" w:hint="default"/>
        </w:rPr>
        <w:t> </w:t>
      </w:r>
    </w:p>
    <w:p>
      <w:pPr>
        <w:pStyle w:val="BodyText"/>
        <w:spacing w:line="272" w:lineRule="exact" w:before="1"/>
        <w:ind w:left="216" w:right="0"/>
        <w:jc w:val="left"/>
        <w:rPr>
          <w:rFonts w:ascii="宋体" w:hAnsi="宋体" w:cs="宋体" w:eastAsia="宋体" w:hint="default"/>
        </w:rPr>
      </w:pPr>
      <w:r>
        <w:rPr>
          <w:rFonts w:ascii="宋体" w:hAnsi="宋体" w:cs="宋体" w:eastAsia="宋体" w:hint="default"/>
        </w:rPr>
        <w:t>2)</w:t>
      </w:r>
      <w:r>
        <w:rPr/>
        <w:t>智能电力业务较去年同期降低</w:t>
      </w:r>
      <w:r>
        <w:rPr>
          <w:spacing w:val="-23"/>
        </w:rPr>
        <w:t> </w:t>
      </w:r>
      <w:r>
        <w:rPr>
          <w:rFonts w:ascii="宋体" w:hAnsi="宋体" w:cs="宋体" w:eastAsia="宋体" w:hint="default"/>
          <w:spacing w:val="-3"/>
        </w:rPr>
        <w:t>18.78%</w:t>
      </w:r>
      <w:r>
        <w:rPr>
          <w:spacing w:val="-3"/>
        </w:rPr>
        <w:t>，主要是公司对智能电力业务中部分盈利能力不足、回款</w:t>
      </w:r>
      <w:r>
        <w:rPr>
          <w:spacing w:val="-92"/>
        </w:rPr>
        <w:t> </w:t>
      </w:r>
      <w:r>
        <w:rPr>
          <w:spacing w:val="-92"/>
        </w:rPr>
      </w:r>
      <w:r>
        <w:rPr/>
        <w:t>周期长的领域进行了调整和收缩；</w:t>
      </w:r>
      <w:r>
        <w:rPr>
          <w:rFonts w:ascii="宋体" w:hAnsi="宋体" w:cs="宋体" w:eastAsia="宋体" w:hint="default"/>
        </w:rPr>
        <w:t> </w:t>
      </w:r>
    </w:p>
    <w:p>
      <w:pPr>
        <w:pStyle w:val="BodyText"/>
        <w:spacing w:line="247" w:lineRule="exact"/>
        <w:ind w:left="216" w:right="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60"/>
        </w:rPr>
        <w:t> </w:t>
      </w:r>
      <w:r>
        <w:rPr/>
        <w:t>年公司智能应急电源海外业务量收缩，导致国外营业收入同比降低</w:t>
      </w:r>
      <w:r>
        <w:rPr>
          <w:spacing w:val="-58"/>
        </w:rPr>
        <w:t> </w:t>
      </w:r>
      <w:r>
        <w:rPr>
          <w:rFonts w:ascii="宋体" w:hAnsi="宋体" w:cs="宋体" w:eastAsia="宋体" w:hint="default"/>
        </w:rPr>
        <w:t>79.63%</w:t>
      </w:r>
      <w:r>
        <w:rPr/>
        <w:t>。</w:t>
      </w:r>
      <w:r>
        <w:rPr>
          <w:rFonts w:ascii="宋体" w:hAnsi="宋体" w:cs="宋体" w:eastAsia="宋体" w:hint="default"/>
        </w:rPr>
        <w:t> </w:t>
      </w:r>
    </w:p>
    <w:p>
      <w:pPr>
        <w:pStyle w:val="BodyText"/>
        <w:spacing w:line="240" w:lineRule="auto"/>
        <w:ind w:left="216" w:right="225"/>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34"/>
        </w:rPr>
        <w:t> </w:t>
      </w:r>
      <w:r>
        <w:rPr/>
        <w:t>年公司主营业务毛利率同比上升</w:t>
      </w:r>
      <w:r>
        <w:rPr>
          <w:spacing w:val="-34"/>
        </w:rPr>
        <w:t> </w:t>
      </w:r>
      <w:r>
        <w:rPr>
          <w:rFonts w:ascii="宋体" w:hAnsi="宋体" w:cs="宋体" w:eastAsia="宋体" w:hint="default"/>
        </w:rPr>
        <w:t>2.79</w:t>
      </w:r>
      <w:r>
        <w:rPr>
          <w:rFonts w:ascii="宋体" w:hAnsi="宋体" w:cs="宋体" w:eastAsia="宋体" w:hint="default"/>
          <w:spacing w:val="-32"/>
        </w:rPr>
        <w:t> </w:t>
      </w:r>
      <w:r>
        <w:rPr/>
        <w:t>个百分点，主要系盈利能力不足的智能应急电源产品</w:t>
      </w:r>
      <w:r>
        <w:rPr>
          <w:w w:val="100"/>
        </w:rPr>
        <w:t> </w:t>
      </w:r>
      <w:r>
        <w:rPr/>
        <w:t>收缩，占比下降，而较高毛利率的军工装备业务占比继续提升所致。</w:t>
      </w:r>
      <w:r>
        <w:rPr>
          <w:rFonts w:ascii="宋体" w:hAnsi="宋体" w:cs="宋体" w:eastAsia="宋体" w:hint="default"/>
        </w:rPr>
        <w:t> </w:t>
      </w:r>
    </w:p>
    <w:p>
      <w:pPr>
        <w:pStyle w:val="Heading3"/>
        <w:spacing w:line="303" w:lineRule="exact"/>
        <w:ind w:right="0"/>
        <w:jc w:val="left"/>
        <w:rPr>
          <w:rFonts w:ascii="宋体" w:hAnsi="宋体" w:cs="宋体" w:eastAsia="宋体" w:hint="default"/>
        </w:rPr>
      </w:pPr>
      <w:r>
        <w:rPr>
          <w:rFonts w:ascii="宋体"/>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40" w:lineRule="auto"/>
        <w:ind w:right="0"/>
        <w:jc w:val="left"/>
        <w:rPr>
          <w:b w:val="0"/>
          <w:bCs w:val="0"/>
        </w:rPr>
      </w:pPr>
      <w:r>
        <w:rPr>
          <w:rFonts w:ascii="宋体" w:hAnsi="宋体" w:cs="宋体" w:eastAsia="宋体" w:hint="default"/>
        </w:rPr>
        <w:t>(2).</w:t>
      </w:r>
      <w:r>
        <w:rPr>
          <w:rFonts w:ascii="宋体" w:hAnsi="宋体" w:cs="宋体" w:eastAsia="宋体" w:hint="default"/>
          <w:spacing w:val="39"/>
        </w:rPr>
        <w:t> </w:t>
      </w:r>
      <w:r>
        <w:rPr/>
        <w:t>产销量情况分析表</w:t>
      </w:r>
      <w:r>
        <w:rPr>
          <w:b w:val="0"/>
          <w:bCs w:val="0"/>
        </w:rPr>
      </w:r>
    </w:p>
    <w:p>
      <w:pPr>
        <w:pStyle w:val="Heading3"/>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292"/>
        <w:gridCol w:w="1291"/>
        <w:gridCol w:w="1294"/>
        <w:gridCol w:w="1291"/>
        <w:gridCol w:w="1294"/>
        <w:gridCol w:w="1294"/>
        <w:gridCol w:w="1294"/>
      </w:tblGrid>
      <w:tr>
        <w:trPr>
          <w:trHeight w:val="554"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1" w:right="0"/>
              <w:jc w:val="left"/>
              <w:rPr>
                <w:rFonts w:ascii="宋体" w:hAnsi="宋体" w:cs="宋体" w:eastAsia="宋体" w:hint="default"/>
                <w:sz w:val="21"/>
                <w:szCs w:val="21"/>
              </w:rPr>
            </w:pPr>
            <w:r>
              <w:rPr>
                <w:rFonts w:ascii="宋体" w:hAnsi="宋体" w:cs="宋体" w:eastAsia="宋体" w:hint="default"/>
                <w:sz w:val="21"/>
                <w:szCs w:val="21"/>
              </w:rPr>
              <w:t>主要产品</w:t>
            </w:r>
            <w:r>
              <w:rPr>
                <w:rFonts w:ascii="宋体" w:hAnsi="宋体" w:cs="宋体" w:eastAsia="宋体" w:hint="default"/>
                <w:sz w:val="21"/>
                <w:szCs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生产量</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1"/>
              <w:jc w:val="right"/>
              <w:rPr>
                <w:rFonts w:ascii="宋体" w:hAnsi="宋体" w:cs="宋体" w:eastAsia="宋体" w:hint="default"/>
                <w:sz w:val="21"/>
                <w:szCs w:val="21"/>
              </w:rPr>
            </w:pPr>
            <w:r>
              <w:rPr>
                <w:rFonts w:ascii="宋体" w:hAnsi="宋体" w:cs="宋体" w:eastAsia="宋体" w:hint="default"/>
                <w:spacing w:val="-1"/>
                <w:sz w:val="21"/>
                <w:szCs w:val="21"/>
              </w:rPr>
              <w:t>销售量</w:t>
            </w:r>
            <w:r>
              <w:rPr>
                <w:rFonts w:ascii="宋体" w:hAnsi="宋体" w:cs="宋体" w:eastAsia="宋体" w:hint="default"/>
                <w:sz w:val="21"/>
                <w:szCs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库存量</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3"/>
              <w:jc w:val="left"/>
              <w:rPr>
                <w:rFonts w:ascii="宋体" w:hAnsi="宋体" w:cs="宋体" w:eastAsia="宋体" w:hint="default"/>
                <w:sz w:val="21"/>
                <w:szCs w:val="21"/>
              </w:rPr>
            </w:pPr>
            <w:r>
              <w:rPr>
                <w:rFonts w:ascii="宋体" w:hAnsi="宋体" w:cs="宋体" w:eastAsia="宋体" w:hint="default"/>
                <w:spacing w:val="3"/>
                <w:sz w:val="21"/>
                <w:szCs w:val="21"/>
              </w:rPr>
              <w:t>生产量比上</w:t>
            </w:r>
          </w:p>
          <w:p>
            <w:pPr>
              <w:pStyle w:val="TableParagraph"/>
              <w:spacing w:line="274" w:lineRule="exact"/>
              <w:ind w:left="103" w:right="-3"/>
              <w:jc w:val="left"/>
              <w:rPr>
                <w:rFonts w:ascii="宋体" w:hAnsi="宋体" w:cs="宋体" w:eastAsia="宋体" w:hint="default"/>
                <w:sz w:val="21"/>
                <w:szCs w:val="21"/>
              </w:rPr>
            </w:pPr>
            <w:r>
              <w:rPr>
                <w:rFonts w:ascii="宋体" w:hAnsi="宋体" w:cs="宋体" w:eastAsia="宋体" w:hint="default"/>
                <w:spacing w:val="-15"/>
                <w:sz w:val="21"/>
                <w:szCs w:val="21"/>
              </w:rPr>
              <w:t>年增减（</w:t>
            </w:r>
            <w:r>
              <w:rPr>
                <w:rFonts w:ascii="宋体" w:hAnsi="宋体" w:cs="宋体" w:eastAsia="宋体" w:hint="default"/>
                <w:spacing w:val="-15"/>
                <w:sz w:val="21"/>
                <w:szCs w:val="21"/>
              </w:rPr>
              <w:t>%</w:t>
            </w:r>
            <w:r>
              <w:rPr>
                <w:rFonts w:ascii="宋体" w:hAnsi="宋体" w:cs="宋体" w:eastAsia="宋体" w:hint="default"/>
                <w:spacing w:val="-15"/>
                <w:sz w:val="21"/>
                <w:szCs w:val="21"/>
              </w:rPr>
              <w:t>）</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3"/>
              <w:jc w:val="left"/>
              <w:rPr>
                <w:rFonts w:ascii="宋体" w:hAnsi="宋体" w:cs="宋体" w:eastAsia="宋体" w:hint="default"/>
                <w:sz w:val="21"/>
                <w:szCs w:val="21"/>
              </w:rPr>
            </w:pPr>
            <w:r>
              <w:rPr>
                <w:rFonts w:ascii="宋体" w:hAnsi="宋体" w:cs="宋体" w:eastAsia="宋体" w:hint="default"/>
                <w:spacing w:val="3"/>
                <w:sz w:val="21"/>
                <w:szCs w:val="21"/>
              </w:rPr>
              <w:t>销售量比上</w:t>
            </w:r>
          </w:p>
          <w:p>
            <w:pPr>
              <w:pStyle w:val="TableParagraph"/>
              <w:spacing w:line="274" w:lineRule="exact"/>
              <w:ind w:left="103" w:right="-3"/>
              <w:jc w:val="left"/>
              <w:rPr>
                <w:rFonts w:ascii="宋体" w:hAnsi="宋体" w:cs="宋体" w:eastAsia="宋体" w:hint="default"/>
                <w:sz w:val="21"/>
                <w:szCs w:val="21"/>
              </w:rPr>
            </w:pPr>
            <w:r>
              <w:rPr>
                <w:rFonts w:ascii="宋体" w:hAnsi="宋体" w:cs="宋体" w:eastAsia="宋体" w:hint="default"/>
                <w:spacing w:val="-15"/>
                <w:sz w:val="21"/>
                <w:szCs w:val="21"/>
              </w:rPr>
              <w:t>年增减（</w:t>
            </w:r>
            <w:r>
              <w:rPr>
                <w:rFonts w:ascii="宋体" w:hAnsi="宋体" w:cs="宋体" w:eastAsia="宋体" w:hint="default"/>
                <w:spacing w:val="-15"/>
                <w:sz w:val="21"/>
                <w:szCs w:val="21"/>
              </w:rPr>
              <w:t>%</w:t>
            </w:r>
            <w:r>
              <w:rPr>
                <w:rFonts w:ascii="宋体" w:hAnsi="宋体" w:cs="宋体" w:eastAsia="宋体" w:hint="default"/>
                <w:spacing w:val="-15"/>
                <w:sz w:val="21"/>
                <w:szCs w:val="21"/>
              </w:rPr>
              <w:t>）</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3"/>
              <w:jc w:val="left"/>
              <w:rPr>
                <w:rFonts w:ascii="宋体" w:hAnsi="宋体" w:cs="宋体" w:eastAsia="宋体" w:hint="default"/>
                <w:sz w:val="21"/>
                <w:szCs w:val="21"/>
              </w:rPr>
            </w:pPr>
            <w:r>
              <w:rPr>
                <w:rFonts w:ascii="宋体" w:hAnsi="宋体" w:cs="宋体" w:eastAsia="宋体" w:hint="default"/>
                <w:spacing w:val="3"/>
                <w:sz w:val="21"/>
                <w:szCs w:val="21"/>
              </w:rPr>
              <w:t>库存量比上</w:t>
            </w:r>
          </w:p>
          <w:p>
            <w:pPr>
              <w:pStyle w:val="TableParagraph"/>
              <w:spacing w:line="274" w:lineRule="exact"/>
              <w:ind w:left="103" w:right="-3"/>
              <w:jc w:val="left"/>
              <w:rPr>
                <w:rFonts w:ascii="宋体" w:hAnsi="宋体" w:cs="宋体" w:eastAsia="宋体" w:hint="default"/>
                <w:sz w:val="21"/>
                <w:szCs w:val="21"/>
              </w:rPr>
            </w:pPr>
            <w:r>
              <w:rPr>
                <w:rFonts w:ascii="宋体" w:hAnsi="宋体" w:cs="宋体" w:eastAsia="宋体" w:hint="default"/>
                <w:spacing w:val="-15"/>
                <w:sz w:val="21"/>
                <w:szCs w:val="21"/>
              </w:rPr>
              <w:t>年增减（</w:t>
            </w:r>
            <w:r>
              <w:rPr>
                <w:rFonts w:ascii="宋体" w:hAnsi="宋体" w:cs="宋体" w:eastAsia="宋体" w:hint="default"/>
                <w:spacing w:val="-15"/>
                <w:sz w:val="21"/>
                <w:szCs w:val="21"/>
              </w:rPr>
              <w:t>%</w:t>
            </w:r>
            <w:r>
              <w:rPr>
                <w:rFonts w:ascii="宋体" w:hAnsi="宋体" w:cs="宋体" w:eastAsia="宋体" w:hint="default"/>
                <w:spacing w:val="-15"/>
                <w:sz w:val="21"/>
                <w:szCs w:val="21"/>
              </w:rPr>
              <w:t>）</w:t>
            </w:r>
            <w:r>
              <w:rPr>
                <w:rFonts w:ascii="宋体" w:hAnsi="宋体" w:cs="宋体" w:eastAsia="宋体" w:hint="default"/>
                <w:sz w:val="21"/>
                <w:szCs w:val="21"/>
              </w:rPr>
              <w:t> </w:t>
            </w:r>
          </w:p>
        </w:tc>
      </w:tr>
      <w:tr>
        <w:trPr>
          <w:trHeight w:val="555"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军</w:t>
            </w:r>
            <w:r>
              <w:rPr>
                <w:rFonts w:ascii="宋体" w:hAnsi="宋体" w:cs="宋体" w:eastAsia="宋体" w:hint="default"/>
                <w:spacing w:val="-28"/>
                <w:sz w:val="21"/>
                <w:szCs w:val="21"/>
              </w:rPr>
              <w:t> </w:t>
            </w:r>
            <w:r>
              <w:rPr>
                <w:rFonts w:ascii="宋体" w:hAnsi="宋体" w:cs="宋体" w:eastAsia="宋体" w:hint="default"/>
                <w:sz w:val="21"/>
                <w:szCs w:val="21"/>
              </w:rPr>
              <w:t>用</w:t>
            </w:r>
            <w:r>
              <w:rPr>
                <w:rFonts w:ascii="宋体" w:hAnsi="宋体" w:cs="宋体" w:eastAsia="宋体" w:hint="default"/>
                <w:spacing w:val="-28"/>
                <w:sz w:val="21"/>
                <w:szCs w:val="21"/>
              </w:rPr>
              <w:t> </w:t>
            </w:r>
            <w:r>
              <w:rPr>
                <w:rFonts w:ascii="宋体" w:hAnsi="宋体" w:cs="宋体" w:eastAsia="宋体" w:hint="default"/>
                <w:sz w:val="21"/>
                <w:szCs w:val="21"/>
              </w:rPr>
              <w:t>电</w:t>
            </w:r>
            <w:r>
              <w:rPr>
                <w:rFonts w:ascii="宋体" w:hAnsi="宋体" w:cs="宋体" w:eastAsia="宋体" w:hint="default"/>
                <w:spacing w:val="-25"/>
                <w:sz w:val="21"/>
                <w:szCs w:val="21"/>
              </w:rPr>
              <w:t> </w:t>
            </w:r>
            <w:r>
              <w:rPr>
                <w:rFonts w:ascii="宋体" w:hAnsi="宋体" w:cs="宋体" w:eastAsia="宋体" w:hint="default"/>
                <w:sz w:val="21"/>
                <w:szCs w:val="21"/>
              </w:rPr>
              <w:t>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Kw</w:t>
            </w:r>
            <w:r>
              <w:rPr>
                <w:rFonts w:ascii="宋体" w:hAnsi="宋体" w:cs="宋体" w:eastAsia="宋体" w:hint="default"/>
                <w:sz w:val="21"/>
                <w:szCs w:val="21"/>
              </w:rPr>
              <w:t>）</w:t>
            </w:r>
            <w:r>
              <w:rPr>
                <w:rFonts w:ascii="宋体" w:hAnsi="宋体" w:cs="宋体" w:eastAsia="宋体" w:hint="default"/>
                <w:sz w:val="21"/>
                <w:szCs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 w:right="0"/>
              <w:jc w:val="center"/>
              <w:rPr>
                <w:rFonts w:ascii="Times New Roman" w:hAnsi="Times New Roman" w:cs="Times New Roman" w:eastAsia="Times New Roman" w:hint="default"/>
                <w:sz w:val="20"/>
                <w:szCs w:val="20"/>
              </w:rPr>
            </w:pPr>
            <w:r>
              <w:rPr>
                <w:rFonts w:ascii="Times New Roman"/>
                <w:sz w:val="20"/>
              </w:rPr>
              <w:t>10,633Kw</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2"/>
              <w:jc w:val="right"/>
              <w:rPr>
                <w:rFonts w:ascii="Times New Roman" w:hAnsi="Times New Roman" w:cs="Times New Roman" w:eastAsia="Times New Roman" w:hint="default"/>
                <w:sz w:val="20"/>
                <w:szCs w:val="20"/>
              </w:rPr>
            </w:pPr>
            <w:r>
              <w:rPr>
                <w:rFonts w:ascii="Times New Roman"/>
                <w:sz w:val="20"/>
              </w:rPr>
              <w:t>10,758Kw</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20"/>
                <w:szCs w:val="20"/>
              </w:rPr>
            </w:pPr>
            <w:r>
              <w:rPr>
                <w:rFonts w:ascii="Times New Roman"/>
                <w:sz w:val="20"/>
              </w:rPr>
              <w:t>2,766Kw</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
              <w:jc w:val="center"/>
              <w:rPr>
                <w:rFonts w:ascii="Times New Roman" w:hAnsi="Times New Roman" w:cs="Times New Roman" w:eastAsia="Times New Roman" w:hint="default"/>
                <w:sz w:val="20"/>
                <w:szCs w:val="20"/>
              </w:rPr>
            </w:pPr>
            <w:r>
              <w:rPr>
                <w:rFonts w:ascii="Times New Roman"/>
                <w:sz w:val="20"/>
              </w:rPr>
              <w:t>-3.89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32" w:right="0"/>
              <w:jc w:val="left"/>
              <w:rPr>
                <w:rFonts w:ascii="Times New Roman" w:hAnsi="Times New Roman" w:cs="Times New Roman" w:eastAsia="Times New Roman" w:hint="default"/>
                <w:sz w:val="20"/>
                <w:szCs w:val="20"/>
              </w:rPr>
            </w:pPr>
            <w:r>
              <w:rPr>
                <w:rFonts w:ascii="Times New Roman"/>
                <w:sz w:val="20"/>
              </w:rPr>
              <w:t>-1.02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434"/>
              <w:jc w:val="right"/>
              <w:rPr>
                <w:rFonts w:ascii="Times New Roman" w:hAnsi="Times New Roman" w:cs="Times New Roman" w:eastAsia="Times New Roman" w:hint="default"/>
                <w:sz w:val="20"/>
                <w:szCs w:val="20"/>
              </w:rPr>
            </w:pPr>
            <w:r>
              <w:rPr>
                <w:rFonts w:ascii="Times New Roman"/>
                <w:w w:val="95"/>
                <w:sz w:val="20"/>
              </w:rPr>
              <w:t>-4.32</w:t>
            </w:r>
            <w:r>
              <w:rPr>
                <w:rFonts w:ascii="Times New Roman"/>
                <w:sz w:val="20"/>
              </w:rPr>
            </w:r>
          </w:p>
        </w:tc>
      </w:tr>
      <w:tr>
        <w:trPr>
          <w:trHeight w:val="554"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通讯指挥系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统（套）</w:t>
            </w:r>
            <w:r>
              <w:rPr>
                <w:rFonts w:ascii="宋体" w:hAnsi="宋体" w:cs="宋体" w:eastAsia="宋体" w:hint="default"/>
                <w:sz w:val="21"/>
                <w:szCs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1,184</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套</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8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1,179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套</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113</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套</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0"/>
                <w:szCs w:val="20"/>
              </w:rPr>
            </w:pPr>
            <w:r>
              <w:rPr>
                <w:rFonts w:ascii="Times New Roman"/>
                <w:sz w:val="20"/>
              </w:rPr>
              <w:t>11.17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415" w:right="0"/>
              <w:jc w:val="left"/>
              <w:rPr>
                <w:rFonts w:ascii="Times New Roman" w:hAnsi="Times New Roman" w:cs="Times New Roman" w:eastAsia="Times New Roman" w:hint="default"/>
                <w:sz w:val="20"/>
                <w:szCs w:val="20"/>
              </w:rPr>
            </w:pPr>
            <w:r>
              <w:rPr>
                <w:rFonts w:ascii="Times New Roman"/>
                <w:sz w:val="20"/>
              </w:rPr>
              <w:t>11.86</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465"/>
              <w:jc w:val="right"/>
              <w:rPr>
                <w:rFonts w:ascii="Times New Roman" w:hAnsi="Times New Roman" w:cs="Times New Roman" w:eastAsia="Times New Roman" w:hint="default"/>
                <w:sz w:val="20"/>
                <w:szCs w:val="20"/>
              </w:rPr>
            </w:pPr>
            <w:r>
              <w:rPr>
                <w:rFonts w:ascii="Times New Roman"/>
                <w:sz w:val="20"/>
              </w:rPr>
              <w:t>4.63</w:t>
            </w:r>
          </w:p>
        </w:tc>
      </w:tr>
      <w:tr>
        <w:trPr>
          <w:trHeight w:val="554"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3"/>
              <w:jc w:val="left"/>
              <w:rPr>
                <w:rFonts w:ascii="宋体" w:hAnsi="宋体" w:cs="宋体" w:eastAsia="宋体" w:hint="default"/>
                <w:sz w:val="21"/>
                <w:szCs w:val="21"/>
              </w:rPr>
            </w:pPr>
            <w:r>
              <w:rPr>
                <w:rFonts w:ascii="宋体" w:hAnsi="宋体" w:cs="宋体" w:eastAsia="宋体" w:hint="default"/>
                <w:spacing w:val="2"/>
                <w:sz w:val="21"/>
                <w:szCs w:val="21"/>
              </w:rPr>
              <w:t>智能应急电</w:t>
            </w:r>
          </w:p>
          <w:p>
            <w:pPr>
              <w:pStyle w:val="TableParagraph"/>
              <w:spacing w:line="274"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源产</w:t>
            </w:r>
            <w:r>
              <w:rPr>
                <w:rFonts w:ascii="宋体" w:hAnsi="宋体" w:cs="宋体" w:eastAsia="宋体" w:hint="default"/>
                <w:spacing w:val="-82"/>
                <w:w w:val="100"/>
                <w:sz w:val="21"/>
                <w:szCs w:val="21"/>
              </w:rPr>
              <w:t>品</w:t>
            </w:r>
            <w:r>
              <w:rPr>
                <w:rFonts w:ascii="宋体" w:hAnsi="宋体" w:cs="宋体" w:eastAsia="宋体" w:hint="default"/>
                <w:spacing w:val="-3"/>
                <w:w w:val="100"/>
                <w:sz w:val="21"/>
                <w:szCs w:val="21"/>
              </w:rPr>
              <w:t>（</w:t>
            </w:r>
            <w:r>
              <w:rPr>
                <w:rFonts w:ascii="宋体" w:hAnsi="宋体" w:cs="宋体" w:eastAsia="宋体" w:hint="default"/>
                <w:w w:val="100"/>
                <w:sz w:val="21"/>
                <w:szCs w:val="21"/>
              </w:rPr>
              <w:t>Mw</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0"/>
                <w:szCs w:val="20"/>
              </w:rPr>
            </w:pPr>
            <w:r>
              <w:rPr>
                <w:rFonts w:ascii="Times New Roman"/>
                <w:sz w:val="20"/>
              </w:rPr>
              <w:t>207Mw</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29" w:right="0"/>
              <w:jc w:val="left"/>
              <w:rPr>
                <w:rFonts w:ascii="Times New Roman" w:hAnsi="Times New Roman" w:cs="Times New Roman" w:eastAsia="Times New Roman" w:hint="default"/>
                <w:sz w:val="20"/>
                <w:szCs w:val="20"/>
              </w:rPr>
            </w:pPr>
            <w:r>
              <w:rPr>
                <w:rFonts w:ascii="Times New Roman"/>
                <w:sz w:val="20"/>
              </w:rPr>
              <w:t>211Mw</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0"/>
                <w:szCs w:val="20"/>
              </w:rPr>
            </w:pPr>
            <w:r>
              <w:rPr>
                <w:rFonts w:ascii="Times New Roman"/>
                <w:sz w:val="20"/>
              </w:rPr>
              <w:t>17Mw</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0"/>
                <w:szCs w:val="20"/>
              </w:rPr>
            </w:pPr>
            <w:r>
              <w:rPr>
                <w:rFonts w:ascii="Times New Roman"/>
                <w:sz w:val="20"/>
              </w:rPr>
              <w:t>-30.77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84" w:right="0"/>
              <w:jc w:val="left"/>
              <w:rPr>
                <w:rFonts w:ascii="Times New Roman" w:hAnsi="Times New Roman" w:cs="Times New Roman" w:eastAsia="Times New Roman" w:hint="default"/>
                <w:sz w:val="20"/>
                <w:szCs w:val="20"/>
              </w:rPr>
            </w:pPr>
            <w:r>
              <w:rPr>
                <w:rFonts w:ascii="Times New Roman"/>
                <w:sz w:val="20"/>
              </w:rPr>
              <w:t>-28.72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381"/>
              <w:jc w:val="right"/>
              <w:rPr>
                <w:rFonts w:ascii="Times New Roman" w:hAnsi="Times New Roman" w:cs="Times New Roman" w:eastAsia="Times New Roman" w:hint="default"/>
                <w:sz w:val="20"/>
                <w:szCs w:val="20"/>
              </w:rPr>
            </w:pPr>
            <w:r>
              <w:rPr>
                <w:rFonts w:ascii="Times New Roman"/>
                <w:w w:val="95"/>
                <w:sz w:val="20"/>
              </w:rPr>
              <w:t>-19.05</w:t>
            </w:r>
            <w:r>
              <w:rPr>
                <w:rFonts w:ascii="Times New Roman"/>
                <w:sz w:val="20"/>
              </w:rPr>
            </w:r>
          </w:p>
        </w:tc>
      </w:tr>
      <w:tr>
        <w:trPr>
          <w:trHeight w:val="554"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电力信息化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产品（项）</w:t>
            </w:r>
            <w:r>
              <w:rPr>
                <w:rFonts w:ascii="宋体" w:hAnsi="宋体" w:cs="宋体" w:eastAsia="宋体" w:hint="default"/>
                <w:sz w:val="21"/>
                <w:szCs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439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项</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6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438</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项</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
              <w:jc w:val="center"/>
              <w:rPr>
                <w:rFonts w:ascii="宋体" w:hAnsi="宋体" w:cs="宋体" w:eastAsia="宋体" w:hint="default"/>
                <w:sz w:val="20"/>
                <w:szCs w:val="20"/>
              </w:rPr>
            </w:pPr>
            <w:r>
              <w:rPr>
                <w:rFonts w:ascii="Times New Roman" w:hAnsi="Times New Roman" w:cs="Times New Roman" w:eastAsia="Times New Roman" w:hint="default"/>
                <w:sz w:val="20"/>
                <w:szCs w:val="20"/>
              </w:rPr>
              <w:t>39 </w:t>
            </w:r>
            <w:r>
              <w:rPr>
                <w:rFonts w:ascii="宋体" w:hAnsi="宋体" w:cs="宋体" w:eastAsia="宋体" w:hint="default"/>
                <w:sz w:val="20"/>
                <w:szCs w:val="20"/>
              </w:rPr>
              <w:t>项</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0"/>
                <w:szCs w:val="20"/>
              </w:rPr>
            </w:pPr>
            <w:r>
              <w:rPr>
                <w:rFonts w:ascii="Times New Roman"/>
                <w:sz w:val="20"/>
              </w:rPr>
              <w:t>-10.41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432" w:right="0"/>
              <w:jc w:val="left"/>
              <w:rPr>
                <w:rFonts w:ascii="Times New Roman" w:hAnsi="Times New Roman" w:cs="Times New Roman" w:eastAsia="Times New Roman" w:hint="default"/>
                <w:sz w:val="20"/>
                <w:szCs w:val="20"/>
              </w:rPr>
            </w:pPr>
            <w:r>
              <w:rPr>
                <w:rFonts w:ascii="Times New Roman"/>
                <w:sz w:val="20"/>
              </w:rPr>
              <w:t>-9.50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465"/>
              <w:jc w:val="right"/>
              <w:rPr>
                <w:rFonts w:ascii="Times New Roman" w:hAnsi="Times New Roman" w:cs="Times New Roman" w:eastAsia="Times New Roman" w:hint="default"/>
                <w:sz w:val="20"/>
                <w:szCs w:val="20"/>
              </w:rPr>
            </w:pPr>
            <w:r>
              <w:rPr>
                <w:rFonts w:ascii="Times New Roman"/>
                <w:sz w:val="20"/>
              </w:rPr>
              <w:t>2.63</w:t>
            </w:r>
          </w:p>
        </w:tc>
      </w:tr>
      <w:tr>
        <w:trPr>
          <w:trHeight w:val="557"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配</w:t>
            </w:r>
            <w:r>
              <w:rPr>
                <w:rFonts w:ascii="宋体" w:hAnsi="宋体" w:cs="宋体" w:eastAsia="宋体" w:hint="default"/>
                <w:spacing w:val="-28"/>
                <w:sz w:val="21"/>
                <w:szCs w:val="21"/>
              </w:rPr>
              <w:t> </w:t>
            </w:r>
            <w:r>
              <w:rPr>
                <w:rFonts w:ascii="宋体" w:hAnsi="宋体" w:cs="宋体" w:eastAsia="宋体" w:hint="default"/>
                <w:sz w:val="21"/>
                <w:szCs w:val="21"/>
              </w:rPr>
              <w:t>电</w:t>
            </w:r>
            <w:r>
              <w:rPr>
                <w:rFonts w:ascii="宋体" w:hAnsi="宋体" w:cs="宋体" w:eastAsia="宋体" w:hint="default"/>
                <w:spacing w:val="-28"/>
                <w:sz w:val="21"/>
                <w:szCs w:val="21"/>
              </w:rPr>
              <w:t> </w:t>
            </w:r>
            <w:r>
              <w:rPr>
                <w:rFonts w:ascii="宋体" w:hAnsi="宋体" w:cs="宋体" w:eastAsia="宋体" w:hint="default"/>
                <w:sz w:val="21"/>
                <w:szCs w:val="21"/>
              </w:rPr>
              <w:t>设</w:t>
            </w:r>
            <w:r>
              <w:rPr>
                <w:rFonts w:ascii="宋体" w:hAnsi="宋体" w:cs="宋体" w:eastAsia="宋体" w:hint="default"/>
                <w:spacing w:val="-25"/>
                <w:sz w:val="21"/>
                <w:szCs w:val="21"/>
              </w:rPr>
              <w:t> </w:t>
            </w:r>
            <w:r>
              <w:rPr>
                <w:rFonts w:ascii="宋体" w:hAnsi="宋体" w:cs="宋体" w:eastAsia="宋体" w:hint="default"/>
                <w:sz w:val="21"/>
                <w:szCs w:val="21"/>
              </w:rPr>
              <w:t>备</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（台）</w:t>
            </w:r>
            <w:r>
              <w:rPr>
                <w:rFonts w:ascii="宋体" w:hAnsi="宋体" w:cs="宋体" w:eastAsia="宋体" w:hint="default"/>
                <w:sz w:val="21"/>
                <w:szCs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51,414 </w:t>
            </w:r>
            <w:r>
              <w:rPr>
                <w:rFonts w:ascii="宋体" w:hAnsi="宋体" w:cs="宋体" w:eastAsia="宋体" w:hint="default"/>
                <w:sz w:val="20"/>
                <w:szCs w:val="20"/>
              </w:rPr>
              <w:t>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40"/>
              <w:jc w:val="right"/>
              <w:rPr>
                <w:rFonts w:ascii="宋体" w:hAnsi="宋体" w:cs="宋体" w:eastAsia="宋体" w:hint="default"/>
                <w:sz w:val="20"/>
                <w:szCs w:val="20"/>
              </w:rPr>
            </w:pPr>
            <w:r>
              <w:rPr>
                <w:rFonts w:ascii="Times New Roman" w:hAnsi="Times New Roman" w:cs="Times New Roman" w:eastAsia="Times New Roman" w:hint="default"/>
                <w:sz w:val="20"/>
                <w:szCs w:val="20"/>
              </w:rPr>
              <w:t>51,480 </w:t>
            </w:r>
            <w:r>
              <w:rPr>
                <w:rFonts w:ascii="宋体" w:hAnsi="宋体" w:cs="宋体" w:eastAsia="宋体" w:hint="default"/>
                <w:sz w:val="20"/>
                <w:szCs w:val="20"/>
              </w:rPr>
              <w:t>台</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
              <w:jc w:val="center"/>
              <w:rPr>
                <w:rFonts w:ascii="宋体" w:hAnsi="宋体" w:cs="宋体" w:eastAsia="宋体" w:hint="default"/>
                <w:sz w:val="20"/>
                <w:szCs w:val="20"/>
              </w:rPr>
            </w:pPr>
            <w:r>
              <w:rPr>
                <w:rFonts w:ascii="Times New Roman" w:hAnsi="Times New Roman" w:cs="Times New Roman" w:eastAsia="Times New Roman" w:hint="default"/>
                <w:sz w:val="20"/>
                <w:szCs w:val="20"/>
              </w:rPr>
              <w:t>3,129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0"/>
                <w:szCs w:val="20"/>
              </w:rPr>
            </w:pPr>
            <w:r>
              <w:rPr>
                <w:rFonts w:ascii="Times New Roman"/>
                <w:sz w:val="20"/>
              </w:rPr>
              <w:t>-6.83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432" w:right="0"/>
              <w:jc w:val="left"/>
              <w:rPr>
                <w:rFonts w:ascii="Times New Roman" w:hAnsi="Times New Roman" w:cs="Times New Roman" w:eastAsia="Times New Roman" w:hint="default"/>
                <w:sz w:val="20"/>
                <w:szCs w:val="20"/>
              </w:rPr>
            </w:pPr>
            <w:r>
              <w:rPr>
                <w:rFonts w:ascii="Times New Roman"/>
                <w:sz w:val="20"/>
              </w:rPr>
              <w:t>-6.12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434"/>
              <w:jc w:val="right"/>
              <w:rPr>
                <w:rFonts w:ascii="Times New Roman" w:hAnsi="Times New Roman" w:cs="Times New Roman" w:eastAsia="Times New Roman" w:hint="default"/>
                <w:sz w:val="20"/>
                <w:szCs w:val="20"/>
              </w:rPr>
            </w:pPr>
            <w:r>
              <w:rPr>
                <w:rFonts w:ascii="Times New Roman"/>
                <w:w w:val="95"/>
                <w:sz w:val="20"/>
              </w:rPr>
              <w:t>-2.07</w:t>
            </w:r>
            <w:r>
              <w:rPr>
                <w:rFonts w:ascii="Times New Roman"/>
                <w:sz w:val="20"/>
              </w:rPr>
            </w:r>
          </w:p>
        </w:tc>
      </w:tr>
    </w:tbl>
    <w:p>
      <w:pPr>
        <w:spacing w:line="240" w:lineRule="auto" w:before="4"/>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80" w:footer="1195" w:top="1120" w:bottom="1380" w:left="1060" w:right="1560"/>
        </w:sectPr>
      </w:pPr>
    </w:p>
    <w:p>
      <w:pPr>
        <w:pStyle w:val="Heading3"/>
        <w:spacing w:line="240" w:lineRule="auto" w:before="26"/>
        <w:ind w:right="0"/>
        <w:jc w:val="left"/>
        <w:rPr>
          <w:rFonts w:ascii="宋体" w:hAnsi="宋体" w:cs="宋体" w:eastAsia="宋体" w:hint="default"/>
        </w:rPr>
      </w:pPr>
      <w:r>
        <w:rPr>
          <w:rFonts w:ascii="宋体"/>
        </w:rPr>
        <w:t> </w:t>
      </w:r>
    </w:p>
    <w:p>
      <w:pPr>
        <w:pStyle w:val="Heading5"/>
        <w:spacing w:line="240" w:lineRule="auto"/>
        <w:ind w:right="-19"/>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pStyle w:val="BodyText"/>
        <w:spacing w:line="240" w:lineRule="auto"/>
        <w:ind w:left="216" w:right="0"/>
        <w:jc w:val="left"/>
      </w:pPr>
      <w:r>
        <w:rPr/>
        <w:t>单位：万元</w:t>
      </w:r>
    </w:p>
    <w:p>
      <w:pPr>
        <w:spacing w:after="0" w:line="240" w:lineRule="auto"/>
        <w:jc w:val="left"/>
        <w:sectPr>
          <w:type w:val="continuous"/>
          <w:pgSz w:w="11910" w:h="16840"/>
          <w:pgMar w:top="1120" w:bottom="1380" w:left="1060" w:right="1560"/>
          <w:cols w:num="2" w:equalWidth="0">
            <w:col w:w="1840" w:space="5943"/>
            <w:col w:w="150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592"/>
        <w:gridCol w:w="1160"/>
        <w:gridCol w:w="1162"/>
        <w:gridCol w:w="1092"/>
        <w:gridCol w:w="1162"/>
        <w:gridCol w:w="1001"/>
        <w:gridCol w:w="1150"/>
        <w:gridCol w:w="732"/>
      </w:tblGrid>
      <w:tr>
        <w:trPr>
          <w:trHeight w:val="283"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分行业情况</w:t>
            </w:r>
            <w:r>
              <w:rPr>
                <w:rFonts w:ascii="宋体" w:hAnsi="宋体" w:cs="宋体" w:eastAsia="宋体" w:hint="default"/>
                <w:sz w:val="21"/>
                <w:szCs w:val="21"/>
              </w:rPr>
              <w:t> </w:t>
            </w:r>
          </w:p>
        </w:tc>
      </w:tr>
      <w:tr>
        <w:trPr>
          <w:trHeight w:val="1099"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75" w:right="0"/>
              <w:jc w:val="left"/>
              <w:rPr>
                <w:rFonts w:ascii="宋体" w:hAnsi="宋体" w:cs="宋体" w:eastAsia="宋体" w:hint="default"/>
                <w:sz w:val="21"/>
                <w:szCs w:val="21"/>
              </w:rPr>
            </w:pPr>
            <w:r>
              <w:rPr>
                <w:rFonts w:ascii="宋体" w:hAnsi="宋体" w:cs="宋体" w:eastAsia="宋体" w:hint="default"/>
                <w:sz w:val="21"/>
                <w:szCs w:val="21"/>
              </w:rPr>
              <w:t>分行业</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4" w:right="152" w:hanging="212"/>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48"/>
              <w:jc w:val="right"/>
              <w:rPr>
                <w:rFonts w:ascii="宋体" w:hAnsi="宋体" w:cs="宋体" w:eastAsia="宋体" w:hint="default"/>
                <w:sz w:val="21"/>
                <w:szCs w:val="21"/>
              </w:rPr>
            </w:pPr>
            <w:r>
              <w:rPr>
                <w:rFonts w:ascii="宋体" w:hAnsi="宋体" w:cs="宋体" w:eastAsia="宋体" w:hint="default"/>
                <w:spacing w:val="-2"/>
                <w:sz w:val="21"/>
                <w:szCs w:val="21"/>
              </w:rPr>
              <w:t>本期金额</w:t>
            </w:r>
            <w:r>
              <w:rPr>
                <w:rFonts w:ascii="宋体" w:hAnsi="宋体" w:cs="宋体" w:eastAsia="宋体" w:hint="default"/>
                <w:sz w:val="21"/>
                <w:szCs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20" w:right="117"/>
              <w:jc w:val="center"/>
              <w:rPr>
                <w:rFonts w:ascii="宋体" w:hAnsi="宋体" w:cs="宋体" w:eastAsia="宋体" w:hint="default"/>
                <w:sz w:val="21"/>
                <w:szCs w:val="21"/>
              </w:rPr>
            </w:pPr>
            <w:r>
              <w:rPr>
                <w:rFonts w:ascii="宋体" w:hAnsi="宋体" w:cs="宋体" w:eastAsia="宋体" w:hint="default"/>
                <w:sz w:val="21"/>
                <w:szCs w:val="21"/>
              </w:rPr>
              <w:t>本期占总</w:t>
            </w:r>
            <w:r>
              <w:rPr>
                <w:rFonts w:ascii="宋体" w:hAnsi="宋体" w:cs="宋体" w:eastAsia="宋体" w:hint="default"/>
                <w:w w:val="100"/>
                <w:sz w:val="21"/>
                <w:szCs w:val="21"/>
              </w:rPr>
              <w:t> </w:t>
            </w:r>
            <w:r>
              <w:rPr>
                <w:rFonts w:ascii="宋体" w:hAnsi="宋体" w:cs="宋体" w:eastAsia="宋体" w:hint="default"/>
                <w:sz w:val="21"/>
                <w:szCs w:val="21"/>
              </w:rPr>
              <w:t>成本比例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5" w:right="151" w:hanging="210"/>
              <w:jc w:val="left"/>
              <w:rPr>
                <w:rFonts w:ascii="宋体" w:hAnsi="宋体" w:cs="宋体" w:eastAsia="宋体" w:hint="default"/>
                <w:sz w:val="21"/>
                <w:szCs w:val="21"/>
              </w:rPr>
            </w:pPr>
            <w:r>
              <w:rPr>
                <w:rFonts w:ascii="宋体" w:hAnsi="宋体" w:cs="宋体" w:eastAsia="宋体" w:hint="default"/>
                <w:sz w:val="21"/>
                <w:szCs w:val="21"/>
              </w:rPr>
              <w:t>上年同期</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9" w:right="0"/>
              <w:jc w:val="both"/>
              <w:rPr>
                <w:rFonts w:ascii="宋体" w:hAnsi="宋体" w:cs="宋体" w:eastAsia="宋体" w:hint="default"/>
                <w:sz w:val="21"/>
                <w:szCs w:val="21"/>
              </w:rPr>
            </w:pPr>
            <w:r>
              <w:rPr>
                <w:rFonts w:ascii="宋体" w:hAnsi="宋体" w:cs="宋体" w:eastAsia="宋体" w:hint="default"/>
                <w:sz w:val="21"/>
                <w:szCs w:val="21"/>
              </w:rPr>
              <w:t>上年同</w:t>
            </w:r>
          </w:p>
          <w:p>
            <w:pPr>
              <w:pStyle w:val="TableParagraph"/>
              <w:spacing w:line="237" w:lineRule="auto"/>
              <w:ind w:left="179" w:right="125"/>
              <w:jc w:val="both"/>
              <w:rPr>
                <w:rFonts w:ascii="宋体" w:hAnsi="宋体" w:cs="宋体" w:eastAsia="宋体" w:hint="default"/>
                <w:sz w:val="21"/>
                <w:szCs w:val="21"/>
              </w:rPr>
            </w:pP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47"/>
              <w:jc w:val="right"/>
              <w:rPr>
                <w:rFonts w:ascii="宋体" w:hAnsi="宋体" w:cs="宋体" w:eastAsia="宋体" w:hint="default"/>
                <w:sz w:val="21"/>
                <w:szCs w:val="21"/>
              </w:rPr>
            </w:pPr>
            <w:r>
              <w:rPr>
                <w:rFonts w:ascii="宋体" w:hAnsi="宋体" w:cs="宋体" w:eastAsia="宋体" w:hint="default"/>
                <w:spacing w:val="-1"/>
                <w:sz w:val="21"/>
                <w:szCs w:val="21"/>
              </w:rPr>
              <w:t>本期金额</w:t>
            </w:r>
          </w:p>
          <w:p>
            <w:pPr>
              <w:pStyle w:val="TableParagraph"/>
              <w:spacing w:line="237" w:lineRule="auto"/>
              <w:ind w:left="148" w:right="147"/>
              <w:jc w:val="center"/>
              <w:rPr>
                <w:rFonts w:ascii="宋体" w:hAnsi="宋体" w:cs="宋体" w:eastAsia="宋体" w:hint="default"/>
                <w:sz w:val="21"/>
                <w:szCs w:val="21"/>
              </w:rPr>
            </w:pPr>
            <w:r>
              <w:rPr>
                <w:rFonts w:ascii="宋体" w:hAnsi="宋体" w:cs="宋体" w:eastAsia="宋体" w:hint="default"/>
                <w:sz w:val="21"/>
                <w:szCs w:val="21"/>
              </w:rPr>
              <w:t>较上年同</w:t>
            </w:r>
            <w:r>
              <w:rPr>
                <w:rFonts w:ascii="宋体" w:hAnsi="宋体" w:cs="宋体" w:eastAsia="宋体" w:hint="default"/>
                <w:w w:val="100"/>
                <w:sz w:val="21"/>
                <w:szCs w:val="21"/>
              </w:rPr>
              <w:t> </w:t>
            </w:r>
            <w:r>
              <w:rPr>
                <w:rFonts w:ascii="宋体" w:hAnsi="宋体" w:cs="宋体" w:eastAsia="宋体" w:hint="default"/>
                <w:sz w:val="21"/>
                <w:szCs w:val="21"/>
              </w:rPr>
              <w:t>期变动比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1" w:right="43"/>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w w:val="100"/>
                <w:sz w:val="21"/>
                <w:szCs w:val="21"/>
              </w:rPr>
              <w:t> </w:t>
            </w: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281"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军工装备业务</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材料成本</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87,474.39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21.75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81,787.81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16.94</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z w:val="21"/>
              </w:rPr>
              <w:t>6.95</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军工装备业务</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直接人工</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2,017.39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0.50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1,809.51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0.37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11.49</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军工装备业务</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燃料动力</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497.18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0.12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398.94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0.08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24.62</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军工装备业务</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制造费用</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5,621.92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1.40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5,552.79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1.15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z w:val="21"/>
              </w:rPr>
              <w:t>1.24</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智能电力业务</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材料成本</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282,641.22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70.26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365,756.55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75.75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-22.72</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4"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智能电力业务</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直接人工</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8,862.25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2.20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8,736.95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1.81</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1.43</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智能电力业务</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燃料动力</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797.30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0.20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755.76</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0.16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z w:val="21"/>
              </w:rPr>
              <w:t>5.50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智能电力业务</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制造费用</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14,351.32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3.57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18,072.19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3.74</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-20.59</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spacing w:line="240" w:lineRule="auto" w:before="6"/>
        <w:rPr>
          <w:rFonts w:ascii="宋体" w:hAnsi="宋体" w:cs="宋体" w:eastAsia="宋体" w:hint="default"/>
          <w:sz w:val="13"/>
          <w:szCs w:val="13"/>
        </w:rPr>
      </w:pPr>
    </w:p>
    <w:p>
      <w:pPr>
        <w:pStyle w:val="Heading3"/>
        <w:spacing w:line="240" w:lineRule="auto" w:before="26"/>
        <w:ind w:right="0"/>
        <w:jc w:val="left"/>
        <w:rPr>
          <w:rFonts w:ascii="宋体" w:hAnsi="宋体" w:cs="宋体" w:eastAsia="宋体" w:hint="default"/>
        </w:rPr>
      </w:pPr>
      <w:r>
        <w:rPr/>
        <w:t>成本分析其他情况说明</w:t>
      </w:r>
      <w:r>
        <w:rPr>
          <w:rFonts w:ascii="宋体" w:hAnsi="宋体" w:cs="宋体" w:eastAsia="宋体" w:hint="default"/>
        </w:rPr>
        <w:t> </w:t>
      </w:r>
    </w:p>
    <w:p>
      <w:pPr>
        <w:spacing w:before="1"/>
        <w:ind w:left="216" w:right="0" w:firstLine="0"/>
        <w:jc w:val="left"/>
        <w:rPr>
          <w:rFonts w:ascii="宋体" w:hAnsi="宋体" w:cs="宋体" w:eastAsia="宋体" w:hint="default"/>
          <w:sz w:val="21"/>
          <w:szCs w:val="21"/>
        </w:rPr>
      </w:pPr>
      <w:r>
        <w:rPr>
          <w:rFonts w:ascii="宋体" w:hAnsi="宋体" w:cs="宋体" w:eastAsia="宋体" w:hint="default"/>
          <w:sz w:val="24"/>
          <w:szCs w:val="24"/>
        </w:rPr>
        <w:t>                                               </w:t>
      </w:r>
      <w:r>
        <w:rPr>
          <w:rFonts w:ascii="宋体" w:hAnsi="宋体" w:cs="宋体" w:eastAsia="宋体" w:hint="default"/>
          <w:spacing w:val="1"/>
          <w:sz w:val="24"/>
          <w:szCs w:val="24"/>
        </w:rPr>
        <w:t> </w:t>
      </w:r>
      <w:r>
        <w:rPr>
          <w:rFonts w:ascii="宋体" w:hAnsi="宋体" w:cs="宋体" w:eastAsia="宋体" w:hint="default"/>
          <w:sz w:val="24"/>
          <w:szCs w:val="24"/>
        </w:rPr>
        <w:t> </w:t>
      </w:r>
      <w:r>
        <w:rPr>
          <w:rFonts w:ascii="宋体" w:hAnsi="宋体" w:cs="宋体" w:eastAsia="宋体" w:hint="default"/>
          <w:sz w:val="21"/>
          <w:szCs w:val="21"/>
        </w:rPr>
        <w:t>单位：万元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币种：人民币</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228" w:type="dxa"/>
        <w:tblLayout w:type="fixed"/>
        <w:tblCellMar>
          <w:top w:w="0" w:type="dxa"/>
          <w:left w:w="0" w:type="dxa"/>
          <w:bottom w:w="0" w:type="dxa"/>
          <w:right w:w="0" w:type="dxa"/>
        </w:tblCellMar>
        <w:tblLook w:val="01E0"/>
      </w:tblPr>
      <w:tblGrid>
        <w:gridCol w:w="1279"/>
        <w:gridCol w:w="1135"/>
        <w:gridCol w:w="1561"/>
        <w:gridCol w:w="1275"/>
        <w:gridCol w:w="1135"/>
        <w:gridCol w:w="1133"/>
        <w:gridCol w:w="1282"/>
      </w:tblGrid>
      <w:tr>
        <w:trPr>
          <w:trHeight w:val="554"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4"/>
              <w:jc w:val="right"/>
              <w:rPr>
                <w:rFonts w:ascii="宋体" w:hAnsi="宋体" w:cs="宋体" w:eastAsia="宋体" w:hint="default"/>
                <w:sz w:val="21"/>
                <w:szCs w:val="21"/>
              </w:rPr>
            </w:pPr>
            <w:r>
              <w:rPr>
                <w:rFonts w:ascii="宋体" w:hAnsi="宋体" w:cs="宋体" w:eastAsia="宋体" w:hint="default"/>
                <w:spacing w:val="-2"/>
                <w:sz w:val="21"/>
                <w:szCs w:val="21"/>
              </w:rPr>
              <w:t>军用电站</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9"/>
              <w:jc w:val="right"/>
              <w:rPr>
                <w:rFonts w:ascii="宋体" w:hAnsi="宋体" w:cs="宋体" w:eastAsia="宋体" w:hint="default"/>
                <w:sz w:val="21"/>
                <w:szCs w:val="21"/>
              </w:rPr>
            </w:pPr>
            <w:r>
              <w:rPr>
                <w:rFonts w:ascii="宋体" w:hAnsi="宋体" w:cs="宋体" w:eastAsia="宋体" w:hint="default"/>
                <w:spacing w:val="-2"/>
                <w:sz w:val="21"/>
                <w:szCs w:val="21"/>
              </w:rPr>
              <w:t>通信指挥系统</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智能应急电</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源</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4"/>
              <w:jc w:val="right"/>
              <w:rPr>
                <w:rFonts w:ascii="宋体" w:hAnsi="宋体" w:cs="宋体" w:eastAsia="宋体" w:hint="default"/>
                <w:sz w:val="21"/>
                <w:szCs w:val="21"/>
              </w:rPr>
            </w:pPr>
            <w:r>
              <w:rPr>
                <w:rFonts w:ascii="宋体" w:hAnsi="宋体" w:cs="宋体" w:eastAsia="宋体" w:hint="default"/>
                <w:spacing w:val="-2"/>
                <w:sz w:val="21"/>
                <w:szCs w:val="21"/>
              </w:rPr>
              <w:t>电网软件</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4"/>
              <w:jc w:val="right"/>
              <w:rPr>
                <w:rFonts w:ascii="宋体" w:hAnsi="宋体" w:cs="宋体" w:eastAsia="宋体" w:hint="default"/>
                <w:sz w:val="21"/>
                <w:szCs w:val="21"/>
              </w:rPr>
            </w:pPr>
            <w:r>
              <w:rPr>
                <w:rFonts w:ascii="宋体" w:hAnsi="宋体" w:cs="宋体" w:eastAsia="宋体" w:hint="default"/>
                <w:spacing w:val="-2"/>
                <w:sz w:val="21"/>
                <w:szCs w:val="21"/>
              </w:rPr>
              <w:t>配电设备</w:t>
            </w:r>
            <w:r>
              <w:rPr>
                <w:rFonts w:ascii="宋体" w:hAnsi="宋体" w:cs="宋体" w:eastAsia="宋体" w:hint="default"/>
                <w:sz w:val="21"/>
                <w:szCs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3"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材料成本</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21,793.61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66,239.65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156,383.17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48,775.78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76,923.39</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370,115.61</w:t>
            </w:r>
          </w:p>
        </w:tc>
      </w:tr>
      <w:tr>
        <w:trPr>
          <w:trHeight w:val="281"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直接人工</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797.38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1,301.47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1,459.84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5,087.09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2,233.84</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10,879.63</w:t>
            </w:r>
          </w:p>
        </w:tc>
      </w:tr>
      <w:tr>
        <w:trPr>
          <w:trHeight w:val="283"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燃料动力</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126.35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260.34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437.67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168.40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301.71</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1,294.47</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060" w:right="1560"/>
        </w:sectPr>
      </w:pPr>
    </w:p>
    <w:p>
      <w:pPr>
        <w:spacing w:line="240" w:lineRule="auto" w:before="3"/>
        <w:rPr>
          <w:rFonts w:ascii="宋体" w:hAnsi="宋体" w:cs="宋体" w:eastAsia="宋体" w:hint="default"/>
          <w:sz w:val="24"/>
          <w:szCs w:val="24"/>
        </w:rPr>
      </w:pPr>
    </w:p>
    <w:tbl>
      <w:tblPr>
        <w:tblW w:w="0" w:type="auto"/>
        <w:jc w:val="left"/>
        <w:tblInd w:w="228" w:type="dxa"/>
        <w:tblLayout w:type="fixed"/>
        <w:tblCellMar>
          <w:top w:w="0" w:type="dxa"/>
          <w:left w:w="0" w:type="dxa"/>
          <w:bottom w:w="0" w:type="dxa"/>
          <w:right w:w="0" w:type="dxa"/>
        </w:tblCellMar>
        <w:tblLook w:val="01E0"/>
      </w:tblPr>
      <w:tblGrid>
        <w:gridCol w:w="1279"/>
        <w:gridCol w:w="1135"/>
        <w:gridCol w:w="1561"/>
        <w:gridCol w:w="1275"/>
        <w:gridCol w:w="1135"/>
        <w:gridCol w:w="1133"/>
        <w:gridCol w:w="1282"/>
      </w:tblGrid>
      <w:tr>
        <w:trPr>
          <w:trHeight w:val="283"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制造费用</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1,750.44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3,341.63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5,643.70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5,601.96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3,635.51</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19,973.24</w:t>
            </w:r>
          </w:p>
        </w:tc>
      </w:tr>
      <w:tr>
        <w:trPr>
          <w:trHeight w:val="281"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24,467.78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71,143.09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163,924.38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59,633.24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83,094.46</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402,262.95</w:t>
            </w:r>
          </w:p>
        </w:tc>
      </w:tr>
    </w:tbl>
    <w:p>
      <w:pPr>
        <w:spacing w:line="240" w:lineRule="auto" w:before="10"/>
        <w:rPr>
          <w:rFonts w:ascii="宋体" w:hAnsi="宋体" w:cs="宋体" w:eastAsia="宋体" w:hint="default"/>
          <w:sz w:val="17"/>
          <w:szCs w:val="17"/>
        </w:rPr>
      </w:pPr>
    </w:p>
    <w:p>
      <w:pPr>
        <w:pStyle w:val="Heading5"/>
        <w:spacing w:line="240" w:lineRule="auto" w:before="36"/>
        <w:ind w:right="0"/>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Heading3"/>
        <w:spacing w:line="240" w:lineRule="auto"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1"/>
        <w:ind w:left="216" w:right="0"/>
        <w:jc w:val="left"/>
        <w:rPr>
          <w:rFonts w:ascii="宋体" w:hAnsi="宋体" w:cs="宋体" w:eastAsia="宋体" w:hint="default"/>
        </w:rPr>
      </w:pPr>
      <w:r>
        <w:rPr/>
        <w:t>前五名客户销售额</w:t>
      </w:r>
      <w:r>
        <w:rPr>
          <w:spacing w:val="-38"/>
        </w:rPr>
        <w:t> </w:t>
      </w:r>
      <w:r>
        <w:rPr>
          <w:rFonts w:ascii="宋体" w:hAnsi="宋体" w:cs="宋体" w:eastAsia="宋体" w:hint="default"/>
        </w:rPr>
        <w:t>76,641.97</w:t>
      </w:r>
      <w:r>
        <w:rPr>
          <w:rFonts w:ascii="宋体" w:hAnsi="宋体" w:cs="宋体" w:eastAsia="宋体" w:hint="default"/>
          <w:spacing w:val="-37"/>
        </w:rPr>
        <w:t> </w:t>
      </w:r>
      <w:r>
        <w:rPr>
          <w:spacing w:val="-4"/>
        </w:rPr>
        <w:t>万元，占年度销售总额</w:t>
      </w:r>
      <w:r>
        <w:rPr>
          <w:spacing w:val="-38"/>
        </w:rPr>
        <w:t> </w:t>
      </w:r>
      <w:r>
        <w:rPr>
          <w:rFonts w:ascii="宋体" w:hAnsi="宋体" w:cs="宋体" w:eastAsia="宋体" w:hint="default"/>
          <w:spacing w:val="-3"/>
        </w:rPr>
        <w:t>14.45%</w:t>
      </w:r>
      <w:r>
        <w:rPr>
          <w:spacing w:val="-3"/>
        </w:rPr>
        <w:t>；其中前五名客户销售额中关联方销</w:t>
      </w:r>
      <w:r>
        <w:rPr>
          <w:spacing w:val="-98"/>
        </w:rPr>
        <w:t> </w:t>
      </w:r>
      <w:r>
        <w:rPr>
          <w:spacing w:val="-98"/>
        </w:rPr>
      </w:r>
      <w:r>
        <w:rPr/>
        <w:t>售额</w:t>
      </w:r>
      <w:r>
        <w:rPr>
          <w:spacing w:val="-52"/>
        </w:rPr>
        <w:t> </w:t>
      </w:r>
      <w:r>
        <w:rPr>
          <w:rFonts w:ascii="宋体" w:hAnsi="宋体" w:cs="宋体" w:eastAsia="宋体" w:hint="default"/>
        </w:rPr>
        <w:t>0</w:t>
      </w:r>
      <w:r>
        <w:rPr>
          <w:rFonts w:ascii="宋体" w:hAnsi="宋体" w:cs="宋体" w:eastAsia="宋体" w:hint="default"/>
          <w:spacing w:val="-55"/>
        </w:rPr>
        <w:t> </w:t>
      </w:r>
      <w:r>
        <w:rPr/>
        <w:t>万元，占年度销售总额</w:t>
      </w:r>
      <w:r>
        <w:rPr>
          <w:spacing w:val="-52"/>
        </w:rPr>
        <w:t> </w:t>
      </w:r>
      <w:r>
        <w:rPr>
          <w:rFonts w:ascii="宋体" w:hAnsi="宋体" w:cs="宋体" w:eastAsia="宋体" w:hint="default"/>
          <w:spacing w:val="-3"/>
        </w:rPr>
        <w:t>0</w:t>
      </w:r>
      <w:r>
        <w:rPr>
          <w:rFonts w:ascii="宋体" w:hAnsi="宋体" w:cs="宋体" w:eastAsia="宋体" w:hint="default"/>
          <w:spacing w:val="1"/>
        </w:rPr>
        <w:t> </w:t>
      </w:r>
      <w:r>
        <w:rPr>
          <w:rFonts w:ascii="宋体" w:hAnsi="宋体" w:cs="宋体" w:eastAsia="宋体" w:hint="default"/>
        </w:rPr>
        <w:t>%</w:t>
      </w:r>
      <w:r>
        <w:rPr/>
        <w:t>。</w:t>
      </w:r>
      <w:r>
        <w:rPr>
          <w:rFonts w:ascii="宋体" w:hAnsi="宋体" w:cs="宋体" w:eastAsia="宋体" w:hint="default"/>
        </w:rPr>
        <w:t> </w:t>
      </w:r>
    </w:p>
    <w:p>
      <w:pPr>
        <w:pStyle w:val="BodyText"/>
        <w:spacing w:line="271" w:lineRule="exact"/>
        <w:ind w:left="216" w:right="0"/>
        <w:jc w:val="left"/>
        <w:rPr>
          <w:rFonts w:ascii="宋体" w:hAnsi="宋体" w:cs="宋体" w:eastAsia="宋体" w:hint="default"/>
        </w:rPr>
      </w:pPr>
      <w:r>
        <w:rPr>
          <w:rFonts w:ascii="宋体"/>
          <w:w w:val="100"/>
        </w:rPr>
        <w:t> </w:t>
      </w:r>
    </w:p>
    <w:p>
      <w:pPr>
        <w:pStyle w:val="BodyText"/>
        <w:spacing w:line="272" w:lineRule="exact" w:before="27"/>
        <w:ind w:left="216" w:right="0"/>
        <w:jc w:val="left"/>
        <w:rPr>
          <w:rFonts w:ascii="宋体" w:hAnsi="宋体" w:cs="宋体" w:eastAsia="宋体" w:hint="default"/>
        </w:rPr>
      </w:pPr>
      <w:r>
        <w:rPr/>
        <w:t>前五名供应商采购额</w:t>
      </w:r>
      <w:r>
        <w:rPr>
          <w:spacing w:val="-37"/>
        </w:rPr>
        <w:t> </w:t>
      </w:r>
      <w:r>
        <w:rPr>
          <w:rFonts w:ascii="宋体" w:hAnsi="宋体" w:cs="宋体" w:eastAsia="宋体" w:hint="default"/>
        </w:rPr>
        <w:t>48,845.58</w:t>
      </w:r>
      <w:r>
        <w:rPr>
          <w:rFonts w:ascii="宋体" w:hAnsi="宋体" w:cs="宋体" w:eastAsia="宋体" w:hint="default"/>
          <w:spacing w:val="-40"/>
        </w:rPr>
        <w:t> </w:t>
      </w:r>
      <w:r>
        <w:rPr>
          <w:spacing w:val="-4"/>
        </w:rPr>
        <w:t>万元，占年度采购总额</w:t>
      </w:r>
      <w:r>
        <w:rPr>
          <w:spacing w:val="-37"/>
        </w:rPr>
        <w:t> </w:t>
      </w:r>
      <w:r>
        <w:rPr>
          <w:rFonts w:ascii="宋体" w:hAnsi="宋体" w:cs="宋体" w:eastAsia="宋体" w:hint="default"/>
          <w:spacing w:val="-3"/>
        </w:rPr>
        <w:t>12.14%</w:t>
      </w:r>
      <w:r>
        <w:rPr>
          <w:spacing w:val="-3"/>
        </w:rPr>
        <w:t>；其中前五名供应商采购额中关联</w:t>
      </w:r>
      <w:r>
        <w:rPr>
          <w:spacing w:val="-99"/>
        </w:rPr>
        <w:t> </w:t>
      </w:r>
      <w:r>
        <w:rPr>
          <w:spacing w:val="-99"/>
        </w:rPr>
      </w:r>
      <w:r>
        <w:rPr/>
        <w:t>方采购额</w:t>
      </w:r>
      <w:r>
        <w:rPr>
          <w:spacing w:val="-53"/>
        </w:rPr>
        <w:t> </w:t>
      </w:r>
      <w:r>
        <w:rPr>
          <w:rFonts w:ascii="宋体" w:hAnsi="宋体" w:cs="宋体" w:eastAsia="宋体" w:hint="default"/>
        </w:rPr>
        <w:t>0</w:t>
      </w:r>
      <w:r>
        <w:rPr>
          <w:rFonts w:ascii="宋体" w:hAnsi="宋体" w:cs="宋体" w:eastAsia="宋体" w:hint="default"/>
          <w:spacing w:val="-56"/>
        </w:rPr>
        <w:t> </w:t>
      </w:r>
      <w:r>
        <w:rPr/>
        <w:t>万元，占年度采购总额</w:t>
      </w:r>
      <w:r>
        <w:rPr>
          <w:spacing w:val="-53"/>
        </w:rPr>
        <w:t> </w:t>
      </w:r>
      <w:r>
        <w:rPr>
          <w:rFonts w:ascii="宋体" w:hAnsi="宋体" w:cs="宋体" w:eastAsia="宋体" w:hint="default"/>
        </w:rPr>
        <w:t>0%</w:t>
      </w:r>
      <w:r>
        <w:rPr/>
        <w:t>。</w:t>
      </w:r>
      <w:r>
        <w:rPr>
          <w:rFonts w:ascii="宋体" w:hAnsi="宋体" w:cs="宋体" w:eastAsia="宋体" w:hint="default"/>
        </w:rPr>
        <w:t> </w:t>
      </w:r>
    </w:p>
    <w:p>
      <w:pPr>
        <w:pStyle w:val="Heading3"/>
        <w:spacing w:line="282" w:lineRule="exact"/>
        <w:ind w:right="0"/>
        <w:jc w:val="left"/>
        <w:rPr>
          <w:rFonts w:ascii="宋体" w:hAnsi="宋体" w:cs="宋体" w:eastAsia="宋体" w:hint="default"/>
        </w:rPr>
      </w:pPr>
      <w:r>
        <w:rPr>
          <w:rFonts w:ascii="宋体"/>
        </w:rPr>
        <w:t> </w:t>
      </w:r>
    </w:p>
    <w:p>
      <w:pPr>
        <w:pStyle w:val="Heading5"/>
        <w:tabs>
          <w:tab w:pos="637" w:val="left" w:leader="none"/>
        </w:tabs>
        <w:spacing w:line="240" w:lineRule="auto" w:before="61"/>
        <w:ind w:right="0"/>
        <w:jc w:val="left"/>
        <w:rPr>
          <w:rFonts w:ascii="宋体" w:hAnsi="宋体" w:cs="宋体" w:eastAsia="宋体" w:hint="default"/>
          <w:b w:val="0"/>
          <w:bCs w:val="0"/>
        </w:rPr>
      </w:pPr>
      <w:r>
        <w:rPr>
          <w:rFonts w:ascii="宋体" w:hAnsi="宋体" w:cs="宋体" w:eastAsia="宋体" w:hint="default"/>
          <w:w w:val="95"/>
        </w:rPr>
        <w:t>3.</w:t>
        <w:tab/>
      </w:r>
      <w:r>
        <w:rPr/>
        <w:t>费用</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3"/>
        <w:ind w:right="0"/>
        <w:jc w:val="left"/>
        <w:rPr>
          <w:rFonts w:ascii="宋体" w:hAnsi="宋体" w:cs="宋体" w:eastAsia="宋体" w:hint="default"/>
        </w:rPr>
      </w:pPr>
      <w:r>
        <w:rPr/>
        <w:t>√适用□不适用</w:t>
      </w:r>
      <w:r>
        <w:rPr>
          <w:rFonts w:ascii="宋体" w:hAnsi="宋体" w:cs="宋体" w:eastAsia="宋体" w:hint="default"/>
        </w:rPr>
        <w:t>  </w:t>
      </w:r>
    </w:p>
    <w:p>
      <w:pPr>
        <w:tabs>
          <w:tab w:pos="637" w:val="left" w:leader="none"/>
        </w:tabs>
        <w:spacing w:line="290" w:lineRule="auto" w:before="1"/>
        <w:ind w:left="216" w:right="3692" w:firstLine="0"/>
        <w:jc w:val="left"/>
        <w:rPr>
          <w:rFonts w:ascii="宋体" w:hAnsi="宋体" w:cs="宋体" w:eastAsia="宋体" w:hint="default"/>
          <w:sz w:val="21"/>
          <w:szCs w:val="21"/>
        </w:rPr>
      </w:pPr>
      <w:r>
        <w:rPr>
          <w:rFonts w:ascii="宋体" w:hAnsi="宋体" w:cs="宋体" w:eastAsia="宋体" w:hint="default"/>
          <w:sz w:val="21"/>
          <w:szCs w:val="21"/>
        </w:rPr>
        <w:t>参见上文“利润表及现金流量表相关科目变动分析表”。</w:t>
      </w:r>
      <w:r>
        <w:rPr>
          <w:rFonts w:ascii="宋体" w:hAnsi="宋体" w:cs="宋体" w:eastAsia="宋体" w:hint="default"/>
          <w:sz w:val="24"/>
          <w:szCs w:val="24"/>
        </w:rPr>
        <w:t> </w:t>
      </w:r>
      <w:r>
        <w:rPr>
          <w:rFonts w:ascii="宋体" w:hAnsi="宋体" w:cs="宋体" w:eastAsia="宋体" w:hint="default"/>
          <w:b/>
          <w:bCs/>
          <w:w w:val="95"/>
          <w:sz w:val="21"/>
          <w:szCs w:val="21"/>
        </w:rPr>
        <w:t>4.</w:t>
        <w:tab/>
      </w:r>
      <w:r>
        <w:rPr>
          <w:rFonts w:ascii="宋体" w:hAnsi="宋体" w:cs="宋体" w:eastAsia="宋体" w:hint="default"/>
          <w:b/>
          <w:bCs/>
          <w:sz w:val="21"/>
          <w:szCs w:val="21"/>
        </w:rPr>
        <w:t>研发投入</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5"/>
        <w:spacing w:line="240" w:lineRule="auto" w:before="12"/>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研发投入情况表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8"/>
        <w:jc w:val="right"/>
        <w:rPr>
          <w:rFonts w:ascii="宋体" w:hAnsi="宋体" w:cs="宋体" w:eastAsia="宋体" w:hint="default"/>
        </w:rPr>
      </w:pPr>
      <w:r>
        <w:rPr>
          <w:spacing w:val="-2"/>
        </w:rPr>
        <w:t>单位：元</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67"/>
        <w:gridCol w:w="4983"/>
      </w:tblGrid>
      <w:tr>
        <w:trPr>
          <w:trHeight w:val="281"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r>
              <w:rPr>
                <w:rFonts w:ascii="宋体" w:hAnsi="宋体" w:cs="宋体" w:eastAsia="宋体" w:hint="default"/>
                <w:sz w:val="21"/>
                <w:szCs w:val="21"/>
              </w:rPr>
              <w:t> </w:t>
            </w:r>
          </w:p>
        </w:tc>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218,734,970.54</w:t>
            </w:r>
            <w:r>
              <w:rPr>
                <w:rFonts w:ascii="Times New Roman"/>
                <w:sz w:val="20"/>
              </w:rPr>
            </w: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219,711,188.72</w:t>
            </w:r>
            <w:r>
              <w:rPr>
                <w:rFonts w:ascii="Times New Roman"/>
                <w:sz w:val="20"/>
              </w:rPr>
            </w: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438,446,159.26</w:t>
            </w:r>
            <w:r>
              <w:rPr>
                <w:rFonts w:ascii="Times New Roman"/>
                <w:sz w:val="20"/>
              </w:rPr>
            </w:r>
          </w:p>
        </w:tc>
      </w:tr>
      <w:tr>
        <w:trPr>
          <w:trHeight w:val="281"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sz w:val="20"/>
              </w:rPr>
              <w:t>8.27</w:t>
            </w: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r>
              <w:rPr>
                <w:rFonts w:ascii="宋体" w:hAnsi="宋体" w:cs="宋体" w:eastAsia="宋体" w:hint="default"/>
                <w:sz w:val="21"/>
                <w:szCs w:val="21"/>
              </w:rPr>
              <w:t> </w:t>
            </w:r>
          </w:p>
        </w:tc>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sz w:val="20"/>
              </w:rPr>
              <w:t>1,238</w:t>
            </w: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研发人员数量占公司总人数的比例（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sz w:val="20"/>
              </w:rPr>
              <w:t>42.53</w:t>
            </w:r>
          </w:p>
        </w:tc>
      </w:tr>
      <w:tr>
        <w:trPr>
          <w:trHeight w:val="284"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sz w:val="20"/>
              </w:rPr>
              <w:t>50.11</w:t>
            </w:r>
          </w:p>
        </w:tc>
      </w:tr>
    </w:tbl>
    <w:p>
      <w:pPr>
        <w:pStyle w:val="Heading3"/>
        <w:spacing w:line="274" w:lineRule="exact"/>
        <w:ind w:right="0"/>
        <w:jc w:val="left"/>
        <w:rPr>
          <w:rFonts w:ascii="宋体" w:hAnsi="宋体" w:cs="宋体" w:eastAsia="宋体" w:hint="default"/>
        </w:rPr>
      </w:pPr>
      <w:r>
        <w:rPr>
          <w:rFonts w:ascii="宋体"/>
        </w:rPr>
        <w:t> </w:t>
      </w:r>
    </w:p>
    <w:p>
      <w:pPr>
        <w:pStyle w:val="Heading5"/>
        <w:spacing w:line="240" w:lineRule="auto" w:before="61"/>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情况说明</w:t>
      </w:r>
      <w:r>
        <w:rPr>
          <w:rFonts w:ascii="宋体" w:hAnsi="宋体" w:cs="宋体" w:eastAsia="宋体" w:hint="default"/>
          <w:w w:val="99"/>
        </w:rPr>
        <w:t> </w:t>
      </w:r>
      <w:r>
        <w:rPr>
          <w:rFonts w:ascii="宋体" w:hAnsi="宋体" w:cs="宋体" w:eastAsia="宋体" w:hint="default"/>
          <w:b w:val="0"/>
          <w:bCs w:val="0"/>
        </w:rPr>
      </w:r>
    </w:p>
    <w:p>
      <w:pPr>
        <w:pStyle w:val="BodyText"/>
        <w:spacing w:line="290" w:lineRule="auto" w:before="58"/>
        <w:ind w:left="216" w:right="150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本年度公司加大了主营业务的研发投入，对公司产品升级产生积极的影响。</w:t>
      </w:r>
      <w:r>
        <w:rPr>
          <w:rFonts w:ascii="宋体" w:hAnsi="宋体" w:cs="宋体" w:eastAsia="宋体" w:hint="default"/>
          <w:b/>
          <w:bCs/>
          <w:w w:val="99"/>
        </w:rPr>
        <w:t> </w:t>
      </w:r>
      <w:r>
        <w:rPr>
          <w:rFonts w:ascii="宋体" w:hAnsi="宋体" w:cs="宋体" w:eastAsia="宋体" w:hint="default"/>
        </w:rPr>
      </w:r>
    </w:p>
    <w:p>
      <w:pPr>
        <w:pStyle w:val="Heading3"/>
        <w:spacing w:line="263" w:lineRule="exact"/>
        <w:ind w:right="0"/>
        <w:jc w:val="left"/>
        <w:rPr>
          <w:rFonts w:ascii="宋体" w:hAnsi="宋体" w:cs="宋体" w:eastAsia="宋体" w:hint="default"/>
        </w:rPr>
      </w:pPr>
      <w:r>
        <w:rPr>
          <w:rFonts w:ascii="宋体"/>
        </w:rPr>
        <w:t> </w:t>
      </w:r>
    </w:p>
    <w:p>
      <w:pPr>
        <w:pStyle w:val="Heading5"/>
        <w:tabs>
          <w:tab w:pos="637" w:val="left" w:leader="none"/>
        </w:tabs>
        <w:spacing w:line="240" w:lineRule="auto" w:before="61"/>
        <w:ind w:right="0"/>
        <w:jc w:val="left"/>
        <w:rPr>
          <w:rFonts w:ascii="宋体" w:hAnsi="宋体" w:cs="宋体" w:eastAsia="宋体" w:hint="default"/>
          <w:b w:val="0"/>
          <w:bCs w:val="0"/>
        </w:rPr>
      </w:pPr>
      <w:r>
        <w:rPr>
          <w:rFonts w:ascii="宋体" w:hAnsi="宋体" w:cs="宋体" w:eastAsia="宋体" w:hint="default"/>
          <w:w w:val="95"/>
        </w:rPr>
        <w:t>5.</w:t>
        <w:tab/>
      </w:r>
      <w:r>
        <w:rPr/>
        <w:t>现金流</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0"/>
        <w:jc w:val="left"/>
        <w:rPr>
          <w:rFonts w:ascii="宋体" w:hAnsi="宋体" w:cs="宋体" w:eastAsia="宋体" w:hint="default"/>
        </w:rPr>
      </w:pPr>
      <w:r>
        <w:rPr/>
        <w:t>√适用□不适用</w:t>
      </w:r>
      <w:r>
        <w:rPr>
          <w:rFonts w:ascii="宋体" w:hAnsi="宋体" w:cs="宋体" w:eastAsia="宋体" w:hint="default"/>
        </w:rPr>
        <w:t>  </w:t>
      </w:r>
    </w:p>
    <w:p>
      <w:pPr>
        <w:pStyle w:val="BodyText"/>
        <w:tabs>
          <w:tab w:pos="1156" w:val="left" w:leader="none"/>
        </w:tabs>
        <w:spacing w:line="240" w:lineRule="auto" w:before="1"/>
        <w:ind w:left="0" w:right="651"/>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63" w:type="dxa"/>
        <w:tblLayout w:type="fixed"/>
        <w:tblCellMar>
          <w:top w:w="0" w:type="dxa"/>
          <w:left w:w="0" w:type="dxa"/>
          <w:bottom w:w="0" w:type="dxa"/>
          <w:right w:w="0" w:type="dxa"/>
        </w:tblCellMar>
        <w:tblLook w:val="01E0"/>
      </w:tblPr>
      <w:tblGrid>
        <w:gridCol w:w="2975"/>
        <w:gridCol w:w="2126"/>
        <w:gridCol w:w="1700"/>
        <w:gridCol w:w="1277"/>
        <w:gridCol w:w="852"/>
      </w:tblGrid>
      <w:tr>
        <w:trPr>
          <w:trHeight w:val="706"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955"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609"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396"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52" w:right="0"/>
              <w:jc w:val="left"/>
              <w:rPr>
                <w:rFonts w:ascii="宋体" w:hAnsi="宋体" w:cs="宋体" w:eastAsia="宋体" w:hint="default"/>
                <w:sz w:val="21"/>
                <w:szCs w:val="21"/>
              </w:rPr>
            </w:pPr>
            <w:r>
              <w:rPr>
                <w:rFonts w:ascii="宋体" w:hAnsi="宋体" w:cs="宋体" w:eastAsia="宋体" w:hint="default"/>
                <w:w w:val="100"/>
                <w:sz w:val="21"/>
                <w:szCs w:val="21"/>
              </w:rPr>
              <w:t>增减</w:t>
            </w:r>
            <w:r>
              <w:rPr>
                <w:rFonts w:ascii="宋体" w:hAnsi="宋体" w:cs="宋体" w:eastAsia="宋体" w:hint="default"/>
                <w:spacing w:val="-3"/>
                <w:w w:val="100"/>
                <w:sz w:val="21"/>
                <w:szCs w:val="21"/>
              </w:rPr>
              <w:t>幅</w:t>
            </w:r>
            <w:r>
              <w:rPr>
                <w:rFonts w:ascii="宋体" w:hAnsi="宋体" w:cs="宋体" w:eastAsia="宋体" w:hint="default"/>
                <w:spacing w:val="-99"/>
                <w:w w:val="100"/>
                <w:sz w:val="21"/>
                <w:szCs w:val="21"/>
              </w:rPr>
              <w:t>度</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left="-16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58"/>
                <w:sz w:val="21"/>
                <w:szCs w:val="21"/>
              </w:rPr>
              <w:t> </w:t>
            </w: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380" w:hRule="exact"/>
        </w:trPr>
        <w:tc>
          <w:tcPr>
            <w:tcW w:w="893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2"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r>
              <w:rPr>
                <w:rFonts w:ascii="宋体" w:hAnsi="宋体" w:cs="宋体" w:eastAsia="宋体" w:hint="default"/>
                <w:sz w:val="21"/>
                <w:szCs w:val="21"/>
              </w:rPr>
              <w:t> </w:t>
            </w:r>
          </w:p>
        </w:tc>
      </w:tr>
      <w:tr>
        <w:trPr>
          <w:trHeight w:val="473"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54"/>
              <w:jc w:val="right"/>
              <w:rPr>
                <w:rFonts w:ascii="Times New Roman" w:hAnsi="Times New Roman" w:cs="Times New Roman" w:eastAsia="Times New Roman" w:hint="default"/>
                <w:sz w:val="20"/>
                <w:szCs w:val="20"/>
              </w:rPr>
            </w:pPr>
            <w:r>
              <w:rPr>
                <w:rFonts w:ascii="Times New Roman"/>
                <w:spacing w:val="-1"/>
                <w:sz w:val="20"/>
              </w:rPr>
              <w:t>6,813,216,566.67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51"/>
              <w:jc w:val="right"/>
              <w:rPr>
                <w:rFonts w:ascii="Times New Roman" w:hAnsi="Times New Roman" w:cs="Times New Roman" w:eastAsia="Times New Roman" w:hint="default"/>
                <w:sz w:val="20"/>
                <w:szCs w:val="20"/>
              </w:rPr>
            </w:pPr>
            <w:r>
              <w:rPr>
                <w:rFonts w:ascii="Times New Roman"/>
                <w:spacing w:val="-1"/>
                <w:sz w:val="20"/>
              </w:rPr>
              <w:t>4,641,479,881.32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51"/>
              <w:jc w:val="right"/>
              <w:rPr>
                <w:rFonts w:ascii="Times New Roman" w:hAnsi="Times New Roman" w:cs="Times New Roman" w:eastAsia="Times New Roman" w:hint="default"/>
                <w:sz w:val="20"/>
                <w:szCs w:val="20"/>
              </w:rPr>
            </w:pPr>
            <w:r>
              <w:rPr>
                <w:rFonts w:ascii="Times New Roman"/>
                <w:sz w:val="20"/>
              </w:rPr>
              <w:t>46.79</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7"/>
                <w:szCs w:val="27"/>
              </w:rPr>
            </w:pPr>
          </w:p>
          <w:p>
            <w:pPr>
              <w:pStyle w:val="TableParagraph"/>
              <w:spacing w:line="272" w:lineRule="exact"/>
              <w:ind w:left="50" w:right="53"/>
              <w:jc w:val="left"/>
              <w:rPr>
                <w:rFonts w:ascii="宋体" w:hAnsi="宋体" w:cs="宋体" w:eastAsia="宋体" w:hint="default"/>
                <w:sz w:val="21"/>
                <w:szCs w:val="21"/>
              </w:rPr>
            </w:pPr>
            <w:r>
              <w:rPr>
                <w:rFonts w:ascii="宋体" w:hAnsi="宋体" w:cs="宋体" w:eastAsia="宋体" w:hint="default"/>
                <w:sz w:val="21"/>
                <w:szCs w:val="21"/>
              </w:rPr>
              <w:t>货款加</w:t>
            </w:r>
            <w:r>
              <w:rPr>
                <w:rFonts w:ascii="宋体" w:hAnsi="宋体" w:cs="宋体" w:eastAsia="宋体" w:hint="default"/>
                <w:spacing w:val="-102"/>
                <w:sz w:val="21"/>
                <w:szCs w:val="21"/>
              </w:rPr>
              <w:t> </w:t>
            </w:r>
            <w:r>
              <w:rPr>
                <w:rFonts w:ascii="宋体" w:hAnsi="宋体" w:cs="宋体" w:eastAsia="宋体" w:hint="default"/>
                <w:sz w:val="21"/>
                <w:szCs w:val="21"/>
              </w:rPr>
              <w:t>速回笼</w:t>
            </w:r>
            <w:r>
              <w:rPr>
                <w:rFonts w:ascii="宋体" w:hAnsi="宋体" w:cs="宋体" w:eastAsia="宋体" w:hint="default"/>
                <w:sz w:val="21"/>
                <w:szCs w:val="21"/>
              </w:rPr>
              <w:t> </w:t>
            </w:r>
          </w:p>
        </w:tc>
      </w:tr>
      <w:tr>
        <w:trPr>
          <w:trHeight w:val="422"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54"/>
              <w:jc w:val="right"/>
              <w:rPr>
                <w:rFonts w:ascii="Times New Roman" w:hAnsi="Times New Roman" w:cs="Times New Roman" w:eastAsia="Times New Roman" w:hint="default"/>
                <w:sz w:val="20"/>
                <w:szCs w:val="20"/>
              </w:rPr>
            </w:pPr>
            <w:r>
              <w:rPr>
                <w:rFonts w:ascii="Times New Roman"/>
                <w:spacing w:val="-1"/>
                <w:sz w:val="20"/>
              </w:rPr>
              <w:t>6,401,208,913.89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51"/>
              <w:jc w:val="right"/>
              <w:rPr>
                <w:rFonts w:ascii="Times New Roman" w:hAnsi="Times New Roman" w:cs="Times New Roman" w:eastAsia="Times New Roman" w:hint="default"/>
                <w:sz w:val="20"/>
                <w:szCs w:val="20"/>
              </w:rPr>
            </w:pPr>
            <w:r>
              <w:rPr>
                <w:rFonts w:ascii="Times New Roman"/>
                <w:spacing w:val="-1"/>
                <w:sz w:val="20"/>
              </w:rPr>
              <w:t>4,625,297,046.17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51"/>
              <w:jc w:val="right"/>
              <w:rPr>
                <w:rFonts w:ascii="Times New Roman" w:hAnsi="Times New Roman" w:cs="Times New Roman" w:eastAsia="Times New Roman" w:hint="default"/>
                <w:sz w:val="20"/>
                <w:szCs w:val="20"/>
              </w:rPr>
            </w:pPr>
            <w:r>
              <w:rPr>
                <w:rFonts w:ascii="Times New Roman"/>
                <w:sz w:val="20"/>
              </w:rPr>
              <w:t>38.40</w:t>
            </w:r>
          </w:p>
        </w:tc>
        <w:tc>
          <w:tcPr>
            <w:tcW w:w="852" w:type="dxa"/>
            <w:vMerge/>
            <w:tcBorders>
              <w:left w:val="single" w:sz="4" w:space="0" w:color="000000"/>
              <w:right w:val="single" w:sz="4" w:space="0" w:color="000000"/>
            </w:tcBorders>
          </w:tcPr>
          <w:p>
            <w:pPr/>
          </w:p>
        </w:tc>
      </w:tr>
      <w:tr>
        <w:trPr>
          <w:trHeight w:val="401"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4"/>
              <w:jc w:val="right"/>
              <w:rPr>
                <w:rFonts w:ascii="Times New Roman" w:hAnsi="Times New Roman" w:cs="Times New Roman" w:eastAsia="Times New Roman" w:hint="default"/>
                <w:sz w:val="20"/>
                <w:szCs w:val="20"/>
              </w:rPr>
            </w:pPr>
            <w:r>
              <w:rPr>
                <w:rFonts w:ascii="Times New Roman"/>
                <w:w w:val="95"/>
                <w:sz w:val="20"/>
              </w:rPr>
              <w:t>412,007,652.78</w:t>
            </w:r>
            <w:r>
              <w:rPr>
                <w:rFonts w:ascii="Times New Roman"/>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1"/>
              <w:jc w:val="right"/>
              <w:rPr>
                <w:rFonts w:ascii="Times New Roman" w:hAnsi="Times New Roman" w:cs="Times New Roman" w:eastAsia="Times New Roman" w:hint="default"/>
                <w:sz w:val="20"/>
                <w:szCs w:val="20"/>
              </w:rPr>
            </w:pPr>
            <w:r>
              <w:rPr>
                <w:rFonts w:ascii="Times New Roman"/>
                <w:w w:val="95"/>
                <w:sz w:val="20"/>
              </w:rPr>
              <w:t>16,182,835.15</w:t>
            </w:r>
            <w:r>
              <w:rPr>
                <w:rFonts w:ascii="Times New Roman"/>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1"/>
              <w:jc w:val="right"/>
              <w:rPr>
                <w:rFonts w:ascii="Times New Roman" w:hAnsi="Times New Roman" w:cs="Times New Roman" w:eastAsia="Times New Roman" w:hint="default"/>
                <w:sz w:val="20"/>
                <w:szCs w:val="20"/>
              </w:rPr>
            </w:pPr>
            <w:r>
              <w:rPr>
                <w:rFonts w:ascii="Times New Roman"/>
                <w:w w:val="95"/>
                <w:sz w:val="20"/>
              </w:rPr>
              <w:t>2,445.95</w:t>
            </w:r>
            <w:r>
              <w:rPr>
                <w:rFonts w:ascii="Times New Roman"/>
                <w:sz w:val="20"/>
              </w:rPr>
            </w:r>
          </w:p>
        </w:tc>
        <w:tc>
          <w:tcPr>
            <w:tcW w:w="852" w:type="dxa"/>
            <w:vMerge/>
            <w:tcBorders>
              <w:left w:val="single" w:sz="4" w:space="0" w:color="000000"/>
              <w:bottom w:val="single" w:sz="4" w:space="0" w:color="000000"/>
              <w:right w:val="single" w:sz="4" w:space="0" w:color="000000"/>
            </w:tcBorders>
          </w:tcPr>
          <w:p>
            <w:pPr/>
          </w:p>
        </w:tc>
      </w:tr>
      <w:tr>
        <w:trPr>
          <w:trHeight w:val="410" w:hRule="exact"/>
        </w:trPr>
        <w:tc>
          <w:tcPr>
            <w:tcW w:w="893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r>
              <w:rPr>
                <w:rFonts w:ascii="宋体" w:hAnsi="宋体" w:cs="宋体" w:eastAsia="宋体" w:hint="default"/>
                <w:sz w:val="21"/>
                <w:szCs w:val="21"/>
              </w:rPr>
              <w:t> </w:t>
            </w:r>
          </w:p>
        </w:tc>
      </w:tr>
      <w:tr>
        <w:trPr>
          <w:trHeight w:val="372"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56"/>
              <w:jc w:val="right"/>
              <w:rPr>
                <w:rFonts w:ascii="Times New Roman" w:hAnsi="Times New Roman" w:cs="Times New Roman" w:eastAsia="Times New Roman" w:hint="default"/>
                <w:sz w:val="20"/>
                <w:szCs w:val="20"/>
              </w:rPr>
            </w:pPr>
            <w:r>
              <w:rPr>
                <w:rFonts w:ascii="Times New Roman"/>
                <w:w w:val="95"/>
                <w:sz w:val="20"/>
              </w:rPr>
              <w:t>366,015,404.72</w:t>
            </w:r>
            <w:r>
              <w:rPr>
                <w:rFonts w:ascii="Times New Roman"/>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1"/>
              <w:jc w:val="right"/>
              <w:rPr>
                <w:rFonts w:ascii="Times New Roman" w:hAnsi="Times New Roman" w:cs="Times New Roman" w:eastAsia="Times New Roman" w:hint="default"/>
                <w:sz w:val="20"/>
                <w:szCs w:val="20"/>
              </w:rPr>
            </w:pPr>
            <w:r>
              <w:rPr>
                <w:rFonts w:ascii="Times New Roman"/>
                <w:w w:val="95"/>
                <w:sz w:val="20"/>
              </w:rPr>
              <w:t>389,223,658.38</w:t>
            </w:r>
            <w:r>
              <w:rPr>
                <w:rFonts w:ascii="Times New Roman"/>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0"/>
              <w:jc w:val="right"/>
              <w:rPr>
                <w:rFonts w:ascii="Times New Roman" w:hAnsi="Times New Roman" w:cs="Times New Roman" w:eastAsia="Times New Roman" w:hint="default"/>
                <w:sz w:val="20"/>
                <w:szCs w:val="20"/>
              </w:rPr>
            </w:pPr>
            <w:r>
              <w:rPr>
                <w:rFonts w:ascii="Times New Roman"/>
                <w:w w:val="95"/>
                <w:sz w:val="20"/>
              </w:rPr>
              <w:t>-5.96</w:t>
            </w:r>
            <w:r>
              <w:rPr>
                <w:rFonts w:ascii="Times New Roman"/>
                <w:sz w:val="20"/>
              </w:rPr>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83"/>
              <w:ind w:left="50" w:right="156"/>
              <w:jc w:val="left"/>
              <w:rPr>
                <w:rFonts w:ascii="宋体" w:hAnsi="宋体" w:cs="宋体" w:eastAsia="宋体" w:hint="default"/>
                <w:sz w:val="21"/>
                <w:szCs w:val="21"/>
              </w:rPr>
            </w:pPr>
            <w:r>
              <w:rPr>
                <w:rFonts w:ascii="宋体" w:hAnsi="宋体" w:cs="宋体" w:eastAsia="宋体" w:hint="default"/>
                <w:sz w:val="21"/>
                <w:szCs w:val="21"/>
              </w:rPr>
              <w:t>处置股</w:t>
            </w:r>
            <w:r>
              <w:rPr>
                <w:rFonts w:ascii="宋体" w:hAnsi="宋体" w:cs="宋体" w:eastAsia="宋体" w:hint="default"/>
                <w:spacing w:val="-102"/>
                <w:sz w:val="21"/>
                <w:szCs w:val="21"/>
              </w:rPr>
              <w:t> </w:t>
            </w:r>
            <w:r>
              <w:rPr>
                <w:rFonts w:ascii="宋体" w:hAnsi="宋体" w:cs="宋体" w:eastAsia="宋体" w:hint="default"/>
                <w:sz w:val="21"/>
                <w:szCs w:val="21"/>
              </w:rPr>
              <w:t>权现金</w:t>
            </w:r>
          </w:p>
        </w:tc>
      </w:tr>
      <w:tr>
        <w:trPr>
          <w:trHeight w:val="420"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57"/>
              <w:jc w:val="right"/>
              <w:rPr>
                <w:rFonts w:ascii="Times New Roman" w:hAnsi="Times New Roman" w:cs="Times New Roman" w:eastAsia="Times New Roman" w:hint="default"/>
                <w:sz w:val="20"/>
                <w:szCs w:val="20"/>
              </w:rPr>
            </w:pPr>
            <w:r>
              <w:rPr>
                <w:rFonts w:ascii="Times New Roman"/>
                <w:w w:val="95"/>
                <w:sz w:val="20"/>
              </w:rPr>
              <w:t>398,689,451.14</w:t>
            </w:r>
            <w:r>
              <w:rPr>
                <w:rFonts w:ascii="Times New Roman"/>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1"/>
              <w:jc w:val="right"/>
              <w:rPr>
                <w:rFonts w:ascii="Times New Roman" w:hAnsi="Times New Roman" w:cs="Times New Roman" w:eastAsia="Times New Roman" w:hint="default"/>
                <w:sz w:val="20"/>
                <w:szCs w:val="20"/>
              </w:rPr>
            </w:pPr>
            <w:r>
              <w:rPr>
                <w:rFonts w:ascii="Times New Roman"/>
                <w:w w:val="95"/>
                <w:sz w:val="20"/>
              </w:rPr>
              <w:t>453,851,835.17</w:t>
            </w:r>
            <w:r>
              <w:rPr>
                <w:rFonts w:ascii="Times New Roman"/>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1"/>
              <w:jc w:val="right"/>
              <w:rPr>
                <w:rFonts w:ascii="Times New Roman" w:hAnsi="Times New Roman" w:cs="Times New Roman" w:eastAsia="Times New Roman" w:hint="default"/>
                <w:sz w:val="20"/>
                <w:szCs w:val="20"/>
              </w:rPr>
            </w:pPr>
            <w:r>
              <w:rPr>
                <w:rFonts w:ascii="Times New Roman"/>
                <w:w w:val="95"/>
                <w:sz w:val="20"/>
              </w:rPr>
              <w:t>-12.15</w:t>
            </w:r>
            <w:r>
              <w:rPr>
                <w:rFonts w:ascii="Times New Roman"/>
                <w:sz w:val="20"/>
              </w:rPr>
            </w:r>
          </w:p>
        </w:tc>
        <w:tc>
          <w:tcPr>
            <w:tcW w:w="852" w:type="dxa"/>
            <w:vMerge/>
            <w:tcBorders>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060" w:right="1560"/>
        </w:sectPr>
      </w:pPr>
    </w:p>
    <w:p>
      <w:pPr>
        <w:spacing w:line="240" w:lineRule="auto" w:before="3"/>
        <w:rPr>
          <w:rFonts w:ascii="宋体" w:hAnsi="宋体" w:cs="宋体" w:eastAsia="宋体" w:hint="default"/>
          <w:sz w:val="24"/>
          <w:szCs w:val="24"/>
        </w:rPr>
      </w:pPr>
    </w:p>
    <w:tbl>
      <w:tblPr>
        <w:tblW w:w="0" w:type="auto"/>
        <w:jc w:val="left"/>
        <w:tblInd w:w="1164" w:type="dxa"/>
        <w:tblLayout w:type="fixed"/>
        <w:tblCellMar>
          <w:top w:w="0" w:type="dxa"/>
          <w:left w:w="0" w:type="dxa"/>
          <w:bottom w:w="0" w:type="dxa"/>
          <w:right w:w="0" w:type="dxa"/>
        </w:tblCellMar>
        <w:tblLook w:val="01E0"/>
      </w:tblPr>
      <w:tblGrid>
        <w:gridCol w:w="2975"/>
        <w:gridCol w:w="2126"/>
        <w:gridCol w:w="1700"/>
        <w:gridCol w:w="1277"/>
        <w:gridCol w:w="852"/>
      </w:tblGrid>
      <w:tr>
        <w:trPr>
          <w:trHeight w:val="413"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54"/>
              <w:jc w:val="right"/>
              <w:rPr>
                <w:rFonts w:ascii="Times New Roman" w:hAnsi="Times New Roman" w:cs="Times New Roman" w:eastAsia="Times New Roman" w:hint="default"/>
                <w:sz w:val="20"/>
                <w:szCs w:val="20"/>
              </w:rPr>
            </w:pPr>
            <w:r>
              <w:rPr>
                <w:rFonts w:ascii="Times New Roman"/>
                <w:w w:val="95"/>
                <w:sz w:val="20"/>
              </w:rPr>
              <w:t>-32,674,046.42</w:t>
            </w:r>
            <w:r>
              <w:rPr>
                <w:rFonts w:ascii="Times New Roman"/>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51"/>
              <w:jc w:val="right"/>
              <w:rPr>
                <w:rFonts w:ascii="Times New Roman" w:hAnsi="Times New Roman" w:cs="Times New Roman" w:eastAsia="Times New Roman" w:hint="default"/>
                <w:sz w:val="20"/>
                <w:szCs w:val="20"/>
              </w:rPr>
            </w:pPr>
            <w:r>
              <w:rPr>
                <w:rFonts w:ascii="Times New Roman"/>
                <w:w w:val="95"/>
                <w:sz w:val="20"/>
              </w:rPr>
              <w:t>-64,628,176.79</w:t>
            </w:r>
            <w:r>
              <w:rPr>
                <w:rFonts w:ascii="Times New Roman"/>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6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hAnsi="宋体" w:cs="宋体" w:eastAsia="宋体" w:hint="default"/>
                <w:sz w:val="21"/>
                <w:szCs w:val="21"/>
              </w:rPr>
              <w:t>流入</w:t>
            </w:r>
            <w:r>
              <w:rPr>
                <w:rFonts w:ascii="宋体" w:hAnsi="宋体" w:cs="宋体" w:eastAsia="宋体" w:hint="default"/>
                <w:sz w:val="21"/>
                <w:szCs w:val="21"/>
              </w:rPr>
              <w:t> </w:t>
            </w:r>
          </w:p>
        </w:tc>
      </w:tr>
      <w:tr>
        <w:trPr>
          <w:trHeight w:val="415" w:hRule="exact"/>
        </w:trPr>
        <w:tc>
          <w:tcPr>
            <w:tcW w:w="893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2"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r>
              <w:rPr>
                <w:rFonts w:ascii="宋体" w:hAnsi="宋体" w:cs="宋体" w:eastAsia="宋体" w:hint="default"/>
                <w:sz w:val="21"/>
                <w:szCs w:val="21"/>
              </w:rPr>
              <w:t> </w:t>
            </w:r>
          </w:p>
        </w:tc>
      </w:tr>
      <w:tr>
        <w:trPr>
          <w:trHeight w:val="410"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54"/>
              <w:jc w:val="right"/>
              <w:rPr>
                <w:rFonts w:ascii="Times New Roman" w:hAnsi="Times New Roman" w:cs="Times New Roman" w:eastAsia="Times New Roman" w:hint="default"/>
                <w:sz w:val="20"/>
                <w:szCs w:val="20"/>
              </w:rPr>
            </w:pPr>
            <w:r>
              <w:rPr>
                <w:rFonts w:ascii="Times New Roman"/>
                <w:w w:val="95"/>
                <w:sz w:val="20"/>
              </w:rPr>
              <w:t>3,269,784,738.24</w:t>
            </w:r>
            <w:r>
              <w:rPr>
                <w:rFonts w:ascii="Times New Roman"/>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51"/>
              <w:jc w:val="right"/>
              <w:rPr>
                <w:rFonts w:ascii="Times New Roman" w:hAnsi="Times New Roman" w:cs="Times New Roman" w:eastAsia="Times New Roman" w:hint="default"/>
                <w:sz w:val="20"/>
                <w:szCs w:val="20"/>
              </w:rPr>
            </w:pPr>
            <w:r>
              <w:rPr>
                <w:rFonts w:ascii="Times New Roman"/>
                <w:spacing w:val="-1"/>
                <w:sz w:val="20"/>
              </w:rPr>
              <w:t>1,897,440,578.52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50"/>
              <w:jc w:val="right"/>
              <w:rPr>
                <w:rFonts w:ascii="Times New Roman" w:hAnsi="Times New Roman" w:cs="Times New Roman" w:eastAsia="Times New Roman" w:hint="default"/>
                <w:sz w:val="20"/>
                <w:szCs w:val="20"/>
              </w:rPr>
            </w:pPr>
            <w:r>
              <w:rPr>
                <w:rFonts w:ascii="Times New Roman"/>
                <w:sz w:val="20"/>
              </w:rPr>
              <w:t>0.72</w:t>
            </w:r>
          </w:p>
        </w:tc>
        <w:tc>
          <w:tcPr>
            <w:tcW w:w="852" w:type="dxa"/>
            <w:vMerge w:val="restart"/>
            <w:tcBorders>
              <w:top w:val="single" w:sz="4" w:space="0" w:color="000000"/>
              <w:left w:val="single" w:sz="4" w:space="0" w:color="000000"/>
              <w:right w:val="single" w:sz="4" w:space="0" w:color="000000"/>
            </w:tcBorders>
          </w:tcPr>
          <w:p>
            <w:pPr>
              <w:pStyle w:val="TableParagraph"/>
              <w:spacing w:line="237" w:lineRule="auto" w:before="38"/>
              <w:ind w:left="50" w:right="156"/>
              <w:jc w:val="both"/>
              <w:rPr>
                <w:rFonts w:ascii="宋体" w:hAnsi="宋体" w:cs="宋体" w:eastAsia="宋体" w:hint="default"/>
                <w:sz w:val="21"/>
                <w:szCs w:val="21"/>
              </w:rPr>
            </w:pPr>
            <w:r>
              <w:rPr>
                <w:rFonts w:ascii="宋体" w:hAnsi="宋体" w:cs="宋体" w:eastAsia="宋体" w:hint="default"/>
                <w:sz w:val="21"/>
                <w:szCs w:val="21"/>
              </w:rPr>
              <w:t>公司债</w:t>
            </w:r>
            <w:r>
              <w:rPr>
                <w:rFonts w:ascii="宋体" w:hAnsi="宋体" w:cs="宋体" w:eastAsia="宋体" w:hint="default"/>
                <w:spacing w:val="-102"/>
                <w:sz w:val="21"/>
                <w:szCs w:val="21"/>
              </w:rPr>
              <w:t> </w:t>
            </w:r>
            <w:r>
              <w:rPr>
                <w:rFonts w:ascii="宋体" w:hAnsi="宋体" w:cs="宋体" w:eastAsia="宋体" w:hint="default"/>
                <w:sz w:val="21"/>
                <w:szCs w:val="21"/>
              </w:rPr>
              <w:t>及中票</w:t>
            </w:r>
            <w:r>
              <w:rPr>
                <w:rFonts w:ascii="宋体" w:hAnsi="宋体" w:cs="宋体" w:eastAsia="宋体" w:hint="default"/>
                <w:spacing w:val="-102"/>
                <w:sz w:val="21"/>
                <w:szCs w:val="21"/>
              </w:rPr>
              <w:t> </w:t>
            </w:r>
            <w:r>
              <w:rPr>
                <w:rFonts w:ascii="宋体" w:hAnsi="宋体" w:cs="宋体" w:eastAsia="宋体" w:hint="default"/>
                <w:sz w:val="21"/>
                <w:szCs w:val="21"/>
              </w:rPr>
              <w:t>到期兑</w:t>
            </w:r>
            <w:r>
              <w:rPr>
                <w:rFonts w:ascii="宋体" w:hAnsi="宋体" w:cs="宋体" w:eastAsia="宋体" w:hint="default"/>
                <w:spacing w:val="-102"/>
                <w:sz w:val="21"/>
                <w:szCs w:val="21"/>
              </w:rPr>
              <w:t> </w:t>
            </w:r>
            <w:r>
              <w:rPr>
                <w:rFonts w:ascii="宋体" w:hAnsi="宋体" w:cs="宋体" w:eastAsia="宋体" w:hint="default"/>
                <w:sz w:val="21"/>
                <w:szCs w:val="21"/>
              </w:rPr>
              <w:t>付</w:t>
            </w:r>
            <w:r>
              <w:rPr>
                <w:rFonts w:ascii="宋体" w:hAnsi="宋体" w:cs="宋体" w:eastAsia="宋体" w:hint="default"/>
                <w:sz w:val="21"/>
                <w:szCs w:val="21"/>
              </w:rPr>
              <w:t> </w:t>
            </w:r>
          </w:p>
        </w:tc>
      </w:tr>
      <w:tr>
        <w:trPr>
          <w:trHeight w:val="415"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4"/>
              <w:jc w:val="right"/>
              <w:rPr>
                <w:rFonts w:ascii="Times New Roman" w:hAnsi="Times New Roman" w:cs="Times New Roman" w:eastAsia="Times New Roman" w:hint="default"/>
                <w:sz w:val="20"/>
                <w:szCs w:val="20"/>
              </w:rPr>
            </w:pPr>
            <w:r>
              <w:rPr>
                <w:rFonts w:ascii="Times New Roman"/>
                <w:w w:val="95"/>
                <w:sz w:val="20"/>
              </w:rPr>
              <w:t>3,330,696,357.74</w:t>
            </w:r>
            <w:r>
              <w:rPr>
                <w:rFonts w:ascii="Times New Roman"/>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1"/>
              <w:jc w:val="right"/>
              <w:rPr>
                <w:rFonts w:ascii="Times New Roman" w:hAnsi="Times New Roman" w:cs="Times New Roman" w:eastAsia="Times New Roman" w:hint="default"/>
                <w:sz w:val="20"/>
                <w:szCs w:val="20"/>
              </w:rPr>
            </w:pPr>
            <w:r>
              <w:rPr>
                <w:rFonts w:ascii="Times New Roman"/>
                <w:spacing w:val="-1"/>
                <w:sz w:val="20"/>
              </w:rPr>
              <w:t>1,551,942,018.00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0"/>
              <w:jc w:val="right"/>
              <w:rPr>
                <w:rFonts w:ascii="Times New Roman" w:hAnsi="Times New Roman" w:cs="Times New Roman" w:eastAsia="Times New Roman" w:hint="default"/>
                <w:sz w:val="20"/>
                <w:szCs w:val="20"/>
              </w:rPr>
            </w:pPr>
            <w:r>
              <w:rPr>
                <w:rFonts w:ascii="Times New Roman"/>
                <w:spacing w:val="-1"/>
                <w:sz w:val="20"/>
              </w:rPr>
              <w:t>1.15</w:t>
            </w:r>
          </w:p>
        </w:tc>
        <w:tc>
          <w:tcPr>
            <w:tcW w:w="852" w:type="dxa"/>
            <w:vMerge/>
            <w:tcBorders>
              <w:left w:val="single" w:sz="4" w:space="0" w:color="000000"/>
              <w:right w:val="single" w:sz="4" w:space="0" w:color="000000"/>
            </w:tcBorders>
          </w:tcPr>
          <w:p>
            <w:pPr/>
          </w:p>
        </w:tc>
      </w:tr>
      <w:tr>
        <w:trPr>
          <w:trHeight w:val="413" w:hRule="exact"/>
        </w:trPr>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54"/>
              <w:jc w:val="right"/>
              <w:rPr>
                <w:rFonts w:ascii="Times New Roman" w:hAnsi="Times New Roman" w:cs="Times New Roman" w:eastAsia="Times New Roman" w:hint="default"/>
                <w:sz w:val="20"/>
                <w:szCs w:val="20"/>
              </w:rPr>
            </w:pPr>
            <w:r>
              <w:rPr>
                <w:rFonts w:ascii="Times New Roman"/>
                <w:w w:val="95"/>
                <w:sz w:val="20"/>
              </w:rPr>
              <w:t>-60,911,619.50</w:t>
            </w:r>
            <w:r>
              <w:rPr>
                <w:rFonts w:ascii="Times New Roman"/>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51"/>
              <w:jc w:val="right"/>
              <w:rPr>
                <w:rFonts w:ascii="Times New Roman" w:hAnsi="Times New Roman" w:cs="Times New Roman" w:eastAsia="Times New Roman" w:hint="default"/>
                <w:sz w:val="20"/>
                <w:szCs w:val="20"/>
              </w:rPr>
            </w:pPr>
            <w:r>
              <w:rPr>
                <w:rFonts w:ascii="Times New Roman"/>
                <w:w w:val="95"/>
                <w:sz w:val="20"/>
              </w:rPr>
              <w:t>345,498,560.52</w:t>
            </w:r>
            <w:r>
              <w:rPr>
                <w:rFonts w:ascii="Times New Roman"/>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6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p>
        </w:tc>
        <w:tc>
          <w:tcPr>
            <w:tcW w:w="852" w:type="dxa"/>
            <w:vMerge/>
            <w:tcBorders>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pStyle w:val="Heading5"/>
        <w:tabs>
          <w:tab w:pos="2057" w:val="left" w:leader="none"/>
        </w:tabs>
        <w:spacing w:line="240" w:lineRule="auto" w:before="36"/>
        <w:ind w:left="1216" w:right="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非主营业务导致利润重大变化的说明</w:t>
      </w:r>
      <w:r>
        <w:rPr>
          <w:b w:val="0"/>
          <w:bCs w:val="0"/>
        </w:rPr>
      </w:r>
    </w:p>
    <w:p>
      <w:pPr>
        <w:pStyle w:val="BodyText"/>
        <w:spacing w:line="240" w:lineRule="auto" w:before="56"/>
        <w:ind w:left="1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0" w:footer="1195" w:top="1120" w:bottom="1380" w:left="60" w:right="560"/>
        </w:sectPr>
      </w:pPr>
    </w:p>
    <w:p>
      <w:pPr>
        <w:pStyle w:val="Heading5"/>
        <w:tabs>
          <w:tab w:pos="2057" w:val="left" w:leader="none"/>
        </w:tabs>
        <w:spacing w:line="240" w:lineRule="auto" w:before="36"/>
        <w:ind w:left="1216" w:right="-17"/>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资产、负债情况分析</w:t>
      </w:r>
      <w:r>
        <w:rPr>
          <w:b w:val="0"/>
          <w:bCs w:val="0"/>
        </w:rPr>
      </w:r>
    </w:p>
    <w:p>
      <w:pPr>
        <w:pStyle w:val="Heading3"/>
        <w:spacing w:line="240" w:lineRule="auto" w:before="53"/>
        <w:ind w:left="1216" w:right="-17"/>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5"/>
        <w:tabs>
          <w:tab w:pos="1642" w:val="left" w:leader="none"/>
        </w:tabs>
        <w:spacing w:line="240" w:lineRule="auto" w:before="61"/>
        <w:ind w:left="1216" w:right="-17"/>
        <w:jc w:val="left"/>
        <w:rPr>
          <w:rFonts w:ascii="宋体" w:hAnsi="宋体" w:cs="宋体" w:eastAsia="宋体" w:hint="default"/>
          <w:b w:val="0"/>
          <w:bCs w:val="0"/>
        </w:rPr>
      </w:pPr>
      <w:r>
        <w:rPr>
          <w:rFonts w:ascii="宋体" w:hAnsi="宋体" w:cs="宋体" w:eastAsia="宋体" w:hint="default"/>
          <w:w w:val="95"/>
        </w:rPr>
        <w:t>1.</w:t>
        <w:tab/>
      </w:r>
      <w:r>
        <w:rPr/>
        <w:t>资产及负债状况</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33"/>
          <w:szCs w:val="33"/>
        </w:rPr>
      </w:pPr>
    </w:p>
    <w:p>
      <w:pPr>
        <w:pStyle w:val="Heading3"/>
        <w:spacing w:line="240" w:lineRule="auto"/>
        <w:ind w:left="1216"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60" w:right="560"/>
          <w:cols w:num="2" w:equalWidth="0">
            <w:col w:w="3959" w:space="3915"/>
            <w:col w:w="3416"/>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160"/>
        <w:gridCol w:w="1886"/>
        <w:gridCol w:w="1023"/>
        <w:gridCol w:w="1901"/>
        <w:gridCol w:w="1448"/>
        <w:gridCol w:w="1303"/>
        <w:gridCol w:w="2331"/>
      </w:tblGrid>
      <w:tr>
        <w:trPr>
          <w:trHeight w:val="1370"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10" w:right="0"/>
              <w:jc w:val="left"/>
              <w:rPr>
                <w:rFonts w:ascii="宋体" w:hAnsi="宋体" w:cs="宋体" w:eastAsia="宋体" w:hint="default"/>
                <w:sz w:val="21"/>
                <w:szCs w:val="21"/>
              </w:rPr>
            </w:pPr>
            <w:r>
              <w:rPr>
                <w:rFonts w:ascii="宋体" w:hAnsi="宋体" w:cs="宋体" w:eastAsia="宋体" w:hint="default"/>
                <w:sz w:val="21"/>
                <w:szCs w:val="21"/>
              </w:rPr>
              <w:t>本期期末数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7" w:right="0"/>
              <w:jc w:val="both"/>
              <w:rPr>
                <w:rFonts w:ascii="宋体" w:hAnsi="宋体" w:cs="宋体" w:eastAsia="宋体" w:hint="default"/>
                <w:sz w:val="21"/>
                <w:szCs w:val="21"/>
              </w:rPr>
            </w:pPr>
            <w:r>
              <w:rPr>
                <w:rFonts w:ascii="宋体" w:hAnsi="宋体" w:cs="宋体" w:eastAsia="宋体" w:hint="default"/>
                <w:sz w:val="21"/>
                <w:szCs w:val="21"/>
              </w:rPr>
              <w:t>本期期</w:t>
            </w:r>
          </w:p>
          <w:p>
            <w:pPr>
              <w:pStyle w:val="TableParagraph"/>
              <w:spacing w:line="237" w:lineRule="auto"/>
              <w:ind w:left="187" w:right="190"/>
              <w:jc w:val="both"/>
              <w:rPr>
                <w:rFonts w:ascii="宋体" w:hAnsi="宋体" w:cs="宋体" w:eastAsia="宋体" w:hint="default"/>
                <w:sz w:val="21"/>
                <w:szCs w:val="21"/>
              </w:rPr>
            </w:pP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r>
              <w:rPr>
                <w:rFonts w:ascii="宋体" w:hAnsi="宋体" w:cs="宋体" w:eastAsia="宋体" w:hint="default"/>
                <w:spacing w:val="-102"/>
                <w:sz w:val="21"/>
                <w:szCs w:val="21"/>
              </w:rPr>
              <w:t> </w:t>
            </w:r>
            <w:r>
              <w:rPr>
                <w:rFonts w:ascii="宋体" w:hAnsi="宋体" w:cs="宋体" w:eastAsia="宋体" w:hint="default"/>
                <w:sz w:val="21"/>
                <w:szCs w:val="21"/>
              </w:rPr>
              <w:t>的比例</w:t>
            </w:r>
          </w:p>
          <w:p>
            <w:pPr>
              <w:pStyle w:val="TableParagraph"/>
              <w:spacing w:line="274" w:lineRule="exact"/>
              <w:ind w:left="240"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19" w:right="0"/>
              <w:jc w:val="left"/>
              <w:rPr>
                <w:rFonts w:ascii="宋体" w:hAnsi="宋体" w:cs="宋体" w:eastAsia="宋体" w:hint="default"/>
                <w:sz w:val="21"/>
                <w:szCs w:val="21"/>
              </w:rPr>
            </w:pPr>
            <w:r>
              <w:rPr>
                <w:rFonts w:ascii="宋体" w:hAnsi="宋体" w:cs="宋体" w:eastAsia="宋体" w:hint="default"/>
                <w:sz w:val="21"/>
                <w:szCs w:val="21"/>
              </w:rPr>
              <w:t>上期期末数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0" w:right="102"/>
              <w:jc w:val="both"/>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59"/>
                <w:sz w:val="21"/>
                <w:szCs w:val="21"/>
              </w:rPr>
              <w:t> </w:t>
            </w:r>
            <w:r>
              <w:rPr>
                <w:rFonts w:ascii="宋体" w:hAnsi="宋体" w:cs="宋体" w:eastAsia="宋体" w:hint="default"/>
                <w:sz w:val="21"/>
                <w:szCs w:val="21"/>
              </w:rPr>
              <w:t>期</w:t>
            </w:r>
            <w:r>
              <w:rPr>
                <w:rFonts w:ascii="宋体" w:hAnsi="宋体" w:cs="宋体" w:eastAsia="宋体" w:hint="default"/>
                <w:spacing w:val="-61"/>
                <w:sz w:val="21"/>
                <w:szCs w:val="21"/>
              </w:rPr>
              <w:t> </w:t>
            </w:r>
            <w:r>
              <w:rPr>
                <w:rFonts w:ascii="宋体" w:hAnsi="宋体" w:cs="宋体" w:eastAsia="宋体" w:hint="default"/>
                <w:sz w:val="21"/>
                <w:szCs w:val="21"/>
              </w:rPr>
              <w:t>期</w:t>
            </w:r>
            <w:r>
              <w:rPr>
                <w:rFonts w:ascii="宋体" w:hAnsi="宋体" w:cs="宋体" w:eastAsia="宋体" w:hint="default"/>
                <w:spacing w:val="-61"/>
                <w:sz w:val="21"/>
                <w:szCs w:val="21"/>
              </w:rPr>
              <w:t> </w:t>
            </w:r>
            <w:r>
              <w:rPr>
                <w:rFonts w:ascii="宋体" w:hAnsi="宋体" w:cs="宋体" w:eastAsia="宋体" w:hint="default"/>
                <w:sz w:val="21"/>
                <w:szCs w:val="21"/>
              </w:rPr>
              <w:t>末</w:t>
            </w:r>
            <w:r>
              <w:rPr>
                <w:rFonts w:ascii="宋体" w:hAnsi="宋体" w:cs="宋体" w:eastAsia="宋体" w:hint="default"/>
                <w:spacing w:val="-59"/>
                <w:sz w:val="21"/>
                <w:szCs w:val="21"/>
              </w:rPr>
              <w:t> </w:t>
            </w: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占</w:t>
            </w:r>
            <w:r>
              <w:rPr>
                <w:rFonts w:ascii="宋体" w:hAnsi="宋体" w:cs="宋体" w:eastAsia="宋体" w:hint="default"/>
                <w:spacing w:val="-59"/>
                <w:sz w:val="21"/>
                <w:szCs w:val="21"/>
              </w:rPr>
              <w:t> </w:t>
            </w:r>
            <w:r>
              <w:rPr>
                <w:rFonts w:ascii="宋体" w:hAnsi="宋体" w:cs="宋体" w:eastAsia="宋体" w:hint="default"/>
                <w:sz w:val="21"/>
                <w:szCs w:val="21"/>
              </w:rPr>
              <w:t>总</w:t>
            </w:r>
            <w:r>
              <w:rPr>
                <w:rFonts w:ascii="宋体" w:hAnsi="宋体" w:cs="宋体" w:eastAsia="宋体" w:hint="default"/>
                <w:spacing w:val="-61"/>
                <w:sz w:val="21"/>
                <w:szCs w:val="21"/>
              </w:rPr>
              <w:t> </w:t>
            </w:r>
            <w:r>
              <w:rPr>
                <w:rFonts w:ascii="宋体" w:hAnsi="宋体" w:cs="宋体" w:eastAsia="宋体" w:hint="default"/>
                <w:sz w:val="21"/>
                <w:szCs w:val="21"/>
              </w:rPr>
              <w:t>资</w:t>
            </w:r>
            <w:r>
              <w:rPr>
                <w:rFonts w:ascii="宋体" w:hAnsi="宋体" w:cs="宋体" w:eastAsia="宋体" w:hint="default"/>
                <w:spacing w:val="-61"/>
                <w:sz w:val="21"/>
                <w:szCs w:val="21"/>
              </w:rPr>
              <w:t> </w:t>
            </w:r>
            <w:r>
              <w:rPr>
                <w:rFonts w:ascii="宋体" w:hAnsi="宋体" w:cs="宋体" w:eastAsia="宋体" w:hint="default"/>
                <w:sz w:val="21"/>
                <w:szCs w:val="21"/>
              </w:rPr>
              <w:t>产</w:t>
            </w:r>
            <w:r>
              <w:rPr>
                <w:rFonts w:ascii="宋体" w:hAnsi="宋体" w:cs="宋体" w:eastAsia="宋体" w:hint="default"/>
                <w:spacing w:val="-59"/>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00" w:right="102"/>
              <w:jc w:val="both"/>
              <w:rPr>
                <w:rFonts w:ascii="宋体" w:hAnsi="宋体" w:cs="宋体" w:eastAsia="宋体" w:hint="default"/>
                <w:sz w:val="21"/>
                <w:szCs w:val="21"/>
              </w:rPr>
            </w:pPr>
            <w:r>
              <w:rPr>
                <w:rFonts w:ascii="宋体" w:hAnsi="宋体" w:cs="宋体" w:eastAsia="宋体" w:hint="default"/>
                <w:spacing w:val="5"/>
                <w:sz w:val="21"/>
                <w:szCs w:val="21"/>
              </w:rPr>
              <w:t>本期期末金</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5"/>
                <w:sz w:val="21"/>
                <w:szCs w:val="21"/>
              </w:rPr>
              <w:t>额较上期期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5"/>
                <w:sz w:val="21"/>
                <w:szCs w:val="21"/>
              </w:rPr>
              <w:t>末变动比例</w:t>
            </w:r>
          </w:p>
          <w:p>
            <w:pPr>
              <w:pStyle w:val="TableParagraph"/>
              <w:spacing w:line="274" w:lineRule="exact"/>
              <w:ind w:left="100"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737" w:right="0"/>
              <w:jc w:val="left"/>
              <w:rPr>
                <w:rFonts w:ascii="宋体" w:hAnsi="宋体" w:cs="宋体" w:eastAsia="宋体" w:hint="default"/>
                <w:sz w:val="21"/>
                <w:szCs w:val="21"/>
              </w:rPr>
            </w:pPr>
            <w:r>
              <w:rPr>
                <w:rFonts w:ascii="宋体" w:hAnsi="宋体" w:cs="宋体" w:eastAsia="宋体" w:hint="default"/>
                <w:sz w:val="21"/>
                <w:szCs w:val="21"/>
              </w:rPr>
              <w:t>情况说明</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12,799,696,533.17</w:t>
            </w:r>
            <w:r>
              <w:rPr>
                <w:rFonts w:ascii="Times New Roman"/>
                <w:sz w:val="20"/>
              </w:rPr>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12,899,039,165.55</w:t>
            </w:r>
            <w:r>
              <w:rPr>
                <w:rFonts w:ascii="Times New Roman"/>
                <w:sz w:val="20"/>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5"/>
              <w:jc w:val="right"/>
              <w:rPr>
                <w:rFonts w:ascii="Times New Roman" w:hAnsi="Times New Roman" w:cs="Times New Roman" w:eastAsia="Times New Roman" w:hint="default"/>
                <w:sz w:val="20"/>
                <w:szCs w:val="20"/>
              </w:rPr>
            </w:pPr>
            <w:r>
              <w:rPr>
                <w:rFonts w:ascii="Times New Roman"/>
                <w:w w:val="95"/>
                <w:sz w:val="20"/>
              </w:rPr>
              <w:t>-0.77</w:t>
            </w:r>
            <w:r>
              <w:rPr>
                <w:rFonts w:ascii="Times New Roman"/>
                <w:sz w:val="20"/>
              </w:rPr>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商誉减值所致</w:t>
            </w:r>
            <w:r>
              <w:rPr>
                <w:rFonts w:ascii="宋体" w:hAnsi="宋体" w:cs="宋体" w:eastAsia="宋体" w:hint="default"/>
                <w:sz w:val="21"/>
                <w:szCs w:val="21"/>
              </w:rPr>
              <w:t> </w:t>
            </w:r>
          </w:p>
        </w:tc>
      </w:tr>
      <w:tr>
        <w:trPr>
          <w:trHeight w:val="554"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4"/>
              <w:jc w:val="right"/>
              <w:rPr>
                <w:rFonts w:ascii="Times New Roman" w:hAnsi="Times New Roman" w:cs="Times New Roman" w:eastAsia="Times New Roman" w:hint="default"/>
                <w:sz w:val="20"/>
                <w:szCs w:val="20"/>
              </w:rPr>
            </w:pPr>
            <w:r>
              <w:rPr>
                <w:rFonts w:ascii="Times New Roman"/>
                <w:spacing w:val="-1"/>
                <w:sz w:val="20"/>
              </w:rPr>
              <w:t>2,616,750,261.59</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3"/>
              <w:jc w:val="right"/>
              <w:rPr>
                <w:rFonts w:ascii="Times New Roman" w:hAnsi="Times New Roman" w:cs="Times New Roman" w:eastAsia="Times New Roman" w:hint="default"/>
                <w:sz w:val="20"/>
                <w:szCs w:val="20"/>
              </w:rPr>
            </w:pPr>
            <w:r>
              <w:rPr>
                <w:rFonts w:ascii="Times New Roman"/>
                <w:sz w:val="20"/>
              </w:rPr>
              <w:t>20.44</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Times New Roman" w:hAnsi="Times New Roman" w:cs="Times New Roman" w:eastAsia="Times New Roman" w:hint="default"/>
                <w:sz w:val="20"/>
                <w:szCs w:val="20"/>
              </w:rPr>
            </w:pPr>
            <w:r>
              <w:rPr>
                <w:rFonts w:ascii="Times New Roman"/>
                <w:spacing w:val="-1"/>
                <w:sz w:val="20"/>
              </w:rPr>
              <w:t>1,456,275,995.86</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3"/>
              <w:jc w:val="right"/>
              <w:rPr>
                <w:rFonts w:ascii="Times New Roman" w:hAnsi="Times New Roman" w:cs="Times New Roman" w:eastAsia="Times New Roman" w:hint="default"/>
                <w:sz w:val="20"/>
                <w:szCs w:val="20"/>
              </w:rPr>
            </w:pPr>
            <w:r>
              <w:rPr>
                <w:rFonts w:ascii="Times New Roman"/>
                <w:sz w:val="20"/>
              </w:rPr>
              <w:t>11.29</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3"/>
              <w:jc w:val="right"/>
              <w:rPr>
                <w:rFonts w:ascii="Times New Roman" w:hAnsi="Times New Roman" w:cs="Times New Roman" w:eastAsia="Times New Roman" w:hint="default"/>
                <w:sz w:val="20"/>
                <w:szCs w:val="20"/>
              </w:rPr>
            </w:pPr>
            <w:r>
              <w:rPr>
                <w:rFonts w:ascii="Times New Roman"/>
                <w:sz w:val="20"/>
              </w:rPr>
              <w:t>79.69</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经营活动现金流入及票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据保证金增加所致</w:t>
            </w:r>
            <w:r>
              <w:rPr>
                <w:rFonts w:ascii="宋体" w:hAnsi="宋体" w:cs="宋体" w:eastAsia="宋体" w:hint="default"/>
                <w:sz w:val="21"/>
                <w:szCs w:val="21"/>
              </w:rPr>
              <w:t> </w:t>
            </w:r>
          </w:p>
        </w:tc>
      </w:tr>
      <w:tr>
        <w:trPr>
          <w:trHeight w:val="555"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4"/>
                <w:sz w:val="21"/>
                <w:szCs w:val="21"/>
              </w:rPr>
              <w:t>交易性金</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w:t>
            </w:r>
            <w:r>
              <w:rPr>
                <w:rFonts w:ascii="宋体" w:hAnsi="宋体" w:cs="宋体" w:eastAsia="宋体" w:hint="default"/>
                <w:sz w:val="21"/>
                <w:szCs w:val="21"/>
              </w:rPr>
              <w:t> </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4"/>
              <w:jc w:val="right"/>
              <w:rPr>
                <w:rFonts w:ascii="Times New Roman" w:hAnsi="Times New Roman" w:cs="Times New Roman" w:eastAsia="Times New Roman" w:hint="default"/>
                <w:sz w:val="20"/>
                <w:szCs w:val="20"/>
              </w:rPr>
            </w:pPr>
            <w:r>
              <w:rPr>
                <w:rFonts w:ascii="Times New Roman"/>
                <w:w w:val="95"/>
                <w:sz w:val="20"/>
              </w:rPr>
              <w:t>116,080,000.00</w:t>
            </w:r>
            <w:r>
              <w:rPr>
                <w:rFonts w:ascii="Times New Roman"/>
                <w:sz w:val="20"/>
              </w:rPr>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20"/>
                <w:szCs w:val="20"/>
              </w:rPr>
            </w:pPr>
            <w:r>
              <w:rPr>
                <w:rFonts w:ascii="Times New Roman"/>
                <w:sz w:val="20"/>
              </w:rPr>
              <w:t>0.91</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20"/>
                <w:szCs w:val="20"/>
              </w:rPr>
            </w:pPr>
            <w:r>
              <w:rPr>
                <w:rFonts w:ascii="Times New Roman"/>
                <w:w w:val="95"/>
                <w:sz w:val="20"/>
              </w:rPr>
              <w:t>49,000,000.00</w:t>
            </w:r>
            <w:r>
              <w:rPr>
                <w:rFonts w:ascii="Times New Roman"/>
                <w:sz w:val="20"/>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20"/>
                <w:szCs w:val="20"/>
              </w:rPr>
            </w:pPr>
            <w:r>
              <w:rPr>
                <w:rFonts w:ascii="Times New Roman"/>
                <w:sz w:val="20"/>
              </w:rPr>
              <w:t>0.38</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20"/>
                <w:szCs w:val="20"/>
              </w:rPr>
            </w:pPr>
            <w:r>
              <w:rPr>
                <w:rFonts w:ascii="Times New Roman"/>
                <w:w w:val="95"/>
                <w:sz w:val="20"/>
              </w:rPr>
              <w:t>136.90</w:t>
            </w:r>
            <w:r>
              <w:rPr>
                <w:rFonts w:ascii="Times New Roman"/>
                <w:sz w:val="20"/>
              </w:rPr>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增加应收账款</w:t>
            </w:r>
            <w:r>
              <w:rPr>
                <w:rFonts w:ascii="宋体" w:hAnsi="宋体" w:cs="宋体" w:eastAsia="宋体" w:hint="default"/>
                <w:spacing w:val="-51"/>
                <w:sz w:val="21"/>
                <w:szCs w:val="21"/>
              </w:rPr>
              <w:t> </w:t>
            </w:r>
            <w:r>
              <w:rPr>
                <w:rFonts w:ascii="宋体" w:hAnsi="宋体" w:cs="宋体" w:eastAsia="宋体" w:hint="default"/>
                <w:sz w:val="21"/>
                <w:szCs w:val="21"/>
              </w:rPr>
              <w:t>ABS</w:t>
            </w:r>
            <w:r>
              <w:rPr>
                <w:rFonts w:ascii="宋体" w:hAnsi="宋体" w:cs="宋体" w:eastAsia="宋体" w:hint="default"/>
                <w:spacing w:val="-52"/>
                <w:sz w:val="21"/>
                <w:szCs w:val="21"/>
              </w:rPr>
              <w:t> </w:t>
            </w:r>
            <w:r>
              <w:rPr>
                <w:rFonts w:ascii="宋体" w:hAnsi="宋体" w:cs="宋体" w:eastAsia="宋体" w:hint="default"/>
                <w:spacing w:val="-3"/>
                <w:sz w:val="21"/>
                <w:szCs w:val="21"/>
              </w:rPr>
              <w:t>自持</w:t>
            </w:r>
            <w:r>
              <w:rPr>
                <w:rFonts w:ascii="宋体" w:hAnsi="宋体" w:cs="宋体" w:eastAsia="宋体" w:hint="default"/>
                <w:sz w:val="21"/>
                <w:szCs w:val="21"/>
              </w:rPr>
              <w:t> </w:t>
            </w:r>
          </w:p>
        </w:tc>
      </w:tr>
      <w:tr>
        <w:trPr>
          <w:trHeight w:val="554"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4"/>
              <w:jc w:val="right"/>
              <w:rPr>
                <w:rFonts w:ascii="Times New Roman" w:hAnsi="Times New Roman" w:cs="Times New Roman" w:eastAsia="Times New Roman" w:hint="default"/>
                <w:sz w:val="20"/>
                <w:szCs w:val="20"/>
              </w:rPr>
            </w:pPr>
            <w:r>
              <w:rPr>
                <w:rFonts w:ascii="Times New Roman"/>
                <w:w w:val="95"/>
                <w:sz w:val="20"/>
              </w:rPr>
              <w:t>137,343,458.10</w:t>
            </w:r>
            <w:r>
              <w:rPr>
                <w:rFonts w:ascii="Times New Roman"/>
                <w:sz w:val="20"/>
              </w:rPr>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20"/>
                <w:szCs w:val="20"/>
              </w:rPr>
            </w:pPr>
            <w:r>
              <w:rPr>
                <w:rFonts w:ascii="Times New Roman"/>
                <w:sz w:val="20"/>
              </w:rPr>
              <w:t>1.07</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20"/>
                <w:szCs w:val="20"/>
              </w:rPr>
            </w:pPr>
            <w:r>
              <w:rPr>
                <w:rFonts w:ascii="Times New Roman"/>
                <w:w w:val="95"/>
                <w:sz w:val="20"/>
              </w:rPr>
              <w:t>79,164,911.53</w:t>
            </w:r>
            <w:r>
              <w:rPr>
                <w:rFonts w:ascii="Times New Roman"/>
                <w:sz w:val="20"/>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20"/>
                <w:szCs w:val="20"/>
              </w:rPr>
            </w:pPr>
            <w:r>
              <w:rPr>
                <w:rFonts w:ascii="Times New Roman"/>
                <w:sz w:val="20"/>
              </w:rPr>
              <w:t>0.61</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20"/>
                <w:szCs w:val="20"/>
              </w:rPr>
            </w:pPr>
            <w:r>
              <w:rPr>
                <w:rFonts w:ascii="Times New Roman"/>
                <w:sz w:val="20"/>
              </w:rPr>
              <w:t>73.49</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投建嘉兴装备科技产业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园</w:t>
            </w:r>
            <w:r>
              <w:rPr>
                <w:rFonts w:ascii="宋体" w:hAnsi="宋体" w:cs="宋体" w:eastAsia="宋体" w:hint="default"/>
                <w:sz w:val="21"/>
                <w:szCs w:val="21"/>
              </w:rPr>
              <w:t> </w:t>
            </w:r>
          </w:p>
        </w:tc>
      </w:tr>
      <w:tr>
        <w:trPr>
          <w:trHeight w:val="554"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4"/>
                <w:sz w:val="21"/>
                <w:szCs w:val="21"/>
              </w:rPr>
              <w:t>长期待摊</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w:t>
            </w:r>
            <w:r>
              <w:rPr>
                <w:rFonts w:ascii="宋体" w:hAnsi="宋体" w:cs="宋体" w:eastAsia="宋体" w:hint="default"/>
                <w:sz w:val="21"/>
                <w:szCs w:val="21"/>
              </w:rPr>
              <w:t> </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4"/>
              <w:jc w:val="right"/>
              <w:rPr>
                <w:rFonts w:ascii="Times New Roman" w:hAnsi="Times New Roman" w:cs="Times New Roman" w:eastAsia="Times New Roman" w:hint="default"/>
                <w:sz w:val="20"/>
                <w:szCs w:val="20"/>
              </w:rPr>
            </w:pPr>
            <w:r>
              <w:rPr>
                <w:rFonts w:ascii="Times New Roman"/>
                <w:w w:val="95"/>
                <w:sz w:val="20"/>
              </w:rPr>
              <w:t>8,688,113.68</w:t>
            </w:r>
            <w:r>
              <w:rPr>
                <w:rFonts w:ascii="Times New Roman"/>
                <w:sz w:val="20"/>
              </w:rPr>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20"/>
                <w:szCs w:val="20"/>
              </w:rPr>
            </w:pPr>
            <w:r>
              <w:rPr>
                <w:rFonts w:ascii="Times New Roman"/>
                <w:sz w:val="20"/>
              </w:rPr>
              <w:t>0.07</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20"/>
                <w:szCs w:val="20"/>
              </w:rPr>
            </w:pPr>
            <w:r>
              <w:rPr>
                <w:rFonts w:ascii="Times New Roman"/>
                <w:w w:val="95"/>
                <w:sz w:val="20"/>
              </w:rPr>
              <w:t>16,033,378.25</w:t>
            </w:r>
            <w:r>
              <w:rPr>
                <w:rFonts w:ascii="Times New Roman"/>
                <w:sz w:val="20"/>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20"/>
                <w:szCs w:val="20"/>
              </w:rPr>
            </w:pPr>
            <w:r>
              <w:rPr>
                <w:rFonts w:ascii="Times New Roman"/>
                <w:sz w:val="20"/>
              </w:rPr>
              <w:t>0.12</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20"/>
                <w:szCs w:val="20"/>
              </w:rPr>
            </w:pPr>
            <w:r>
              <w:rPr>
                <w:rFonts w:ascii="Times New Roman"/>
                <w:w w:val="95"/>
                <w:sz w:val="20"/>
              </w:rPr>
              <w:t>-45.81</w:t>
            </w:r>
            <w:r>
              <w:rPr>
                <w:rFonts w:ascii="Times New Roman"/>
                <w:sz w:val="20"/>
              </w:rPr>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办公装修费摊销</w:t>
            </w:r>
            <w:r>
              <w:rPr>
                <w:rFonts w:ascii="宋体" w:hAnsi="宋体" w:cs="宋体" w:eastAsia="宋体" w:hint="default"/>
                <w:sz w:val="21"/>
                <w:szCs w:val="21"/>
              </w:rPr>
              <w:t> </w:t>
            </w:r>
          </w:p>
        </w:tc>
      </w:tr>
      <w:tr>
        <w:trPr>
          <w:trHeight w:val="1099"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4"/>
              <w:jc w:val="right"/>
              <w:rPr>
                <w:rFonts w:ascii="Times New Roman" w:hAnsi="Times New Roman" w:cs="Times New Roman" w:eastAsia="Times New Roman" w:hint="default"/>
                <w:sz w:val="20"/>
                <w:szCs w:val="20"/>
              </w:rPr>
            </w:pPr>
            <w:r>
              <w:rPr>
                <w:rFonts w:ascii="Times New Roman"/>
                <w:spacing w:val="-1"/>
                <w:sz w:val="20"/>
              </w:rPr>
              <w:t>2,984,201,795.93</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3"/>
              <w:jc w:val="right"/>
              <w:rPr>
                <w:rFonts w:ascii="Times New Roman" w:hAnsi="Times New Roman" w:cs="Times New Roman" w:eastAsia="Times New Roman" w:hint="default"/>
                <w:sz w:val="20"/>
                <w:szCs w:val="20"/>
              </w:rPr>
            </w:pPr>
            <w:r>
              <w:rPr>
                <w:rFonts w:ascii="Times New Roman"/>
                <w:sz w:val="20"/>
              </w:rPr>
              <w:t>23.31</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2"/>
              <w:jc w:val="right"/>
              <w:rPr>
                <w:rFonts w:ascii="Times New Roman" w:hAnsi="Times New Roman" w:cs="Times New Roman" w:eastAsia="Times New Roman" w:hint="default"/>
                <w:sz w:val="20"/>
                <w:szCs w:val="20"/>
              </w:rPr>
            </w:pPr>
            <w:r>
              <w:rPr>
                <w:rFonts w:ascii="Times New Roman"/>
                <w:spacing w:val="-1"/>
                <w:sz w:val="20"/>
              </w:rPr>
              <w:t>1,377,883,593.47</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3"/>
              <w:jc w:val="right"/>
              <w:rPr>
                <w:rFonts w:ascii="Times New Roman" w:hAnsi="Times New Roman" w:cs="Times New Roman" w:eastAsia="Times New Roman" w:hint="default"/>
                <w:sz w:val="20"/>
                <w:szCs w:val="20"/>
              </w:rPr>
            </w:pPr>
            <w:r>
              <w:rPr>
                <w:rFonts w:ascii="Times New Roman"/>
                <w:sz w:val="20"/>
              </w:rPr>
              <w:t>10.68</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3"/>
              <w:jc w:val="right"/>
              <w:rPr>
                <w:rFonts w:ascii="Times New Roman" w:hAnsi="Times New Roman" w:cs="Times New Roman" w:eastAsia="Times New Roman" w:hint="default"/>
                <w:sz w:val="20"/>
                <w:szCs w:val="20"/>
              </w:rPr>
            </w:pPr>
            <w:r>
              <w:rPr>
                <w:rFonts w:ascii="Times New Roman"/>
                <w:w w:val="95"/>
                <w:sz w:val="20"/>
              </w:rPr>
              <w:t>116.58</w:t>
            </w:r>
            <w:r>
              <w:rPr>
                <w:rFonts w:ascii="Times New Roman"/>
                <w:sz w:val="20"/>
              </w:rPr>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新增经营性短期借款及</w:t>
            </w:r>
          </w:p>
          <w:p>
            <w:pPr>
              <w:pStyle w:val="TableParagraph"/>
              <w:spacing w:line="237" w:lineRule="auto" w:before="2"/>
              <w:ind w:left="100" w:right="12"/>
              <w:jc w:val="both"/>
              <w:rPr>
                <w:rFonts w:ascii="宋体" w:hAnsi="宋体" w:cs="宋体" w:eastAsia="宋体" w:hint="default"/>
                <w:sz w:val="21"/>
                <w:szCs w:val="21"/>
              </w:rPr>
            </w:pPr>
            <w:r>
              <w:rPr>
                <w:rFonts w:ascii="宋体" w:hAnsi="宋体" w:cs="宋体" w:eastAsia="宋体" w:hint="default"/>
                <w:sz w:val="21"/>
                <w:szCs w:val="21"/>
              </w:rPr>
              <w:t>按新金融工具会计准则</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规定将未到期已贴现的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商业票据和信用证转入</w:t>
            </w:r>
            <w:r>
              <w:rPr>
                <w:rFonts w:ascii="宋体" w:hAnsi="宋体" w:cs="宋体" w:eastAsia="宋体" w:hint="default"/>
                <w:sz w:val="21"/>
                <w:szCs w:val="21"/>
              </w:rPr>
              <w:t> </w:t>
            </w:r>
          </w:p>
        </w:tc>
      </w:tr>
      <w:tr>
        <w:trPr>
          <w:trHeight w:val="283"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spacing w:val="-1"/>
                <w:sz w:val="20"/>
              </w:rPr>
              <w:t>1,342,299,061.54</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sz w:val="20"/>
              </w:rPr>
              <w:t>10.49</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spacing w:val="-1"/>
                <w:sz w:val="20"/>
              </w:rPr>
              <w:t>2,397,450,958.44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sz w:val="20"/>
              </w:rPr>
              <w:t>18.59</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-44.01</w:t>
            </w:r>
            <w:r>
              <w:rPr>
                <w:rFonts w:ascii="Times New Roman"/>
                <w:sz w:val="20"/>
              </w:rPr>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货款到期支付</w:t>
            </w:r>
            <w:r>
              <w:rPr>
                <w:rFonts w:ascii="宋体" w:hAnsi="宋体" w:cs="宋体" w:eastAsia="宋体" w:hint="default"/>
                <w:sz w:val="21"/>
                <w:szCs w:val="21"/>
              </w:rPr>
              <w:t> </w:t>
            </w:r>
          </w:p>
        </w:tc>
      </w:tr>
      <w:tr>
        <w:trPr>
          <w:trHeight w:val="828"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65"/>
              <w:jc w:val="left"/>
              <w:rPr>
                <w:rFonts w:ascii="宋体" w:hAnsi="宋体" w:cs="宋体" w:eastAsia="宋体" w:hint="default"/>
                <w:sz w:val="21"/>
                <w:szCs w:val="21"/>
              </w:rPr>
            </w:pPr>
            <w:r>
              <w:rPr>
                <w:rFonts w:ascii="宋体" w:hAnsi="宋体" w:cs="宋体" w:eastAsia="宋体" w:hint="default"/>
                <w:spacing w:val="24"/>
                <w:sz w:val="21"/>
                <w:szCs w:val="21"/>
              </w:rPr>
              <w:t>其他应付</w:t>
            </w:r>
            <w:r>
              <w:rPr>
                <w:rFonts w:ascii="宋体" w:hAnsi="宋体" w:cs="宋体" w:eastAsia="宋体" w:hint="default"/>
                <w:spacing w:val="-98"/>
                <w:sz w:val="21"/>
                <w:szCs w:val="21"/>
              </w:rPr>
              <w:t> </w:t>
            </w:r>
            <w:r>
              <w:rPr>
                <w:rFonts w:ascii="宋体" w:hAnsi="宋体" w:cs="宋体" w:eastAsia="宋体" w:hint="default"/>
                <w:sz w:val="21"/>
                <w:szCs w:val="21"/>
              </w:rPr>
              <w:t>款</w:t>
            </w:r>
            <w:r>
              <w:rPr>
                <w:rFonts w:ascii="宋体" w:hAnsi="宋体" w:cs="宋体" w:eastAsia="宋体" w:hint="default"/>
                <w:sz w:val="21"/>
                <w:szCs w:val="21"/>
              </w:rPr>
              <w:t> </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646,478,542.29</w:t>
            </w:r>
            <w:r>
              <w:rPr>
                <w:rFonts w:ascii="Times New Roman"/>
                <w:sz w:val="20"/>
              </w:rPr>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sz w:val="20"/>
              </w:rPr>
              <w:t>5.05</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5"/>
                <w:sz w:val="20"/>
              </w:rPr>
              <w:t>327,665,003.37</w:t>
            </w:r>
            <w:r>
              <w:rPr>
                <w:rFonts w:ascii="Times New Roman"/>
                <w:sz w:val="20"/>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sz w:val="20"/>
              </w:rPr>
              <w:t>2.54</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sz w:val="20"/>
              </w:rPr>
              <w:t>97.30</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46"/>
                <w:sz w:val="21"/>
                <w:szCs w:val="21"/>
              </w:rPr>
              <w:t> </w:t>
            </w:r>
            <w:r>
              <w:rPr>
                <w:rFonts w:ascii="宋体" w:hAnsi="宋体" w:cs="宋体" w:eastAsia="宋体" w:hint="default"/>
                <w:sz w:val="21"/>
                <w:szCs w:val="21"/>
              </w:rPr>
              <w:t>ABS</w:t>
            </w:r>
            <w:r>
              <w:rPr>
                <w:rFonts w:ascii="宋体" w:hAnsi="宋体" w:cs="宋体" w:eastAsia="宋体" w:hint="default"/>
                <w:spacing w:val="-47"/>
                <w:sz w:val="21"/>
                <w:szCs w:val="21"/>
              </w:rPr>
              <w:t> </w:t>
            </w:r>
            <w:r>
              <w:rPr>
                <w:rFonts w:ascii="宋体" w:hAnsi="宋体" w:cs="宋体" w:eastAsia="宋体" w:hint="default"/>
                <w:sz w:val="21"/>
                <w:szCs w:val="21"/>
              </w:rPr>
              <w:t>回款待转付专</w:t>
            </w:r>
          </w:p>
          <w:p>
            <w:pPr>
              <w:pStyle w:val="TableParagraph"/>
              <w:spacing w:line="272" w:lineRule="exact" w:before="27"/>
              <w:ind w:left="100" w:right="102"/>
              <w:jc w:val="left"/>
              <w:rPr>
                <w:rFonts w:ascii="宋体" w:hAnsi="宋体" w:cs="宋体" w:eastAsia="宋体" w:hint="default"/>
                <w:sz w:val="21"/>
                <w:szCs w:val="21"/>
              </w:rPr>
            </w:pPr>
            <w:r>
              <w:rPr>
                <w:rFonts w:ascii="宋体" w:hAnsi="宋体" w:cs="宋体" w:eastAsia="宋体" w:hint="default"/>
                <w:sz w:val="21"/>
                <w:szCs w:val="21"/>
              </w:rPr>
              <w:t>项计划及待付泰豪软件</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少数股东收购款</w:t>
            </w:r>
            <w:r>
              <w:rPr>
                <w:rFonts w:ascii="宋体" w:hAnsi="宋体" w:cs="宋体" w:eastAsia="宋体" w:hint="default"/>
                <w:sz w:val="21"/>
                <w:szCs w:val="21"/>
              </w:rPr>
              <w:t> </w:t>
            </w:r>
          </w:p>
        </w:tc>
      </w:tr>
      <w:tr>
        <w:trPr>
          <w:trHeight w:val="826"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4"/>
                <w:sz w:val="21"/>
                <w:szCs w:val="21"/>
              </w:rPr>
              <w:t>一年内到</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40" w:lineRule="auto"/>
              <w:ind w:left="103" w:right="65"/>
              <w:jc w:val="left"/>
              <w:rPr>
                <w:rFonts w:ascii="宋体" w:hAnsi="宋体" w:cs="宋体" w:eastAsia="宋体" w:hint="default"/>
                <w:sz w:val="21"/>
                <w:szCs w:val="21"/>
              </w:rPr>
            </w:pPr>
            <w:r>
              <w:rPr>
                <w:rFonts w:ascii="宋体" w:hAnsi="宋体" w:cs="宋体" w:eastAsia="宋体" w:hint="default"/>
                <w:spacing w:val="24"/>
                <w:sz w:val="21"/>
                <w:szCs w:val="21"/>
              </w:rPr>
              <w:t>期的非流</w:t>
            </w:r>
            <w:r>
              <w:rPr>
                <w:rFonts w:ascii="宋体" w:hAnsi="宋体" w:cs="宋体" w:eastAsia="宋体" w:hint="default"/>
                <w:spacing w:val="-98"/>
                <w:sz w:val="21"/>
                <w:szCs w:val="21"/>
              </w:rPr>
              <w:t> </w:t>
            </w:r>
            <w:r>
              <w:rPr>
                <w:rFonts w:ascii="宋体" w:hAnsi="宋体" w:cs="宋体" w:eastAsia="宋体" w:hint="default"/>
                <w:sz w:val="21"/>
                <w:szCs w:val="21"/>
              </w:rPr>
              <w:t>动负债</w:t>
            </w:r>
            <w:r>
              <w:rPr>
                <w:rFonts w:ascii="宋体" w:hAnsi="宋体" w:cs="宋体" w:eastAsia="宋体" w:hint="default"/>
                <w:sz w:val="21"/>
                <w:szCs w:val="21"/>
              </w:rPr>
              <w:t> </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465,850,419.45</w:t>
            </w:r>
            <w:r>
              <w:rPr>
                <w:rFonts w:ascii="Times New Roman"/>
                <w:sz w:val="20"/>
              </w:rPr>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sz w:val="20"/>
              </w:rPr>
              <w:t>3.64</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57,266,775.62</w:t>
            </w:r>
            <w:r>
              <w:rPr>
                <w:rFonts w:ascii="Times New Roman"/>
                <w:sz w:val="20"/>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sz w:val="20"/>
              </w:rPr>
              <w:t>0.44</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w w:val="95"/>
                <w:sz w:val="20"/>
              </w:rPr>
              <w:t>713.47</w:t>
            </w:r>
            <w:r>
              <w:rPr>
                <w:rFonts w:ascii="Times New Roman"/>
                <w:sz w:val="20"/>
              </w:rPr>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0" w:right="102"/>
              <w:jc w:val="left"/>
              <w:rPr>
                <w:rFonts w:ascii="宋体" w:hAnsi="宋体" w:cs="宋体" w:eastAsia="宋体" w:hint="default"/>
                <w:sz w:val="21"/>
                <w:szCs w:val="21"/>
              </w:rPr>
            </w:pPr>
            <w:r>
              <w:rPr>
                <w:rFonts w:ascii="宋体" w:hAnsi="宋体" w:cs="宋体" w:eastAsia="宋体" w:hint="default"/>
                <w:sz w:val="21"/>
                <w:szCs w:val="21"/>
              </w:rPr>
              <w:t>一年内到期的长期借款</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转入</w:t>
            </w:r>
            <w:r>
              <w:rPr>
                <w:rFonts w:ascii="宋体" w:hAnsi="宋体" w:cs="宋体" w:eastAsia="宋体" w:hint="default"/>
                <w:sz w:val="21"/>
                <w:szCs w:val="21"/>
              </w:rPr>
              <w:t> </w:t>
            </w:r>
          </w:p>
        </w:tc>
      </w:tr>
      <w:tr>
        <w:trPr>
          <w:trHeight w:val="828"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65"/>
              <w:jc w:val="left"/>
              <w:rPr>
                <w:rFonts w:ascii="宋体" w:hAnsi="宋体" w:cs="宋体" w:eastAsia="宋体" w:hint="default"/>
                <w:sz w:val="21"/>
                <w:szCs w:val="21"/>
              </w:rPr>
            </w:pPr>
            <w:r>
              <w:rPr>
                <w:rFonts w:ascii="宋体" w:hAnsi="宋体" w:cs="宋体" w:eastAsia="宋体" w:hint="default"/>
                <w:spacing w:val="24"/>
                <w:sz w:val="21"/>
                <w:szCs w:val="21"/>
              </w:rPr>
              <w:t>其他流动</w:t>
            </w:r>
            <w:r>
              <w:rPr>
                <w:rFonts w:ascii="宋体" w:hAnsi="宋体" w:cs="宋体" w:eastAsia="宋体" w:hint="default"/>
                <w:spacing w:val="-98"/>
                <w:sz w:val="21"/>
                <w:szCs w:val="21"/>
              </w:rPr>
              <w:t> </w:t>
            </w:r>
            <w:r>
              <w:rPr>
                <w:rFonts w:ascii="宋体" w:hAnsi="宋体" w:cs="宋体" w:eastAsia="宋体" w:hint="default"/>
                <w:sz w:val="21"/>
                <w:szCs w:val="21"/>
              </w:rPr>
              <w:t>负债</w:t>
            </w:r>
            <w:r>
              <w:rPr>
                <w:rFonts w:ascii="宋体" w:hAnsi="宋体" w:cs="宋体" w:eastAsia="宋体" w:hint="default"/>
                <w:sz w:val="21"/>
                <w:szCs w:val="21"/>
              </w:rPr>
              <w:t> </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314,715,809.05</w:t>
            </w:r>
            <w:r>
              <w:rPr>
                <w:rFonts w:ascii="Times New Roman"/>
                <w:sz w:val="20"/>
              </w:rPr>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sz w:val="20"/>
              </w:rPr>
              <w:t>2.46</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z w:val="20"/>
              </w:rPr>
              <w:t>0.00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20"/>
                <w:szCs w:val="20"/>
              </w:rPr>
            </w:pPr>
            <w:r>
              <w:rPr>
                <w:rFonts w:ascii="宋体" w:hAnsi="宋体" w:cs="宋体" w:eastAsia="宋体" w:hint="default"/>
                <w:w w:val="95"/>
                <w:sz w:val="20"/>
                <w:szCs w:val="20"/>
              </w:rPr>
              <w:t>不适用</w:t>
            </w:r>
            <w:r>
              <w:rPr>
                <w:rFonts w:ascii="宋体" w:hAnsi="宋体" w:cs="宋体" w:eastAsia="宋体" w:hint="default"/>
                <w:sz w:val="20"/>
                <w:szCs w:val="20"/>
              </w:rPr>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按新金融工具会计准则</w:t>
            </w:r>
          </w:p>
          <w:p>
            <w:pPr>
              <w:pStyle w:val="TableParagraph"/>
              <w:spacing w:line="272" w:lineRule="exact" w:before="27"/>
              <w:ind w:left="100" w:right="102"/>
              <w:jc w:val="left"/>
              <w:rPr>
                <w:rFonts w:ascii="宋体" w:hAnsi="宋体" w:cs="宋体" w:eastAsia="宋体" w:hint="default"/>
                <w:sz w:val="21"/>
                <w:szCs w:val="21"/>
              </w:rPr>
            </w:pPr>
            <w:r>
              <w:rPr>
                <w:rFonts w:ascii="宋体" w:hAnsi="宋体" w:cs="宋体" w:eastAsia="宋体" w:hint="default"/>
                <w:sz w:val="21"/>
                <w:szCs w:val="21"/>
              </w:rPr>
              <w:t>规定转入已背书未到期</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商业票据</w:t>
            </w:r>
            <w:r>
              <w:rPr>
                <w:rFonts w:ascii="宋体" w:hAnsi="宋体" w:cs="宋体" w:eastAsia="宋体" w:hint="default"/>
                <w:sz w:val="21"/>
                <w:szCs w:val="21"/>
              </w:rPr>
              <w:t> </w:t>
            </w:r>
          </w:p>
        </w:tc>
      </w:tr>
      <w:tr>
        <w:trPr>
          <w:trHeight w:val="554"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4"/>
              <w:jc w:val="right"/>
              <w:rPr>
                <w:rFonts w:ascii="Times New Roman" w:hAnsi="Times New Roman" w:cs="Times New Roman" w:eastAsia="Times New Roman" w:hint="default"/>
                <w:sz w:val="20"/>
                <w:szCs w:val="20"/>
              </w:rPr>
            </w:pPr>
            <w:r>
              <w:rPr>
                <w:rFonts w:ascii="Times New Roman"/>
                <w:w w:val="95"/>
                <w:sz w:val="20"/>
              </w:rPr>
              <w:t>166,272,916.44</w:t>
            </w:r>
            <w:r>
              <w:rPr>
                <w:rFonts w:ascii="Times New Roman"/>
                <w:sz w:val="20"/>
              </w:rPr>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3"/>
              <w:jc w:val="right"/>
              <w:rPr>
                <w:rFonts w:ascii="Times New Roman" w:hAnsi="Times New Roman" w:cs="Times New Roman" w:eastAsia="Times New Roman" w:hint="default"/>
                <w:sz w:val="20"/>
                <w:szCs w:val="20"/>
              </w:rPr>
            </w:pPr>
            <w:r>
              <w:rPr>
                <w:rFonts w:ascii="Times New Roman"/>
                <w:sz w:val="20"/>
              </w:rPr>
              <w:t>1.30</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Times New Roman" w:hAnsi="Times New Roman" w:cs="Times New Roman" w:eastAsia="Times New Roman" w:hint="default"/>
                <w:sz w:val="20"/>
                <w:szCs w:val="20"/>
              </w:rPr>
            </w:pPr>
            <w:r>
              <w:rPr>
                <w:rFonts w:ascii="Times New Roman"/>
                <w:w w:val="95"/>
                <w:sz w:val="20"/>
              </w:rPr>
              <w:t>644,582,412.16</w:t>
            </w:r>
            <w:r>
              <w:rPr>
                <w:rFonts w:ascii="Times New Roman"/>
                <w:sz w:val="20"/>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3"/>
              <w:jc w:val="right"/>
              <w:rPr>
                <w:rFonts w:ascii="Times New Roman" w:hAnsi="Times New Roman" w:cs="Times New Roman" w:eastAsia="Times New Roman" w:hint="default"/>
                <w:sz w:val="20"/>
                <w:szCs w:val="20"/>
              </w:rPr>
            </w:pPr>
            <w:r>
              <w:rPr>
                <w:rFonts w:ascii="Times New Roman"/>
                <w:sz w:val="20"/>
              </w:rPr>
              <w:t>5.00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3"/>
              <w:jc w:val="right"/>
              <w:rPr>
                <w:rFonts w:ascii="Times New Roman" w:hAnsi="Times New Roman" w:cs="Times New Roman" w:eastAsia="Times New Roman" w:hint="default"/>
                <w:sz w:val="20"/>
                <w:szCs w:val="20"/>
              </w:rPr>
            </w:pPr>
            <w:r>
              <w:rPr>
                <w:rFonts w:ascii="Times New Roman"/>
                <w:w w:val="95"/>
                <w:sz w:val="20"/>
              </w:rPr>
              <w:t>-74.20</w:t>
            </w:r>
            <w:r>
              <w:rPr>
                <w:rFonts w:ascii="Times New Roman"/>
                <w:sz w:val="20"/>
              </w:rPr>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一年内到期的长期借款</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转出</w:t>
            </w:r>
            <w:r>
              <w:rPr>
                <w:rFonts w:ascii="宋体" w:hAnsi="宋体" w:cs="宋体" w:eastAsia="宋体" w:hint="default"/>
                <w:sz w:val="21"/>
                <w:szCs w:val="21"/>
              </w:rPr>
              <w:t> </w:t>
            </w:r>
          </w:p>
        </w:tc>
      </w:tr>
      <w:tr>
        <w:trPr>
          <w:trHeight w:val="554"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21"/>
                <w:szCs w:val="21"/>
              </w:rPr>
            </w:pPr>
            <w:r>
              <w:rPr>
                <w:rFonts w:ascii="Times New Roman"/>
                <w:spacing w:val="-1"/>
                <w:sz w:val="21"/>
              </w:rPr>
              <w:t>81,867,449.40</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0.64</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1,308,571,308.25</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10.14</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-93.74</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公司债及中期票据到期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兑付</w:t>
            </w:r>
            <w:r>
              <w:rPr>
                <w:rFonts w:ascii="宋体" w:hAnsi="宋体" w:cs="宋体" w:eastAsia="宋体" w:hint="default"/>
                <w:sz w:val="21"/>
                <w:szCs w:val="21"/>
              </w:rPr>
              <w:t> </w:t>
            </w:r>
          </w:p>
        </w:tc>
      </w:tr>
      <w:tr>
        <w:trPr>
          <w:trHeight w:val="283"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库存股</w:t>
            </w:r>
            <w:r>
              <w:rPr>
                <w:rFonts w:ascii="宋体" w:hAnsi="宋体" w:cs="宋体" w:eastAsia="宋体" w:hint="default"/>
                <w:sz w:val="21"/>
                <w:szCs w:val="21"/>
              </w:rPr>
              <w:t> </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spacing w:val="-1"/>
                <w:sz w:val="21"/>
              </w:rPr>
              <w:t>90,773,946.46</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0.71</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174,824,068.42</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1.36</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-48.08</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限制性股权激励解锁</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60" w:right="560"/>
        </w:sectPr>
      </w:pPr>
    </w:p>
    <w:p>
      <w:pPr>
        <w:spacing w:line="240" w:lineRule="auto" w:before="3"/>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160"/>
        <w:gridCol w:w="1886"/>
        <w:gridCol w:w="1023"/>
        <w:gridCol w:w="1901"/>
        <w:gridCol w:w="1448"/>
        <w:gridCol w:w="1303"/>
        <w:gridCol w:w="2331"/>
      </w:tblGrid>
      <w:tr>
        <w:trPr>
          <w:trHeight w:val="828"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65"/>
              <w:jc w:val="left"/>
              <w:rPr>
                <w:rFonts w:ascii="宋体" w:hAnsi="宋体" w:cs="宋体" w:eastAsia="宋体" w:hint="default"/>
                <w:sz w:val="21"/>
                <w:szCs w:val="21"/>
              </w:rPr>
            </w:pPr>
            <w:r>
              <w:rPr>
                <w:rFonts w:ascii="宋体" w:hAnsi="宋体" w:cs="宋体" w:eastAsia="宋体" w:hint="default"/>
                <w:spacing w:val="24"/>
                <w:sz w:val="21"/>
                <w:szCs w:val="21"/>
              </w:rPr>
              <w:t>少数股东</w:t>
            </w:r>
            <w:r>
              <w:rPr>
                <w:rFonts w:ascii="宋体" w:hAnsi="宋体" w:cs="宋体" w:eastAsia="宋体" w:hint="default"/>
                <w:spacing w:val="-98"/>
                <w:sz w:val="21"/>
                <w:szCs w:val="21"/>
              </w:rPr>
              <w:t> </w:t>
            </w:r>
            <w:r>
              <w:rPr>
                <w:rFonts w:ascii="宋体" w:hAnsi="宋体" w:cs="宋体" w:eastAsia="宋体" w:hint="default"/>
                <w:sz w:val="21"/>
                <w:szCs w:val="21"/>
              </w:rPr>
              <w:t>权益</w:t>
            </w:r>
            <w:r>
              <w:rPr>
                <w:rFonts w:ascii="宋体" w:hAnsi="宋体" w:cs="宋体" w:eastAsia="宋体" w:hint="default"/>
                <w:sz w:val="21"/>
                <w:szCs w:val="21"/>
              </w:rPr>
              <w:t> </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58" w:right="0"/>
              <w:jc w:val="left"/>
              <w:rPr>
                <w:rFonts w:ascii="Times New Roman" w:hAnsi="Times New Roman" w:cs="Times New Roman" w:eastAsia="Times New Roman" w:hint="default"/>
                <w:sz w:val="21"/>
                <w:szCs w:val="21"/>
              </w:rPr>
            </w:pPr>
            <w:r>
              <w:rPr>
                <w:rFonts w:ascii="Times New Roman"/>
                <w:sz w:val="21"/>
              </w:rPr>
              <w:t>232,866,650.12</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40" w:right="0"/>
              <w:jc w:val="left"/>
              <w:rPr>
                <w:rFonts w:ascii="Times New Roman" w:hAnsi="Times New Roman" w:cs="Times New Roman" w:eastAsia="Times New Roman" w:hint="default"/>
                <w:sz w:val="21"/>
                <w:szCs w:val="21"/>
              </w:rPr>
            </w:pPr>
            <w:r>
              <w:rPr>
                <w:rFonts w:ascii="Times New Roman"/>
                <w:sz w:val="21"/>
              </w:rPr>
              <w:t>1.82</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75" w:right="0"/>
              <w:jc w:val="left"/>
              <w:rPr>
                <w:rFonts w:ascii="Times New Roman" w:hAnsi="Times New Roman" w:cs="Times New Roman" w:eastAsia="Times New Roman" w:hint="default"/>
                <w:sz w:val="21"/>
                <w:szCs w:val="21"/>
              </w:rPr>
            </w:pPr>
            <w:r>
              <w:rPr>
                <w:rFonts w:ascii="Times New Roman"/>
                <w:sz w:val="21"/>
              </w:rPr>
              <w:t>365,066,603.47</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2.83</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45" w:right="0"/>
              <w:jc w:val="left"/>
              <w:rPr>
                <w:rFonts w:ascii="Times New Roman" w:hAnsi="Times New Roman" w:cs="Times New Roman" w:eastAsia="Times New Roman" w:hint="default"/>
                <w:sz w:val="21"/>
                <w:szCs w:val="21"/>
              </w:rPr>
            </w:pPr>
            <w:r>
              <w:rPr>
                <w:rFonts w:ascii="Times New Roman"/>
                <w:sz w:val="21"/>
              </w:rPr>
              <w:t>-36.21</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收购泰豪软件公司少数</w:t>
            </w:r>
          </w:p>
          <w:p>
            <w:pPr>
              <w:pStyle w:val="TableParagraph"/>
              <w:spacing w:line="272" w:lineRule="exact" w:before="27"/>
              <w:ind w:left="100" w:right="102"/>
              <w:jc w:val="left"/>
              <w:rPr>
                <w:rFonts w:ascii="宋体" w:hAnsi="宋体" w:cs="宋体" w:eastAsia="宋体" w:hint="default"/>
                <w:sz w:val="21"/>
                <w:szCs w:val="21"/>
              </w:rPr>
            </w:pPr>
            <w:r>
              <w:rPr>
                <w:rFonts w:ascii="宋体" w:hAnsi="宋体" w:cs="宋体" w:eastAsia="宋体" w:hint="default"/>
                <w:sz w:val="21"/>
                <w:szCs w:val="21"/>
              </w:rPr>
              <w:t>股东股权及合并范围减</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少湖南基石公司所致</w:t>
            </w:r>
            <w:r>
              <w:rPr>
                <w:rFonts w:ascii="宋体" w:hAnsi="宋体" w:cs="宋体" w:eastAsia="宋体" w:hint="default"/>
                <w:sz w:val="21"/>
                <w:szCs w:val="21"/>
              </w:rPr>
              <w:t> </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0" w:footer="1195" w:top="1120" w:bottom="1380" w:left="60" w:right="560"/>
        </w:sectPr>
      </w:pPr>
    </w:p>
    <w:p>
      <w:pPr>
        <w:pStyle w:val="Heading5"/>
        <w:tabs>
          <w:tab w:pos="1642" w:val="left" w:leader="none"/>
        </w:tabs>
        <w:spacing w:line="240" w:lineRule="auto" w:before="36"/>
        <w:ind w:left="1216" w:right="0"/>
        <w:jc w:val="left"/>
        <w:rPr>
          <w:rFonts w:ascii="宋体" w:hAnsi="宋体" w:cs="宋体" w:eastAsia="宋体" w:hint="default"/>
          <w:b w:val="0"/>
          <w:bCs w:val="0"/>
        </w:rPr>
      </w:pPr>
      <w:r>
        <w:rPr>
          <w:rFonts w:ascii="宋体" w:hAnsi="宋体" w:cs="宋体" w:eastAsia="宋体" w:hint="default"/>
          <w:w w:val="95"/>
        </w:rPr>
        <w:t>2.</w:t>
        <w:tab/>
      </w:r>
      <w:r>
        <w:rPr/>
        <w:t>截至报告期末主要资产受限情况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121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8"/>
        <w:ind w:left="1249" w:right="1163"/>
        <w:jc w:val="center"/>
        <w:rPr>
          <w:rFonts w:ascii="宋体" w:hAnsi="宋体" w:cs="宋体" w:eastAsia="宋体" w:hint="default"/>
        </w:rPr>
      </w:pPr>
      <w:r>
        <w:rPr/>
        <w:t>单位：元</w:t>
      </w:r>
      <w:r>
        <w:rPr>
          <w:rFonts w:ascii="宋体" w:hAnsi="宋体" w:cs="宋体" w:eastAsia="宋体" w:hint="default"/>
        </w:rPr>
        <w:t> </w:t>
      </w:r>
    </w:p>
    <w:p>
      <w:pPr>
        <w:spacing w:after="0" w:line="240" w:lineRule="auto"/>
        <w:jc w:val="center"/>
        <w:rPr>
          <w:rFonts w:ascii="宋体" w:hAnsi="宋体" w:cs="宋体" w:eastAsia="宋体" w:hint="default"/>
        </w:rPr>
        <w:sectPr>
          <w:type w:val="continuous"/>
          <w:pgSz w:w="11910" w:h="16840"/>
          <w:pgMar w:top="1120" w:bottom="1380" w:left="60" w:right="560"/>
          <w:cols w:num="2" w:equalWidth="0">
            <w:col w:w="4701" w:space="3293"/>
            <w:col w:w="3296"/>
          </w:cols>
        </w:sectPr>
      </w:pPr>
    </w:p>
    <w:p>
      <w:pPr>
        <w:spacing w:line="240" w:lineRule="auto" w:before="4"/>
        <w:rPr>
          <w:rFonts w:ascii="宋体" w:hAnsi="宋体" w:cs="宋体" w:eastAsia="宋体" w:hint="default"/>
          <w:sz w:val="2"/>
          <w:szCs w:val="2"/>
        </w:rPr>
      </w:pPr>
    </w:p>
    <w:tbl>
      <w:tblPr>
        <w:tblW w:w="0" w:type="auto"/>
        <w:jc w:val="left"/>
        <w:tblInd w:w="1236" w:type="dxa"/>
        <w:tblLayout w:type="fixed"/>
        <w:tblCellMar>
          <w:top w:w="0" w:type="dxa"/>
          <w:left w:w="0" w:type="dxa"/>
          <w:bottom w:w="0" w:type="dxa"/>
          <w:right w:w="0" w:type="dxa"/>
        </w:tblCellMar>
        <w:tblLook w:val="01E0"/>
      </w:tblPr>
      <w:tblGrid>
        <w:gridCol w:w="2405"/>
        <w:gridCol w:w="1702"/>
        <w:gridCol w:w="4679"/>
      </w:tblGrid>
      <w:tr>
        <w:trPr>
          <w:trHeight w:val="298"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6" w:right="0"/>
              <w:jc w:val="center"/>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6"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98" w:right="0"/>
              <w:jc w:val="center"/>
              <w:rPr>
                <w:rFonts w:ascii="宋体" w:hAnsi="宋体" w:cs="宋体" w:eastAsia="宋体" w:hint="default"/>
                <w:sz w:val="21"/>
                <w:szCs w:val="21"/>
              </w:rPr>
            </w:pPr>
            <w:r>
              <w:rPr>
                <w:rFonts w:ascii="宋体" w:hAnsi="宋体" w:cs="宋体" w:eastAsia="宋体" w:hint="default"/>
                <w:sz w:val="21"/>
                <w:szCs w:val="21"/>
              </w:rPr>
              <w:t>受限原因</w:t>
            </w:r>
            <w:r>
              <w:rPr>
                <w:rFonts w:ascii="宋体" w:hAnsi="宋体" w:cs="宋体" w:eastAsia="宋体" w:hint="default"/>
                <w:sz w:val="21"/>
                <w:szCs w:val="21"/>
              </w:rPr>
              <w:t> </w:t>
            </w:r>
          </w:p>
        </w:tc>
      </w:tr>
      <w:tr>
        <w:trPr>
          <w:trHeight w:val="298"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36" w:right="-17"/>
              <w:jc w:val="left"/>
              <w:rPr>
                <w:rFonts w:ascii="宋体" w:hAnsi="宋体" w:cs="宋体" w:eastAsia="宋体" w:hint="default"/>
                <w:sz w:val="24"/>
                <w:szCs w:val="24"/>
              </w:rPr>
            </w:pPr>
            <w:r>
              <w:rPr>
                <w:rFonts w:ascii="Times New Roman"/>
                <w:sz w:val="20"/>
              </w:rPr>
              <w:t>965,597,344.96</w:t>
            </w:r>
            <w:r>
              <w:rPr>
                <w:rFonts w:ascii="宋体"/>
                <w:sz w:val="24"/>
              </w:rPr>
              <w:t> </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 w:right="0"/>
              <w:jc w:val="left"/>
              <w:rPr>
                <w:rFonts w:ascii="宋体" w:hAnsi="宋体" w:cs="宋体" w:eastAsia="宋体" w:hint="default"/>
                <w:sz w:val="21"/>
                <w:szCs w:val="21"/>
              </w:rPr>
            </w:pPr>
            <w:r>
              <w:rPr>
                <w:rFonts w:ascii="宋体" w:hAnsi="宋体" w:cs="宋体" w:eastAsia="宋体" w:hint="default"/>
                <w:sz w:val="21"/>
                <w:szCs w:val="21"/>
              </w:rPr>
              <w:t>为票据及信用证保证金</w:t>
            </w:r>
            <w:r>
              <w:rPr>
                <w:rFonts w:ascii="宋体" w:hAnsi="宋体" w:cs="宋体" w:eastAsia="宋体" w:hint="default"/>
                <w:sz w:val="21"/>
                <w:szCs w:val="21"/>
              </w:rPr>
              <w:t> </w:t>
            </w:r>
          </w:p>
        </w:tc>
      </w:tr>
      <w:tr>
        <w:trPr>
          <w:trHeight w:val="300"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固定资产—房屋建筑物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538" w:right="0"/>
              <w:jc w:val="left"/>
              <w:rPr>
                <w:rFonts w:ascii="Times New Roman" w:hAnsi="Times New Roman" w:cs="Times New Roman" w:eastAsia="Times New Roman" w:hint="default"/>
                <w:sz w:val="20"/>
                <w:szCs w:val="20"/>
              </w:rPr>
            </w:pPr>
            <w:r>
              <w:rPr>
                <w:rFonts w:ascii="Times New Roman"/>
                <w:sz w:val="20"/>
              </w:rPr>
              <w:t>9,454,641.00</w:t>
            </w:r>
          </w:p>
        </w:tc>
        <w:tc>
          <w:tcPr>
            <w:tcW w:w="4679" w:type="dxa"/>
            <w:vMerge w:val="restart"/>
            <w:tcBorders>
              <w:top w:val="single" w:sz="4" w:space="0" w:color="000000"/>
              <w:left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中国银行福建龙岩支行 </w:t>
            </w:r>
            <w:r>
              <w:rPr>
                <w:rFonts w:ascii="宋体" w:hAnsi="宋体" w:cs="宋体" w:eastAsia="宋体" w:hint="default"/>
                <w:sz w:val="21"/>
                <w:szCs w:val="21"/>
              </w:rPr>
              <w:t>1,700</w:t>
            </w:r>
            <w:r>
              <w:rPr>
                <w:rFonts w:ascii="宋体" w:hAnsi="宋体" w:cs="宋体" w:eastAsia="宋体" w:hint="default"/>
                <w:spacing w:val="-58"/>
                <w:sz w:val="21"/>
                <w:szCs w:val="21"/>
              </w:rPr>
              <w:t> </w:t>
            </w:r>
            <w:r>
              <w:rPr>
                <w:rFonts w:ascii="宋体" w:hAnsi="宋体" w:cs="宋体" w:eastAsia="宋体" w:hint="default"/>
                <w:sz w:val="21"/>
                <w:szCs w:val="21"/>
              </w:rPr>
              <w:t>万元银行票据额度</w:t>
            </w:r>
          </w:p>
          <w:p>
            <w:pPr>
              <w:pStyle w:val="TableParagraph"/>
              <w:spacing w:line="272" w:lineRule="exact" w:before="26"/>
              <w:ind w:left="100" w:right="102"/>
              <w:jc w:val="left"/>
              <w:rPr>
                <w:rFonts w:ascii="宋体" w:hAnsi="宋体" w:cs="宋体" w:eastAsia="宋体" w:hint="default"/>
                <w:sz w:val="21"/>
                <w:szCs w:val="21"/>
              </w:rPr>
            </w:pPr>
            <w:r>
              <w:rPr>
                <w:rFonts w:ascii="宋体" w:hAnsi="宋体" w:cs="宋体" w:eastAsia="宋体" w:hint="default"/>
                <w:sz w:val="21"/>
                <w:szCs w:val="21"/>
              </w:rPr>
              <w:t>受限抵押，前述抵押担保项下债务已履行完毕，</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抵押解除手续正在办理中。</w:t>
            </w:r>
            <w:r>
              <w:rPr>
                <w:rFonts w:ascii="宋体" w:hAnsi="宋体" w:cs="宋体" w:eastAsia="宋体" w:hint="default"/>
                <w:sz w:val="21"/>
                <w:szCs w:val="21"/>
              </w:rPr>
              <w:t> </w:t>
            </w:r>
          </w:p>
        </w:tc>
      </w:tr>
      <w:tr>
        <w:trPr>
          <w:trHeight w:val="528"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无形资产—土地使用权</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39" w:right="0"/>
              <w:jc w:val="left"/>
              <w:rPr>
                <w:rFonts w:ascii="Times New Roman" w:hAnsi="Times New Roman" w:cs="Times New Roman" w:eastAsia="Times New Roman" w:hint="default"/>
                <w:sz w:val="20"/>
                <w:szCs w:val="20"/>
              </w:rPr>
            </w:pPr>
            <w:r>
              <w:rPr>
                <w:rFonts w:ascii="Times New Roman"/>
                <w:sz w:val="20"/>
              </w:rPr>
              <w:t>25,227,646.84</w:t>
            </w:r>
          </w:p>
        </w:tc>
        <w:tc>
          <w:tcPr>
            <w:tcW w:w="4679" w:type="dxa"/>
            <w:vMerge/>
            <w:tcBorders>
              <w:left w:val="single" w:sz="4" w:space="0" w:color="000000"/>
              <w:bottom w:val="single" w:sz="4" w:space="0" w:color="000000"/>
              <w:right w:val="single" w:sz="4" w:space="0" w:color="000000"/>
            </w:tcBorders>
          </w:tcPr>
          <w:p>
            <w:pPr/>
          </w:p>
        </w:tc>
      </w:tr>
      <w:tr>
        <w:trPr>
          <w:trHeight w:val="298"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房屋建筑物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39" w:right="0"/>
              <w:jc w:val="left"/>
              <w:rPr>
                <w:rFonts w:ascii="Times New Roman" w:hAnsi="Times New Roman" w:cs="Times New Roman" w:eastAsia="Times New Roman" w:hint="default"/>
                <w:sz w:val="20"/>
                <w:szCs w:val="20"/>
              </w:rPr>
            </w:pPr>
            <w:r>
              <w:rPr>
                <w:rFonts w:ascii="Times New Roman"/>
                <w:sz w:val="20"/>
              </w:rPr>
              <w:t>57,167,496.36</w:t>
            </w:r>
          </w:p>
        </w:tc>
        <w:tc>
          <w:tcPr>
            <w:tcW w:w="4679" w:type="dxa"/>
            <w:vMerge w:val="restart"/>
            <w:tcBorders>
              <w:top w:val="single" w:sz="4" w:space="0" w:color="000000"/>
              <w:left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为泰豪沈阳电机有限公司在中国进出口银行上海</w:t>
            </w:r>
          </w:p>
          <w:p>
            <w:pPr>
              <w:pStyle w:val="TableParagraph"/>
              <w:spacing w:line="237" w:lineRule="auto" w:before="2"/>
              <w:ind w:left="100" w:right="98"/>
              <w:jc w:val="both"/>
              <w:rPr>
                <w:rFonts w:ascii="宋体" w:hAnsi="宋体" w:cs="宋体" w:eastAsia="宋体" w:hint="default"/>
                <w:sz w:val="21"/>
                <w:szCs w:val="21"/>
              </w:rPr>
            </w:pPr>
            <w:r>
              <w:rPr>
                <w:rFonts w:ascii="宋体" w:hAnsi="宋体" w:cs="宋体" w:eastAsia="宋体" w:hint="default"/>
                <w:spacing w:val="-6"/>
                <w:sz w:val="21"/>
                <w:szCs w:val="21"/>
              </w:rPr>
              <w:t>分行、大连分行</w:t>
            </w:r>
            <w:r>
              <w:rPr>
                <w:rFonts w:ascii="宋体" w:hAnsi="宋体" w:cs="宋体" w:eastAsia="宋体" w:hint="default"/>
                <w:spacing w:val="-41"/>
                <w:sz w:val="21"/>
                <w:szCs w:val="21"/>
              </w:rPr>
              <w:t> </w:t>
            </w:r>
            <w:r>
              <w:rPr>
                <w:rFonts w:ascii="宋体" w:hAnsi="宋体" w:cs="宋体" w:eastAsia="宋体" w:hint="default"/>
                <w:sz w:val="21"/>
                <w:szCs w:val="21"/>
              </w:rPr>
              <w:t>12,000</w:t>
            </w:r>
            <w:r>
              <w:rPr>
                <w:rFonts w:ascii="宋体" w:hAnsi="宋体" w:cs="宋体" w:eastAsia="宋体" w:hint="default"/>
                <w:spacing w:val="-43"/>
                <w:sz w:val="21"/>
                <w:szCs w:val="21"/>
              </w:rPr>
              <w:t> </w:t>
            </w:r>
            <w:r>
              <w:rPr>
                <w:rFonts w:ascii="宋体" w:hAnsi="宋体" w:cs="宋体" w:eastAsia="宋体" w:hint="default"/>
                <w:spacing w:val="-4"/>
                <w:sz w:val="21"/>
                <w:szCs w:val="21"/>
              </w:rPr>
              <w:t>万元长期借款抵押，前述</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抵押担保项下债务已履行完毕，抵押解除手续正</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在办理中。</w:t>
            </w:r>
            <w:r>
              <w:rPr>
                <w:rFonts w:ascii="宋体" w:hAnsi="宋体" w:cs="宋体" w:eastAsia="宋体" w:hint="default"/>
                <w:spacing w:val="-3"/>
                <w:sz w:val="21"/>
                <w:szCs w:val="21"/>
              </w:rPr>
              <w:t> </w:t>
            </w:r>
            <w:r>
              <w:rPr>
                <w:rFonts w:ascii="宋体" w:hAnsi="宋体" w:cs="宋体" w:eastAsia="宋体" w:hint="default"/>
                <w:sz w:val="21"/>
                <w:szCs w:val="21"/>
              </w:rPr>
              <w:t> </w:t>
            </w:r>
          </w:p>
        </w:tc>
      </w:tr>
      <w:tr>
        <w:trPr>
          <w:trHeight w:val="802"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w:t>
            </w:r>
            <w:r>
              <w:rPr>
                <w:rFonts w:ascii="宋体" w:hAnsi="宋体" w:cs="宋体" w:eastAsia="宋体" w:hint="default"/>
                <w:sz w:val="21"/>
                <w:szCs w:val="21"/>
              </w:rPr>
              <w:t>土地使用权</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39" w:right="0"/>
              <w:jc w:val="left"/>
              <w:rPr>
                <w:rFonts w:ascii="Times New Roman" w:hAnsi="Times New Roman" w:cs="Times New Roman" w:eastAsia="Times New Roman" w:hint="default"/>
                <w:sz w:val="20"/>
                <w:szCs w:val="20"/>
              </w:rPr>
            </w:pPr>
            <w:r>
              <w:rPr>
                <w:rFonts w:ascii="Times New Roman"/>
                <w:sz w:val="20"/>
              </w:rPr>
              <w:t>56,804,833.10</w:t>
            </w:r>
          </w:p>
        </w:tc>
        <w:tc>
          <w:tcPr>
            <w:tcW w:w="4679" w:type="dxa"/>
            <w:vMerge/>
            <w:tcBorders>
              <w:left w:val="single" w:sz="4" w:space="0" w:color="000000"/>
              <w:bottom w:val="single" w:sz="4" w:space="0" w:color="000000"/>
              <w:right w:val="single" w:sz="4" w:space="0" w:color="000000"/>
            </w:tcBorders>
          </w:tcPr>
          <w:p>
            <w:pPr/>
          </w:p>
        </w:tc>
      </w:tr>
      <w:tr>
        <w:trPr>
          <w:trHeight w:val="586"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
              <w:ind w:left="103" w:right="99"/>
              <w:jc w:val="left"/>
              <w:rPr>
                <w:rFonts w:ascii="宋体" w:hAnsi="宋体" w:cs="宋体" w:eastAsia="宋体" w:hint="default"/>
                <w:sz w:val="21"/>
                <w:szCs w:val="21"/>
              </w:rPr>
            </w:pPr>
            <w:r>
              <w:rPr>
                <w:rFonts w:ascii="宋体" w:hAnsi="宋体" w:cs="宋体" w:eastAsia="宋体" w:hint="default"/>
                <w:spacing w:val="16"/>
                <w:sz w:val="21"/>
                <w:szCs w:val="21"/>
              </w:rPr>
              <w:t>长期股权投资</w:t>
            </w:r>
            <w:r>
              <w:rPr>
                <w:rFonts w:ascii="宋体" w:hAnsi="宋体" w:cs="宋体" w:eastAsia="宋体" w:hint="default"/>
                <w:spacing w:val="16"/>
                <w:sz w:val="21"/>
                <w:szCs w:val="21"/>
              </w:rPr>
              <w:t>-</w:t>
            </w:r>
            <w:r>
              <w:rPr>
                <w:rFonts w:ascii="宋体" w:hAnsi="宋体" w:cs="宋体" w:eastAsia="宋体" w:hint="default"/>
                <w:spacing w:val="-72"/>
                <w:sz w:val="21"/>
                <w:szCs w:val="21"/>
              </w:rPr>
              <w:t> </w:t>
            </w:r>
            <w:r>
              <w:rPr>
                <w:rFonts w:ascii="宋体" w:hAnsi="宋体" w:cs="宋体" w:eastAsia="宋体" w:hint="default"/>
                <w:spacing w:val="12"/>
                <w:sz w:val="21"/>
                <w:szCs w:val="21"/>
              </w:rPr>
              <w:t>龙岩市</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海德馨汽车有限公司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left="338" w:right="0"/>
              <w:jc w:val="left"/>
              <w:rPr>
                <w:rFonts w:ascii="Times New Roman" w:hAnsi="Times New Roman" w:cs="Times New Roman" w:eastAsia="Times New Roman" w:hint="default"/>
                <w:sz w:val="20"/>
                <w:szCs w:val="20"/>
              </w:rPr>
            </w:pPr>
            <w:r>
              <w:rPr>
                <w:rFonts w:ascii="Times New Roman"/>
                <w:sz w:val="20"/>
              </w:rPr>
              <w:t>132,600,000.00</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
              <w:ind w:left="100" w:right="99"/>
              <w:jc w:val="left"/>
              <w:rPr>
                <w:rFonts w:ascii="宋体" w:hAnsi="宋体" w:cs="宋体" w:eastAsia="宋体" w:hint="default"/>
                <w:sz w:val="21"/>
                <w:szCs w:val="21"/>
              </w:rPr>
            </w:pPr>
            <w:r>
              <w:rPr>
                <w:rFonts w:ascii="宋体" w:hAnsi="宋体" w:cs="宋体" w:eastAsia="宋体" w:hint="default"/>
                <w:sz w:val="21"/>
                <w:szCs w:val="21"/>
              </w:rPr>
              <w:t>中国工商银行北京西路支行 </w:t>
            </w:r>
            <w:r>
              <w:rPr>
                <w:rFonts w:ascii="宋体" w:hAnsi="宋体" w:cs="宋体" w:eastAsia="宋体" w:hint="default"/>
                <w:sz w:val="21"/>
                <w:szCs w:val="21"/>
              </w:rPr>
              <w:t>2,924</w:t>
            </w:r>
            <w:r>
              <w:rPr>
                <w:rFonts w:ascii="宋体" w:hAnsi="宋体" w:cs="宋体" w:eastAsia="宋体" w:hint="default"/>
                <w:spacing w:val="-55"/>
                <w:sz w:val="21"/>
                <w:szCs w:val="21"/>
              </w:rPr>
              <w:t> </w:t>
            </w:r>
            <w:r>
              <w:rPr>
                <w:rFonts w:ascii="宋体" w:hAnsi="宋体" w:cs="宋体" w:eastAsia="宋体" w:hint="default"/>
                <w:sz w:val="21"/>
                <w:szCs w:val="21"/>
              </w:rPr>
              <w:t>万元长期借款</w:t>
            </w:r>
            <w:r>
              <w:rPr>
                <w:rFonts w:ascii="宋体" w:hAnsi="宋体" w:cs="宋体" w:eastAsia="宋体" w:hint="default"/>
                <w:w w:val="100"/>
                <w:sz w:val="21"/>
                <w:szCs w:val="21"/>
              </w:rPr>
              <w:t> </w:t>
            </w:r>
            <w:r>
              <w:rPr>
                <w:rFonts w:ascii="宋体" w:hAnsi="宋体" w:cs="宋体" w:eastAsia="宋体" w:hint="default"/>
                <w:sz w:val="21"/>
                <w:szCs w:val="21"/>
              </w:rPr>
              <w:t>质押</w:t>
            </w:r>
            <w:r>
              <w:rPr>
                <w:rFonts w:ascii="宋体" w:hAnsi="宋体" w:cs="宋体" w:eastAsia="宋体" w:hint="default"/>
                <w:sz w:val="21"/>
                <w:szCs w:val="21"/>
              </w:rPr>
              <w:t> </w:t>
            </w:r>
          </w:p>
        </w:tc>
      </w:tr>
      <w:tr>
        <w:trPr>
          <w:trHeight w:val="586"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
              <w:ind w:left="103" w:right="99"/>
              <w:jc w:val="left"/>
              <w:rPr>
                <w:rFonts w:ascii="宋体" w:hAnsi="宋体" w:cs="宋体" w:eastAsia="宋体" w:hint="default"/>
                <w:sz w:val="21"/>
                <w:szCs w:val="21"/>
              </w:rPr>
            </w:pPr>
            <w:r>
              <w:rPr>
                <w:rFonts w:ascii="宋体" w:hAnsi="宋体" w:cs="宋体" w:eastAsia="宋体" w:hint="default"/>
                <w:spacing w:val="16"/>
                <w:sz w:val="21"/>
                <w:szCs w:val="21"/>
              </w:rPr>
              <w:t>长期股权投资</w:t>
            </w:r>
            <w:r>
              <w:rPr>
                <w:rFonts w:ascii="宋体" w:hAnsi="宋体" w:cs="宋体" w:eastAsia="宋体" w:hint="default"/>
                <w:spacing w:val="16"/>
                <w:sz w:val="21"/>
                <w:szCs w:val="21"/>
              </w:rPr>
              <w:t>-</w:t>
            </w:r>
            <w:r>
              <w:rPr>
                <w:rFonts w:ascii="宋体" w:hAnsi="宋体" w:cs="宋体" w:eastAsia="宋体" w:hint="default"/>
                <w:spacing w:val="-71"/>
                <w:sz w:val="21"/>
                <w:szCs w:val="21"/>
              </w:rPr>
              <w:t> </w:t>
            </w:r>
            <w:r>
              <w:rPr>
                <w:rFonts w:ascii="宋体" w:hAnsi="宋体" w:cs="宋体" w:eastAsia="宋体" w:hint="default"/>
                <w:spacing w:val="12"/>
                <w:sz w:val="21"/>
                <w:szCs w:val="21"/>
              </w:rPr>
              <w:t>上海红</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生系统工程有限公司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left="338" w:right="0"/>
              <w:jc w:val="left"/>
              <w:rPr>
                <w:rFonts w:ascii="Times New Roman" w:hAnsi="Times New Roman" w:cs="Times New Roman" w:eastAsia="Times New Roman" w:hint="default"/>
                <w:sz w:val="20"/>
                <w:szCs w:val="20"/>
              </w:rPr>
            </w:pPr>
            <w:r>
              <w:rPr>
                <w:rFonts w:ascii="Times New Roman"/>
                <w:sz w:val="20"/>
              </w:rPr>
              <w:t>490,000,000.00</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
              <w:ind w:left="100" w:right="100"/>
              <w:jc w:val="left"/>
              <w:rPr>
                <w:rFonts w:ascii="宋体" w:hAnsi="宋体" w:cs="宋体" w:eastAsia="宋体" w:hint="default"/>
                <w:sz w:val="21"/>
                <w:szCs w:val="21"/>
              </w:rPr>
            </w:pPr>
            <w:r>
              <w:rPr>
                <w:rFonts w:ascii="宋体" w:hAnsi="宋体" w:cs="宋体" w:eastAsia="宋体" w:hint="default"/>
                <w:sz w:val="21"/>
                <w:szCs w:val="21"/>
              </w:rPr>
              <w:t>中国工商银行北京西路支行</w:t>
            </w:r>
            <w:r>
              <w:rPr>
                <w:rFonts w:ascii="宋体" w:hAnsi="宋体" w:cs="宋体" w:eastAsia="宋体" w:hint="default"/>
                <w:spacing w:val="27"/>
                <w:sz w:val="21"/>
                <w:szCs w:val="21"/>
              </w:rPr>
              <w:t> </w:t>
            </w:r>
            <w:r>
              <w:rPr>
                <w:rFonts w:ascii="宋体" w:hAnsi="宋体" w:cs="宋体" w:eastAsia="宋体" w:hint="default"/>
                <w:sz w:val="21"/>
                <w:szCs w:val="21"/>
              </w:rPr>
              <w:t>20,600</w:t>
            </w:r>
            <w:r>
              <w:rPr>
                <w:rFonts w:ascii="宋体" w:hAnsi="宋体" w:cs="宋体" w:eastAsia="宋体" w:hint="default"/>
                <w:spacing w:val="22"/>
                <w:sz w:val="21"/>
                <w:szCs w:val="21"/>
              </w:rPr>
              <w:t> </w:t>
            </w:r>
            <w:r>
              <w:rPr>
                <w:rFonts w:ascii="宋体" w:hAnsi="宋体" w:cs="宋体" w:eastAsia="宋体" w:hint="default"/>
                <w:sz w:val="21"/>
                <w:szCs w:val="21"/>
              </w:rPr>
              <w:t>万元长期借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款质押</w:t>
            </w:r>
            <w:r>
              <w:rPr>
                <w:rFonts w:ascii="宋体" w:hAnsi="宋体" w:cs="宋体" w:eastAsia="宋体" w:hint="default"/>
                <w:sz w:val="21"/>
                <w:szCs w:val="21"/>
              </w:rPr>
              <w:t> </w:t>
            </w:r>
          </w:p>
        </w:tc>
      </w:tr>
      <w:tr>
        <w:trPr>
          <w:trHeight w:val="554"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投资性房地产</w:t>
            </w:r>
            <w:r>
              <w:rPr>
                <w:rFonts w:ascii="宋体" w:hAnsi="宋体" w:cs="宋体" w:eastAsia="宋体" w:hint="default"/>
                <w:spacing w:val="16"/>
                <w:sz w:val="21"/>
                <w:szCs w:val="21"/>
              </w:rPr>
              <w:t>-</w:t>
            </w:r>
            <w:r>
              <w:rPr>
                <w:rFonts w:ascii="宋体" w:hAnsi="宋体" w:cs="宋体" w:eastAsia="宋体" w:hint="default"/>
                <w:spacing w:val="-60"/>
                <w:sz w:val="21"/>
                <w:szCs w:val="21"/>
              </w:rPr>
              <w:t> </w:t>
            </w:r>
            <w:r>
              <w:rPr>
                <w:rFonts w:ascii="宋体" w:hAnsi="宋体" w:cs="宋体" w:eastAsia="宋体" w:hint="default"/>
                <w:spacing w:val="12"/>
                <w:sz w:val="21"/>
                <w:szCs w:val="21"/>
              </w:rPr>
              <w:t>房屋建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筑物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439" w:right="0"/>
              <w:jc w:val="left"/>
              <w:rPr>
                <w:rFonts w:ascii="Times New Roman" w:hAnsi="Times New Roman" w:cs="Times New Roman" w:eastAsia="Times New Roman" w:hint="default"/>
                <w:sz w:val="20"/>
                <w:szCs w:val="20"/>
              </w:rPr>
            </w:pPr>
            <w:r>
              <w:rPr>
                <w:rFonts w:ascii="Times New Roman"/>
                <w:sz w:val="20"/>
              </w:rPr>
              <w:t>35,034,973.20</w:t>
            </w:r>
          </w:p>
        </w:tc>
        <w:tc>
          <w:tcPr>
            <w:tcW w:w="467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江西省融资担保股份有限公司为公司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亿元公司</w:t>
            </w:r>
            <w:r>
              <w:rPr>
                <w:rFonts w:ascii="宋体" w:hAnsi="宋体" w:cs="宋体" w:eastAsia="宋体" w:hint="default"/>
                <w:w w:val="100"/>
                <w:sz w:val="21"/>
                <w:szCs w:val="21"/>
              </w:rPr>
              <w:t> </w:t>
            </w:r>
            <w:r>
              <w:rPr>
                <w:rFonts w:ascii="宋体" w:hAnsi="宋体" w:cs="宋体" w:eastAsia="宋体" w:hint="default"/>
                <w:sz w:val="21"/>
                <w:szCs w:val="21"/>
              </w:rPr>
              <w:t>债发行担保，公司提供反担保抵押</w:t>
            </w:r>
            <w:r>
              <w:rPr>
                <w:rFonts w:ascii="宋体" w:hAnsi="宋体" w:cs="宋体" w:eastAsia="宋体" w:hint="default"/>
                <w:sz w:val="21"/>
                <w:szCs w:val="21"/>
              </w:rPr>
              <w:t> </w:t>
            </w:r>
          </w:p>
        </w:tc>
      </w:tr>
      <w:tr>
        <w:trPr>
          <w:trHeight w:val="300"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w:t>
            </w:r>
            <w:r>
              <w:rPr>
                <w:rFonts w:ascii="宋体" w:hAnsi="宋体" w:cs="宋体" w:eastAsia="宋体" w:hint="default"/>
                <w:sz w:val="21"/>
                <w:szCs w:val="21"/>
              </w:rPr>
              <w:t>土地使用权</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538" w:right="0"/>
              <w:jc w:val="left"/>
              <w:rPr>
                <w:rFonts w:ascii="Times New Roman" w:hAnsi="Times New Roman" w:cs="Times New Roman" w:eastAsia="Times New Roman" w:hint="default"/>
                <w:sz w:val="20"/>
                <w:szCs w:val="20"/>
              </w:rPr>
            </w:pPr>
            <w:r>
              <w:rPr>
                <w:rFonts w:ascii="Times New Roman"/>
                <w:sz w:val="20"/>
              </w:rPr>
              <w:t>6,565,620.98</w:t>
            </w:r>
          </w:p>
        </w:tc>
        <w:tc>
          <w:tcPr>
            <w:tcW w:w="4679" w:type="dxa"/>
            <w:vMerge/>
            <w:tcBorders>
              <w:left w:val="single" w:sz="4" w:space="0" w:color="000000"/>
              <w:right w:val="single" w:sz="4" w:space="0" w:color="000000"/>
            </w:tcBorders>
          </w:tcPr>
          <w:p>
            <w:pPr/>
          </w:p>
        </w:tc>
      </w:tr>
      <w:tr>
        <w:trPr>
          <w:trHeight w:val="298"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房屋建筑物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39" w:right="0"/>
              <w:jc w:val="left"/>
              <w:rPr>
                <w:rFonts w:ascii="Times New Roman" w:hAnsi="Times New Roman" w:cs="Times New Roman" w:eastAsia="Times New Roman" w:hint="default"/>
                <w:sz w:val="20"/>
                <w:szCs w:val="20"/>
              </w:rPr>
            </w:pPr>
            <w:r>
              <w:rPr>
                <w:rFonts w:ascii="Times New Roman"/>
                <w:sz w:val="20"/>
              </w:rPr>
              <w:t>36,930,957.53</w:t>
            </w:r>
          </w:p>
        </w:tc>
        <w:tc>
          <w:tcPr>
            <w:tcW w:w="4679" w:type="dxa"/>
            <w:vMerge/>
            <w:tcBorders>
              <w:left w:val="single" w:sz="4" w:space="0" w:color="000000"/>
              <w:bottom w:val="single" w:sz="4" w:space="0" w:color="000000"/>
              <w:right w:val="single" w:sz="4" w:space="0" w:color="000000"/>
            </w:tcBorders>
          </w:tcPr>
          <w:p>
            <w:pPr/>
          </w:p>
        </w:tc>
      </w:tr>
      <w:tr>
        <w:trPr>
          <w:trHeight w:val="298"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90" w:right="0"/>
              <w:jc w:val="left"/>
              <w:rPr>
                <w:rFonts w:ascii="Times New Roman" w:hAnsi="Times New Roman" w:cs="Times New Roman" w:eastAsia="Times New Roman" w:hint="default"/>
                <w:sz w:val="20"/>
                <w:szCs w:val="20"/>
              </w:rPr>
            </w:pPr>
            <w:r>
              <w:rPr>
                <w:rFonts w:ascii="Times New Roman"/>
                <w:sz w:val="20"/>
              </w:rPr>
              <w:t>1,815,383,513.97</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w w:val="100"/>
                <w:sz w:val="21"/>
              </w:rPr>
              <w:t> </w:t>
            </w:r>
          </w:p>
        </w:tc>
      </w:tr>
    </w:tbl>
    <w:p>
      <w:pPr>
        <w:spacing w:after="0" w:line="248" w:lineRule="exact"/>
        <w:jc w:val="left"/>
        <w:rPr>
          <w:rFonts w:ascii="宋体" w:hAnsi="宋体" w:cs="宋体" w:eastAsia="宋体" w:hint="default"/>
          <w:sz w:val="21"/>
          <w:szCs w:val="21"/>
        </w:rPr>
        <w:sectPr>
          <w:type w:val="continuous"/>
          <w:pgSz w:w="11910" w:h="16840"/>
          <w:pgMar w:top="1120" w:bottom="1380" w:left="60" w:right="560"/>
        </w:sectPr>
      </w:pPr>
    </w:p>
    <w:p>
      <w:pPr>
        <w:pStyle w:val="Heading3"/>
        <w:spacing w:line="274" w:lineRule="exact"/>
        <w:ind w:left="0" w:right="166"/>
        <w:jc w:val="center"/>
        <w:rPr>
          <w:rFonts w:ascii="宋体" w:hAnsi="宋体" w:cs="宋体" w:eastAsia="宋体" w:hint="default"/>
        </w:rPr>
      </w:pPr>
      <w:r>
        <w:rPr>
          <w:rFonts w:ascii="宋体"/>
        </w:rPr>
        <w:t> </w:t>
      </w:r>
    </w:p>
    <w:p>
      <w:pPr>
        <w:pStyle w:val="Heading5"/>
        <w:tabs>
          <w:tab w:pos="1642" w:val="left" w:leader="none"/>
        </w:tabs>
        <w:spacing w:line="240" w:lineRule="auto"/>
        <w:ind w:left="1216" w:right="-14"/>
        <w:jc w:val="left"/>
        <w:rPr>
          <w:rFonts w:ascii="宋体" w:hAnsi="宋体" w:cs="宋体" w:eastAsia="宋体" w:hint="default"/>
          <w:b w:val="0"/>
          <w:bCs w:val="0"/>
        </w:rPr>
      </w:pPr>
      <w:r>
        <w:rPr>
          <w:rFonts w:ascii="宋体" w:hAnsi="宋体" w:cs="宋体" w:eastAsia="宋体" w:hint="default"/>
          <w:w w:val="95"/>
        </w:rPr>
        <w:t>3.</w:t>
        <w:tab/>
      </w:r>
      <w:r>
        <w:rPr/>
        <w:t>其他说明</w:t>
      </w:r>
      <w:r>
        <w:rPr>
          <w:rFonts w:ascii="宋体" w:hAnsi="宋体" w:cs="宋体" w:eastAsia="宋体" w:hint="default"/>
          <w:w w:val="99"/>
        </w:rPr>
        <w:t> </w:t>
      </w:r>
      <w:r>
        <w:rPr>
          <w:rFonts w:ascii="宋体" w:hAnsi="宋体" w:cs="宋体" w:eastAsia="宋体" w:hint="default"/>
          <w:b w:val="0"/>
          <w:bCs w:val="0"/>
        </w:rPr>
      </w:r>
    </w:p>
    <w:p>
      <w:pPr>
        <w:pStyle w:val="BodyText"/>
        <w:tabs>
          <w:tab w:pos="1963" w:val="left" w:leader="none"/>
        </w:tabs>
        <w:spacing w:line="240" w:lineRule="auto" w:before="56"/>
        <w:ind w:left="1216" w:right="-14"/>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8"/>
        <w:ind w:left="1216" w:right="0"/>
        <w:jc w:val="left"/>
        <w:rPr>
          <w:rFonts w:ascii="宋体" w:hAnsi="宋体" w:cs="宋体" w:eastAsia="宋体" w:hint="default"/>
        </w:rPr>
      </w:pPr>
      <w:r>
        <w:rPr/>
        <w:t>单位：元</w:t>
      </w:r>
      <w:r>
        <w:rPr>
          <w:spacing w:val="-3"/>
        </w:rPr>
        <w:t> </w:t>
      </w:r>
      <w:r>
        <w:rPr>
          <w:rFonts w:ascii="宋体" w:hAnsi="宋体" w:cs="宋体" w:eastAsia="宋体" w:hint="default"/>
          <w:spacing w:val="-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60" w:right="560"/>
          <w:cols w:num="2" w:equalWidth="0">
            <w:col w:w="2723" w:space="3905"/>
            <w:col w:w="4662"/>
          </w:cols>
        </w:sectPr>
      </w:pPr>
    </w:p>
    <w:p>
      <w:pPr>
        <w:spacing w:line="240" w:lineRule="auto" w:before="4"/>
        <w:rPr>
          <w:rFonts w:ascii="宋体" w:hAnsi="宋体" w:cs="宋体" w:eastAsia="宋体" w:hint="default"/>
          <w:sz w:val="2"/>
          <w:szCs w:val="2"/>
        </w:rPr>
      </w:pPr>
    </w:p>
    <w:tbl>
      <w:tblPr>
        <w:tblW w:w="0" w:type="auto"/>
        <w:jc w:val="left"/>
        <w:tblInd w:w="571" w:type="dxa"/>
        <w:tblLayout w:type="fixed"/>
        <w:tblCellMar>
          <w:top w:w="0" w:type="dxa"/>
          <w:left w:w="0" w:type="dxa"/>
          <w:bottom w:w="0" w:type="dxa"/>
          <w:right w:w="0" w:type="dxa"/>
        </w:tblCellMar>
        <w:tblLook w:val="01E0"/>
      </w:tblPr>
      <w:tblGrid>
        <w:gridCol w:w="1556"/>
        <w:gridCol w:w="1558"/>
        <w:gridCol w:w="1561"/>
        <w:gridCol w:w="1277"/>
        <w:gridCol w:w="4165"/>
      </w:tblGrid>
      <w:tr>
        <w:trPr>
          <w:trHeight w:val="290"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52"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26"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29"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6"/>
              <w:jc w:val="right"/>
              <w:rPr>
                <w:rFonts w:ascii="宋体" w:hAnsi="宋体" w:cs="宋体" w:eastAsia="宋体" w:hint="default"/>
                <w:sz w:val="21"/>
                <w:szCs w:val="21"/>
              </w:rPr>
            </w:pPr>
            <w:r>
              <w:rPr>
                <w:rFonts w:ascii="宋体" w:hAnsi="宋体" w:cs="宋体" w:eastAsia="宋体" w:hint="default"/>
                <w:spacing w:val="-2"/>
                <w:sz w:val="21"/>
                <w:szCs w:val="21"/>
              </w:rPr>
              <w:t>增减幅度</w:t>
            </w:r>
            <w:r>
              <w:rPr>
                <w:rFonts w:ascii="宋体" w:hAnsi="宋体" w:cs="宋体" w:eastAsia="宋体" w:hint="default"/>
                <w:sz w:val="21"/>
                <w:szCs w:val="21"/>
              </w:rPr>
              <w:t> </w:t>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0" w:right="0"/>
              <w:jc w:val="center"/>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850"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z w:val="20"/>
              </w:rPr>
              <w:t>23.87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z w:val="20"/>
              </w:rPr>
              <w:t>20.89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2.98</w:t>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left"/>
              <w:rPr>
                <w:rFonts w:ascii="宋体" w:hAnsi="宋体" w:cs="宋体" w:eastAsia="宋体" w:hint="default"/>
                <w:sz w:val="21"/>
                <w:szCs w:val="21"/>
              </w:rPr>
            </w:pPr>
            <w:r>
              <w:rPr>
                <w:rFonts w:ascii="宋体" w:hAnsi="宋体" w:cs="宋体" w:eastAsia="宋体" w:hint="default"/>
                <w:sz w:val="21"/>
                <w:szCs w:val="21"/>
              </w:rPr>
              <w:t>较低毛利率的智能应急电源产品业务收缩，</w:t>
            </w:r>
          </w:p>
          <w:p>
            <w:pPr>
              <w:pStyle w:val="TableParagraph"/>
              <w:spacing w:line="272" w:lineRule="exact" w:before="27"/>
              <w:ind w:left="100" w:right="101"/>
              <w:jc w:val="left"/>
              <w:rPr>
                <w:rFonts w:ascii="宋体" w:hAnsi="宋体" w:cs="宋体" w:eastAsia="宋体" w:hint="default"/>
                <w:sz w:val="21"/>
                <w:szCs w:val="21"/>
              </w:rPr>
            </w:pPr>
            <w:r>
              <w:rPr>
                <w:rFonts w:ascii="宋体" w:hAnsi="宋体" w:cs="宋体" w:eastAsia="宋体" w:hint="default"/>
                <w:spacing w:val="-4"/>
                <w:sz w:val="21"/>
                <w:szCs w:val="21"/>
              </w:rPr>
              <w:t>占比下降，而较高毛利率的军工装备业务占</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比继续提升</w:t>
            </w:r>
          </w:p>
        </w:tc>
      </w:tr>
      <w:tr>
        <w:trPr>
          <w:trHeight w:val="290"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20"/>
                <w:szCs w:val="20"/>
              </w:rPr>
            </w:pPr>
            <w:r>
              <w:rPr>
                <w:rFonts w:ascii="Times New Roman"/>
                <w:w w:val="95"/>
                <w:sz w:val="20"/>
              </w:rPr>
              <w:t>38,227,239.45</w:t>
            </w:r>
            <w:r>
              <w:rPr>
                <w:rFonts w:ascii="Times New Roman"/>
                <w:sz w:val="20"/>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20"/>
                <w:szCs w:val="20"/>
              </w:rPr>
            </w:pPr>
            <w:r>
              <w:rPr>
                <w:rFonts w:ascii="Times New Roman"/>
                <w:w w:val="95"/>
                <w:sz w:val="20"/>
              </w:rPr>
              <w:t>20,264,800.48</w:t>
            </w:r>
            <w:r>
              <w:rPr>
                <w:rFonts w:ascii="Times New Roman"/>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20"/>
                <w:szCs w:val="20"/>
              </w:rPr>
            </w:pPr>
            <w:r>
              <w:rPr>
                <w:rFonts w:ascii="Times New Roman"/>
                <w:w w:val="95"/>
                <w:sz w:val="20"/>
              </w:rPr>
              <w:t>88.64</w:t>
            </w:r>
            <w:r>
              <w:rPr>
                <w:rFonts w:ascii="Times New Roman"/>
                <w:sz w:val="20"/>
              </w:rPr>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与日常经营有关的政府补助增加</w:t>
            </w:r>
          </w:p>
        </w:tc>
      </w:tr>
      <w:tr>
        <w:trPr>
          <w:trHeight w:val="290"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20"/>
                <w:szCs w:val="20"/>
              </w:rPr>
            </w:pPr>
            <w:r>
              <w:rPr>
                <w:rFonts w:ascii="Times New Roman"/>
                <w:w w:val="95"/>
                <w:sz w:val="20"/>
              </w:rPr>
              <w:t>63,466,287.26</w:t>
            </w:r>
            <w:r>
              <w:rPr>
                <w:rFonts w:ascii="Times New Roman"/>
                <w:sz w:val="20"/>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20"/>
                <w:szCs w:val="20"/>
              </w:rPr>
            </w:pPr>
            <w:r>
              <w:rPr>
                <w:rFonts w:ascii="Times New Roman"/>
                <w:w w:val="95"/>
                <w:sz w:val="20"/>
              </w:rPr>
              <w:t>41,969,474.01</w:t>
            </w:r>
            <w:r>
              <w:rPr>
                <w:rFonts w:ascii="Times New Roman"/>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20"/>
                <w:szCs w:val="20"/>
              </w:rPr>
            </w:pPr>
            <w:r>
              <w:rPr>
                <w:rFonts w:ascii="Times New Roman"/>
                <w:w w:val="95"/>
                <w:sz w:val="20"/>
              </w:rPr>
              <w:t>51.22</w:t>
            </w:r>
            <w:r>
              <w:rPr>
                <w:rFonts w:ascii="Times New Roman"/>
                <w:sz w:val="20"/>
              </w:rPr>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股权处置收益增加</w:t>
            </w:r>
          </w:p>
        </w:tc>
      </w:tr>
      <w:tr>
        <w:trPr>
          <w:trHeight w:val="554"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w w:val="95"/>
                <w:sz w:val="20"/>
              </w:rPr>
              <w:t>-12,657,937.44</w:t>
            </w:r>
            <w:r>
              <w:rPr>
                <w:rFonts w:ascii="Times New Roman"/>
                <w:sz w:val="20"/>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54"/>
              <w:jc w:val="right"/>
              <w:rPr>
                <w:rFonts w:ascii="宋体" w:hAnsi="宋体" w:cs="宋体" w:eastAsia="宋体" w:hint="default"/>
                <w:sz w:val="20"/>
                <w:szCs w:val="20"/>
              </w:rPr>
            </w:pPr>
            <w:r>
              <w:rPr>
                <w:rFonts w:ascii="宋体" w:hAnsi="宋体" w:cs="宋体" w:eastAsia="宋体" w:hint="default"/>
                <w:w w:val="95"/>
                <w:sz w:val="20"/>
                <w:szCs w:val="20"/>
              </w:rPr>
              <w:t>不适用</w:t>
            </w:r>
            <w:r>
              <w:rPr>
                <w:rFonts w:ascii="宋体" w:hAnsi="宋体" w:cs="宋体" w:eastAsia="宋体" w:hint="default"/>
                <w:sz w:val="20"/>
                <w:szCs w:val="20"/>
              </w:rPr>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按新金融工具准则规定，以公允价值计量金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融资产</w:t>
            </w:r>
          </w:p>
        </w:tc>
      </w:tr>
      <w:tr>
        <w:trPr>
          <w:trHeight w:val="555"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信用减值损失</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2"/>
              <w:jc w:val="right"/>
              <w:rPr>
                <w:rFonts w:ascii="Times New Roman" w:hAnsi="Times New Roman" w:cs="Times New Roman" w:eastAsia="Times New Roman" w:hint="default"/>
                <w:sz w:val="20"/>
                <w:szCs w:val="20"/>
              </w:rPr>
            </w:pPr>
            <w:r>
              <w:rPr>
                <w:rFonts w:ascii="Times New Roman"/>
                <w:w w:val="95"/>
                <w:sz w:val="20"/>
              </w:rPr>
              <w:t>-49,927,605.75</w:t>
            </w:r>
            <w:r>
              <w:rPr>
                <w:rFonts w:ascii="Times New Roman"/>
                <w:sz w:val="20"/>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54"/>
              <w:jc w:val="right"/>
              <w:rPr>
                <w:rFonts w:ascii="宋体" w:hAnsi="宋体" w:cs="宋体" w:eastAsia="宋体" w:hint="default"/>
                <w:sz w:val="20"/>
                <w:szCs w:val="20"/>
              </w:rPr>
            </w:pPr>
            <w:r>
              <w:rPr>
                <w:rFonts w:ascii="宋体" w:hAnsi="宋体" w:cs="宋体" w:eastAsia="宋体" w:hint="default"/>
                <w:w w:val="95"/>
                <w:sz w:val="20"/>
                <w:szCs w:val="20"/>
              </w:rPr>
              <w:t>不适用</w:t>
            </w:r>
            <w:r>
              <w:rPr>
                <w:rFonts w:ascii="宋体" w:hAnsi="宋体" w:cs="宋体" w:eastAsia="宋体" w:hint="default"/>
                <w:sz w:val="20"/>
                <w:szCs w:val="20"/>
              </w:rPr>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按新金融工具准则规定，应收款项预期信用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w:t>
            </w:r>
          </w:p>
        </w:tc>
      </w:tr>
      <w:tr>
        <w:trPr>
          <w:trHeight w:val="290"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资产减值损失</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20"/>
                <w:szCs w:val="20"/>
              </w:rPr>
            </w:pPr>
            <w:r>
              <w:rPr>
                <w:rFonts w:ascii="Times New Roman"/>
                <w:w w:val="95"/>
                <w:sz w:val="20"/>
              </w:rPr>
              <w:t>-157,338,445.12</w:t>
            </w:r>
            <w:r>
              <w:rPr>
                <w:rFonts w:ascii="Times New Roman"/>
                <w:sz w:val="20"/>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20"/>
                <w:szCs w:val="20"/>
              </w:rPr>
            </w:pPr>
            <w:r>
              <w:rPr>
                <w:rFonts w:ascii="Times New Roman"/>
                <w:w w:val="95"/>
                <w:sz w:val="20"/>
              </w:rPr>
              <w:t>-119,038,241.81</w:t>
            </w:r>
            <w:r>
              <w:rPr>
                <w:rFonts w:ascii="Times New Roman"/>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20"/>
                <w:szCs w:val="20"/>
              </w:rPr>
            </w:pPr>
            <w:r>
              <w:rPr>
                <w:rFonts w:ascii="Times New Roman"/>
                <w:w w:val="95"/>
                <w:sz w:val="20"/>
              </w:rPr>
              <w:t>32.17</w:t>
            </w:r>
            <w:r>
              <w:rPr>
                <w:rFonts w:ascii="Times New Roman"/>
                <w:sz w:val="20"/>
              </w:rPr>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博辕信息计提商誉减值</w:t>
            </w:r>
          </w:p>
        </w:tc>
      </w:tr>
      <w:tr>
        <w:trPr>
          <w:trHeight w:val="290"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资产处置收益</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20"/>
                <w:szCs w:val="20"/>
              </w:rPr>
            </w:pPr>
            <w:r>
              <w:rPr>
                <w:rFonts w:ascii="Times New Roman"/>
                <w:w w:val="95"/>
                <w:sz w:val="20"/>
              </w:rPr>
              <w:t>-8,349,728.88</w:t>
            </w:r>
            <w:r>
              <w:rPr>
                <w:rFonts w:ascii="Times New Roman"/>
                <w:sz w:val="20"/>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20"/>
                <w:szCs w:val="20"/>
              </w:rPr>
            </w:pPr>
            <w:r>
              <w:rPr>
                <w:rFonts w:ascii="Times New Roman"/>
                <w:w w:val="95"/>
                <w:sz w:val="20"/>
              </w:rPr>
              <w:t>3,615,148.58</w:t>
            </w:r>
            <w:r>
              <w:rPr>
                <w:rFonts w:ascii="Times New Roman"/>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20"/>
                <w:szCs w:val="20"/>
              </w:rPr>
            </w:pPr>
            <w:r>
              <w:rPr>
                <w:rFonts w:ascii="Times New Roman"/>
                <w:spacing w:val="-1"/>
                <w:sz w:val="20"/>
              </w:rPr>
              <w:t>-330.97</w:t>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非主业资产处置损失增加</w:t>
            </w:r>
          </w:p>
        </w:tc>
      </w:tr>
      <w:tr>
        <w:trPr>
          <w:trHeight w:val="290"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0"/>
                <w:szCs w:val="20"/>
              </w:rPr>
            </w:pPr>
            <w:r>
              <w:rPr>
                <w:rFonts w:ascii="Times New Roman"/>
                <w:w w:val="95"/>
                <w:sz w:val="20"/>
              </w:rPr>
              <w:t>73,204,765.73</w:t>
            </w:r>
            <w:r>
              <w:rPr>
                <w:rFonts w:ascii="Times New Roman"/>
                <w:sz w:val="20"/>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0"/>
                <w:szCs w:val="20"/>
              </w:rPr>
            </w:pPr>
            <w:r>
              <w:rPr>
                <w:rFonts w:ascii="Times New Roman"/>
                <w:w w:val="95"/>
                <w:sz w:val="20"/>
              </w:rPr>
              <w:t>52,789,882.86</w:t>
            </w:r>
            <w:r>
              <w:rPr>
                <w:rFonts w:ascii="Times New Roman"/>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0"/>
                <w:szCs w:val="20"/>
              </w:rPr>
            </w:pPr>
            <w:r>
              <w:rPr>
                <w:rFonts w:ascii="Times New Roman"/>
                <w:w w:val="95"/>
                <w:sz w:val="20"/>
              </w:rPr>
              <w:t>38.67</w:t>
            </w:r>
            <w:r>
              <w:rPr>
                <w:rFonts w:ascii="Times New Roman"/>
                <w:sz w:val="20"/>
              </w:rPr>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经营性利润增长</w:t>
            </w:r>
          </w:p>
        </w:tc>
      </w:tr>
      <w:tr>
        <w:trPr>
          <w:trHeight w:val="290"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少数股东损益</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0"/>
                <w:szCs w:val="20"/>
              </w:rPr>
            </w:pPr>
            <w:r>
              <w:rPr>
                <w:rFonts w:ascii="Times New Roman"/>
                <w:w w:val="95"/>
                <w:sz w:val="20"/>
              </w:rPr>
              <w:t>6,706,022.18</w:t>
            </w:r>
            <w:r>
              <w:rPr>
                <w:rFonts w:ascii="Times New Roman"/>
                <w:sz w:val="20"/>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0"/>
                <w:szCs w:val="20"/>
              </w:rPr>
            </w:pPr>
            <w:r>
              <w:rPr>
                <w:rFonts w:ascii="Times New Roman"/>
                <w:w w:val="95"/>
                <w:sz w:val="20"/>
              </w:rPr>
              <w:t>11,896,575.88</w:t>
            </w:r>
            <w:r>
              <w:rPr>
                <w:rFonts w:ascii="Times New Roman"/>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44"/>
              <w:jc w:val="right"/>
              <w:rPr>
                <w:rFonts w:ascii="Times New Roman" w:hAnsi="Times New Roman" w:cs="Times New Roman" w:eastAsia="Times New Roman" w:hint="default"/>
                <w:sz w:val="20"/>
                <w:szCs w:val="20"/>
              </w:rPr>
            </w:pPr>
            <w:r>
              <w:rPr>
                <w:rFonts w:ascii="Times New Roman"/>
                <w:w w:val="95"/>
                <w:sz w:val="20"/>
              </w:rPr>
              <w:t>-43.63</w:t>
            </w:r>
            <w:r>
              <w:rPr>
                <w:rFonts w:ascii="Times New Roman"/>
                <w:sz w:val="20"/>
              </w:rPr>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非全资子公司当期收益减少</w:t>
            </w:r>
          </w:p>
        </w:tc>
      </w:tr>
    </w:tbl>
    <w:p>
      <w:pPr>
        <w:spacing w:line="240" w:lineRule="auto" w:before="7"/>
        <w:rPr>
          <w:rFonts w:ascii="宋体" w:hAnsi="宋体" w:cs="宋体" w:eastAsia="宋体" w:hint="default"/>
          <w:sz w:val="17"/>
          <w:szCs w:val="17"/>
        </w:rPr>
      </w:pPr>
    </w:p>
    <w:p>
      <w:pPr>
        <w:pStyle w:val="Heading5"/>
        <w:tabs>
          <w:tab w:pos="2057" w:val="left" w:leader="none"/>
        </w:tabs>
        <w:spacing w:line="240" w:lineRule="auto" w:before="36"/>
        <w:ind w:left="1216" w:right="0"/>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行业经营性信息分析</w:t>
      </w:r>
      <w:r>
        <w:rPr>
          <w:b w:val="0"/>
          <w:bCs w:val="0"/>
        </w:rPr>
      </w:r>
    </w:p>
    <w:p>
      <w:pPr>
        <w:pStyle w:val="Heading3"/>
        <w:spacing w:line="312" w:lineRule="exact" w:before="52"/>
        <w:ind w:left="1216" w:right="0"/>
        <w:jc w:val="left"/>
        <w:rPr>
          <w:rFonts w:ascii="宋体" w:hAnsi="宋体" w:cs="宋体" w:eastAsia="宋体" w:hint="default"/>
        </w:rPr>
      </w:pPr>
      <w:r>
        <w:rPr/>
        <w:t>□适用 </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2" w:lineRule="exact"/>
        <w:ind w:left="1216" w:right="0"/>
        <w:jc w:val="left"/>
        <w:rPr>
          <w:rFonts w:ascii="宋体" w:hAnsi="宋体" w:cs="宋体" w:eastAsia="宋体" w:hint="default"/>
        </w:rPr>
      </w:pPr>
      <w:r>
        <w:rPr>
          <w:rFonts w:ascii="宋体"/>
        </w:rPr>
        <w:t> </w:t>
      </w:r>
    </w:p>
    <w:p>
      <w:pPr>
        <w:spacing w:after="0" w:line="312" w:lineRule="exact"/>
        <w:jc w:val="left"/>
        <w:rPr>
          <w:rFonts w:ascii="宋体" w:hAnsi="宋体" w:cs="宋体" w:eastAsia="宋体" w:hint="default"/>
        </w:rPr>
        <w:sectPr>
          <w:type w:val="continuous"/>
          <w:pgSz w:w="11910" w:h="16840"/>
          <w:pgMar w:top="1120" w:bottom="1380" w:left="60" w:right="560"/>
        </w:sectPr>
      </w:pP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0" w:footer="1195" w:top="1120" w:bottom="1380" w:left="1060" w:right="1580"/>
        </w:sectPr>
      </w:pPr>
    </w:p>
    <w:p>
      <w:pPr>
        <w:pStyle w:val="Heading5"/>
        <w:tabs>
          <w:tab w:pos="1057" w:val="left" w:leader="none"/>
        </w:tabs>
        <w:spacing w:line="240" w:lineRule="auto" w:before="36"/>
        <w:ind w:right="-13"/>
        <w:jc w:val="left"/>
        <w:rPr>
          <w:b w:val="0"/>
          <w:bCs w:val="0"/>
        </w:rPr>
      </w:pPr>
      <w:r>
        <w:rPr>
          <w:rFonts w:ascii="宋体" w:hAnsi="宋体" w:cs="宋体" w:eastAsia="宋体" w:hint="default"/>
          <w:w w:val="95"/>
        </w:rPr>
        <w:t>(</w:t>
      </w:r>
      <w:r>
        <w:rPr>
          <w:w w:val="95"/>
        </w:rPr>
        <w:t>五</w:t>
      </w:r>
      <w:r>
        <w:rPr>
          <w:rFonts w:ascii="宋体" w:hAnsi="宋体" w:cs="宋体" w:eastAsia="宋体" w:hint="default"/>
          <w:w w:val="95"/>
        </w:rPr>
        <w:t>)</w:t>
        <w:tab/>
      </w:r>
      <w:r>
        <w:rPr/>
        <w:t>投资状况分析</w:t>
      </w:r>
      <w:r>
        <w:rPr>
          <w:b w:val="0"/>
          <w:bCs w:val="0"/>
        </w:rPr>
      </w:r>
    </w:p>
    <w:p>
      <w:pPr>
        <w:pStyle w:val="Heading5"/>
        <w:spacing w:line="240" w:lineRule="auto" w:before="56"/>
        <w:ind w:right="-13"/>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对外股权投资总体分析</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1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left="216" w:right="-13"/>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年公司以现金对外股权投资明细如下：</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tabs>
          <w:tab w:pos="1582" w:val="left" w:leader="none"/>
        </w:tabs>
        <w:spacing w:line="240" w:lineRule="auto"/>
        <w:ind w:left="216" w:right="0"/>
        <w:jc w:val="left"/>
      </w:pPr>
      <w:r>
        <w:rPr>
          <w:spacing w:val="-2"/>
        </w:rPr>
        <w:t>单位：万元</w:t>
        <w:tab/>
        <w:t>币种：人民币</w:t>
      </w:r>
    </w:p>
    <w:p>
      <w:pPr>
        <w:spacing w:after="0" w:line="240" w:lineRule="auto"/>
        <w:jc w:val="left"/>
        <w:sectPr>
          <w:type w:val="continuous"/>
          <w:pgSz w:w="11910" w:h="16840"/>
          <w:pgMar w:top="1120" w:bottom="1380" w:left="1060" w:right="1580"/>
          <w:cols w:num="2" w:equalWidth="0">
            <w:col w:w="4262" w:space="1621"/>
            <w:col w:w="3387"/>
          </w:cols>
        </w:sectPr>
      </w:pPr>
    </w:p>
    <w:p>
      <w:pPr>
        <w:spacing w:line="240" w:lineRule="auto" w:before="7"/>
        <w:rPr>
          <w:rFonts w:ascii="宋体" w:hAnsi="宋体" w:cs="宋体" w:eastAsia="宋体" w:hint="default"/>
          <w:sz w:val="2"/>
          <w:szCs w:val="2"/>
        </w:rPr>
      </w:pPr>
    </w:p>
    <w:tbl>
      <w:tblPr>
        <w:tblW w:w="0" w:type="auto"/>
        <w:jc w:val="left"/>
        <w:tblInd w:w="216" w:type="dxa"/>
        <w:tblLayout w:type="fixed"/>
        <w:tblCellMar>
          <w:top w:w="0" w:type="dxa"/>
          <w:left w:w="0" w:type="dxa"/>
          <w:bottom w:w="0" w:type="dxa"/>
          <w:right w:w="0" w:type="dxa"/>
        </w:tblCellMar>
        <w:tblLook w:val="01E0"/>
      </w:tblPr>
      <w:tblGrid>
        <w:gridCol w:w="2367"/>
        <w:gridCol w:w="2797"/>
        <w:gridCol w:w="1296"/>
        <w:gridCol w:w="2365"/>
      </w:tblGrid>
      <w:tr>
        <w:trPr>
          <w:trHeight w:val="470"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47" w:right="0"/>
              <w:jc w:val="left"/>
              <w:rPr>
                <w:rFonts w:ascii="宋体" w:hAnsi="宋体" w:cs="宋体" w:eastAsia="宋体" w:hint="default"/>
                <w:sz w:val="21"/>
                <w:szCs w:val="21"/>
              </w:rPr>
            </w:pPr>
            <w:r>
              <w:rPr>
                <w:rFonts w:ascii="宋体" w:hAnsi="宋体" w:cs="宋体" w:eastAsia="宋体" w:hint="default"/>
                <w:sz w:val="21"/>
                <w:szCs w:val="21"/>
              </w:rPr>
              <w:t>投资单位名称</w:t>
            </w:r>
            <w:r>
              <w:rPr>
                <w:rFonts w:ascii="宋体" w:hAnsi="宋体" w:cs="宋体" w:eastAsia="宋体" w:hint="default"/>
                <w:sz w:val="21"/>
                <w:szCs w:val="21"/>
              </w:rPr>
              <w:t> </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58" w:right="0"/>
              <w:jc w:val="left"/>
              <w:rPr>
                <w:rFonts w:ascii="宋体" w:hAnsi="宋体" w:cs="宋体" w:eastAsia="宋体" w:hint="default"/>
                <w:sz w:val="21"/>
                <w:szCs w:val="21"/>
              </w:rPr>
            </w:pPr>
            <w:r>
              <w:rPr>
                <w:rFonts w:ascii="宋体" w:hAnsi="宋体" w:cs="宋体" w:eastAsia="宋体" w:hint="default"/>
                <w:sz w:val="21"/>
                <w:szCs w:val="21"/>
              </w:rPr>
              <w:t>被投资单位名称</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1" w:right="0"/>
              <w:jc w:val="center"/>
              <w:rPr>
                <w:rFonts w:ascii="宋体" w:hAnsi="宋体" w:cs="宋体" w:eastAsia="宋体" w:hint="default"/>
                <w:sz w:val="21"/>
                <w:szCs w:val="21"/>
              </w:rPr>
            </w:pPr>
            <w:r>
              <w:rPr>
                <w:rFonts w:ascii="宋体" w:hAnsi="宋体" w:cs="宋体" w:eastAsia="宋体" w:hint="default"/>
                <w:sz w:val="21"/>
                <w:szCs w:val="21"/>
              </w:rPr>
              <w:t>本期投资额</w:t>
            </w:r>
            <w:r>
              <w:rPr>
                <w:rFonts w:ascii="宋体" w:hAnsi="宋体" w:cs="宋体" w:eastAsia="宋体" w:hint="default"/>
                <w:sz w:val="21"/>
                <w:szCs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center"/>
              <w:rPr>
                <w:rFonts w:ascii="宋体" w:hAnsi="宋体" w:cs="宋体" w:eastAsia="宋体" w:hint="default"/>
                <w:sz w:val="21"/>
                <w:szCs w:val="21"/>
              </w:rPr>
            </w:pPr>
            <w:r>
              <w:rPr>
                <w:rFonts w:ascii="宋体" w:hAnsi="宋体" w:cs="宋体" w:eastAsia="宋体" w:hint="default"/>
                <w:sz w:val="21"/>
                <w:szCs w:val="21"/>
              </w:rPr>
              <w:t>在被投资单位持股比例</w:t>
            </w:r>
            <w:r>
              <w:rPr>
                <w:rFonts w:ascii="宋体" w:hAnsi="宋体" w:cs="宋体" w:eastAsia="宋体" w:hint="default"/>
                <w:sz w:val="21"/>
                <w:szCs w:val="21"/>
              </w:rPr>
              <w:t> </w:t>
            </w:r>
          </w:p>
        </w:tc>
      </w:tr>
      <w:tr>
        <w:trPr>
          <w:trHeight w:val="434"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泰豪电源技术有限公司</w:t>
            </w:r>
            <w:r>
              <w:rPr>
                <w:rFonts w:ascii="宋体" w:hAnsi="宋体" w:cs="宋体" w:eastAsia="宋体" w:hint="default"/>
                <w:sz w:val="21"/>
                <w:szCs w:val="21"/>
              </w:rPr>
              <w:t> </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福州德塔动力设备有限公司</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20"/>
                <w:szCs w:val="20"/>
              </w:rPr>
            </w:pPr>
            <w:r>
              <w:rPr>
                <w:rFonts w:ascii="Times New Roman"/>
                <w:sz w:val="20"/>
              </w:rPr>
              <w:t>8,360.00</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20"/>
                <w:szCs w:val="20"/>
              </w:rPr>
            </w:pPr>
            <w:r>
              <w:rPr>
                <w:rFonts w:ascii="Times New Roman"/>
                <w:sz w:val="20"/>
              </w:rPr>
              <w:t>38%</w:t>
            </w:r>
          </w:p>
        </w:tc>
      </w:tr>
      <w:tr>
        <w:trPr>
          <w:trHeight w:val="283"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8,360.00</w:t>
            </w:r>
          </w:p>
        </w:tc>
        <w:tc>
          <w:tcPr>
            <w:tcW w:w="2365" w:type="dxa"/>
            <w:tcBorders>
              <w:top w:val="single" w:sz="4" w:space="0" w:color="000000"/>
              <w:left w:val="single" w:sz="4" w:space="0" w:color="000000"/>
              <w:bottom w:val="single" w:sz="4" w:space="0" w:color="000000"/>
              <w:right w:val="single" w:sz="4" w:space="0" w:color="000000"/>
            </w:tcBorders>
          </w:tcPr>
          <w:p>
            <w:pPr/>
          </w:p>
        </w:tc>
      </w:tr>
    </w:tbl>
    <w:p>
      <w:pPr>
        <w:pStyle w:val="Heading3"/>
        <w:spacing w:line="274" w:lineRule="exact"/>
        <w:ind w:right="0"/>
        <w:jc w:val="left"/>
        <w:rPr>
          <w:rFonts w:ascii="宋体" w:hAnsi="宋体" w:cs="宋体" w:eastAsia="宋体" w:hint="default"/>
        </w:rPr>
      </w:pPr>
      <w:r>
        <w:rPr>
          <w:rFonts w:ascii="宋体"/>
        </w:rPr>
        <w:t> </w:t>
      </w:r>
    </w:p>
    <w:p>
      <w:pPr>
        <w:pStyle w:val="Heading5"/>
        <w:spacing w:line="240" w:lineRule="auto" w:before="61"/>
        <w:ind w:right="0"/>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Heading3"/>
        <w:spacing w:line="240" w:lineRule="auto"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37" w:lineRule="auto" w:before="7"/>
        <w:ind w:left="216" w:right="208" w:firstLine="480"/>
        <w:jc w:val="both"/>
        <w:rPr>
          <w:rFonts w:ascii="宋体" w:hAnsi="宋体" w:cs="宋体" w:eastAsia="宋体" w:hint="default"/>
        </w:rPr>
      </w:pPr>
      <w:r>
        <w:rPr>
          <w:rFonts w:ascii="宋体" w:hAnsi="宋体" w:cs="宋体" w:eastAsia="宋体" w:hint="default"/>
        </w:rPr>
        <w:t>1</w:t>
      </w:r>
      <w:r>
        <w:rPr/>
        <w:t>、为进一步提高业务运营整合的决策效率，根据公司第七届董事会第十次会议决议，授权</w:t>
      </w:r>
      <w:r>
        <w:rPr>
          <w:w w:val="100"/>
        </w:rPr>
        <w:t> </w:t>
      </w:r>
      <w:r>
        <w:rPr/>
        <w:t>全资子公司泰豪电源技术有限公司对于年度内累计不超过</w:t>
      </w:r>
      <w:r>
        <w:rPr>
          <w:spacing w:val="-51"/>
        </w:rPr>
        <w:t> </w:t>
      </w:r>
      <w:r>
        <w:rPr>
          <w:rFonts w:ascii="宋体" w:hAnsi="宋体" w:cs="宋体" w:eastAsia="宋体" w:hint="default"/>
        </w:rPr>
        <w:t>10,000</w:t>
      </w:r>
      <w:r>
        <w:rPr>
          <w:rFonts w:ascii="宋体" w:hAnsi="宋体" w:cs="宋体" w:eastAsia="宋体" w:hint="default"/>
          <w:spacing w:val="-54"/>
        </w:rPr>
        <w:t> </w:t>
      </w:r>
      <w:r>
        <w:rPr/>
        <w:t>万元（含</w:t>
      </w:r>
      <w:r>
        <w:rPr>
          <w:spacing w:val="-51"/>
        </w:rPr>
        <w:t> </w:t>
      </w:r>
      <w:r>
        <w:rPr>
          <w:rFonts w:ascii="宋体" w:hAnsi="宋体" w:cs="宋体" w:eastAsia="宋体" w:hint="default"/>
        </w:rPr>
        <w:t>10,000</w:t>
      </w:r>
      <w:r>
        <w:rPr>
          <w:rFonts w:ascii="宋体" w:hAnsi="宋体" w:cs="宋体" w:eastAsia="宋体" w:hint="default"/>
          <w:spacing w:val="-51"/>
        </w:rPr>
        <w:t> </w:t>
      </w:r>
      <w:r>
        <w:rPr/>
        <w:t>万元）额度的</w:t>
      </w:r>
      <w:r>
        <w:rPr>
          <w:w w:val="100"/>
        </w:rPr>
        <w:t> </w:t>
      </w:r>
      <w:r>
        <w:rPr>
          <w:spacing w:val="-3"/>
        </w:rPr>
        <w:t>业务有权进行对外投资。为推动智能应急电源业务在海外市场的发展，</w:t>
      </w:r>
      <w:r>
        <w:rPr>
          <w:rFonts w:ascii="宋体" w:hAnsi="宋体" w:cs="宋体" w:eastAsia="宋体" w:hint="default"/>
          <w:spacing w:val="-3"/>
        </w:rPr>
        <w:t>2019</w:t>
      </w:r>
      <w:r>
        <w:rPr>
          <w:rFonts w:ascii="宋体" w:hAnsi="宋体" w:cs="宋体" w:eastAsia="宋体" w:hint="default"/>
          <w:spacing w:val="-38"/>
        </w:rPr>
        <w:t> </w:t>
      </w:r>
      <w:r>
        <w:rPr/>
        <w:t>年</w:t>
      </w:r>
      <w:r>
        <w:rPr>
          <w:spacing w:val="-36"/>
        </w:rPr>
        <w:t> </w:t>
      </w:r>
      <w:r>
        <w:rPr>
          <w:rFonts w:ascii="宋体" w:hAnsi="宋体" w:cs="宋体" w:eastAsia="宋体" w:hint="default"/>
        </w:rPr>
        <w:t>8</w:t>
      </w:r>
      <w:r>
        <w:rPr>
          <w:rFonts w:ascii="宋体" w:hAnsi="宋体" w:cs="宋体" w:eastAsia="宋体" w:hint="default"/>
          <w:spacing w:val="-36"/>
        </w:rPr>
        <w:t> </w:t>
      </w:r>
      <w:r>
        <w:rPr/>
        <w:t>月泰豪电源以现</w:t>
      </w:r>
      <w:r>
        <w:rPr>
          <w:spacing w:val="-98"/>
        </w:rPr>
        <w:t> </w:t>
      </w:r>
      <w:r>
        <w:rPr>
          <w:spacing w:val="-98"/>
        </w:rPr>
      </w:r>
      <w:r>
        <w:rPr/>
        <w:t>金</w:t>
      </w:r>
      <w:r>
        <w:rPr>
          <w:spacing w:val="-54"/>
        </w:rPr>
        <w:t> </w:t>
      </w:r>
      <w:r>
        <w:rPr>
          <w:rFonts w:ascii="宋体" w:hAnsi="宋体" w:cs="宋体" w:eastAsia="宋体" w:hint="default"/>
        </w:rPr>
        <w:t>8,360</w:t>
      </w:r>
      <w:r>
        <w:rPr>
          <w:rFonts w:ascii="宋体" w:hAnsi="宋体" w:cs="宋体" w:eastAsia="宋体" w:hint="default"/>
          <w:spacing w:val="-55"/>
        </w:rPr>
        <w:t> </w:t>
      </w:r>
      <w:r>
        <w:rPr/>
        <w:t>万取得福州德塔动力设备有限公司</w:t>
      </w:r>
      <w:r>
        <w:rPr>
          <w:spacing w:val="-55"/>
        </w:rPr>
        <w:t> </w:t>
      </w:r>
      <w:r>
        <w:rPr>
          <w:rFonts w:ascii="宋体" w:hAnsi="宋体" w:cs="宋体" w:eastAsia="宋体" w:hint="default"/>
        </w:rPr>
        <w:t>38%</w:t>
      </w:r>
      <w:r>
        <w:rPr/>
        <w:t>股权。</w:t>
      </w:r>
      <w:r>
        <w:rPr>
          <w:rFonts w:ascii="宋体" w:hAnsi="宋体" w:cs="宋体" w:eastAsia="宋体" w:hint="default"/>
        </w:rPr>
        <w:t> </w:t>
      </w:r>
    </w:p>
    <w:p>
      <w:pPr>
        <w:pStyle w:val="BodyText"/>
        <w:spacing w:line="237" w:lineRule="auto" w:before="1"/>
        <w:ind w:left="216" w:right="108" w:firstLine="420"/>
        <w:jc w:val="left"/>
        <w:rPr>
          <w:rFonts w:ascii="宋体" w:hAnsi="宋体" w:cs="宋体" w:eastAsia="宋体" w:hint="default"/>
        </w:rPr>
      </w:pPr>
      <w:r>
        <w:rPr>
          <w:rFonts w:ascii="宋体" w:hAnsi="宋体" w:cs="宋体" w:eastAsia="宋体" w:hint="default"/>
        </w:rPr>
        <w:t>2</w:t>
      </w:r>
      <w:r>
        <w:rPr/>
        <w:t>、</w:t>
      </w:r>
      <w:r>
        <w:rPr>
          <w:rFonts w:ascii="宋体" w:hAnsi="宋体" w:cs="宋体" w:eastAsia="宋体" w:hint="default"/>
        </w:rPr>
        <w:t>2019</w:t>
      </w:r>
      <w:r>
        <w:rPr>
          <w:rFonts w:ascii="宋体" w:hAnsi="宋体" w:cs="宋体" w:eastAsia="宋体" w:hint="default"/>
          <w:spacing w:val="-43"/>
        </w:rPr>
        <w:t> </w:t>
      </w:r>
      <w:r>
        <w:rPr/>
        <w:t>年</w:t>
      </w:r>
      <w:r>
        <w:rPr>
          <w:spacing w:val="-41"/>
        </w:rPr>
        <w:t> </w:t>
      </w:r>
      <w:r>
        <w:rPr>
          <w:rFonts w:ascii="宋体" w:hAnsi="宋体" w:cs="宋体" w:eastAsia="宋体" w:hint="default"/>
        </w:rPr>
        <w:t>10</w:t>
      </w:r>
      <w:r>
        <w:rPr>
          <w:rFonts w:ascii="宋体" w:hAnsi="宋体" w:cs="宋体" w:eastAsia="宋体" w:hint="default"/>
          <w:spacing w:val="-41"/>
        </w:rPr>
        <w:t> </w:t>
      </w:r>
      <w:r>
        <w:rPr/>
        <w:t>月</w:t>
      </w:r>
      <w:r>
        <w:rPr>
          <w:spacing w:val="-41"/>
        </w:rPr>
        <w:t> </w:t>
      </w:r>
      <w:r>
        <w:rPr>
          <w:rFonts w:ascii="宋体" w:hAnsi="宋体" w:cs="宋体" w:eastAsia="宋体" w:hint="default"/>
        </w:rPr>
        <w:t>28</w:t>
      </w:r>
      <w:r>
        <w:rPr>
          <w:rFonts w:ascii="宋体" w:hAnsi="宋体" w:cs="宋体" w:eastAsia="宋体" w:hint="default"/>
          <w:spacing w:val="-43"/>
        </w:rPr>
        <w:t> </w:t>
      </w:r>
      <w:r>
        <w:rPr/>
        <w:t>日，公司第七届董事会第十二次会议审议通过《关于公司拟回购泰豪软</w:t>
      </w:r>
      <w:r>
        <w:rPr>
          <w:w w:val="100"/>
        </w:rPr>
        <w:t> </w:t>
      </w:r>
      <w:r>
        <w:rPr>
          <w:spacing w:val="2"/>
        </w:rPr>
        <w:t>件股份有限公司 </w:t>
      </w:r>
      <w:r>
        <w:rPr>
          <w:rFonts w:ascii="宋体" w:hAnsi="宋体" w:cs="宋体" w:eastAsia="宋体" w:hint="default"/>
          <w:spacing w:val="2"/>
        </w:rPr>
        <w:t>15%</w:t>
      </w:r>
      <w:r>
        <w:rPr>
          <w:spacing w:val="2"/>
        </w:rPr>
        <w:t>股权暨关联交易的议案》。为更好地整合公司智能电力产业，同意公司以</w:t>
      </w:r>
      <w:r>
        <w:rPr>
          <w:spacing w:val="7"/>
        </w:rPr>
        <w:t> </w:t>
      </w:r>
      <w:r>
        <w:rPr>
          <w:rFonts w:ascii="宋体" w:hAnsi="宋体" w:cs="宋体" w:eastAsia="宋体" w:hint="default"/>
          <w:spacing w:val="7"/>
        </w:rPr>
      </w:r>
      <w:r>
        <w:rPr>
          <w:rFonts w:ascii="宋体" w:hAnsi="宋体" w:cs="宋体" w:eastAsia="宋体" w:hint="default"/>
        </w:rPr>
        <w:t>8,735.265 </w:t>
      </w:r>
      <w:r>
        <w:rPr>
          <w:spacing w:val="-6"/>
        </w:rPr>
        <w:t>万元现金回购共青城以琳管理合伙企业（有限合伙）持有的泰豪软件股份有限公司 </w:t>
      </w:r>
      <w:r>
        <w:rPr>
          <w:rFonts w:ascii="宋体" w:hAnsi="宋体" w:cs="宋体" w:eastAsia="宋体" w:hint="default"/>
        </w:rPr>
        <w:t>15%</w:t>
      </w:r>
      <w:r>
        <w:rPr>
          <w:rFonts w:ascii="宋体" w:hAnsi="宋体" w:cs="宋体" w:eastAsia="宋体" w:hint="default"/>
          <w:spacing w:val="-89"/>
        </w:rPr>
        <w:t> </w:t>
      </w:r>
      <w:r>
        <w:rPr>
          <w:rFonts w:ascii="宋体" w:hAnsi="宋体" w:cs="宋体" w:eastAsia="宋体" w:hint="default"/>
          <w:spacing w:val="-89"/>
        </w:rPr>
      </w:r>
      <w:r>
        <w:rPr/>
        <w:t>股权，具体详见《关于回购泰豪软件股份有限公司 </w:t>
      </w:r>
      <w:r>
        <w:rPr>
          <w:rFonts w:ascii="宋体" w:hAnsi="宋体" w:cs="宋体" w:eastAsia="宋体" w:hint="default"/>
        </w:rPr>
        <w:t>15%</w:t>
      </w:r>
      <w:r>
        <w:rPr/>
        <w:t>股权暨关联交易的公告》（公告编号：临</w:t>
      </w:r>
      <w:r>
        <w:rPr>
          <w:spacing w:val="-102"/>
        </w:rPr>
        <w:t> </w:t>
      </w:r>
      <w:r>
        <w:rPr>
          <w:rFonts w:ascii="宋体" w:hAnsi="宋体" w:cs="宋体" w:eastAsia="宋体" w:hint="default"/>
          <w:spacing w:val="-102"/>
        </w:rPr>
      </w:r>
      <w:r>
        <w:rPr>
          <w:rFonts w:ascii="宋体" w:hAnsi="宋体" w:cs="宋体" w:eastAsia="宋体" w:hint="default"/>
        </w:rPr>
        <w:t>2019-061</w:t>
      </w:r>
      <w:r>
        <w:rPr/>
        <w:t>）。</w:t>
      </w:r>
      <w:r>
        <w:rPr>
          <w:rFonts w:ascii="宋体" w:hAnsi="宋体" w:cs="宋体" w:eastAsia="宋体" w:hint="default"/>
        </w:rPr>
        <w:t> </w:t>
      </w:r>
    </w:p>
    <w:p>
      <w:pPr>
        <w:pStyle w:val="BodyText"/>
        <w:spacing w:line="272" w:lineRule="exact" w:before="26"/>
        <w:ind w:left="216" w:right="0" w:firstLine="420"/>
        <w:jc w:val="left"/>
        <w:rPr>
          <w:rFonts w:ascii="宋体" w:hAnsi="宋体" w:cs="宋体" w:eastAsia="宋体" w:hint="default"/>
        </w:rPr>
      </w:pPr>
      <w:r>
        <w:rPr>
          <w:rFonts w:ascii="宋体" w:hAnsi="宋体" w:cs="宋体" w:eastAsia="宋体" w:hint="default"/>
          <w:spacing w:val="-4"/>
        </w:rPr>
        <w:t>3</w:t>
      </w:r>
      <w:r>
        <w:rPr>
          <w:spacing w:val="-4"/>
        </w:rPr>
        <w:t>、为更好的推进业务开展，根据公司第七届董事会第十五次会议决议，同意公司投资成立全</w:t>
      </w:r>
      <w:r>
        <w:rPr>
          <w:w w:val="100"/>
        </w:rPr>
        <w:t> </w:t>
      </w:r>
      <w:r>
        <w:rPr/>
        <w:t>资子公司江西泰豪智能电力科技有限公司，注册资本</w:t>
      </w:r>
      <w:r>
        <w:rPr>
          <w:spacing w:val="-55"/>
        </w:rPr>
        <w:t> </w:t>
      </w:r>
      <w:r>
        <w:rPr>
          <w:rFonts w:ascii="宋体" w:hAnsi="宋体" w:cs="宋体" w:eastAsia="宋体" w:hint="default"/>
        </w:rPr>
        <w:t>10,000</w:t>
      </w:r>
      <w:r>
        <w:rPr>
          <w:rFonts w:ascii="宋体" w:hAnsi="宋体" w:cs="宋体" w:eastAsia="宋体" w:hint="default"/>
          <w:spacing w:val="-57"/>
        </w:rPr>
        <w:t> </w:t>
      </w:r>
      <w:r>
        <w:rPr/>
        <w:t>万元。</w:t>
      </w:r>
      <w:r>
        <w:rPr>
          <w:rFonts w:ascii="宋体" w:hAnsi="宋体" w:cs="宋体" w:eastAsia="宋体" w:hint="default"/>
        </w:rPr>
        <w:t> </w:t>
      </w:r>
    </w:p>
    <w:p>
      <w:pPr>
        <w:pStyle w:val="Heading5"/>
        <w:spacing w:line="240" w:lineRule="auto" w:before="34"/>
        <w:ind w:right="0"/>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Heading3"/>
        <w:spacing w:line="313" w:lineRule="exact"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15"/>
        <w:gridCol w:w="1467"/>
        <w:gridCol w:w="1109"/>
        <w:gridCol w:w="1719"/>
        <w:gridCol w:w="1620"/>
        <w:gridCol w:w="1198"/>
      </w:tblGrid>
      <w:tr>
        <w:trPr>
          <w:trHeight w:val="566"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82"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07" w:right="0"/>
              <w:jc w:val="left"/>
              <w:rPr>
                <w:rFonts w:ascii="宋体" w:hAnsi="宋体" w:cs="宋体" w:eastAsia="宋体" w:hint="default"/>
                <w:sz w:val="21"/>
                <w:szCs w:val="21"/>
              </w:rPr>
            </w:pPr>
            <w:r>
              <w:rPr>
                <w:rFonts w:ascii="宋体" w:hAnsi="宋体" w:cs="宋体" w:eastAsia="宋体" w:hint="default"/>
                <w:sz w:val="21"/>
                <w:szCs w:val="21"/>
              </w:rPr>
              <w:t>项目金额</w:t>
            </w:r>
            <w:r>
              <w:rPr>
                <w:rFonts w:ascii="宋体" w:hAnsi="宋体" w:cs="宋体" w:eastAsia="宋体" w:hint="default"/>
                <w:sz w:val="21"/>
                <w:szCs w:val="21"/>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3"/>
              <w:jc w:val="right"/>
              <w:rPr>
                <w:rFonts w:ascii="宋体" w:hAnsi="宋体" w:cs="宋体" w:eastAsia="宋体" w:hint="default"/>
                <w:sz w:val="21"/>
                <w:szCs w:val="21"/>
              </w:rPr>
            </w:pPr>
            <w:r>
              <w:rPr>
                <w:rFonts w:ascii="宋体" w:hAnsi="宋体" w:cs="宋体" w:eastAsia="宋体" w:hint="default"/>
                <w:spacing w:val="-2"/>
                <w:sz w:val="21"/>
                <w:szCs w:val="21"/>
              </w:rPr>
              <w:t>项目进度</w:t>
            </w:r>
            <w:r>
              <w:rPr>
                <w:rFonts w:ascii="宋体" w:hAnsi="宋体" w:cs="宋体" w:eastAsia="宋体" w:hint="default"/>
                <w:sz w:val="21"/>
                <w:szCs w:val="21"/>
              </w:rPr>
              <w:t> </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报告期内投入金</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2" w:right="0"/>
              <w:jc w:val="center"/>
              <w:rPr>
                <w:rFonts w:ascii="宋体" w:hAnsi="宋体" w:cs="宋体" w:eastAsia="宋体" w:hint="default"/>
                <w:sz w:val="21"/>
                <w:szCs w:val="21"/>
              </w:rPr>
            </w:pPr>
            <w:r>
              <w:rPr>
                <w:rFonts w:ascii="宋体" w:hAnsi="宋体" w:cs="宋体" w:eastAsia="宋体" w:hint="default"/>
                <w:sz w:val="21"/>
                <w:szCs w:val="21"/>
              </w:rPr>
              <w:t>累计实际投入</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项目资金</w:t>
            </w:r>
          </w:p>
          <w:p>
            <w:pPr>
              <w:pStyle w:val="TableParagraph"/>
              <w:spacing w:line="274" w:lineRule="exact"/>
              <w:ind w:left="106" w:right="0"/>
              <w:jc w:val="center"/>
              <w:rPr>
                <w:rFonts w:ascii="宋体" w:hAnsi="宋体" w:cs="宋体" w:eastAsia="宋体" w:hint="default"/>
                <w:sz w:val="21"/>
                <w:szCs w:val="21"/>
              </w:rPr>
            </w:pPr>
            <w:r>
              <w:rPr>
                <w:rFonts w:ascii="宋体" w:hAnsi="宋体" w:cs="宋体" w:eastAsia="宋体" w:hint="default"/>
                <w:sz w:val="21"/>
                <w:szCs w:val="21"/>
              </w:rPr>
              <w:t>来源</w:t>
            </w:r>
            <w:r>
              <w:rPr>
                <w:rFonts w:ascii="宋体" w:hAnsi="宋体" w:cs="宋体" w:eastAsia="宋体" w:hint="default"/>
                <w:sz w:val="21"/>
                <w:szCs w:val="21"/>
              </w:rPr>
              <w:t> </w:t>
            </w:r>
          </w:p>
        </w:tc>
      </w:tr>
      <w:tr>
        <w:trPr>
          <w:trHeight w:val="554"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ERP </w:t>
            </w:r>
            <w:r>
              <w:rPr>
                <w:rFonts w:ascii="宋体" w:hAnsi="宋体" w:cs="宋体" w:eastAsia="宋体" w:hint="default"/>
                <w:spacing w:val="11"/>
                <w:sz w:val="21"/>
                <w:szCs w:val="21"/>
              </w:rPr>
              <w:t>信息</w:t>
            </w:r>
            <w:r>
              <w:rPr>
                <w:rFonts w:ascii="宋体" w:hAnsi="宋体" w:cs="宋体" w:eastAsia="宋体" w:hint="default"/>
                <w:spacing w:val="-42"/>
                <w:sz w:val="21"/>
                <w:szCs w:val="21"/>
              </w:rPr>
              <w:t> </w:t>
            </w:r>
            <w:r>
              <w:rPr>
                <w:rFonts w:ascii="宋体" w:hAnsi="宋体" w:cs="宋体" w:eastAsia="宋体" w:hint="default"/>
                <w:spacing w:val="14"/>
                <w:sz w:val="21"/>
                <w:szCs w:val="21"/>
              </w:rPr>
              <w:t>化项目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一期</w:t>
            </w:r>
            <w:r>
              <w:rPr>
                <w:rFonts w:ascii="宋体" w:hAnsi="宋体" w:cs="宋体" w:eastAsia="宋体" w:hint="default"/>
                <w:sz w:val="21"/>
                <w:szCs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w w:val="95"/>
                <w:sz w:val="20"/>
              </w:rPr>
              <w:t>15,000,000.00</w:t>
            </w:r>
            <w:r>
              <w:rPr>
                <w:rFonts w:ascii="Times New Roman"/>
                <w:sz w:val="20"/>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78" w:right="0"/>
              <w:jc w:val="left"/>
              <w:rPr>
                <w:rFonts w:ascii="Times New Roman" w:hAnsi="Times New Roman" w:cs="Times New Roman" w:eastAsia="Times New Roman" w:hint="default"/>
                <w:sz w:val="20"/>
                <w:szCs w:val="20"/>
              </w:rPr>
            </w:pPr>
            <w:r>
              <w:rPr>
                <w:rFonts w:ascii="Times New Roman"/>
                <w:sz w:val="20"/>
              </w:rPr>
              <w:t>100.00%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20"/>
                <w:szCs w:val="20"/>
              </w:rPr>
            </w:pPr>
            <w:r>
              <w:rPr>
                <w:rFonts w:ascii="Times New Roman"/>
                <w:w w:val="95"/>
                <w:sz w:val="20"/>
              </w:rPr>
              <w:t>290,726.33</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20"/>
                <w:szCs w:val="20"/>
              </w:rPr>
            </w:pPr>
            <w:r>
              <w:rPr>
                <w:rFonts w:ascii="Times New Roman"/>
                <w:w w:val="95"/>
                <w:sz w:val="20"/>
              </w:rPr>
              <w:t>12,787,424.59</w:t>
            </w:r>
            <w:r>
              <w:rPr>
                <w:rFonts w:ascii="Times New Roman"/>
                <w:sz w:val="20"/>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76"/>
              <w:jc w:val="right"/>
              <w:rPr>
                <w:rFonts w:ascii="宋体" w:hAnsi="宋体" w:cs="宋体" w:eastAsia="宋体" w:hint="default"/>
                <w:sz w:val="21"/>
                <w:szCs w:val="21"/>
              </w:rPr>
            </w:pPr>
            <w:r>
              <w:rPr>
                <w:rFonts w:ascii="宋体" w:hAnsi="宋体" w:cs="宋体" w:eastAsia="宋体" w:hint="default"/>
                <w:spacing w:val="-2"/>
                <w:sz w:val="21"/>
                <w:szCs w:val="21"/>
              </w:rPr>
              <w:t>自筹</w:t>
            </w:r>
            <w:r>
              <w:rPr>
                <w:rFonts w:ascii="宋体" w:hAnsi="宋体" w:cs="宋体" w:eastAsia="宋体" w:hint="default"/>
                <w:sz w:val="21"/>
                <w:szCs w:val="21"/>
              </w:rPr>
              <w:t> </w:t>
            </w:r>
          </w:p>
        </w:tc>
      </w:tr>
      <w:tr>
        <w:trPr>
          <w:trHeight w:val="554"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ERP </w:t>
            </w:r>
            <w:r>
              <w:rPr>
                <w:rFonts w:ascii="宋体" w:hAnsi="宋体" w:cs="宋体" w:eastAsia="宋体" w:hint="default"/>
                <w:spacing w:val="11"/>
                <w:sz w:val="21"/>
                <w:szCs w:val="21"/>
              </w:rPr>
              <w:t>信息</w:t>
            </w:r>
            <w:r>
              <w:rPr>
                <w:rFonts w:ascii="宋体" w:hAnsi="宋体" w:cs="宋体" w:eastAsia="宋体" w:hint="default"/>
                <w:spacing w:val="-42"/>
                <w:sz w:val="21"/>
                <w:szCs w:val="21"/>
              </w:rPr>
              <w:t> </w:t>
            </w:r>
            <w:r>
              <w:rPr>
                <w:rFonts w:ascii="宋体" w:hAnsi="宋体" w:cs="宋体" w:eastAsia="宋体" w:hint="default"/>
                <w:spacing w:val="14"/>
                <w:sz w:val="21"/>
                <w:szCs w:val="21"/>
              </w:rPr>
              <w:t>化项目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二期</w:t>
            </w:r>
            <w:r>
              <w:rPr>
                <w:rFonts w:ascii="宋体" w:hAnsi="宋体" w:cs="宋体" w:eastAsia="宋体" w:hint="default"/>
                <w:sz w:val="21"/>
                <w:szCs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w w:val="95"/>
                <w:sz w:val="20"/>
              </w:rPr>
              <w:t>10,000,000.00</w:t>
            </w:r>
            <w:r>
              <w:rPr>
                <w:rFonts w:ascii="Times New Roman"/>
                <w:sz w:val="20"/>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79" w:right="0"/>
              <w:jc w:val="left"/>
              <w:rPr>
                <w:rFonts w:ascii="Times New Roman" w:hAnsi="Times New Roman" w:cs="Times New Roman" w:eastAsia="Times New Roman" w:hint="default"/>
                <w:sz w:val="20"/>
                <w:szCs w:val="20"/>
              </w:rPr>
            </w:pPr>
            <w:r>
              <w:rPr>
                <w:rFonts w:ascii="Times New Roman"/>
                <w:sz w:val="20"/>
              </w:rPr>
              <w:t>30.00%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w w:val="95"/>
                <w:sz w:val="20"/>
              </w:rPr>
              <w:t>3,022,733.84</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20"/>
                <w:szCs w:val="20"/>
              </w:rPr>
            </w:pPr>
            <w:r>
              <w:rPr>
                <w:rFonts w:ascii="Times New Roman"/>
                <w:w w:val="95"/>
                <w:sz w:val="20"/>
              </w:rPr>
              <w:t>3,022,733.84</w:t>
            </w:r>
            <w:r>
              <w:rPr>
                <w:rFonts w:ascii="Times New Roman"/>
                <w:sz w:val="20"/>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76"/>
              <w:jc w:val="right"/>
              <w:rPr>
                <w:rFonts w:ascii="宋体" w:hAnsi="宋体" w:cs="宋体" w:eastAsia="宋体" w:hint="default"/>
                <w:sz w:val="21"/>
                <w:szCs w:val="21"/>
              </w:rPr>
            </w:pPr>
            <w:r>
              <w:rPr>
                <w:rFonts w:ascii="宋体" w:hAnsi="宋体" w:cs="宋体" w:eastAsia="宋体" w:hint="default"/>
                <w:spacing w:val="-2"/>
                <w:sz w:val="21"/>
                <w:szCs w:val="21"/>
              </w:rPr>
              <w:t>自筹</w:t>
            </w:r>
            <w:r>
              <w:rPr>
                <w:rFonts w:ascii="宋体" w:hAnsi="宋体" w:cs="宋体" w:eastAsia="宋体" w:hint="default"/>
                <w:sz w:val="21"/>
                <w:szCs w:val="21"/>
              </w:rPr>
              <w:t> </w:t>
            </w:r>
          </w:p>
        </w:tc>
      </w:tr>
      <w:tr>
        <w:trPr>
          <w:trHeight w:val="554"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嘉兴装备科技产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业园</w:t>
            </w:r>
            <w:r>
              <w:rPr>
                <w:rFonts w:ascii="宋体" w:hAnsi="宋体" w:cs="宋体" w:eastAsia="宋体" w:hint="default"/>
                <w:sz w:val="21"/>
                <w:szCs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w w:val="95"/>
                <w:sz w:val="20"/>
              </w:rPr>
              <w:t>150,000,000.00</w:t>
            </w:r>
            <w:r>
              <w:rPr>
                <w:rFonts w:ascii="Times New Roman"/>
                <w:sz w:val="20"/>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79" w:right="0"/>
              <w:jc w:val="left"/>
              <w:rPr>
                <w:rFonts w:ascii="Times New Roman" w:hAnsi="Times New Roman" w:cs="Times New Roman" w:eastAsia="Times New Roman" w:hint="default"/>
                <w:sz w:val="20"/>
                <w:szCs w:val="20"/>
              </w:rPr>
            </w:pPr>
            <w:r>
              <w:rPr>
                <w:rFonts w:ascii="Times New Roman"/>
                <w:sz w:val="20"/>
              </w:rPr>
              <w:t>90.00%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w w:val="95"/>
                <w:sz w:val="20"/>
              </w:rPr>
              <w:t>84,493,998.27</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w w:val="95"/>
                <w:sz w:val="20"/>
              </w:rPr>
              <w:t>133,442,308.52</w:t>
            </w:r>
            <w:r>
              <w:rPr>
                <w:rFonts w:ascii="Times New Roman"/>
                <w:sz w:val="20"/>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76"/>
              <w:jc w:val="right"/>
              <w:rPr>
                <w:rFonts w:ascii="宋体" w:hAnsi="宋体" w:cs="宋体" w:eastAsia="宋体" w:hint="default"/>
                <w:sz w:val="21"/>
                <w:szCs w:val="21"/>
              </w:rPr>
            </w:pPr>
            <w:r>
              <w:rPr>
                <w:rFonts w:ascii="宋体" w:hAnsi="宋体" w:cs="宋体" w:eastAsia="宋体" w:hint="default"/>
                <w:spacing w:val="-2"/>
                <w:sz w:val="21"/>
                <w:szCs w:val="21"/>
              </w:rPr>
              <w:t>自筹</w:t>
            </w:r>
            <w:r>
              <w:rPr>
                <w:rFonts w:ascii="宋体" w:hAnsi="宋体" w:cs="宋体" w:eastAsia="宋体" w:hint="default"/>
                <w:sz w:val="21"/>
                <w:szCs w:val="21"/>
              </w:rPr>
              <w:t> </w:t>
            </w:r>
          </w:p>
        </w:tc>
      </w:tr>
      <w:tr>
        <w:trPr>
          <w:trHeight w:val="554"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智能制造技改项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目</w:t>
            </w:r>
            <w:r>
              <w:rPr>
                <w:rFonts w:ascii="宋体" w:hAnsi="宋体" w:cs="宋体" w:eastAsia="宋体" w:hint="default"/>
                <w:sz w:val="21"/>
                <w:szCs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w w:val="95"/>
                <w:sz w:val="20"/>
              </w:rPr>
              <w:t>28,270,000.00</w:t>
            </w:r>
            <w:r>
              <w:rPr>
                <w:rFonts w:ascii="Times New Roman"/>
                <w:sz w:val="20"/>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78" w:right="0"/>
              <w:jc w:val="left"/>
              <w:rPr>
                <w:rFonts w:ascii="Times New Roman" w:hAnsi="Times New Roman" w:cs="Times New Roman" w:eastAsia="Times New Roman" w:hint="default"/>
                <w:sz w:val="20"/>
                <w:szCs w:val="20"/>
              </w:rPr>
            </w:pPr>
            <w:r>
              <w:rPr>
                <w:rFonts w:ascii="Times New Roman"/>
                <w:sz w:val="20"/>
              </w:rPr>
              <w:t>100.00%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w w:val="95"/>
                <w:sz w:val="20"/>
              </w:rPr>
              <w:t>7,160,540.90</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20"/>
                <w:szCs w:val="20"/>
              </w:rPr>
            </w:pPr>
            <w:r>
              <w:rPr>
                <w:rFonts w:ascii="Times New Roman"/>
                <w:w w:val="95"/>
                <w:sz w:val="20"/>
              </w:rPr>
              <w:t>21,999,401.99</w:t>
            </w:r>
            <w:r>
              <w:rPr>
                <w:rFonts w:ascii="Times New Roman"/>
                <w:sz w:val="20"/>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76"/>
              <w:jc w:val="right"/>
              <w:rPr>
                <w:rFonts w:ascii="宋体" w:hAnsi="宋体" w:cs="宋体" w:eastAsia="宋体" w:hint="default"/>
                <w:sz w:val="21"/>
                <w:szCs w:val="21"/>
              </w:rPr>
            </w:pPr>
            <w:r>
              <w:rPr>
                <w:rFonts w:ascii="宋体" w:hAnsi="宋体" w:cs="宋体" w:eastAsia="宋体" w:hint="default"/>
                <w:spacing w:val="-2"/>
                <w:sz w:val="21"/>
                <w:szCs w:val="21"/>
              </w:rPr>
              <w:t>自筹</w:t>
            </w:r>
            <w:r>
              <w:rPr>
                <w:rFonts w:ascii="宋体" w:hAnsi="宋体" w:cs="宋体" w:eastAsia="宋体" w:hint="default"/>
                <w:sz w:val="21"/>
                <w:szCs w:val="21"/>
              </w:rPr>
              <w:t> </w:t>
            </w:r>
          </w:p>
        </w:tc>
      </w:tr>
      <w:tr>
        <w:trPr>
          <w:trHeight w:val="829"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应收账款资产支</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持专项计划</w:t>
            </w:r>
            <w:r>
              <w:rPr>
                <w:rFonts w:ascii="宋体" w:hAnsi="宋体" w:cs="宋体" w:eastAsia="宋体" w:hint="default"/>
                <w:sz w:val="21"/>
                <w:szCs w:val="21"/>
              </w:rPr>
              <w:t>-</w:t>
            </w:r>
            <w:r>
              <w:rPr>
                <w:rFonts w:ascii="宋体" w:hAnsi="宋体" w:cs="宋体" w:eastAsia="宋体" w:hint="default"/>
                <w:sz w:val="21"/>
                <w:szCs w:val="21"/>
              </w:rPr>
              <w:t>泰豪</w:t>
            </w:r>
            <w:r>
              <w:rPr>
                <w:rFonts w:ascii="宋体" w:hAnsi="宋体" w:cs="宋体" w:eastAsia="宋体" w:hint="default"/>
                <w:spacing w:val="-81"/>
                <w:sz w:val="21"/>
                <w:szCs w:val="21"/>
              </w:rPr>
              <w:t> </w:t>
            </w:r>
            <w:r>
              <w:rPr>
                <w:rFonts w:ascii="宋体" w:hAnsi="宋体" w:cs="宋体" w:eastAsia="宋体" w:hint="default"/>
                <w:sz w:val="21"/>
                <w:szCs w:val="21"/>
              </w:rPr>
              <w:t>次</w:t>
            </w:r>
            <w:r>
              <w:rPr>
                <w:rFonts w:ascii="宋体" w:hAnsi="宋体" w:cs="宋体" w:eastAsia="宋体" w:hint="default"/>
                <w:spacing w:val="-51"/>
                <w:sz w:val="21"/>
                <w:szCs w:val="21"/>
              </w:rPr>
              <w:t> </w:t>
            </w:r>
            <w:r>
              <w:rPr>
                <w:rFonts w:ascii="宋体" w:hAnsi="宋体" w:cs="宋体" w:eastAsia="宋体" w:hint="default"/>
                <w:spacing w:val="-3"/>
                <w:sz w:val="21"/>
                <w:szCs w:val="21"/>
              </w:rPr>
              <w:t>B</w:t>
            </w:r>
            <w:r>
              <w:rPr>
                <w:rFonts w:ascii="宋体" w:hAnsi="宋体" w:cs="宋体" w:eastAsia="宋体" w:hint="default"/>
                <w:sz w:val="21"/>
                <w:szCs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5"/>
                <w:sz w:val="20"/>
              </w:rPr>
              <w:t>82,080,000</w:t>
            </w:r>
            <w:r>
              <w:rPr>
                <w:rFonts w:ascii="Times New Roman"/>
                <w:sz w:val="20"/>
              </w:rPr>
            </w:r>
          </w:p>
        </w:tc>
        <w:tc>
          <w:tcPr>
            <w:tcW w:w="1109"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82,080,000</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82,080,000</w:t>
            </w:r>
            <w:r>
              <w:rPr>
                <w:rFonts w:ascii="Times New Roman"/>
                <w:sz w:val="20"/>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76"/>
              <w:jc w:val="right"/>
              <w:rPr>
                <w:rFonts w:ascii="宋体" w:hAnsi="宋体" w:cs="宋体" w:eastAsia="宋体" w:hint="default"/>
                <w:sz w:val="21"/>
                <w:szCs w:val="21"/>
              </w:rPr>
            </w:pPr>
            <w:r>
              <w:rPr>
                <w:rFonts w:ascii="宋体" w:hAnsi="宋体" w:cs="宋体" w:eastAsia="宋体" w:hint="default"/>
                <w:spacing w:val="-2"/>
                <w:sz w:val="21"/>
                <w:szCs w:val="21"/>
              </w:rPr>
              <w:t>自筹</w:t>
            </w:r>
            <w:r>
              <w:rPr>
                <w:rFonts w:ascii="宋体" w:hAnsi="宋体" w:cs="宋体" w:eastAsia="宋体" w:hint="default"/>
                <w:sz w:val="21"/>
                <w:szCs w:val="21"/>
              </w:rPr>
              <w:t> </w:t>
            </w:r>
          </w:p>
        </w:tc>
      </w:tr>
      <w:tr>
        <w:trPr>
          <w:trHeight w:val="370"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5"/>
                <w:sz w:val="20"/>
              </w:rPr>
              <w:t>285,350,000.00</w:t>
            </w:r>
            <w:r>
              <w:rPr>
                <w:rFonts w:ascii="Times New Roman"/>
                <w:sz w:val="20"/>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5"/>
                <w:sz w:val="20"/>
              </w:rPr>
              <w:t>177,047,999.34</w:t>
            </w:r>
            <w:r>
              <w:rPr>
                <w:rFonts w:ascii="Times New Roman"/>
                <w:sz w:val="20"/>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Times New Roman" w:hAnsi="Times New Roman" w:cs="Times New Roman" w:eastAsia="Times New Roman" w:hint="default"/>
                <w:sz w:val="20"/>
                <w:szCs w:val="20"/>
              </w:rPr>
            </w:pPr>
            <w:r>
              <w:rPr>
                <w:rFonts w:ascii="Times New Roman"/>
                <w:w w:val="95"/>
                <w:sz w:val="20"/>
              </w:rPr>
              <w:t>253,331,868.94</w:t>
            </w:r>
            <w:r>
              <w:rPr>
                <w:rFonts w:ascii="Times New Roman"/>
                <w:sz w:val="20"/>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98" w:lineRule="exact"/>
              <w:ind w:left="103" w:right="0"/>
              <w:jc w:val="left"/>
              <w:rPr>
                <w:rFonts w:ascii="宋体" w:hAnsi="宋体" w:cs="宋体" w:eastAsia="宋体" w:hint="default"/>
                <w:sz w:val="24"/>
                <w:szCs w:val="24"/>
              </w:rPr>
            </w:pPr>
            <w:r>
              <w:rPr>
                <w:rFonts w:ascii="宋体"/>
                <w:sz w:val="24"/>
              </w:rPr>
              <w:t>/ </w:t>
            </w:r>
          </w:p>
        </w:tc>
      </w:tr>
    </w:tbl>
    <w:p>
      <w:pPr>
        <w:spacing w:line="240" w:lineRule="auto" w:before="10"/>
        <w:rPr>
          <w:rFonts w:ascii="宋体" w:hAnsi="宋体" w:cs="宋体" w:eastAsia="宋体" w:hint="default"/>
          <w:sz w:val="17"/>
          <w:szCs w:val="17"/>
        </w:rPr>
      </w:pPr>
    </w:p>
    <w:p>
      <w:pPr>
        <w:pStyle w:val="Heading5"/>
        <w:spacing w:line="240" w:lineRule="auto" w:before="36"/>
        <w:ind w:right="0"/>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Heading3"/>
        <w:spacing w:line="240" w:lineRule="auto"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37" w:lineRule="auto" w:before="6"/>
        <w:ind w:left="216" w:right="208" w:firstLine="480"/>
        <w:jc w:val="both"/>
        <w:rPr>
          <w:rFonts w:ascii="宋体" w:hAnsi="宋体" w:cs="宋体" w:eastAsia="宋体" w:hint="default"/>
        </w:rPr>
      </w:pPr>
      <w:r>
        <w:rPr/>
        <w:t>江西为民机械有限公司法人代表章金利将其持有上海戎科特种装备有限公司</w:t>
      </w:r>
      <w:r>
        <w:rPr>
          <w:spacing w:val="55"/>
        </w:rPr>
        <w:t> </w:t>
      </w:r>
      <w:r>
        <w:rPr>
          <w:rFonts w:ascii="宋体" w:hAnsi="宋体" w:cs="宋体" w:eastAsia="宋体" w:hint="default"/>
        </w:rPr>
        <w:t>6.7%</w:t>
      </w:r>
      <w:r>
        <w:rPr/>
        <w:t>的股权作</w:t>
      </w:r>
      <w:r>
        <w:rPr>
          <w:w w:val="100"/>
        </w:rPr>
        <w:t> 价</w:t>
      </w:r>
      <w:r>
        <w:rPr>
          <w:spacing w:val="-47"/>
          <w:w w:val="100"/>
        </w:rPr>
        <w:t> </w:t>
      </w:r>
      <w:r>
        <w:rPr>
          <w:rFonts w:ascii="宋体" w:hAnsi="宋体" w:cs="宋体" w:eastAsia="宋体" w:hint="default"/>
          <w:spacing w:val="-1"/>
          <w:w w:val="100"/>
        </w:rPr>
        <w:t>10,668,370</w:t>
      </w:r>
      <w:r>
        <w:rPr>
          <w:rFonts w:ascii="宋体" w:hAnsi="宋体" w:cs="宋体" w:eastAsia="宋体" w:hint="default"/>
          <w:spacing w:val="-51"/>
          <w:w w:val="100"/>
        </w:rPr>
        <w:t> </w:t>
      </w:r>
      <w:r>
        <w:rPr>
          <w:spacing w:val="-5"/>
          <w:w w:val="100"/>
        </w:rPr>
        <w:t>元转让至泰豪科技股份有限公司，冲抵公司对江西为民机械有限公司的</w:t>
      </w:r>
      <w:r>
        <w:rPr>
          <w:spacing w:val="-47"/>
          <w:w w:val="100"/>
        </w:rPr>
        <w:t> </w:t>
      </w:r>
      <w:r>
        <w:rPr>
          <w:rFonts w:ascii="宋体" w:hAnsi="宋体" w:cs="宋体" w:eastAsia="宋体" w:hint="default"/>
          <w:spacing w:val="-1"/>
          <w:w w:val="100"/>
        </w:rPr>
        <w:t>1,000</w:t>
      </w:r>
      <w:r>
        <w:rPr>
          <w:rFonts w:ascii="宋体" w:hAnsi="宋体" w:cs="宋体" w:eastAsia="宋体" w:hint="default"/>
          <w:spacing w:val="-48"/>
          <w:w w:val="100"/>
        </w:rPr>
        <w:t> </w:t>
      </w:r>
      <w:r>
        <w:rPr>
          <w:spacing w:val="-3"/>
          <w:w w:val="100"/>
        </w:rPr>
        <w:t>万债</w:t>
      </w:r>
      <w:r>
        <w:rPr>
          <w:spacing w:val="-103"/>
          <w:w w:val="100"/>
        </w:rPr>
        <w:t> </w:t>
      </w:r>
      <w:r>
        <w:rPr>
          <w:spacing w:val="-3"/>
        </w:rPr>
        <w:t>权及相关费用。公司将持有上海戎科特种装备有限公司</w:t>
      </w:r>
      <w:r>
        <w:rPr>
          <w:spacing w:val="-36"/>
        </w:rPr>
        <w:t> </w:t>
      </w:r>
      <w:r>
        <w:rPr>
          <w:rFonts w:ascii="宋体" w:hAnsi="宋体" w:cs="宋体" w:eastAsia="宋体" w:hint="default"/>
        </w:rPr>
        <w:t>6.7%</w:t>
      </w:r>
      <w:r>
        <w:rPr/>
        <w:t>的股权列入以公允价值计量且其变动</w:t>
      </w:r>
      <w:r>
        <w:rPr>
          <w:spacing w:val="-99"/>
        </w:rPr>
        <w:t> </w:t>
      </w:r>
      <w:r>
        <w:rPr>
          <w:spacing w:val="-99"/>
        </w:rPr>
      </w:r>
      <w:r>
        <w:rPr/>
        <w:t>计入当期损益的金融资产。</w:t>
      </w:r>
      <w:r>
        <w:rPr>
          <w:rFonts w:ascii="宋体" w:hAnsi="宋体" w:cs="宋体" w:eastAsia="宋体" w:hint="default"/>
        </w:rPr>
        <w:t> </w:t>
      </w:r>
    </w:p>
    <w:p>
      <w:pPr>
        <w:spacing w:after="0" w:line="237" w:lineRule="auto"/>
        <w:jc w:val="both"/>
        <w:rPr>
          <w:rFonts w:ascii="宋体" w:hAnsi="宋体" w:cs="宋体" w:eastAsia="宋体" w:hint="default"/>
        </w:rPr>
        <w:sectPr>
          <w:type w:val="continuous"/>
          <w:pgSz w:w="11910" w:h="16840"/>
          <w:pgMar w:top="1120" w:bottom="1380" w:left="1060" w:right="1580"/>
        </w:sectPr>
      </w:pPr>
    </w:p>
    <w:p>
      <w:pPr>
        <w:spacing w:line="240" w:lineRule="auto" w:before="11"/>
        <w:rPr>
          <w:rFonts w:ascii="宋体" w:hAnsi="宋体" w:cs="宋体" w:eastAsia="宋体" w:hint="default"/>
          <w:sz w:val="18"/>
          <w:szCs w:val="18"/>
        </w:rPr>
      </w:pPr>
    </w:p>
    <w:p>
      <w:pPr>
        <w:pStyle w:val="Heading5"/>
        <w:tabs>
          <w:tab w:pos="977" w:val="left" w:leader="none"/>
        </w:tabs>
        <w:spacing w:line="290" w:lineRule="auto" w:before="36"/>
        <w:ind w:left="136" w:right="6306"/>
        <w:jc w:val="left"/>
        <w:rPr>
          <w:b w:val="0"/>
          <w:bCs w:val="0"/>
        </w:rPr>
      </w:pPr>
      <w:r>
        <w:rPr>
          <w:rFonts w:ascii="宋体" w:hAnsi="宋体" w:cs="宋体" w:eastAsia="宋体" w:hint="default"/>
        </w:rPr>
        <w:t>2</w:t>
      </w:r>
      <w:r>
        <w:rPr/>
        <w:t>、</w:t>
      </w:r>
      <w:r>
        <w:rPr>
          <w:spacing w:val="-4"/>
        </w:rPr>
        <w:t> </w:t>
      </w:r>
      <w:r>
        <w:rPr/>
        <w:t>对外股权投资总体分析</w:t>
      </w:r>
      <w:r>
        <w:rPr>
          <w:rFonts w:ascii="宋体" w:hAnsi="宋体" w:cs="宋体" w:eastAsia="宋体" w:hint="default"/>
          <w:w w:val="99"/>
        </w:rPr>
        <w:t> </w:t>
      </w:r>
      <w:r>
        <w:rPr>
          <w:rFonts w:ascii="宋体" w:hAnsi="宋体" w:cs="宋体" w:eastAsia="宋体" w:hint="default"/>
          <w:w w:val="95"/>
        </w:rPr>
        <w:t>(</w:t>
      </w:r>
      <w:r>
        <w:rPr>
          <w:w w:val="95"/>
        </w:rPr>
        <w:t>六</w:t>
      </w:r>
      <w:r>
        <w:rPr>
          <w:rFonts w:ascii="宋体" w:hAnsi="宋体" w:cs="宋体" w:eastAsia="宋体" w:hint="default"/>
          <w:w w:val="95"/>
        </w:rPr>
        <w:t>)</w:t>
        <w:tab/>
      </w:r>
      <w:r>
        <w:rPr/>
        <w:t>重大资产和股权出售</w:t>
      </w:r>
      <w:r>
        <w:rPr>
          <w:b w:val="0"/>
          <w:bCs w:val="0"/>
        </w:rPr>
      </w:r>
    </w:p>
    <w:p>
      <w:pPr>
        <w:pStyle w:val="Heading3"/>
        <w:spacing w:line="240" w:lineRule="auto" w:before="8"/>
        <w:ind w:left="136" w:right="102"/>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37" w:lineRule="auto" w:before="6"/>
        <w:ind w:right="213" w:firstLine="480"/>
        <w:jc w:val="both"/>
        <w:rPr>
          <w:rFonts w:ascii="宋体" w:hAnsi="宋体" w:cs="宋体" w:eastAsia="宋体" w:hint="default"/>
        </w:rPr>
      </w:pPr>
      <w:r>
        <w:rPr>
          <w:rFonts w:ascii="宋体" w:hAnsi="宋体" w:cs="宋体" w:eastAsia="宋体" w:hint="default"/>
        </w:rPr>
        <w:t>1</w:t>
      </w:r>
      <w:r>
        <w:rPr/>
        <w:t>、为进一步提高资产运营效率，根据第七届董事会第四次会议决议，同意将公司全资子公</w:t>
      </w:r>
      <w:r>
        <w:rPr>
          <w:w w:val="100"/>
        </w:rPr>
        <w:t> </w:t>
      </w:r>
      <w:r>
        <w:rPr/>
        <w:t>司江西泰豪军工集团有限公司所持的长春泰豪电子装备有限公司 </w:t>
      </w:r>
      <w:r>
        <w:rPr>
          <w:rFonts w:ascii="宋体" w:hAnsi="宋体" w:cs="宋体" w:eastAsia="宋体" w:hint="default"/>
        </w:rPr>
        <w:t>100%</w:t>
      </w:r>
      <w:r>
        <w:rPr/>
        <w:t>股权及债权转让给吉林省</w:t>
      </w:r>
      <w:r>
        <w:rPr>
          <w:spacing w:val="-98"/>
        </w:rPr>
        <w:t> </w:t>
      </w:r>
      <w:r>
        <w:rPr>
          <w:spacing w:val="-98"/>
        </w:rPr>
      </w:r>
      <w:r>
        <w:rPr/>
        <w:t>知合物流有限公司，合计</w:t>
      </w:r>
      <w:r>
        <w:rPr>
          <w:spacing w:val="-58"/>
        </w:rPr>
        <w:t> </w:t>
      </w:r>
      <w:r>
        <w:rPr>
          <w:rFonts w:ascii="宋体" w:hAnsi="宋体" w:cs="宋体" w:eastAsia="宋体" w:hint="default"/>
        </w:rPr>
        <w:t>9,000</w:t>
      </w:r>
      <w:r>
        <w:rPr>
          <w:rFonts w:ascii="宋体" w:hAnsi="宋体" w:cs="宋体" w:eastAsia="宋体" w:hint="default"/>
          <w:spacing w:val="-57"/>
        </w:rPr>
        <w:t> </w:t>
      </w:r>
      <w:r>
        <w:rPr/>
        <w:t>万元</w:t>
      </w:r>
      <w:r>
        <w:rPr>
          <w:rFonts w:ascii="宋体" w:hAnsi="宋体" w:cs="宋体" w:eastAsia="宋体" w:hint="default"/>
        </w:rPr>
        <w:t>,</w:t>
      </w:r>
      <w:r>
        <w:rPr/>
        <w:t>报告期内已收回全部股权转让款。</w:t>
      </w:r>
      <w:r>
        <w:rPr>
          <w:rFonts w:ascii="宋体" w:hAnsi="宋体" w:cs="宋体" w:eastAsia="宋体" w:hint="default"/>
        </w:rPr>
        <w:t> </w:t>
      </w:r>
    </w:p>
    <w:p>
      <w:pPr>
        <w:pStyle w:val="BodyText"/>
        <w:spacing w:line="237" w:lineRule="auto"/>
        <w:ind w:right="209" w:firstLine="420"/>
        <w:jc w:val="both"/>
        <w:rPr>
          <w:rFonts w:ascii="宋体" w:hAnsi="宋体" w:cs="宋体" w:eastAsia="宋体" w:hint="default"/>
          <w:sz w:val="24"/>
          <w:szCs w:val="24"/>
        </w:rPr>
      </w:pPr>
      <w:r>
        <w:rPr>
          <w:rFonts w:ascii="宋体" w:hAnsi="宋体" w:cs="宋体" w:eastAsia="宋体" w:hint="default"/>
          <w:spacing w:val="-4"/>
        </w:rPr>
        <w:t>2</w:t>
      </w:r>
      <w:r>
        <w:rPr>
          <w:spacing w:val="-4"/>
        </w:rPr>
        <w:t>、为进一步提高管理效率，聚焦产业分布，根据第七届董事会第八次会议决议，同意将公司</w:t>
      </w:r>
      <w:r>
        <w:rPr>
          <w:w w:val="100"/>
        </w:rPr>
        <w:t> </w:t>
      </w:r>
      <w:r>
        <w:rPr/>
        <w:t>全资子公司江西泰豪军工集团有限公司所持的济南吉美乐电源技术有限公司 </w:t>
      </w:r>
      <w:r>
        <w:rPr>
          <w:rFonts w:ascii="宋体" w:hAnsi="宋体" w:cs="宋体" w:eastAsia="宋体" w:hint="default"/>
        </w:rPr>
        <w:t>100%</w:t>
      </w:r>
      <w:r>
        <w:rPr/>
        <w:t>股权转让给康</w:t>
      </w:r>
      <w:r>
        <w:rPr>
          <w:spacing w:val="-96"/>
        </w:rPr>
        <w:t> </w:t>
      </w:r>
      <w:r>
        <w:rPr>
          <w:spacing w:val="-96"/>
        </w:rPr>
      </w:r>
      <w:r>
        <w:rPr/>
        <w:t>富科技股份有限公司，转让价格为</w:t>
      </w:r>
      <w:r>
        <w:rPr>
          <w:spacing w:val="-56"/>
        </w:rPr>
        <w:t> </w:t>
      </w:r>
      <w:r>
        <w:rPr>
          <w:rFonts w:ascii="宋体" w:hAnsi="宋体" w:cs="宋体" w:eastAsia="宋体" w:hint="default"/>
        </w:rPr>
        <w:t>7,000</w:t>
      </w:r>
      <w:r>
        <w:rPr>
          <w:rFonts w:ascii="宋体" w:hAnsi="宋体" w:cs="宋体" w:eastAsia="宋体" w:hint="default"/>
          <w:spacing w:val="-58"/>
        </w:rPr>
        <w:t> </w:t>
      </w:r>
      <w:r>
        <w:rPr/>
        <w:t>万元</w:t>
      </w:r>
      <w:r>
        <w:rPr>
          <w:rFonts w:ascii="宋体" w:hAnsi="宋体" w:cs="宋体" w:eastAsia="宋体" w:hint="default"/>
        </w:rPr>
        <w:t>,</w:t>
      </w:r>
      <w:r>
        <w:rPr/>
        <w:t>报告期内已收回全部股权转让款。</w:t>
      </w:r>
      <w:r>
        <w:rPr>
          <w:rFonts w:ascii="宋体" w:hAnsi="宋体" w:cs="宋体" w:eastAsia="宋体" w:hint="default"/>
          <w:sz w:val="24"/>
          <w:szCs w:val="24"/>
        </w:rPr>
        <w:t> </w:t>
      </w:r>
    </w:p>
    <w:p>
      <w:pPr>
        <w:pStyle w:val="BodyText"/>
        <w:spacing w:line="272" w:lineRule="exact" w:before="26"/>
        <w:ind w:right="208" w:firstLine="420"/>
        <w:jc w:val="both"/>
      </w:pPr>
      <w:r>
        <w:rPr>
          <w:rFonts w:ascii="宋体" w:hAnsi="宋体" w:cs="宋体" w:eastAsia="宋体" w:hint="default"/>
          <w:spacing w:val="-4"/>
          <w:w w:val="100"/>
        </w:rPr>
        <w:t>3</w:t>
      </w:r>
      <w:r>
        <w:rPr>
          <w:spacing w:val="-4"/>
          <w:w w:val="100"/>
        </w:rPr>
        <w:t>、因全资子公司江西泰豪军工集团有限公司之控股子公司湖南基石通信技术有限公司业绩未</w:t>
      </w:r>
      <w:r>
        <w:rPr>
          <w:w w:val="100"/>
        </w:rPr>
        <w:t> </w:t>
      </w:r>
      <w:r>
        <w:rPr/>
        <w:t>达预期，经与该公司原股东协商，根据总裁工作会议决定，同意将湖南基石</w:t>
      </w:r>
      <w:r>
        <w:rPr>
          <w:spacing w:val="7"/>
        </w:rPr>
        <w:t> </w:t>
      </w:r>
      <w:r>
        <w:rPr>
          <w:rFonts w:ascii="宋体" w:hAnsi="宋体" w:cs="宋体" w:eastAsia="宋体" w:hint="default"/>
        </w:rPr>
        <w:t>51%</w:t>
      </w:r>
      <w:r>
        <w:rPr/>
        <w:t>股权转让给非关</w:t>
      </w:r>
      <w:r>
        <w:rPr>
          <w:w w:val="100"/>
        </w:rPr>
        <w:t> </w:t>
      </w:r>
      <w:r>
        <w:rPr>
          <w:spacing w:val="-5"/>
        </w:rPr>
        <w:t>联第三方，转让价格 </w:t>
      </w:r>
      <w:r>
        <w:rPr>
          <w:rFonts w:ascii="宋体" w:hAnsi="宋体" w:cs="宋体" w:eastAsia="宋体" w:hint="default"/>
        </w:rPr>
        <w:t>42,316,712</w:t>
      </w:r>
      <w:r>
        <w:rPr>
          <w:rFonts w:ascii="宋体" w:hAnsi="宋体" w:cs="宋体" w:eastAsia="宋体" w:hint="default"/>
          <w:spacing w:val="-45"/>
        </w:rPr>
        <w:t> </w:t>
      </w:r>
      <w:r>
        <w:rPr>
          <w:spacing w:val="-4"/>
        </w:rPr>
        <w:t>元，扣减江西泰豪军工集团有限公司尚未出资部分，实际收取股</w:t>
      </w:r>
    </w:p>
    <w:p>
      <w:pPr>
        <w:pStyle w:val="BodyText"/>
        <w:spacing w:line="272" w:lineRule="exact" w:before="1"/>
        <w:ind w:left="557" w:right="102" w:hanging="421"/>
        <w:jc w:val="left"/>
      </w:pPr>
      <w:r>
        <w:rPr/>
        <w:t>权转让价款</w:t>
      </w:r>
      <w:r>
        <w:rPr>
          <w:spacing w:val="-53"/>
        </w:rPr>
        <w:t> </w:t>
      </w:r>
      <w:r>
        <w:rPr>
          <w:rFonts w:ascii="宋体" w:hAnsi="宋体" w:cs="宋体" w:eastAsia="宋体" w:hint="default"/>
        </w:rPr>
        <w:t>20,916,711</w:t>
      </w:r>
      <w:r>
        <w:rPr>
          <w:rFonts w:ascii="宋体" w:hAnsi="宋体" w:cs="宋体" w:eastAsia="宋体" w:hint="default"/>
          <w:spacing w:val="-56"/>
        </w:rPr>
        <w:t> </w:t>
      </w:r>
      <w:r>
        <w:rPr/>
        <w:t>元</w:t>
      </w:r>
      <w:r>
        <w:rPr>
          <w:rFonts w:ascii="宋体" w:hAnsi="宋体" w:cs="宋体" w:eastAsia="宋体" w:hint="default"/>
        </w:rPr>
        <w:t>,</w:t>
      </w:r>
      <w:r>
        <w:rPr/>
        <w:t>报告期内已收回全部股权转让款。</w:t>
      </w:r>
      <w:r>
        <w:rPr>
          <w:rFonts w:ascii="宋体" w:hAnsi="宋体" w:cs="宋体" w:eastAsia="宋体" w:hint="default"/>
          <w:w w:val="100"/>
        </w:rPr>
        <w:t> </w:t>
      </w:r>
      <w:r>
        <w:rPr>
          <w:rFonts w:ascii="宋体" w:hAnsi="宋体" w:cs="宋体" w:eastAsia="宋体" w:hint="default"/>
          <w:spacing w:val="-4"/>
        </w:rPr>
        <w:t>4</w:t>
      </w:r>
      <w:r>
        <w:rPr>
          <w:spacing w:val="-4"/>
        </w:rPr>
        <w:t>、为进一步聚焦主业，提升资产运营效率，根据第七届董事会第十二次会议决议，同意公司</w:t>
      </w:r>
    </w:p>
    <w:p>
      <w:pPr>
        <w:pStyle w:val="BodyText"/>
        <w:spacing w:line="272" w:lineRule="exact" w:before="1"/>
        <w:ind w:right="102"/>
        <w:jc w:val="left"/>
      </w:pPr>
      <w:r>
        <w:rPr/>
        <w:t>将持有的江西国科军工集团股份有限公司 </w:t>
      </w:r>
      <w:r>
        <w:rPr>
          <w:rFonts w:ascii="宋体" w:hAnsi="宋体" w:cs="宋体" w:eastAsia="宋体" w:hint="default"/>
        </w:rPr>
        <w:t>10%</w:t>
      </w:r>
      <w:r>
        <w:rPr/>
        <w:t>股权转让给广东温氏投资有限公司等，转让价格合</w:t>
      </w:r>
      <w:r>
        <w:rPr>
          <w:spacing w:val="-97"/>
        </w:rPr>
        <w:t> </w:t>
      </w:r>
      <w:r>
        <w:rPr>
          <w:spacing w:val="-97"/>
        </w:rPr>
      </w:r>
      <w:r>
        <w:rPr/>
        <w:t>计为人民币</w:t>
      </w:r>
      <w:r>
        <w:rPr>
          <w:spacing w:val="-48"/>
        </w:rPr>
        <w:t> </w:t>
      </w:r>
      <w:r>
        <w:rPr>
          <w:rFonts w:ascii="宋体" w:hAnsi="宋体" w:cs="宋体" w:eastAsia="宋体" w:hint="default"/>
        </w:rPr>
        <w:t>130,000,000</w:t>
      </w:r>
      <w:r>
        <w:rPr>
          <w:rFonts w:ascii="宋体" w:hAnsi="宋体" w:cs="宋体" w:eastAsia="宋体" w:hint="default"/>
          <w:spacing w:val="-51"/>
        </w:rPr>
        <w:t> </w:t>
      </w:r>
      <w:r>
        <w:rPr/>
        <w:t>元。本次股权转让完成后，公司仍持有江西国科</w:t>
      </w:r>
      <w:r>
        <w:rPr>
          <w:spacing w:val="-4"/>
        </w:rPr>
        <w:t> </w:t>
      </w:r>
      <w:r>
        <w:rPr>
          <w:rFonts w:ascii="宋体" w:hAnsi="宋体" w:cs="宋体" w:eastAsia="宋体" w:hint="default"/>
          <w:spacing w:val="-4"/>
        </w:rPr>
      </w:r>
      <w:r>
        <w:rPr>
          <w:rFonts w:ascii="宋体" w:hAnsi="宋体" w:cs="宋体" w:eastAsia="宋体" w:hint="default"/>
        </w:rPr>
        <w:t>20%</w:t>
      </w:r>
      <w:r>
        <w:rPr/>
        <w:t>股权。具体内容详</w:t>
      </w:r>
    </w:p>
    <w:p>
      <w:pPr>
        <w:pStyle w:val="BodyText"/>
        <w:spacing w:line="272" w:lineRule="exact" w:before="1"/>
        <w:ind w:right="108"/>
        <w:jc w:val="left"/>
      </w:pPr>
      <w:r>
        <w:rPr>
          <w:spacing w:val="5"/>
        </w:rPr>
        <w:t>见《关于出售公司持有的江西国科军工集团股份有限公司 </w:t>
      </w:r>
      <w:r>
        <w:rPr>
          <w:rFonts w:ascii="宋体" w:hAnsi="宋体" w:cs="宋体" w:eastAsia="宋体" w:hint="default"/>
          <w:spacing w:val="5"/>
        </w:rPr>
      </w:r>
      <w:r>
        <w:rPr>
          <w:rFonts w:ascii="宋体" w:hAnsi="宋体" w:cs="宋体" w:eastAsia="宋体" w:hint="default"/>
          <w:spacing w:val="4"/>
        </w:rPr>
        <w:t>10%</w:t>
      </w:r>
      <w:r>
        <w:rPr>
          <w:spacing w:val="4"/>
        </w:rPr>
        <w:t>股权的公告》 </w:t>
      </w:r>
      <w:r>
        <w:rPr>
          <w:rFonts w:ascii="宋体" w:hAnsi="宋体" w:cs="宋体" w:eastAsia="宋体" w:hint="default"/>
          <w:spacing w:val="4"/>
        </w:rPr>
      </w:r>
      <w:r>
        <w:rPr>
          <w:spacing w:val="4"/>
        </w:rPr>
        <w:t>（公告编号：临</w:t>
      </w:r>
      <w:r>
        <w:rPr>
          <w:spacing w:val="15"/>
        </w:rPr>
        <w:t> </w:t>
      </w:r>
      <w:r>
        <w:rPr>
          <w:rFonts w:ascii="宋体" w:hAnsi="宋体" w:cs="宋体" w:eastAsia="宋体" w:hint="default"/>
          <w:spacing w:val="15"/>
        </w:rPr>
      </w:r>
      <w:r>
        <w:rPr>
          <w:rFonts w:ascii="宋体" w:hAnsi="宋体" w:cs="宋体" w:eastAsia="宋体" w:hint="default"/>
        </w:rPr>
        <w:t>2019-063</w:t>
      </w:r>
      <w:r>
        <w:rPr/>
        <w:t>）。报告期内已收回</w:t>
      </w:r>
      <w:r>
        <w:rPr>
          <w:spacing w:val="-53"/>
        </w:rPr>
        <w:t> </w:t>
      </w:r>
      <w:r>
        <w:rPr>
          <w:rFonts w:ascii="宋体" w:hAnsi="宋体" w:cs="宋体" w:eastAsia="宋体" w:hint="default"/>
        </w:rPr>
        <w:t>113,999,990</w:t>
      </w:r>
      <w:r>
        <w:rPr>
          <w:rFonts w:ascii="宋体" w:hAnsi="宋体" w:cs="宋体" w:eastAsia="宋体" w:hint="default"/>
          <w:spacing w:val="-52"/>
        </w:rPr>
        <w:t> </w:t>
      </w:r>
      <w:r>
        <w:rPr/>
        <w:t>元股权转让款，截止</w:t>
      </w:r>
      <w:r>
        <w:rPr>
          <w:spacing w:val="-54"/>
        </w:rPr>
        <w:t> </w:t>
      </w:r>
      <w:r>
        <w:rPr>
          <w:rFonts w:ascii="宋体" w:hAnsi="宋体" w:cs="宋体" w:eastAsia="宋体" w:hint="default"/>
        </w:rPr>
        <w:t>2020</w:t>
      </w:r>
      <w:r>
        <w:rPr>
          <w:rFonts w:ascii="宋体" w:hAnsi="宋体" w:cs="宋体" w:eastAsia="宋体" w:hint="default"/>
          <w:spacing w:val="-54"/>
        </w:rPr>
        <w:t> </w:t>
      </w:r>
      <w:r>
        <w:rPr/>
        <w:t>年</w:t>
      </w:r>
      <w:r>
        <w:rPr>
          <w:spacing w:val="-51"/>
        </w:rPr>
        <w:t> </w:t>
      </w:r>
      <w:r>
        <w:rPr>
          <w:rFonts w:ascii="宋体" w:hAnsi="宋体" w:cs="宋体" w:eastAsia="宋体" w:hint="default"/>
        </w:rPr>
        <w:t>3</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日，已收回全部</w:t>
      </w:r>
    </w:p>
    <w:p>
      <w:pPr>
        <w:pStyle w:val="BodyText"/>
        <w:spacing w:line="247" w:lineRule="exact"/>
        <w:ind w:right="102"/>
        <w:jc w:val="left"/>
        <w:rPr>
          <w:rFonts w:ascii="宋体" w:hAnsi="宋体" w:cs="宋体" w:eastAsia="宋体" w:hint="default"/>
        </w:rPr>
      </w:pPr>
      <w:r>
        <w:rPr/>
        <w:t>股权转让款。</w:t>
      </w:r>
      <w:r>
        <w:rPr>
          <w:rFonts w:ascii="宋体" w:hAnsi="宋体" w:cs="宋体" w:eastAsia="宋体" w:hint="default"/>
        </w:rPr>
        <w:t> </w:t>
      </w:r>
    </w:p>
    <w:p>
      <w:pPr>
        <w:pStyle w:val="BodyText"/>
        <w:spacing w:line="237" w:lineRule="auto"/>
        <w:ind w:right="102" w:firstLine="420"/>
        <w:jc w:val="left"/>
        <w:rPr>
          <w:rFonts w:ascii="宋体" w:hAnsi="宋体" w:cs="宋体" w:eastAsia="宋体" w:hint="default"/>
        </w:rPr>
      </w:pPr>
      <w:r>
        <w:rPr>
          <w:rFonts w:ascii="宋体" w:hAnsi="宋体" w:cs="宋体" w:eastAsia="宋体" w:hint="default"/>
          <w:spacing w:val="-1"/>
        </w:rPr>
        <w:t>5</w:t>
      </w:r>
      <w:r>
        <w:rPr>
          <w:spacing w:val="-1"/>
        </w:rPr>
        <w:t>、基于深圳市中航比特通讯技术有限公司发展需要，根据第七届董事会第十二次会议决议，</w:t>
      </w:r>
      <w:r>
        <w:rPr>
          <w:w w:val="100"/>
        </w:rPr>
        <w:t> </w:t>
      </w:r>
      <w:r>
        <w:rPr/>
        <w:t>同意公司子公司江西泰豪军工集团有限公司将持有的中航比特</w:t>
      </w:r>
      <w:r>
        <w:rPr>
          <w:spacing w:val="-48"/>
        </w:rPr>
        <w:t> </w:t>
      </w:r>
      <w:r>
        <w:rPr>
          <w:rFonts w:ascii="宋体" w:hAnsi="宋体" w:cs="宋体" w:eastAsia="宋体" w:hint="default"/>
          <w:spacing w:val="-4"/>
        </w:rPr>
        <w:t>5%</w:t>
      </w:r>
      <w:r>
        <w:rPr>
          <w:spacing w:val="-4"/>
        </w:rPr>
        <w:t>股权转让给非关联第三方，转让</w:t>
      </w:r>
      <w:r>
        <w:rPr>
          <w:spacing w:val="-94"/>
        </w:rPr>
        <w:t> </w:t>
      </w:r>
      <w:r>
        <w:rPr>
          <w:spacing w:val="-94"/>
        </w:rPr>
      </w:r>
      <w:r>
        <w:rPr/>
        <w:t>价格为人民币 </w:t>
      </w:r>
      <w:r>
        <w:rPr>
          <w:rFonts w:ascii="宋体" w:hAnsi="宋体" w:cs="宋体" w:eastAsia="宋体" w:hint="default"/>
        </w:rPr>
        <w:t>5,500 </w:t>
      </w:r>
      <w:r>
        <w:rPr>
          <w:spacing w:val="-6"/>
        </w:rPr>
        <w:t>万元。本次股权转让完成后，泰豪军工仍持有中航比特 </w:t>
      </w:r>
      <w:r>
        <w:rPr>
          <w:rFonts w:ascii="宋体" w:hAnsi="宋体" w:cs="宋体" w:eastAsia="宋体" w:hint="default"/>
          <w:spacing w:val="-6"/>
        </w:rPr>
        <w:t>20.763%</w:t>
      </w:r>
      <w:r>
        <w:rPr>
          <w:spacing w:val="-6"/>
        </w:rPr>
        <w:t>股权。具 </w:t>
      </w:r>
      <w:r>
        <w:rPr>
          <w:rFonts w:ascii="宋体" w:hAnsi="宋体" w:cs="宋体" w:eastAsia="宋体" w:hint="default"/>
          <w:spacing w:val="-6"/>
        </w:rPr>
      </w:r>
      <w:r>
        <w:rPr/>
        <w:t>体</w:t>
      </w:r>
      <w:r>
        <w:rPr>
          <w:spacing w:val="-92"/>
        </w:rPr>
        <w:t> </w:t>
      </w:r>
      <w:r>
        <w:rPr/>
        <w:t>内容详见《关于出售全资子公司持有的深圳市中航比特通讯技术有限公司 </w:t>
      </w:r>
      <w:r>
        <w:rPr>
          <w:rFonts w:ascii="宋体" w:hAnsi="宋体" w:cs="宋体" w:eastAsia="宋体" w:hint="default"/>
        </w:rPr>
        <w:t>5% </w:t>
      </w:r>
      <w:r>
        <w:rPr/>
        <w:t>股权的公告》（公</w:t>
      </w:r>
      <w:r>
        <w:rPr>
          <w:spacing w:val="-98"/>
        </w:rPr>
        <w:t> </w:t>
      </w:r>
      <w:r>
        <w:rPr>
          <w:spacing w:val="-98"/>
        </w:rPr>
      </w:r>
      <w:r>
        <w:rPr/>
        <w:t>告编号：临</w:t>
      </w:r>
      <w:r>
        <w:rPr>
          <w:spacing w:val="-6"/>
        </w:rPr>
        <w:t> </w:t>
      </w:r>
      <w:r>
        <w:rPr>
          <w:rFonts w:ascii="宋体" w:hAnsi="宋体" w:cs="宋体" w:eastAsia="宋体" w:hint="default"/>
          <w:spacing w:val="-6"/>
        </w:rPr>
      </w:r>
      <w:r>
        <w:rPr>
          <w:rFonts w:ascii="宋体" w:hAnsi="宋体" w:cs="宋体" w:eastAsia="宋体" w:hint="default"/>
        </w:rPr>
        <w:t>2019-064</w:t>
      </w:r>
      <w:r>
        <w:rPr/>
        <w:t>）</w:t>
      </w:r>
      <w:r>
        <w:rPr>
          <w:rFonts w:ascii="宋体" w:hAnsi="宋体" w:cs="宋体" w:eastAsia="宋体" w:hint="default"/>
        </w:rPr>
        <w:t>,</w:t>
      </w:r>
      <w:r>
        <w:rPr/>
        <w:t>报告期内已收回全部股权转让款。</w:t>
      </w:r>
      <w:r>
        <w:rPr>
          <w:rFonts w:ascii="宋体" w:hAnsi="宋体" w:cs="宋体" w:eastAsia="宋体" w:hint="default"/>
        </w:rPr>
        <w:t> </w:t>
      </w:r>
    </w:p>
    <w:p>
      <w:pPr>
        <w:spacing w:after="0" w:line="237" w:lineRule="auto"/>
        <w:jc w:val="left"/>
        <w:rPr>
          <w:rFonts w:ascii="宋体" w:hAnsi="宋体" w:cs="宋体" w:eastAsia="宋体" w:hint="default"/>
        </w:rPr>
        <w:sectPr>
          <w:pgSz w:w="11910" w:h="16840"/>
          <w:pgMar w:header="880" w:footer="1195" w:top="1120" w:bottom="1380" w:left="1140" w:right="1580"/>
        </w:sectPr>
      </w:pPr>
    </w:p>
    <w:p>
      <w:pPr>
        <w:spacing w:line="240" w:lineRule="auto" w:before="13"/>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headerReference w:type="default" r:id="rId14"/>
          <w:footerReference w:type="default" r:id="rId15"/>
          <w:pgSz w:w="16840" w:h="11910" w:orient="landscape"/>
          <w:pgMar w:header="880" w:footer="1195" w:top="1120" w:bottom="1380" w:left="1300" w:right="1320"/>
          <w:pgNumType w:start="20"/>
        </w:sectPr>
      </w:pPr>
    </w:p>
    <w:p>
      <w:pPr>
        <w:pStyle w:val="Heading5"/>
        <w:tabs>
          <w:tab w:pos="1064" w:val="left" w:leader="none"/>
        </w:tabs>
        <w:spacing w:line="240" w:lineRule="auto" w:before="36"/>
        <w:ind w:left="224" w:right="-9"/>
        <w:jc w:val="left"/>
        <w:rPr>
          <w:b w:val="0"/>
          <w:bCs w:val="0"/>
        </w:rPr>
      </w:pPr>
      <w:r>
        <w:rPr>
          <w:rFonts w:ascii="宋体" w:hAnsi="宋体" w:cs="宋体" w:eastAsia="宋体" w:hint="default"/>
          <w:w w:val="95"/>
        </w:rPr>
        <w:t>(</w:t>
      </w:r>
      <w:r>
        <w:rPr>
          <w:w w:val="95"/>
        </w:rPr>
        <w:t>七</w:t>
      </w:r>
      <w:r>
        <w:rPr>
          <w:rFonts w:ascii="宋体" w:hAnsi="宋体" w:cs="宋体" w:eastAsia="宋体" w:hint="default"/>
          <w:w w:val="95"/>
        </w:rPr>
        <w:t>)</w:t>
        <w:tab/>
      </w:r>
      <w:r>
        <w:rPr>
          <w:spacing w:val="-1"/>
        </w:rPr>
        <w:t>主要控股参股公司分析</w:t>
      </w:r>
      <w:r>
        <w:rPr>
          <w:b w:val="0"/>
          <w:bCs w:val="0"/>
          <w:spacing w:val="-1"/>
        </w:rPr>
      </w:r>
    </w:p>
    <w:p>
      <w:pPr>
        <w:pStyle w:val="BodyText"/>
        <w:tabs>
          <w:tab w:pos="1169" w:val="left" w:leader="none"/>
        </w:tabs>
        <w:spacing w:line="274" w:lineRule="exact" w:before="56"/>
        <w:ind w:left="224" w:right="-9"/>
        <w:jc w:val="left"/>
      </w:pPr>
      <w:r>
        <w:rPr/>
        <w:t>√适用</w:t>
        <w:tab/>
        <w:t>□不适用</w:t>
      </w:r>
    </w:p>
    <w:p>
      <w:pPr>
        <w:pStyle w:val="BodyText"/>
        <w:spacing w:line="290" w:lineRule="exact"/>
        <w:ind w:left="224" w:right="-9"/>
        <w:jc w:val="left"/>
      </w:pPr>
      <w:r>
        <w:rPr>
          <w:rFonts w:ascii="Times New Roman" w:hAnsi="Times New Roman" w:cs="Times New Roman" w:eastAsia="Times New Roman" w:hint="default"/>
        </w:rPr>
        <w:t>1</w:t>
      </w:r>
      <w:r>
        <w:rPr/>
        <w:t>、主要子公司情况：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spacing w:line="240" w:lineRule="auto"/>
        <w:ind w:left="224" w:right="0"/>
        <w:jc w:val="left"/>
      </w:pPr>
      <w:r>
        <w:rPr/>
        <w:t>单元：元</w:t>
      </w:r>
      <w:r>
        <w:rPr>
          <w:spacing w:val="1"/>
        </w:rPr>
        <w:t> </w:t>
      </w:r>
      <w:r>
        <w:rPr/>
        <w:t>币种：人民币</w:t>
      </w:r>
    </w:p>
    <w:p>
      <w:pPr>
        <w:spacing w:after="0" w:line="240" w:lineRule="auto"/>
        <w:jc w:val="left"/>
        <w:sectPr>
          <w:type w:val="continuous"/>
          <w:pgSz w:w="16840" w:h="11910" w:orient="landscape"/>
          <w:pgMar w:top="1120" w:bottom="1380" w:left="1300" w:right="1320"/>
          <w:cols w:num="2" w:equalWidth="0">
            <w:col w:w="3175" w:space="8494"/>
            <w:col w:w="2551"/>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97"/>
        <w:gridCol w:w="2304"/>
        <w:gridCol w:w="932"/>
        <w:gridCol w:w="1075"/>
        <w:gridCol w:w="1481"/>
        <w:gridCol w:w="1656"/>
        <w:gridCol w:w="1656"/>
        <w:gridCol w:w="1844"/>
        <w:gridCol w:w="1891"/>
      </w:tblGrid>
      <w:tr>
        <w:trPr>
          <w:trHeight w:val="283" w:hRule="exact"/>
        </w:trPr>
        <w:tc>
          <w:tcPr>
            <w:tcW w:w="1097" w:type="dxa"/>
            <w:vMerge w:val="restart"/>
            <w:tcBorders>
              <w:top w:val="single" w:sz="4" w:space="0" w:color="000000"/>
              <w:left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21"/>
                <w:szCs w:val="21"/>
              </w:rPr>
            </w:pPr>
            <w:r>
              <w:rPr>
                <w:rFonts w:ascii="宋体" w:hAnsi="宋体" w:cs="宋体" w:eastAsia="宋体" w:hint="default"/>
                <w:sz w:val="21"/>
                <w:szCs w:val="21"/>
              </w:rPr>
              <w:t>公司名称</w:t>
            </w:r>
            <w:r>
              <w:rPr>
                <w:rFonts w:ascii="宋体" w:hAnsi="宋体" w:cs="宋体" w:eastAsia="宋体" w:hint="default"/>
                <w:sz w:val="21"/>
                <w:szCs w:val="21"/>
              </w:rPr>
              <w:t> </w:t>
            </w:r>
          </w:p>
        </w:tc>
        <w:tc>
          <w:tcPr>
            <w:tcW w:w="2304" w:type="dxa"/>
            <w:vMerge w:val="restart"/>
            <w:tcBorders>
              <w:top w:val="single" w:sz="4" w:space="0" w:color="000000"/>
              <w:left w:val="single" w:sz="4" w:space="0" w:color="000000"/>
              <w:right w:val="single" w:sz="4" w:space="0" w:color="000000"/>
            </w:tcBorders>
          </w:tcPr>
          <w:p>
            <w:pPr>
              <w:pStyle w:val="TableParagraph"/>
              <w:spacing w:line="240" w:lineRule="auto" w:before="110"/>
              <w:ind w:left="727" w:right="0"/>
              <w:jc w:val="left"/>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sz w:val="21"/>
                <w:szCs w:val="21"/>
              </w:rPr>
              <w:t> </w:t>
            </w:r>
          </w:p>
        </w:tc>
        <w:tc>
          <w:tcPr>
            <w:tcW w:w="932" w:type="dxa"/>
            <w:vMerge w:val="restart"/>
            <w:tcBorders>
              <w:top w:val="single" w:sz="4" w:space="0" w:color="000000"/>
              <w:left w:val="single" w:sz="4" w:space="0" w:color="000000"/>
              <w:right w:val="single" w:sz="4" w:space="0" w:color="000000"/>
            </w:tcBorders>
          </w:tcPr>
          <w:p>
            <w:pPr>
              <w:pStyle w:val="TableParagraph"/>
              <w:spacing w:line="272" w:lineRule="exact" w:before="1"/>
              <w:ind w:left="352" w:right="142" w:hanging="209"/>
              <w:jc w:val="left"/>
              <w:rPr>
                <w:rFonts w:ascii="宋体" w:hAnsi="宋体" w:cs="宋体" w:eastAsia="宋体" w:hint="default"/>
                <w:sz w:val="21"/>
                <w:szCs w:val="21"/>
              </w:rPr>
            </w:pP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表决权</w:t>
            </w:r>
            <w:r>
              <w:rPr>
                <w:rFonts w:ascii="宋体" w:hAnsi="宋体" w:cs="宋体" w:eastAsia="宋体" w:hint="default"/>
                <w:sz w:val="21"/>
                <w:szCs w:val="21"/>
              </w:rPr>
              <w:t> </w:t>
            </w:r>
          </w:p>
        </w:tc>
        <w:tc>
          <w:tcPr>
            <w:tcW w:w="1481" w:type="dxa"/>
            <w:vMerge w:val="restart"/>
            <w:tcBorders>
              <w:top w:val="single" w:sz="4" w:space="0" w:color="000000"/>
              <w:left w:val="single" w:sz="4" w:space="0" w:color="000000"/>
              <w:right w:val="single" w:sz="4" w:space="0" w:color="000000"/>
            </w:tcBorders>
          </w:tcPr>
          <w:p>
            <w:pPr>
              <w:pStyle w:val="TableParagraph"/>
              <w:spacing w:line="240" w:lineRule="auto" w:before="110"/>
              <w:ind w:left="316" w:right="0"/>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before="110"/>
              <w:ind w:left="194" w:right="0"/>
              <w:jc w:val="left"/>
              <w:rPr>
                <w:rFonts w:ascii="宋体" w:hAnsi="宋体" w:cs="宋体" w:eastAsia="宋体" w:hint="default"/>
                <w:sz w:val="21"/>
                <w:szCs w:val="21"/>
              </w:rPr>
            </w:pPr>
            <w:r>
              <w:rPr>
                <w:rFonts w:ascii="宋体" w:hAnsi="宋体" w:cs="宋体" w:eastAsia="宋体" w:hint="default"/>
                <w:sz w:val="21"/>
                <w:szCs w:val="21"/>
              </w:rPr>
              <w:t>期末资产总额</w:t>
            </w:r>
            <w:r>
              <w:rPr>
                <w:rFonts w:ascii="宋体" w:hAnsi="宋体" w:cs="宋体" w:eastAsia="宋体" w:hint="default"/>
                <w:sz w:val="21"/>
                <w:szCs w:val="21"/>
              </w:rPr>
              <w:t> </w:t>
            </w: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before="110"/>
              <w:ind w:left="299" w:right="0"/>
              <w:jc w:val="left"/>
              <w:rPr>
                <w:rFonts w:ascii="宋体" w:hAnsi="宋体" w:cs="宋体" w:eastAsia="宋体" w:hint="default"/>
                <w:sz w:val="21"/>
                <w:szCs w:val="21"/>
              </w:rPr>
            </w:pPr>
            <w:r>
              <w:rPr>
                <w:rFonts w:ascii="宋体" w:hAnsi="宋体" w:cs="宋体" w:eastAsia="宋体" w:hint="default"/>
                <w:sz w:val="21"/>
                <w:szCs w:val="21"/>
              </w:rPr>
              <w:t>期末净资产</w:t>
            </w:r>
            <w:r>
              <w:rPr>
                <w:rFonts w:ascii="宋体" w:hAnsi="宋体" w:cs="宋体" w:eastAsia="宋体" w:hint="default"/>
                <w:sz w:val="21"/>
                <w:szCs w:val="21"/>
              </w:rPr>
              <w:t> </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before="110"/>
              <w:ind w:left="288" w:right="0"/>
              <w:jc w:val="left"/>
              <w:rPr>
                <w:rFonts w:ascii="宋体" w:hAnsi="宋体" w:cs="宋体" w:eastAsia="宋体" w:hint="default"/>
                <w:sz w:val="21"/>
                <w:szCs w:val="21"/>
              </w:rPr>
            </w:pPr>
            <w:r>
              <w:rPr>
                <w:rFonts w:ascii="宋体" w:hAnsi="宋体" w:cs="宋体" w:eastAsia="宋体" w:hint="default"/>
                <w:sz w:val="21"/>
                <w:szCs w:val="21"/>
              </w:rPr>
              <w:t>本期营业收入</w:t>
            </w:r>
            <w:r>
              <w:rPr>
                <w:rFonts w:ascii="宋体" w:hAnsi="宋体" w:cs="宋体" w:eastAsia="宋体" w:hint="default"/>
                <w:sz w:val="21"/>
                <w:szCs w:val="21"/>
              </w:rPr>
              <w:t> </w:t>
            </w:r>
          </w:p>
        </w:tc>
        <w:tc>
          <w:tcPr>
            <w:tcW w:w="1891" w:type="dxa"/>
            <w:vMerge w:val="restart"/>
            <w:tcBorders>
              <w:top w:val="single" w:sz="4" w:space="0" w:color="000000"/>
              <w:left w:val="single" w:sz="4" w:space="0" w:color="000000"/>
              <w:right w:val="single" w:sz="4" w:space="0" w:color="000000"/>
            </w:tcBorders>
          </w:tcPr>
          <w:p>
            <w:pPr>
              <w:pStyle w:val="TableParagraph"/>
              <w:spacing w:line="240" w:lineRule="auto" w:before="110"/>
              <w:ind w:left="417" w:right="0"/>
              <w:jc w:val="left"/>
              <w:rPr>
                <w:rFonts w:ascii="宋体" w:hAnsi="宋体" w:cs="宋体" w:eastAsia="宋体" w:hint="default"/>
                <w:sz w:val="21"/>
                <w:szCs w:val="21"/>
              </w:rPr>
            </w:pPr>
            <w:r>
              <w:rPr>
                <w:rFonts w:ascii="宋体" w:hAnsi="宋体" w:cs="宋体" w:eastAsia="宋体" w:hint="default"/>
                <w:sz w:val="21"/>
                <w:szCs w:val="21"/>
              </w:rPr>
              <w:t>本期净利润</w:t>
            </w:r>
            <w:r>
              <w:rPr>
                <w:rFonts w:ascii="宋体" w:hAnsi="宋体" w:cs="宋体" w:eastAsia="宋体" w:hint="default"/>
                <w:sz w:val="21"/>
                <w:szCs w:val="21"/>
              </w:rPr>
              <w:t> </w:t>
            </w:r>
          </w:p>
        </w:tc>
      </w:tr>
      <w:tr>
        <w:trPr>
          <w:trHeight w:val="286" w:hRule="exact"/>
        </w:trPr>
        <w:tc>
          <w:tcPr>
            <w:tcW w:w="1097" w:type="dxa"/>
            <w:vMerge/>
            <w:tcBorders>
              <w:left w:val="single" w:sz="4" w:space="0" w:color="000000"/>
              <w:bottom w:val="single" w:sz="4" w:space="0" w:color="000000"/>
              <w:right w:val="single" w:sz="4" w:space="0" w:color="000000"/>
            </w:tcBorders>
          </w:tcPr>
          <w:p>
            <w:pPr/>
          </w:p>
        </w:tc>
        <w:tc>
          <w:tcPr>
            <w:tcW w:w="2304"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352"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481"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c>
          <w:tcPr>
            <w:tcW w:w="1844" w:type="dxa"/>
            <w:vMerge/>
            <w:tcBorders>
              <w:left w:val="single" w:sz="4" w:space="0" w:color="000000"/>
              <w:bottom w:val="single" w:sz="4" w:space="0" w:color="000000"/>
              <w:right w:val="single" w:sz="4" w:space="0" w:color="000000"/>
            </w:tcBorders>
          </w:tcPr>
          <w:p>
            <w:pPr/>
          </w:p>
        </w:tc>
        <w:tc>
          <w:tcPr>
            <w:tcW w:w="1891" w:type="dxa"/>
            <w:vMerge/>
            <w:tcBorders>
              <w:left w:val="single" w:sz="4" w:space="0" w:color="000000"/>
              <w:bottom w:val="single" w:sz="4" w:space="0" w:color="000000"/>
              <w:right w:val="single" w:sz="4" w:space="0" w:color="000000"/>
            </w:tcBorders>
          </w:tcPr>
          <w:p>
            <w:pPr/>
          </w:p>
        </w:tc>
      </w:tr>
      <w:tr>
        <w:trPr>
          <w:trHeight w:val="1877"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37" w:lineRule="auto"/>
              <w:ind w:left="103" w:right="51"/>
              <w:jc w:val="both"/>
              <w:rPr>
                <w:rFonts w:ascii="宋体" w:hAnsi="宋体" w:cs="宋体" w:eastAsia="宋体" w:hint="default"/>
                <w:sz w:val="18"/>
                <w:szCs w:val="18"/>
              </w:rPr>
            </w:pPr>
            <w:r>
              <w:rPr>
                <w:rFonts w:ascii="宋体" w:hAnsi="宋体" w:cs="宋体" w:eastAsia="宋体" w:hint="default"/>
                <w:spacing w:val="39"/>
                <w:sz w:val="18"/>
                <w:szCs w:val="18"/>
              </w:rPr>
              <w:t>江西泰豪</w:t>
            </w:r>
            <w:r>
              <w:rPr>
                <w:rFonts w:ascii="宋体" w:hAnsi="宋体" w:cs="宋体" w:eastAsia="宋体" w:hint="default"/>
                <w:spacing w:val="-38"/>
                <w:sz w:val="18"/>
                <w:szCs w:val="18"/>
              </w:rPr>
              <w:t> </w:t>
            </w:r>
            <w:r>
              <w:rPr>
                <w:rFonts w:ascii="宋体" w:hAnsi="宋体" w:cs="宋体" w:eastAsia="宋体" w:hint="default"/>
                <w:spacing w:val="39"/>
                <w:sz w:val="18"/>
                <w:szCs w:val="18"/>
              </w:rPr>
              <w:t>军工集团</w:t>
            </w:r>
            <w:r>
              <w:rPr>
                <w:rFonts w:ascii="宋体" w:hAnsi="宋体" w:cs="宋体" w:eastAsia="宋体" w:hint="default"/>
                <w:spacing w:val="-38"/>
                <w:sz w:val="18"/>
                <w:szCs w:val="18"/>
              </w:rPr>
              <w:t> </w:t>
            </w:r>
            <w:r>
              <w:rPr>
                <w:rFonts w:ascii="宋体" w:hAnsi="宋体" w:cs="宋体" w:eastAsia="宋体" w:hint="default"/>
                <w:sz w:val="18"/>
                <w:szCs w:val="18"/>
              </w:rPr>
              <w:t>有限公司</w:t>
            </w:r>
            <w:r>
              <w:rPr>
                <w:rFonts w:ascii="宋体" w:hAnsi="宋体" w:cs="宋体" w:eastAsia="宋体" w:hint="default"/>
                <w:sz w:val="18"/>
                <w:szCs w:val="18"/>
              </w:rPr>
              <w:t> </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发电机及发电机组研制、生</w:t>
            </w:r>
          </w:p>
          <w:p>
            <w:pPr>
              <w:pStyle w:val="TableParagraph"/>
              <w:spacing w:line="237" w:lineRule="auto" w:before="2"/>
              <w:ind w:left="103" w:right="29"/>
              <w:jc w:val="left"/>
              <w:rPr>
                <w:rFonts w:ascii="宋体" w:hAnsi="宋体" w:cs="宋体" w:eastAsia="宋体" w:hint="default"/>
                <w:sz w:val="18"/>
                <w:szCs w:val="18"/>
              </w:rPr>
            </w:pPr>
            <w:r>
              <w:rPr>
                <w:rFonts w:ascii="宋体" w:hAnsi="宋体" w:cs="宋体" w:eastAsia="宋体" w:hint="default"/>
                <w:spacing w:val="-6"/>
                <w:sz w:val="18"/>
                <w:szCs w:val="18"/>
              </w:rPr>
              <w:t>产及销售；声光机电一体化</w:t>
            </w:r>
            <w:r>
              <w:rPr>
                <w:rFonts w:ascii="宋体" w:hAnsi="宋体" w:cs="宋体" w:eastAsia="宋体" w:hint="default"/>
                <w:sz w:val="18"/>
                <w:szCs w:val="18"/>
              </w:rPr>
              <w:t> </w:t>
            </w:r>
            <w:r>
              <w:rPr>
                <w:rFonts w:ascii="宋体" w:hAnsi="宋体" w:cs="宋体" w:eastAsia="宋体" w:hint="default"/>
                <w:spacing w:val="-6"/>
                <w:sz w:val="18"/>
                <w:szCs w:val="18"/>
              </w:rPr>
              <w:t>产品、通信设备、卫星导航</w:t>
            </w:r>
            <w:r>
              <w:rPr>
                <w:rFonts w:ascii="宋体" w:hAnsi="宋体" w:cs="宋体" w:eastAsia="宋体" w:hint="default"/>
                <w:sz w:val="18"/>
                <w:szCs w:val="18"/>
              </w:rPr>
              <w:t> 设备的研制、生产及销售； </w:t>
            </w:r>
            <w:r>
              <w:rPr>
                <w:rFonts w:ascii="宋体" w:hAnsi="宋体" w:cs="宋体" w:eastAsia="宋体" w:hint="default"/>
                <w:spacing w:val="-6"/>
                <w:sz w:val="18"/>
                <w:szCs w:val="18"/>
              </w:rPr>
              <w:t>新能源、新材料、新技术产</w:t>
            </w:r>
            <w:r>
              <w:rPr>
                <w:rFonts w:ascii="宋体" w:hAnsi="宋体" w:cs="宋体" w:eastAsia="宋体" w:hint="default"/>
                <w:sz w:val="18"/>
                <w:szCs w:val="18"/>
              </w:rPr>
              <w:t> </w:t>
            </w:r>
            <w:r>
              <w:rPr>
                <w:rFonts w:ascii="宋体" w:hAnsi="宋体" w:cs="宋体" w:eastAsia="宋体" w:hint="default"/>
                <w:spacing w:val="-6"/>
                <w:sz w:val="18"/>
                <w:szCs w:val="18"/>
              </w:rPr>
              <w:t>品研制、生产及销售；其他</w:t>
            </w:r>
            <w:r>
              <w:rPr>
                <w:rFonts w:ascii="宋体" w:hAnsi="宋体" w:cs="宋体" w:eastAsia="宋体" w:hint="default"/>
                <w:sz w:val="18"/>
                <w:szCs w:val="18"/>
              </w:rPr>
              <w:t> </w:t>
            </w:r>
            <w:r>
              <w:rPr>
                <w:rFonts w:ascii="宋体" w:hAnsi="宋体" w:cs="宋体" w:eastAsia="宋体" w:hint="default"/>
                <w:spacing w:val="-6"/>
                <w:sz w:val="18"/>
                <w:szCs w:val="18"/>
              </w:rPr>
              <w:t>机电设备的研制、生产及销</w:t>
            </w:r>
            <w:r>
              <w:rPr>
                <w:rFonts w:ascii="宋体" w:hAnsi="宋体" w:cs="宋体" w:eastAsia="宋体" w:hint="default"/>
                <w:sz w:val="18"/>
                <w:szCs w:val="18"/>
              </w:rPr>
              <w:t> 售。</w:t>
            </w:r>
            <w:r>
              <w:rPr>
                <w:rFonts w:ascii="宋体" w:hAnsi="宋体" w:cs="宋体" w:eastAsia="宋体" w:hint="default"/>
                <w:sz w:val="18"/>
                <w:szCs w:val="18"/>
              </w:rPr>
              <w:t> </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103"/>
              <w:jc w:val="right"/>
              <w:rPr>
                <w:rFonts w:ascii="Times New Roman" w:hAnsi="Times New Roman" w:cs="Times New Roman" w:eastAsia="Times New Roman" w:hint="default"/>
                <w:sz w:val="18"/>
                <w:szCs w:val="18"/>
              </w:rPr>
            </w:pPr>
            <w:r>
              <w:rPr>
                <w:rFonts w:ascii="Times New Roman"/>
                <w:spacing w:val="-1"/>
                <w:sz w:val="18"/>
              </w:rPr>
              <w:t>100.00%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spacing w:val="-1"/>
                <w:sz w:val="18"/>
              </w:rPr>
              <w:t>500,000,000.00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99"/>
              <w:jc w:val="right"/>
              <w:rPr>
                <w:rFonts w:ascii="Times New Roman" w:hAnsi="Times New Roman" w:cs="Times New Roman" w:eastAsia="Times New Roman" w:hint="default"/>
                <w:sz w:val="18"/>
                <w:szCs w:val="18"/>
              </w:rPr>
            </w:pPr>
            <w:r>
              <w:rPr>
                <w:rFonts w:ascii="Times New Roman"/>
                <w:spacing w:val="-1"/>
                <w:sz w:val="18"/>
              </w:rPr>
              <w:t>2,659,927,513.01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spacing w:val="-1"/>
                <w:sz w:val="18"/>
              </w:rPr>
              <w:t>726,354,039.71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99"/>
              <w:jc w:val="right"/>
              <w:rPr>
                <w:rFonts w:ascii="Times New Roman" w:hAnsi="Times New Roman" w:cs="Times New Roman" w:eastAsia="Times New Roman" w:hint="default"/>
                <w:sz w:val="18"/>
                <w:szCs w:val="18"/>
              </w:rPr>
            </w:pPr>
            <w:r>
              <w:rPr>
                <w:rFonts w:ascii="Times New Roman"/>
                <w:spacing w:val="-1"/>
                <w:sz w:val="18"/>
              </w:rPr>
              <w:t>1,142,141,074.41</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spacing w:val="-1"/>
                <w:sz w:val="18"/>
              </w:rPr>
              <w:t>194,143,444.79</w:t>
            </w:r>
          </w:p>
        </w:tc>
      </w:tr>
      <w:tr>
        <w:trPr>
          <w:trHeight w:val="862"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1"/>
              <w:ind w:left="103" w:right="51"/>
              <w:jc w:val="both"/>
              <w:rPr>
                <w:rFonts w:ascii="宋体" w:hAnsi="宋体" w:cs="宋体" w:eastAsia="宋体" w:hint="default"/>
                <w:sz w:val="18"/>
                <w:szCs w:val="18"/>
              </w:rPr>
            </w:pPr>
            <w:r>
              <w:rPr>
                <w:rFonts w:ascii="宋体" w:hAnsi="宋体" w:cs="宋体" w:eastAsia="宋体" w:hint="default"/>
                <w:spacing w:val="39"/>
                <w:sz w:val="18"/>
                <w:szCs w:val="18"/>
              </w:rPr>
              <w:t>上海红生</w:t>
            </w:r>
            <w:r>
              <w:rPr>
                <w:rFonts w:ascii="宋体" w:hAnsi="宋体" w:cs="宋体" w:eastAsia="宋体" w:hint="default"/>
                <w:spacing w:val="-38"/>
                <w:sz w:val="18"/>
                <w:szCs w:val="18"/>
              </w:rPr>
              <w:t> </w:t>
            </w:r>
            <w:r>
              <w:rPr>
                <w:rFonts w:ascii="宋体" w:hAnsi="宋体" w:cs="宋体" w:eastAsia="宋体" w:hint="default"/>
                <w:spacing w:val="39"/>
                <w:sz w:val="18"/>
                <w:szCs w:val="18"/>
              </w:rPr>
              <w:t>系统工程</w:t>
            </w:r>
            <w:r>
              <w:rPr>
                <w:rFonts w:ascii="宋体" w:hAnsi="宋体" w:cs="宋体" w:eastAsia="宋体" w:hint="default"/>
                <w:spacing w:val="-38"/>
                <w:sz w:val="18"/>
                <w:szCs w:val="18"/>
              </w:rPr>
              <w:t> </w:t>
            </w:r>
            <w:r>
              <w:rPr>
                <w:rFonts w:ascii="宋体" w:hAnsi="宋体" w:cs="宋体" w:eastAsia="宋体" w:hint="default"/>
                <w:sz w:val="18"/>
                <w:szCs w:val="18"/>
              </w:rPr>
              <w:t>有限公司</w:t>
            </w:r>
            <w:r>
              <w:rPr>
                <w:rFonts w:ascii="宋体" w:hAnsi="宋体" w:cs="宋体" w:eastAsia="宋体" w:hint="default"/>
                <w:sz w:val="18"/>
                <w:szCs w:val="18"/>
              </w:rPr>
              <w:t> </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1"/>
              <w:ind w:left="103" w:right="101"/>
              <w:jc w:val="both"/>
              <w:rPr>
                <w:rFonts w:ascii="宋体" w:hAnsi="宋体" w:cs="宋体" w:eastAsia="宋体" w:hint="default"/>
                <w:sz w:val="18"/>
                <w:szCs w:val="18"/>
              </w:rPr>
            </w:pPr>
            <w:r>
              <w:rPr>
                <w:rFonts w:ascii="宋体" w:hAnsi="宋体" w:cs="宋体" w:eastAsia="宋体" w:hint="default"/>
                <w:spacing w:val="9"/>
                <w:sz w:val="18"/>
                <w:szCs w:val="18"/>
              </w:rPr>
              <w:t>（通讯设备、计算机软硬</w:t>
            </w:r>
            <w:r>
              <w:rPr>
                <w:rFonts w:ascii="宋体" w:hAnsi="宋体" w:cs="宋体" w:eastAsia="宋体" w:hint="default"/>
                <w:sz w:val="18"/>
                <w:szCs w:val="18"/>
              </w:rPr>
              <w:t> </w:t>
            </w:r>
            <w:r>
              <w:rPr>
                <w:rFonts w:ascii="宋体" w:hAnsi="宋体" w:cs="宋体" w:eastAsia="宋体" w:hint="default"/>
                <w:spacing w:val="-6"/>
                <w:sz w:val="18"/>
                <w:szCs w:val="18"/>
              </w:rPr>
              <w:t>件、网络技术）专业领域内</w:t>
            </w:r>
            <w:r>
              <w:rPr>
                <w:rFonts w:ascii="宋体" w:hAnsi="宋体" w:cs="宋体" w:eastAsia="宋体" w:hint="default"/>
                <w:sz w:val="18"/>
                <w:szCs w:val="18"/>
              </w:rPr>
              <w:t> 的技术开发</w:t>
            </w:r>
            <w:r>
              <w:rPr>
                <w:rFonts w:ascii="宋体" w:hAnsi="宋体" w:cs="宋体" w:eastAsia="宋体" w:hint="default"/>
                <w:sz w:val="18"/>
                <w:szCs w:val="18"/>
              </w:rPr>
              <w:t> </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211,083,463.93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193,198,659.74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116,676,751.31</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60,053,421.57</w:t>
            </w:r>
          </w:p>
        </w:tc>
      </w:tr>
      <w:tr>
        <w:trPr>
          <w:trHeight w:val="860"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6"/>
              <w:ind w:left="103" w:right="51"/>
              <w:jc w:val="both"/>
              <w:rPr>
                <w:rFonts w:ascii="宋体" w:hAnsi="宋体" w:cs="宋体" w:eastAsia="宋体" w:hint="default"/>
                <w:sz w:val="18"/>
                <w:szCs w:val="18"/>
              </w:rPr>
            </w:pPr>
            <w:r>
              <w:rPr>
                <w:rFonts w:ascii="宋体" w:hAnsi="宋体" w:cs="宋体" w:eastAsia="宋体" w:hint="default"/>
                <w:spacing w:val="39"/>
                <w:sz w:val="18"/>
                <w:szCs w:val="18"/>
              </w:rPr>
              <w:t>泰豪电源</w:t>
            </w:r>
            <w:r>
              <w:rPr>
                <w:rFonts w:ascii="宋体" w:hAnsi="宋体" w:cs="宋体" w:eastAsia="宋体" w:hint="default"/>
                <w:spacing w:val="-38"/>
                <w:sz w:val="18"/>
                <w:szCs w:val="18"/>
              </w:rPr>
              <w:t> </w:t>
            </w:r>
            <w:r>
              <w:rPr>
                <w:rFonts w:ascii="宋体" w:hAnsi="宋体" w:cs="宋体" w:eastAsia="宋体" w:hint="default"/>
                <w:spacing w:val="39"/>
                <w:sz w:val="18"/>
                <w:szCs w:val="18"/>
              </w:rPr>
              <w:t>技术有限</w:t>
            </w:r>
            <w:r>
              <w:rPr>
                <w:rFonts w:ascii="宋体" w:hAnsi="宋体" w:cs="宋体" w:eastAsia="宋体" w:hint="default"/>
                <w:spacing w:val="-38"/>
                <w:sz w:val="18"/>
                <w:szCs w:val="18"/>
              </w:rPr>
              <w:t> </w:t>
            </w:r>
            <w:r>
              <w:rPr>
                <w:rFonts w:ascii="宋体" w:hAnsi="宋体" w:cs="宋体" w:eastAsia="宋体" w:hint="default"/>
                <w:sz w:val="18"/>
                <w:szCs w:val="18"/>
              </w:rPr>
              <w:t>公司</w:t>
            </w:r>
            <w:r>
              <w:rPr>
                <w:rFonts w:ascii="宋体" w:hAnsi="宋体" w:cs="宋体" w:eastAsia="宋体" w:hint="default"/>
                <w:sz w:val="18"/>
                <w:szCs w:val="18"/>
              </w:rPr>
              <w:t> </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32" w:lineRule="exact"/>
              <w:ind w:left="103" w:right="104"/>
              <w:jc w:val="left"/>
              <w:rPr>
                <w:rFonts w:ascii="宋体" w:hAnsi="宋体" w:cs="宋体" w:eastAsia="宋体" w:hint="default"/>
                <w:sz w:val="18"/>
                <w:szCs w:val="18"/>
              </w:rPr>
            </w:pPr>
            <w:r>
              <w:rPr>
                <w:rFonts w:ascii="宋体" w:hAnsi="宋体" w:cs="宋体" w:eastAsia="宋体" w:hint="default"/>
                <w:spacing w:val="9"/>
                <w:sz w:val="18"/>
                <w:szCs w:val="18"/>
              </w:rPr>
              <w:t>发电机及机组的设计、制</w:t>
            </w:r>
            <w:r>
              <w:rPr>
                <w:rFonts w:ascii="宋体" w:hAnsi="宋体" w:cs="宋体" w:eastAsia="宋体" w:hint="default"/>
                <w:sz w:val="18"/>
                <w:szCs w:val="18"/>
              </w:rPr>
              <w:t> 造、销售与售后服务</w:t>
            </w:r>
            <w:r>
              <w:rPr>
                <w:rFonts w:ascii="宋体" w:hAnsi="宋体" w:cs="宋体" w:eastAsia="宋体" w:hint="default"/>
                <w:sz w:val="18"/>
                <w:szCs w:val="18"/>
              </w:rPr>
              <w:t> </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200,000,000.00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4,277,559,503.74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343,203,144.81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1,948,161,288.13</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45,695,247.98</w:t>
            </w:r>
          </w:p>
        </w:tc>
      </w:tr>
      <w:tr>
        <w:trPr>
          <w:trHeight w:val="859"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6"/>
              <w:ind w:left="103" w:right="51"/>
              <w:jc w:val="both"/>
              <w:rPr>
                <w:rFonts w:ascii="宋体" w:hAnsi="宋体" w:cs="宋体" w:eastAsia="宋体" w:hint="default"/>
                <w:sz w:val="18"/>
                <w:szCs w:val="18"/>
              </w:rPr>
            </w:pPr>
            <w:r>
              <w:rPr>
                <w:rFonts w:ascii="宋体" w:hAnsi="宋体" w:cs="宋体" w:eastAsia="宋体" w:hint="default"/>
                <w:spacing w:val="39"/>
                <w:sz w:val="18"/>
                <w:szCs w:val="18"/>
              </w:rPr>
              <w:t>龙岩市海</w:t>
            </w:r>
            <w:r>
              <w:rPr>
                <w:rFonts w:ascii="宋体" w:hAnsi="宋体" w:cs="宋体" w:eastAsia="宋体" w:hint="default"/>
                <w:spacing w:val="-38"/>
                <w:sz w:val="18"/>
                <w:szCs w:val="18"/>
              </w:rPr>
              <w:t> </w:t>
            </w:r>
            <w:r>
              <w:rPr>
                <w:rFonts w:ascii="宋体" w:hAnsi="宋体" w:cs="宋体" w:eastAsia="宋体" w:hint="default"/>
                <w:spacing w:val="39"/>
                <w:sz w:val="18"/>
                <w:szCs w:val="18"/>
              </w:rPr>
              <w:t>德馨汽车</w:t>
            </w:r>
            <w:r>
              <w:rPr>
                <w:rFonts w:ascii="宋体" w:hAnsi="宋体" w:cs="宋体" w:eastAsia="宋体" w:hint="default"/>
                <w:spacing w:val="-38"/>
                <w:sz w:val="18"/>
                <w:szCs w:val="18"/>
              </w:rPr>
              <w:t> </w:t>
            </w:r>
            <w:r>
              <w:rPr>
                <w:rFonts w:ascii="宋体" w:hAnsi="宋体" w:cs="宋体" w:eastAsia="宋体" w:hint="default"/>
                <w:sz w:val="18"/>
                <w:szCs w:val="18"/>
              </w:rPr>
              <w:t>有限公司</w:t>
            </w:r>
            <w:r>
              <w:rPr>
                <w:rFonts w:ascii="宋体" w:hAnsi="宋体" w:cs="宋体" w:eastAsia="宋体" w:hint="default"/>
                <w:sz w:val="18"/>
                <w:szCs w:val="18"/>
              </w:rPr>
              <w:t> </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6"/>
              <w:ind w:left="103" w:right="29"/>
              <w:jc w:val="left"/>
              <w:rPr>
                <w:rFonts w:ascii="宋体" w:hAnsi="宋体" w:cs="宋体" w:eastAsia="宋体" w:hint="default"/>
                <w:sz w:val="18"/>
                <w:szCs w:val="18"/>
              </w:rPr>
            </w:pPr>
            <w:r>
              <w:rPr>
                <w:rFonts w:ascii="宋体" w:hAnsi="宋体" w:cs="宋体" w:eastAsia="宋体" w:hint="default"/>
                <w:sz w:val="18"/>
                <w:szCs w:val="18"/>
              </w:rPr>
              <w:t>专用作业车（应急电源车、 </w:t>
            </w:r>
            <w:r>
              <w:rPr>
                <w:rFonts w:ascii="宋体" w:hAnsi="宋体" w:cs="宋体" w:eastAsia="宋体" w:hint="default"/>
                <w:spacing w:val="-6"/>
                <w:sz w:val="18"/>
                <w:szCs w:val="18"/>
              </w:rPr>
              <w:t>抢险救援照明车、应急通信</w:t>
            </w:r>
            <w:r>
              <w:rPr>
                <w:rFonts w:ascii="宋体" w:hAnsi="宋体" w:cs="宋体" w:eastAsia="宋体" w:hint="default"/>
                <w:sz w:val="18"/>
                <w:szCs w:val="18"/>
              </w:rPr>
              <w:t> 车</w:t>
            </w:r>
            <w:r>
              <w:rPr>
                <w:rFonts w:ascii="宋体" w:hAnsi="宋体" w:cs="宋体" w:eastAsia="宋体" w:hint="default"/>
                <w:sz w:val="18"/>
                <w:szCs w:val="18"/>
              </w:rPr>
              <w:t>)</w:t>
            </w:r>
            <w:r>
              <w:rPr>
                <w:rFonts w:ascii="宋体" w:hAnsi="宋体" w:cs="宋体" w:eastAsia="宋体" w:hint="default"/>
                <w:sz w:val="18"/>
                <w:szCs w:val="18"/>
              </w:rPr>
              <w:t>生产销售</w:t>
            </w:r>
            <w:r>
              <w:rPr>
                <w:rFonts w:ascii="宋体" w:hAnsi="宋体" w:cs="宋体" w:eastAsia="宋体" w:hint="default"/>
                <w:sz w:val="18"/>
                <w:szCs w:val="18"/>
              </w:rPr>
              <w:t> </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75.29%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75.29%</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50,100,000.00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554,882,395.72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162,876,087.06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321,219,604.62</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33,014,871.90</w:t>
            </w:r>
          </w:p>
        </w:tc>
      </w:tr>
      <w:tr>
        <w:trPr>
          <w:trHeight w:val="862"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1"/>
              <w:ind w:left="103" w:right="51"/>
              <w:jc w:val="both"/>
              <w:rPr>
                <w:rFonts w:ascii="宋体" w:hAnsi="宋体" w:cs="宋体" w:eastAsia="宋体" w:hint="default"/>
                <w:sz w:val="18"/>
                <w:szCs w:val="18"/>
              </w:rPr>
            </w:pPr>
            <w:r>
              <w:rPr>
                <w:rFonts w:ascii="宋体" w:hAnsi="宋体" w:cs="宋体" w:eastAsia="宋体" w:hint="default"/>
                <w:spacing w:val="39"/>
                <w:sz w:val="18"/>
                <w:szCs w:val="18"/>
              </w:rPr>
              <w:t>泰豪国际</w:t>
            </w:r>
            <w:r>
              <w:rPr>
                <w:rFonts w:ascii="宋体" w:hAnsi="宋体" w:cs="宋体" w:eastAsia="宋体" w:hint="default"/>
                <w:spacing w:val="-38"/>
                <w:sz w:val="18"/>
                <w:szCs w:val="18"/>
              </w:rPr>
              <w:t> </w:t>
            </w:r>
            <w:r>
              <w:rPr>
                <w:rFonts w:ascii="宋体" w:hAnsi="宋体" w:cs="宋体" w:eastAsia="宋体" w:hint="default"/>
                <w:spacing w:val="39"/>
                <w:sz w:val="18"/>
                <w:szCs w:val="18"/>
              </w:rPr>
              <w:t>投资有限</w:t>
            </w:r>
            <w:r>
              <w:rPr>
                <w:rFonts w:ascii="宋体" w:hAnsi="宋体" w:cs="宋体" w:eastAsia="宋体" w:hint="default"/>
                <w:spacing w:val="-38"/>
                <w:sz w:val="18"/>
                <w:szCs w:val="18"/>
              </w:rPr>
              <w:t> </w:t>
            </w:r>
            <w:r>
              <w:rPr>
                <w:rFonts w:ascii="宋体" w:hAnsi="宋体" w:cs="宋体" w:eastAsia="宋体" w:hint="default"/>
                <w:sz w:val="18"/>
                <w:szCs w:val="18"/>
              </w:rPr>
              <w:t>公司</w:t>
            </w:r>
            <w:r>
              <w:rPr>
                <w:rFonts w:ascii="宋体" w:hAnsi="宋体" w:cs="宋体" w:eastAsia="宋体" w:hint="default"/>
                <w:sz w:val="18"/>
                <w:szCs w:val="18"/>
              </w:rPr>
              <w:t> </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投、融资及相关服务</w:t>
            </w:r>
            <w:r>
              <w:rPr>
                <w:rFonts w:ascii="宋体" w:hAnsi="宋体" w:cs="宋体" w:eastAsia="宋体" w:hint="default"/>
                <w:sz w:val="18"/>
                <w:szCs w:val="18"/>
              </w:rPr>
              <w:t> </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美元</w:t>
            </w:r>
          </w:p>
          <w:p>
            <w:pPr>
              <w:pStyle w:val="TableParagraph"/>
              <w:spacing w:line="240" w:lineRule="auto" w:before="22"/>
              <w:ind w:right="98"/>
              <w:jc w:val="right"/>
              <w:rPr>
                <w:rFonts w:ascii="Times New Roman" w:hAnsi="Times New Roman" w:cs="Times New Roman" w:eastAsia="Times New Roman" w:hint="default"/>
                <w:sz w:val="18"/>
                <w:szCs w:val="18"/>
              </w:rPr>
            </w:pPr>
            <w:r>
              <w:rPr>
                <w:rFonts w:ascii="Times New Roman"/>
                <w:spacing w:val="-1"/>
                <w:sz w:val="18"/>
              </w:rPr>
              <w:t>50,000,000.00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393,667,530.33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174,271,142.02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132,239,245.46</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24,324,551.25</w:t>
            </w:r>
          </w:p>
        </w:tc>
      </w:tr>
      <w:tr>
        <w:trPr>
          <w:trHeight w:val="1177"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03" w:right="51"/>
              <w:jc w:val="both"/>
              <w:rPr>
                <w:rFonts w:ascii="宋体" w:hAnsi="宋体" w:cs="宋体" w:eastAsia="宋体" w:hint="default"/>
                <w:sz w:val="18"/>
                <w:szCs w:val="18"/>
              </w:rPr>
            </w:pPr>
            <w:r>
              <w:rPr>
                <w:rFonts w:ascii="宋体" w:hAnsi="宋体" w:cs="宋体" w:eastAsia="宋体" w:hint="default"/>
                <w:spacing w:val="39"/>
                <w:sz w:val="18"/>
                <w:szCs w:val="18"/>
              </w:rPr>
              <w:t>泰豪软件</w:t>
            </w:r>
            <w:r>
              <w:rPr>
                <w:rFonts w:ascii="宋体" w:hAnsi="宋体" w:cs="宋体" w:eastAsia="宋体" w:hint="default"/>
                <w:spacing w:val="-38"/>
                <w:sz w:val="18"/>
                <w:szCs w:val="18"/>
              </w:rPr>
              <w:t> </w:t>
            </w:r>
            <w:r>
              <w:rPr>
                <w:rFonts w:ascii="宋体" w:hAnsi="宋体" w:cs="宋体" w:eastAsia="宋体" w:hint="default"/>
                <w:spacing w:val="39"/>
                <w:sz w:val="18"/>
                <w:szCs w:val="18"/>
              </w:rPr>
              <w:t>股份有限</w:t>
            </w:r>
            <w:r>
              <w:rPr>
                <w:rFonts w:ascii="宋体" w:hAnsi="宋体" w:cs="宋体" w:eastAsia="宋体" w:hint="default"/>
                <w:spacing w:val="-38"/>
                <w:sz w:val="18"/>
                <w:szCs w:val="18"/>
              </w:rPr>
              <w:t> </w:t>
            </w:r>
            <w:r>
              <w:rPr>
                <w:rFonts w:ascii="宋体" w:hAnsi="宋体" w:cs="宋体" w:eastAsia="宋体" w:hint="default"/>
                <w:sz w:val="18"/>
                <w:szCs w:val="18"/>
              </w:rPr>
              <w:t>公司</w:t>
            </w:r>
            <w:r>
              <w:rPr>
                <w:rFonts w:ascii="宋体" w:hAnsi="宋体" w:cs="宋体" w:eastAsia="宋体" w:hint="default"/>
                <w:sz w:val="18"/>
                <w:szCs w:val="18"/>
              </w:rPr>
              <w:t> </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9"/>
                <w:sz w:val="18"/>
                <w:szCs w:val="18"/>
              </w:rPr>
              <w:t>计算机软件及相关产品的</w:t>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pacing w:val="-6"/>
                <w:sz w:val="18"/>
                <w:szCs w:val="18"/>
              </w:rPr>
              <w:t>开发、生产、销售，信息系</w:t>
            </w:r>
            <w:r>
              <w:rPr>
                <w:rFonts w:ascii="宋体" w:hAnsi="宋体" w:cs="宋体" w:eastAsia="宋体" w:hint="default"/>
                <w:sz w:val="18"/>
                <w:szCs w:val="18"/>
              </w:rPr>
              <w:t> </w:t>
            </w:r>
            <w:r>
              <w:rPr>
                <w:rFonts w:ascii="宋体" w:hAnsi="宋体" w:cs="宋体" w:eastAsia="宋体" w:hint="default"/>
                <w:spacing w:val="9"/>
                <w:sz w:val="18"/>
                <w:szCs w:val="18"/>
              </w:rPr>
              <w:t>统集成，综合信息技术服</w:t>
            </w:r>
            <w:r>
              <w:rPr>
                <w:rFonts w:ascii="宋体" w:hAnsi="宋体" w:cs="宋体" w:eastAsia="宋体" w:hint="default"/>
                <w:sz w:val="18"/>
                <w:szCs w:val="18"/>
              </w:rPr>
              <w:t> </w:t>
            </w:r>
            <w:r>
              <w:rPr>
                <w:rFonts w:ascii="宋体" w:hAnsi="宋体" w:cs="宋体" w:eastAsia="宋体" w:hint="default"/>
                <w:spacing w:val="-6"/>
                <w:sz w:val="18"/>
                <w:szCs w:val="18"/>
              </w:rPr>
              <w:t>务，高科技产业咨询、服务</w:t>
            </w:r>
            <w:r>
              <w:rPr>
                <w:rFonts w:ascii="宋体" w:hAnsi="宋体" w:cs="宋体" w:eastAsia="宋体" w:hint="default"/>
                <w:sz w:val="18"/>
                <w:szCs w:val="18"/>
              </w:rPr>
              <w:t> 及投资，物业管理</w:t>
            </w:r>
            <w:r>
              <w:rPr>
                <w:rFonts w:ascii="宋体" w:hAnsi="宋体" w:cs="宋体" w:eastAsia="宋体" w:hint="default"/>
                <w:sz w:val="18"/>
                <w:szCs w:val="18"/>
              </w:rPr>
              <w:t> </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117,644,700.00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1,347,185,379.61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481,485,415.24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591,571,766.81</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82,943,360.61</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120" w:bottom="1380" w:left="1300" w:right="13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097"/>
        <w:gridCol w:w="2304"/>
        <w:gridCol w:w="932"/>
        <w:gridCol w:w="1075"/>
        <w:gridCol w:w="1481"/>
        <w:gridCol w:w="1656"/>
        <w:gridCol w:w="1656"/>
        <w:gridCol w:w="1844"/>
        <w:gridCol w:w="1891"/>
      </w:tblGrid>
      <w:tr>
        <w:trPr>
          <w:trHeight w:val="1409"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7" w:lineRule="auto"/>
              <w:ind w:left="103" w:right="51"/>
              <w:jc w:val="both"/>
              <w:rPr>
                <w:rFonts w:ascii="宋体" w:hAnsi="宋体" w:cs="宋体" w:eastAsia="宋体" w:hint="default"/>
                <w:sz w:val="18"/>
                <w:szCs w:val="18"/>
              </w:rPr>
            </w:pPr>
            <w:r>
              <w:rPr>
                <w:rFonts w:ascii="宋体" w:hAnsi="宋体" w:cs="宋体" w:eastAsia="宋体" w:hint="default"/>
                <w:spacing w:val="39"/>
                <w:sz w:val="18"/>
                <w:szCs w:val="18"/>
              </w:rPr>
              <w:t>上海博辕</w:t>
            </w:r>
            <w:r>
              <w:rPr>
                <w:rFonts w:ascii="宋体" w:hAnsi="宋体" w:cs="宋体" w:eastAsia="宋体" w:hint="default"/>
                <w:spacing w:val="-38"/>
                <w:sz w:val="18"/>
                <w:szCs w:val="18"/>
              </w:rPr>
              <w:t> </w:t>
            </w:r>
            <w:r>
              <w:rPr>
                <w:rFonts w:ascii="宋体" w:hAnsi="宋体" w:cs="宋体" w:eastAsia="宋体" w:hint="default"/>
                <w:spacing w:val="39"/>
                <w:sz w:val="18"/>
                <w:szCs w:val="18"/>
              </w:rPr>
              <w:t>信息技术</w:t>
            </w:r>
            <w:r>
              <w:rPr>
                <w:rFonts w:ascii="宋体" w:hAnsi="宋体" w:cs="宋体" w:eastAsia="宋体" w:hint="default"/>
                <w:spacing w:val="-38"/>
                <w:sz w:val="18"/>
                <w:szCs w:val="18"/>
              </w:rPr>
              <w:t> </w:t>
            </w:r>
            <w:r>
              <w:rPr>
                <w:rFonts w:ascii="宋体" w:hAnsi="宋体" w:cs="宋体" w:eastAsia="宋体" w:hint="default"/>
                <w:spacing w:val="39"/>
                <w:sz w:val="18"/>
                <w:szCs w:val="18"/>
              </w:rPr>
              <w:t>服务有限</w:t>
            </w:r>
            <w:r>
              <w:rPr>
                <w:rFonts w:ascii="宋体" w:hAnsi="宋体" w:cs="宋体" w:eastAsia="宋体" w:hint="default"/>
                <w:spacing w:val="-38"/>
                <w:sz w:val="18"/>
                <w:szCs w:val="18"/>
              </w:rPr>
              <w:t> </w:t>
            </w:r>
            <w:r>
              <w:rPr>
                <w:rFonts w:ascii="宋体" w:hAnsi="宋体" w:cs="宋体" w:eastAsia="宋体" w:hint="default"/>
                <w:sz w:val="18"/>
                <w:szCs w:val="18"/>
              </w:rPr>
              <w:t>公司</w:t>
            </w:r>
            <w:r>
              <w:rPr>
                <w:rFonts w:ascii="宋体" w:hAnsi="宋体" w:cs="宋体" w:eastAsia="宋体" w:hint="default"/>
                <w:sz w:val="18"/>
                <w:szCs w:val="18"/>
              </w:rPr>
              <w:t> </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6"/>
                <w:sz w:val="18"/>
                <w:szCs w:val="18"/>
              </w:rPr>
              <w:t>计算机科技、智能交通领域</w:t>
            </w:r>
          </w:p>
          <w:p>
            <w:pPr>
              <w:pStyle w:val="TableParagraph"/>
              <w:spacing w:line="237" w:lineRule="auto"/>
              <w:ind w:left="103" w:right="11"/>
              <w:jc w:val="both"/>
              <w:rPr>
                <w:rFonts w:ascii="宋体" w:hAnsi="宋体" w:cs="宋体" w:eastAsia="宋体" w:hint="default"/>
                <w:sz w:val="18"/>
                <w:szCs w:val="18"/>
              </w:rPr>
            </w:pPr>
            <w:r>
              <w:rPr>
                <w:rFonts w:ascii="宋体" w:hAnsi="宋体" w:cs="宋体" w:eastAsia="宋体" w:hint="default"/>
                <w:spacing w:val="-6"/>
                <w:sz w:val="18"/>
                <w:szCs w:val="18"/>
              </w:rPr>
              <w:t>内的技术开发、销售计算机</w:t>
            </w:r>
            <w:r>
              <w:rPr>
                <w:rFonts w:ascii="宋体" w:hAnsi="宋体" w:cs="宋体" w:eastAsia="宋体" w:hint="default"/>
                <w:sz w:val="18"/>
                <w:szCs w:val="18"/>
              </w:rPr>
              <w:t> </w:t>
            </w:r>
            <w:r>
              <w:rPr>
                <w:rFonts w:ascii="宋体" w:hAnsi="宋体" w:cs="宋体" w:eastAsia="宋体" w:hint="default"/>
                <w:spacing w:val="-6"/>
                <w:sz w:val="18"/>
                <w:szCs w:val="18"/>
              </w:rPr>
              <w:t>软硬件、仪器仪表、电气设</w:t>
            </w:r>
            <w:r>
              <w:rPr>
                <w:rFonts w:ascii="宋体" w:hAnsi="宋体" w:cs="宋体" w:eastAsia="宋体" w:hint="default"/>
                <w:sz w:val="18"/>
                <w:szCs w:val="18"/>
              </w:rPr>
              <w:t> </w:t>
            </w:r>
            <w:r>
              <w:rPr>
                <w:rFonts w:ascii="宋体" w:hAnsi="宋体" w:cs="宋体" w:eastAsia="宋体" w:hint="default"/>
                <w:spacing w:val="-6"/>
                <w:sz w:val="18"/>
                <w:szCs w:val="18"/>
              </w:rPr>
              <w:t>备、通讯设备；市政公用建</w:t>
            </w:r>
            <w:r>
              <w:rPr>
                <w:rFonts w:ascii="宋体" w:hAnsi="宋体" w:cs="宋体" w:eastAsia="宋体" w:hint="default"/>
                <w:sz w:val="18"/>
                <w:szCs w:val="18"/>
              </w:rPr>
              <w:t> </w:t>
            </w:r>
            <w:r>
              <w:rPr>
                <w:rFonts w:ascii="宋体" w:hAnsi="宋体" w:cs="宋体" w:eastAsia="宋体" w:hint="default"/>
                <w:spacing w:val="-6"/>
                <w:sz w:val="18"/>
                <w:szCs w:val="18"/>
              </w:rPr>
              <w:t>设工程、建筑智能化建设工</w:t>
            </w:r>
            <w:r>
              <w:rPr>
                <w:rFonts w:ascii="宋体" w:hAnsi="宋体" w:cs="宋体" w:eastAsia="宋体" w:hint="default"/>
                <w:sz w:val="18"/>
                <w:szCs w:val="18"/>
              </w:rPr>
              <w:t> </w:t>
            </w:r>
            <w:r>
              <w:rPr>
                <w:rFonts w:ascii="宋体" w:hAnsi="宋体" w:cs="宋体" w:eastAsia="宋体" w:hint="default"/>
                <w:spacing w:val="-6"/>
                <w:sz w:val="18"/>
                <w:szCs w:val="18"/>
              </w:rPr>
              <w:t>程、消防设施工程专业施工</w:t>
            </w:r>
            <w:r>
              <w:rPr>
                <w:rFonts w:ascii="宋体" w:hAnsi="宋体" w:cs="宋体" w:eastAsia="宋体" w:hint="default"/>
                <w:spacing w:val="-6"/>
                <w:sz w:val="18"/>
                <w:szCs w:val="18"/>
              </w:rPr>
              <w:t> </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100.00%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80,000,000.00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935,740,850.16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425,409,601.44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494,728,874.91</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90,980,460.04</w:t>
            </w:r>
          </w:p>
        </w:tc>
      </w:tr>
      <w:tr>
        <w:trPr>
          <w:trHeight w:val="1645"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03" w:right="51"/>
              <w:jc w:val="both"/>
              <w:rPr>
                <w:rFonts w:ascii="宋体" w:hAnsi="宋体" w:cs="宋体" w:eastAsia="宋体" w:hint="default"/>
                <w:sz w:val="18"/>
                <w:szCs w:val="18"/>
              </w:rPr>
            </w:pPr>
            <w:r>
              <w:rPr>
                <w:rFonts w:ascii="宋体" w:hAnsi="宋体" w:cs="宋体" w:eastAsia="宋体" w:hint="default"/>
                <w:spacing w:val="39"/>
                <w:sz w:val="18"/>
                <w:szCs w:val="18"/>
              </w:rPr>
              <w:t>广东泰豪</w:t>
            </w:r>
            <w:r>
              <w:rPr>
                <w:rFonts w:ascii="宋体" w:hAnsi="宋体" w:cs="宋体" w:eastAsia="宋体" w:hint="default"/>
                <w:spacing w:val="-38"/>
                <w:sz w:val="18"/>
                <w:szCs w:val="18"/>
              </w:rPr>
              <w:t> </w:t>
            </w:r>
            <w:r>
              <w:rPr>
                <w:rFonts w:ascii="宋体" w:hAnsi="宋体" w:cs="宋体" w:eastAsia="宋体" w:hint="default"/>
                <w:spacing w:val="39"/>
                <w:sz w:val="18"/>
                <w:szCs w:val="18"/>
              </w:rPr>
              <w:t>能源科技</w:t>
            </w:r>
            <w:r>
              <w:rPr>
                <w:rFonts w:ascii="宋体" w:hAnsi="宋体" w:cs="宋体" w:eastAsia="宋体" w:hint="default"/>
                <w:spacing w:val="-38"/>
                <w:sz w:val="18"/>
                <w:szCs w:val="18"/>
              </w:rPr>
              <w:t> </w:t>
            </w:r>
            <w:r>
              <w:rPr>
                <w:rFonts w:ascii="宋体" w:hAnsi="宋体" w:cs="宋体" w:eastAsia="宋体" w:hint="default"/>
                <w:sz w:val="18"/>
                <w:szCs w:val="18"/>
              </w:rPr>
              <w:t>有限公司</w:t>
            </w:r>
            <w:r>
              <w:rPr>
                <w:rFonts w:ascii="宋体" w:hAnsi="宋体" w:cs="宋体" w:eastAsia="宋体" w:hint="default"/>
                <w:sz w:val="18"/>
                <w:szCs w:val="18"/>
              </w:rPr>
              <w:t> </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售电业务</w:t>
            </w:r>
            <w:r>
              <w:rPr>
                <w:rFonts w:ascii="宋体" w:hAnsi="宋体" w:cs="宋体" w:eastAsia="宋体" w:hint="default"/>
                <w:sz w:val="18"/>
                <w:szCs w:val="18"/>
              </w:rPr>
              <w:t>;</w:t>
            </w:r>
            <w:r>
              <w:rPr>
                <w:rFonts w:ascii="宋体" w:hAnsi="宋体" w:cs="宋体" w:eastAsia="宋体" w:hint="default"/>
                <w:sz w:val="18"/>
                <w:szCs w:val="18"/>
              </w:rPr>
              <w:t>能源技术研究、</w:t>
            </w:r>
          </w:p>
          <w:p>
            <w:pPr>
              <w:pStyle w:val="TableParagraph"/>
              <w:spacing w:line="237" w:lineRule="auto"/>
              <w:ind w:left="103" w:right="99"/>
              <w:jc w:val="both"/>
              <w:rPr>
                <w:rFonts w:ascii="宋体" w:hAnsi="宋体" w:cs="宋体" w:eastAsia="宋体" w:hint="default"/>
                <w:sz w:val="18"/>
                <w:szCs w:val="18"/>
              </w:rPr>
            </w:pPr>
            <w:r>
              <w:rPr>
                <w:rFonts w:ascii="宋体" w:hAnsi="宋体" w:cs="宋体" w:eastAsia="宋体" w:hint="default"/>
                <w:sz w:val="18"/>
                <w:szCs w:val="18"/>
              </w:rPr>
              <w:t>技术开发服务</w:t>
            </w:r>
            <w:r>
              <w:rPr>
                <w:rFonts w:ascii="宋体" w:hAnsi="宋体" w:cs="宋体" w:eastAsia="宋体" w:hint="default"/>
                <w:sz w:val="18"/>
                <w:szCs w:val="18"/>
              </w:rPr>
              <w:t>;</w:t>
            </w:r>
            <w:r>
              <w:rPr>
                <w:rFonts w:ascii="宋体" w:hAnsi="宋体" w:cs="宋体" w:eastAsia="宋体" w:hint="default"/>
                <w:sz w:val="18"/>
                <w:szCs w:val="18"/>
              </w:rPr>
              <w:t>网络技术的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研究、开发</w:t>
            </w:r>
            <w:r>
              <w:rPr>
                <w:rFonts w:ascii="宋体" w:hAnsi="宋体" w:cs="宋体" w:eastAsia="宋体" w:hint="default"/>
                <w:sz w:val="18"/>
                <w:szCs w:val="18"/>
              </w:rPr>
              <w:t>;</w:t>
            </w:r>
            <w:r>
              <w:rPr>
                <w:rFonts w:ascii="宋体" w:hAnsi="宋体" w:cs="宋体" w:eastAsia="宋体" w:hint="default"/>
                <w:sz w:val="18"/>
                <w:szCs w:val="18"/>
              </w:rPr>
              <w:t>电力工程设计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服务</w:t>
            </w:r>
            <w:r>
              <w:rPr>
                <w:rFonts w:ascii="宋体" w:hAnsi="宋体" w:cs="宋体" w:eastAsia="宋体" w:hint="default"/>
                <w:sz w:val="18"/>
                <w:szCs w:val="18"/>
              </w:rPr>
              <w:t>;</w:t>
            </w:r>
            <w:r>
              <w:rPr>
                <w:rFonts w:ascii="宋体" w:hAnsi="宋体" w:cs="宋体" w:eastAsia="宋体" w:hint="default"/>
                <w:sz w:val="18"/>
                <w:szCs w:val="18"/>
              </w:rPr>
              <w:t>计算机技术开发、技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4"/>
                <w:sz w:val="18"/>
                <w:szCs w:val="18"/>
              </w:rPr>
              <w:t>术服务</w:t>
            </w:r>
            <w:r>
              <w:rPr>
                <w:rFonts w:ascii="宋体" w:hAnsi="宋体" w:cs="宋体" w:eastAsia="宋体" w:hint="default"/>
                <w:spacing w:val="14"/>
                <w:sz w:val="18"/>
                <w:szCs w:val="18"/>
              </w:rPr>
              <w:t>;</w:t>
            </w:r>
            <w:r>
              <w:rPr>
                <w:rFonts w:ascii="宋体" w:hAnsi="宋体" w:cs="宋体" w:eastAsia="宋体" w:hint="default"/>
                <w:spacing w:val="-68"/>
                <w:sz w:val="18"/>
                <w:szCs w:val="18"/>
              </w:rPr>
              <w:t> </w:t>
            </w:r>
            <w:r>
              <w:rPr>
                <w:rFonts w:ascii="宋体" w:hAnsi="宋体" w:cs="宋体" w:eastAsia="宋体" w:hint="default"/>
                <w:spacing w:val="16"/>
                <w:sz w:val="18"/>
                <w:szCs w:val="18"/>
              </w:rPr>
              <w:t>信息系统集成服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务</w:t>
            </w:r>
            <w:r>
              <w:rPr>
                <w:rFonts w:ascii="宋体" w:hAnsi="宋体" w:cs="宋体" w:eastAsia="宋体" w:hint="default"/>
                <w:spacing w:val="8"/>
                <w:sz w:val="18"/>
                <w:szCs w:val="18"/>
              </w:rPr>
              <w:t>;</w:t>
            </w:r>
            <w:r>
              <w:rPr>
                <w:rFonts w:ascii="宋体" w:hAnsi="宋体" w:cs="宋体" w:eastAsia="宋体" w:hint="default"/>
                <w:spacing w:val="8"/>
                <w:sz w:val="18"/>
                <w:szCs w:val="18"/>
              </w:rPr>
              <w:t>能源技术咨询服务</w:t>
            </w:r>
            <w:r>
              <w:rPr>
                <w:rFonts w:ascii="宋体" w:hAnsi="宋体" w:cs="宋体" w:eastAsia="宋体" w:hint="default"/>
                <w:spacing w:val="8"/>
                <w:sz w:val="18"/>
                <w:szCs w:val="18"/>
              </w:rPr>
              <w:t>;</w:t>
            </w:r>
            <w:r>
              <w:rPr>
                <w:rFonts w:ascii="宋体" w:hAnsi="宋体" w:cs="宋体" w:eastAsia="宋体" w:hint="default"/>
                <w:spacing w:val="8"/>
                <w:sz w:val="18"/>
                <w:szCs w:val="18"/>
              </w:rPr>
              <w:t>工</w:t>
            </w:r>
            <w:r>
              <w:rPr>
                <w:rFonts w:ascii="宋体" w:hAnsi="宋体" w:cs="宋体" w:eastAsia="宋体" w:hint="default"/>
                <w:spacing w:val="-86"/>
                <w:sz w:val="18"/>
                <w:szCs w:val="18"/>
              </w:rPr>
              <w:t> </w:t>
            </w:r>
            <w:r>
              <w:rPr>
                <w:rFonts w:ascii="宋体" w:hAnsi="宋体" w:cs="宋体" w:eastAsia="宋体" w:hint="default"/>
                <w:sz w:val="18"/>
                <w:szCs w:val="18"/>
              </w:rPr>
              <w:t>程技术咨询服务等</w:t>
            </w:r>
            <w:r>
              <w:rPr>
                <w:rFonts w:ascii="宋体" w:hAnsi="宋体" w:cs="宋体" w:eastAsia="宋体" w:hint="default"/>
                <w:sz w:val="18"/>
                <w:szCs w:val="18"/>
              </w:rPr>
              <w:t> </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200,000,000.00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108,041,669.84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53,994,766.79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9,995,486.43</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98"/>
              <w:jc w:val="right"/>
              <w:rPr>
                <w:rFonts w:ascii="Times New Roman" w:hAnsi="Times New Roman" w:cs="Times New Roman" w:eastAsia="Times New Roman" w:hint="default"/>
                <w:sz w:val="18"/>
                <w:szCs w:val="18"/>
              </w:rPr>
            </w:pPr>
            <w:r>
              <w:rPr>
                <w:rFonts w:ascii="Times New Roman"/>
                <w:spacing w:val="-1"/>
                <w:sz w:val="18"/>
              </w:rPr>
              <w:t>-32,932,333.73</w:t>
            </w:r>
          </w:p>
        </w:tc>
      </w:tr>
      <w:tr>
        <w:trPr>
          <w:trHeight w:val="1879"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32" w:lineRule="exact"/>
              <w:ind w:left="103" w:right="51"/>
              <w:jc w:val="both"/>
              <w:rPr>
                <w:rFonts w:ascii="宋体" w:hAnsi="宋体" w:cs="宋体" w:eastAsia="宋体" w:hint="default"/>
                <w:sz w:val="18"/>
                <w:szCs w:val="18"/>
              </w:rPr>
            </w:pPr>
            <w:r>
              <w:rPr>
                <w:rFonts w:ascii="宋体" w:hAnsi="宋体" w:cs="宋体" w:eastAsia="宋体" w:hint="default"/>
                <w:spacing w:val="39"/>
                <w:sz w:val="18"/>
                <w:szCs w:val="18"/>
              </w:rPr>
              <w:t>泰豪国际</w:t>
            </w:r>
            <w:r>
              <w:rPr>
                <w:rFonts w:ascii="宋体" w:hAnsi="宋体" w:cs="宋体" w:eastAsia="宋体" w:hint="default"/>
                <w:spacing w:val="-38"/>
                <w:sz w:val="18"/>
                <w:szCs w:val="18"/>
              </w:rPr>
              <w:t> </w:t>
            </w:r>
            <w:r>
              <w:rPr>
                <w:rFonts w:ascii="宋体" w:hAnsi="宋体" w:cs="宋体" w:eastAsia="宋体" w:hint="default"/>
                <w:spacing w:val="39"/>
                <w:sz w:val="18"/>
                <w:szCs w:val="18"/>
              </w:rPr>
              <w:t>工程有限</w:t>
            </w:r>
            <w:r>
              <w:rPr>
                <w:rFonts w:ascii="宋体" w:hAnsi="宋体" w:cs="宋体" w:eastAsia="宋体" w:hint="default"/>
                <w:spacing w:val="-38"/>
                <w:sz w:val="18"/>
                <w:szCs w:val="18"/>
              </w:rPr>
              <w:t> </w:t>
            </w:r>
            <w:r>
              <w:rPr>
                <w:rFonts w:ascii="宋体" w:hAnsi="宋体" w:cs="宋体" w:eastAsia="宋体" w:hint="default"/>
                <w:sz w:val="18"/>
                <w:szCs w:val="18"/>
              </w:rPr>
              <w:t>公司</w:t>
            </w:r>
            <w:r>
              <w:rPr>
                <w:rFonts w:ascii="宋体" w:hAnsi="宋体" w:cs="宋体" w:eastAsia="宋体" w:hint="default"/>
                <w:sz w:val="18"/>
                <w:szCs w:val="18"/>
              </w:rPr>
              <w:t> </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工程项目管理；专业承包、</w:t>
            </w:r>
          </w:p>
          <w:p>
            <w:pPr>
              <w:pStyle w:val="TableParagraph"/>
              <w:spacing w:line="237" w:lineRule="auto"/>
              <w:ind w:left="103" w:right="12"/>
              <w:jc w:val="left"/>
              <w:rPr>
                <w:rFonts w:ascii="宋体" w:hAnsi="宋体" w:cs="宋体" w:eastAsia="宋体" w:hint="default"/>
                <w:sz w:val="18"/>
                <w:szCs w:val="18"/>
              </w:rPr>
            </w:pPr>
            <w:r>
              <w:rPr>
                <w:rFonts w:ascii="宋体" w:hAnsi="宋体" w:cs="宋体" w:eastAsia="宋体" w:hint="default"/>
                <w:spacing w:val="9"/>
                <w:sz w:val="18"/>
                <w:szCs w:val="18"/>
              </w:rPr>
              <w:t>施工总承包；销售电子产</w:t>
            </w:r>
            <w:r>
              <w:rPr>
                <w:rFonts w:ascii="宋体" w:hAnsi="宋体" w:cs="宋体" w:eastAsia="宋体" w:hint="default"/>
                <w:sz w:val="18"/>
                <w:szCs w:val="18"/>
              </w:rPr>
              <w:t> 品、通讯设备、电子设备； </w:t>
            </w:r>
            <w:r>
              <w:rPr>
                <w:rFonts w:ascii="宋体" w:hAnsi="宋体" w:cs="宋体" w:eastAsia="宋体" w:hint="default"/>
                <w:spacing w:val="-6"/>
                <w:sz w:val="18"/>
                <w:szCs w:val="18"/>
              </w:rPr>
              <w:t>设备安装、维修；技术推广</w:t>
            </w:r>
            <w:r>
              <w:rPr>
                <w:rFonts w:ascii="宋体" w:hAnsi="宋体" w:cs="宋体" w:eastAsia="宋体" w:hint="default"/>
                <w:sz w:val="18"/>
                <w:szCs w:val="18"/>
              </w:rPr>
              <w:t> </w:t>
            </w:r>
            <w:r>
              <w:rPr>
                <w:rFonts w:ascii="宋体" w:hAnsi="宋体" w:cs="宋体" w:eastAsia="宋体" w:hint="default"/>
                <w:spacing w:val="-6"/>
                <w:sz w:val="18"/>
                <w:szCs w:val="18"/>
              </w:rPr>
              <w:t>服务；货物进出口、技术进</w:t>
            </w:r>
            <w:r>
              <w:rPr>
                <w:rFonts w:ascii="宋体" w:hAnsi="宋体" w:cs="宋体" w:eastAsia="宋体" w:hint="default"/>
                <w:sz w:val="18"/>
                <w:szCs w:val="18"/>
              </w:rPr>
              <w:t> </w:t>
            </w:r>
            <w:r>
              <w:rPr>
                <w:rFonts w:ascii="宋体" w:hAnsi="宋体" w:cs="宋体" w:eastAsia="宋体" w:hint="default"/>
                <w:spacing w:val="-6"/>
                <w:sz w:val="18"/>
                <w:szCs w:val="18"/>
              </w:rPr>
              <w:t>出口、货物进出口、代理进</w:t>
            </w:r>
            <w:r>
              <w:rPr>
                <w:rFonts w:ascii="宋体" w:hAnsi="宋体" w:cs="宋体" w:eastAsia="宋体" w:hint="default"/>
                <w:sz w:val="18"/>
                <w:szCs w:val="18"/>
              </w:rPr>
              <w:t> </w:t>
            </w:r>
            <w:r>
              <w:rPr>
                <w:rFonts w:ascii="宋体" w:hAnsi="宋体" w:cs="宋体" w:eastAsia="宋体" w:hint="default"/>
                <w:spacing w:val="-13"/>
                <w:sz w:val="18"/>
                <w:szCs w:val="18"/>
              </w:rPr>
              <w:t>出口；工程咨询；工程勘察；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工程设计。</w:t>
            </w:r>
            <w:r>
              <w:rPr>
                <w:rFonts w:ascii="宋体" w:hAnsi="宋体" w:cs="宋体" w:eastAsia="宋体" w:hint="default"/>
                <w:sz w:val="18"/>
                <w:szCs w:val="18"/>
              </w:rPr>
              <w:t> </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z w:val="18"/>
              </w:rPr>
              <w:t>60.00%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z w:val="18"/>
              </w:rPr>
              <w:t>60.00%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pacing w:val="-1"/>
                <w:sz w:val="18"/>
              </w:rPr>
              <w:t>100,000,000.00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pacing w:val="-1"/>
                <w:sz w:val="18"/>
              </w:rPr>
              <w:t>72,742,396.09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pacing w:val="-1"/>
                <w:sz w:val="18"/>
              </w:rPr>
              <w:t>32,496,685.59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pacing w:val="-1"/>
                <w:sz w:val="18"/>
              </w:rPr>
              <w:t>90,040,346.31</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8"/>
              <w:jc w:val="right"/>
              <w:rPr>
                <w:rFonts w:ascii="Times New Roman" w:hAnsi="Times New Roman" w:cs="Times New Roman" w:eastAsia="Times New Roman" w:hint="default"/>
                <w:sz w:val="18"/>
                <w:szCs w:val="18"/>
              </w:rPr>
            </w:pPr>
            <w:r>
              <w:rPr>
                <w:rFonts w:ascii="Times New Roman"/>
                <w:spacing w:val="-1"/>
                <w:sz w:val="18"/>
              </w:rPr>
              <w:t>4,583,617.59</w:t>
            </w:r>
          </w:p>
        </w:tc>
      </w:tr>
      <w:tr>
        <w:trPr>
          <w:trHeight w:val="1644"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7" w:lineRule="auto"/>
              <w:ind w:left="103" w:right="51"/>
              <w:jc w:val="both"/>
              <w:rPr>
                <w:rFonts w:ascii="宋体" w:hAnsi="宋体" w:cs="宋体" w:eastAsia="宋体" w:hint="default"/>
                <w:sz w:val="18"/>
                <w:szCs w:val="18"/>
              </w:rPr>
            </w:pPr>
            <w:r>
              <w:rPr>
                <w:rFonts w:ascii="宋体" w:hAnsi="宋体" w:cs="宋体" w:eastAsia="宋体" w:hint="default"/>
                <w:spacing w:val="39"/>
                <w:sz w:val="18"/>
                <w:szCs w:val="18"/>
              </w:rPr>
              <w:t>泰豪晟大</w:t>
            </w:r>
            <w:r>
              <w:rPr>
                <w:rFonts w:ascii="宋体" w:hAnsi="宋体" w:cs="宋体" w:eastAsia="宋体" w:hint="default"/>
                <w:spacing w:val="-38"/>
                <w:sz w:val="18"/>
                <w:szCs w:val="18"/>
              </w:rPr>
              <w:t> </w:t>
            </w:r>
            <w:r>
              <w:rPr>
                <w:rFonts w:ascii="宋体" w:hAnsi="宋体" w:cs="宋体" w:eastAsia="宋体" w:hint="default"/>
                <w:spacing w:val="39"/>
                <w:sz w:val="18"/>
                <w:szCs w:val="18"/>
              </w:rPr>
              <w:t>创业投资</w:t>
            </w:r>
            <w:r>
              <w:rPr>
                <w:rFonts w:ascii="宋体" w:hAnsi="宋体" w:cs="宋体" w:eastAsia="宋体" w:hint="default"/>
                <w:spacing w:val="-38"/>
                <w:sz w:val="18"/>
                <w:szCs w:val="18"/>
              </w:rPr>
              <w:t> </w:t>
            </w:r>
            <w:r>
              <w:rPr>
                <w:rFonts w:ascii="宋体" w:hAnsi="宋体" w:cs="宋体" w:eastAsia="宋体" w:hint="default"/>
                <w:sz w:val="18"/>
                <w:szCs w:val="18"/>
              </w:rPr>
              <w:t>有限公司</w:t>
            </w:r>
            <w:r>
              <w:rPr>
                <w:rFonts w:ascii="宋体" w:hAnsi="宋体" w:cs="宋体" w:eastAsia="宋体" w:hint="default"/>
                <w:sz w:val="18"/>
                <w:szCs w:val="18"/>
              </w:rPr>
              <w:t> </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6"/>
                <w:sz w:val="18"/>
                <w:szCs w:val="18"/>
              </w:rPr>
              <w:t>创业投资业务，代理其他创</w:t>
            </w:r>
          </w:p>
          <w:p>
            <w:pPr>
              <w:pStyle w:val="TableParagraph"/>
              <w:spacing w:line="237" w:lineRule="auto" w:before="1"/>
              <w:ind w:left="103" w:right="101"/>
              <w:jc w:val="both"/>
              <w:rPr>
                <w:rFonts w:ascii="宋体" w:hAnsi="宋体" w:cs="宋体" w:eastAsia="宋体" w:hint="default"/>
                <w:sz w:val="18"/>
                <w:szCs w:val="18"/>
              </w:rPr>
            </w:pPr>
            <w:r>
              <w:rPr>
                <w:rFonts w:ascii="宋体" w:hAnsi="宋体" w:cs="宋体" w:eastAsia="宋体" w:hint="default"/>
                <w:spacing w:val="9"/>
                <w:sz w:val="18"/>
                <w:szCs w:val="18"/>
              </w:rPr>
              <w:t>业投资企业等机构或个人</w:t>
            </w:r>
            <w:r>
              <w:rPr>
                <w:rFonts w:ascii="宋体" w:hAnsi="宋体" w:cs="宋体" w:eastAsia="宋体" w:hint="default"/>
                <w:sz w:val="18"/>
                <w:szCs w:val="18"/>
              </w:rPr>
              <w:t> </w:t>
            </w:r>
            <w:r>
              <w:rPr>
                <w:rFonts w:ascii="宋体" w:hAnsi="宋体" w:cs="宋体" w:eastAsia="宋体" w:hint="default"/>
                <w:spacing w:val="-6"/>
                <w:sz w:val="18"/>
                <w:szCs w:val="18"/>
              </w:rPr>
              <w:t>的创业投资业务，创业投资</w:t>
            </w:r>
            <w:r>
              <w:rPr>
                <w:rFonts w:ascii="宋体" w:hAnsi="宋体" w:cs="宋体" w:eastAsia="宋体" w:hint="default"/>
                <w:sz w:val="18"/>
                <w:szCs w:val="18"/>
              </w:rPr>
              <w:t> </w:t>
            </w:r>
            <w:r>
              <w:rPr>
                <w:rFonts w:ascii="宋体" w:hAnsi="宋体" w:cs="宋体" w:eastAsia="宋体" w:hint="default"/>
                <w:spacing w:val="-6"/>
                <w:sz w:val="18"/>
                <w:szCs w:val="18"/>
              </w:rPr>
              <w:t>咨询业务，为创业企业提供</w:t>
            </w:r>
            <w:r>
              <w:rPr>
                <w:rFonts w:ascii="宋体" w:hAnsi="宋体" w:cs="宋体" w:eastAsia="宋体" w:hint="default"/>
                <w:sz w:val="18"/>
                <w:szCs w:val="18"/>
              </w:rPr>
              <w:t> </w:t>
            </w:r>
            <w:r>
              <w:rPr>
                <w:rFonts w:ascii="宋体" w:hAnsi="宋体" w:cs="宋体" w:eastAsia="宋体" w:hint="default"/>
                <w:spacing w:val="-6"/>
                <w:sz w:val="18"/>
                <w:szCs w:val="18"/>
              </w:rPr>
              <w:t>创业管理服务业务，参与设</w:t>
            </w:r>
            <w:r>
              <w:rPr>
                <w:rFonts w:ascii="宋体" w:hAnsi="宋体" w:cs="宋体" w:eastAsia="宋体" w:hint="default"/>
                <w:sz w:val="18"/>
                <w:szCs w:val="18"/>
              </w:rPr>
              <w:t> </w:t>
            </w:r>
            <w:r>
              <w:rPr>
                <w:rFonts w:ascii="宋体" w:hAnsi="宋体" w:cs="宋体" w:eastAsia="宋体" w:hint="default"/>
                <w:spacing w:val="9"/>
                <w:sz w:val="18"/>
                <w:szCs w:val="18"/>
              </w:rPr>
              <w:t>立创业投资企业与创业投</w:t>
            </w:r>
            <w:r>
              <w:rPr>
                <w:rFonts w:ascii="宋体" w:hAnsi="宋体" w:cs="宋体" w:eastAsia="宋体" w:hint="default"/>
                <w:sz w:val="18"/>
                <w:szCs w:val="18"/>
              </w:rPr>
              <w:t> 资管理顾问机构</w:t>
            </w:r>
            <w:r>
              <w:rPr>
                <w:rFonts w:ascii="宋体" w:hAnsi="宋体" w:cs="宋体" w:eastAsia="宋体" w:hint="default"/>
                <w:sz w:val="18"/>
                <w:szCs w:val="18"/>
              </w:rPr>
              <w:t> </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83.33%</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83.33%</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150,000,000.00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149,709,198.93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143,693,824.71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-3,042,814.60</w:t>
            </w:r>
          </w:p>
        </w:tc>
      </w:tr>
    </w:tbl>
    <w:p>
      <w:pPr>
        <w:spacing w:line="240" w:lineRule="auto" w:before="2"/>
        <w:rPr>
          <w:rFonts w:ascii="宋体" w:hAnsi="宋体" w:cs="宋体" w:eastAsia="宋体" w:hint="default"/>
          <w:sz w:val="13"/>
          <w:szCs w:val="13"/>
        </w:rPr>
      </w:pPr>
    </w:p>
    <w:p>
      <w:pPr>
        <w:pStyle w:val="BodyText"/>
        <w:spacing w:line="240" w:lineRule="auto" w:before="36"/>
        <w:ind w:left="224" w:right="0"/>
        <w:jc w:val="left"/>
      </w:pPr>
      <w:r>
        <w:rPr>
          <w:rFonts w:ascii="Times New Roman" w:hAnsi="Times New Roman" w:cs="Times New Roman" w:eastAsia="Times New Roman" w:hint="default"/>
          <w:spacing w:val="-2"/>
        </w:rPr>
        <w:t>2</w:t>
      </w:r>
      <w:r>
        <w:rPr>
          <w:spacing w:val="-2"/>
        </w:rPr>
        <w:t>、单个控股子公司的净利润或单个参股公司的投资收益对公司净利润的影响达到</w:t>
      </w:r>
      <w:r>
        <w:rPr>
          <w:spacing w:val="28"/>
        </w:rPr>
        <w:t> </w:t>
      </w:r>
      <w:r>
        <w:rPr>
          <w:rFonts w:ascii="Times New Roman" w:hAnsi="Times New Roman" w:cs="Times New Roman" w:eastAsia="Times New Roman" w:hint="default"/>
          <w:spacing w:val="-2"/>
        </w:rPr>
        <w:t>10%</w:t>
      </w:r>
      <w:r>
        <w:rPr>
          <w:spacing w:val="-2"/>
        </w:rPr>
        <w:t>以上明细：</w:t>
      </w:r>
    </w:p>
    <w:tbl>
      <w:tblPr>
        <w:tblW w:w="0" w:type="auto"/>
        <w:jc w:val="left"/>
        <w:tblInd w:w="140" w:type="dxa"/>
        <w:tblLayout w:type="fixed"/>
        <w:tblCellMar>
          <w:top w:w="0" w:type="dxa"/>
          <w:left w:w="0" w:type="dxa"/>
          <w:bottom w:w="0" w:type="dxa"/>
          <w:right w:w="0" w:type="dxa"/>
        </w:tblCellMar>
        <w:tblLook w:val="01E0"/>
      </w:tblPr>
      <w:tblGrid>
        <w:gridCol w:w="1503"/>
        <w:gridCol w:w="5509"/>
        <w:gridCol w:w="1618"/>
        <w:gridCol w:w="1858"/>
        <w:gridCol w:w="1985"/>
        <w:gridCol w:w="1560"/>
      </w:tblGrid>
      <w:tr>
        <w:trPr>
          <w:trHeight w:val="711" w:hRule="exact"/>
        </w:trPr>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公司名称</w:t>
            </w:r>
            <w:r>
              <w:rPr>
                <w:rFonts w:ascii="宋体" w:hAnsi="宋体" w:cs="宋体" w:eastAsia="宋体" w:hint="default"/>
                <w:sz w:val="18"/>
                <w:szCs w:val="18"/>
              </w:rPr>
              <w:t> </w:t>
            </w:r>
          </w:p>
        </w:tc>
        <w:tc>
          <w:tcPr>
            <w:tcW w:w="5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sz w:val="18"/>
                <w:szCs w:val="18"/>
              </w:rPr>
              <w:t>主营业务</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64" w:right="0"/>
              <w:jc w:val="left"/>
              <w:rPr>
                <w:rFonts w:ascii="宋体" w:hAnsi="宋体" w:cs="宋体" w:eastAsia="宋体" w:hint="default"/>
                <w:sz w:val="18"/>
                <w:szCs w:val="18"/>
              </w:rPr>
            </w:pPr>
            <w:r>
              <w:rPr>
                <w:rFonts w:ascii="宋体" w:hAnsi="宋体" w:cs="宋体" w:eastAsia="宋体" w:hint="default"/>
                <w:sz w:val="18"/>
                <w:szCs w:val="18"/>
              </w:rPr>
              <w:t>营业利润</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本期净利润</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4" w:right="0"/>
              <w:jc w:val="left"/>
              <w:rPr>
                <w:rFonts w:ascii="宋体" w:hAnsi="宋体" w:cs="宋体" w:eastAsia="宋体" w:hint="default"/>
                <w:sz w:val="18"/>
                <w:szCs w:val="18"/>
              </w:rPr>
            </w:pPr>
            <w:r>
              <w:rPr>
                <w:rFonts w:ascii="宋体" w:hAnsi="宋体" w:cs="宋体" w:eastAsia="宋体" w:hint="default"/>
                <w:sz w:val="18"/>
                <w:szCs w:val="18"/>
              </w:rPr>
              <w:t>贡献的投资收益</w:t>
            </w:r>
          </w:p>
          <w:p>
            <w:pPr>
              <w:pStyle w:val="TableParagraph"/>
              <w:spacing w:line="240" w:lineRule="auto"/>
              <w:ind w:left="189" w:right="97" w:hanging="46"/>
              <w:jc w:val="left"/>
              <w:rPr>
                <w:rFonts w:ascii="宋体" w:hAnsi="宋体" w:cs="宋体" w:eastAsia="宋体" w:hint="default"/>
                <w:sz w:val="18"/>
                <w:szCs w:val="18"/>
              </w:rPr>
            </w:pPr>
            <w:r>
              <w:rPr>
                <w:rFonts w:ascii="宋体" w:hAnsi="宋体" w:cs="宋体" w:eastAsia="宋体" w:hint="default"/>
                <w:sz w:val="18"/>
                <w:szCs w:val="18"/>
              </w:rPr>
              <w:t>占上市公司净利 润的比重（</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r>
      <w:tr>
        <w:trPr>
          <w:trHeight w:val="802" w:hRule="exact"/>
        </w:trPr>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7"/>
              <w:ind w:left="105" w:right="125"/>
              <w:jc w:val="left"/>
              <w:rPr>
                <w:rFonts w:ascii="宋体" w:hAnsi="宋体" w:cs="宋体" w:eastAsia="宋体" w:hint="default"/>
                <w:sz w:val="18"/>
                <w:szCs w:val="18"/>
              </w:rPr>
            </w:pPr>
            <w:r>
              <w:rPr>
                <w:rFonts w:ascii="宋体" w:hAnsi="宋体" w:cs="宋体" w:eastAsia="宋体" w:hint="default"/>
                <w:sz w:val="18"/>
                <w:szCs w:val="18"/>
              </w:rPr>
              <w:t>江西泰豪军工集 团有限公司</w:t>
            </w:r>
            <w:r>
              <w:rPr>
                <w:rFonts w:ascii="宋体" w:hAnsi="宋体" w:cs="宋体" w:eastAsia="宋体" w:hint="default"/>
                <w:sz w:val="18"/>
                <w:szCs w:val="18"/>
              </w:rPr>
              <w:t> </w:t>
            </w:r>
          </w:p>
        </w:tc>
        <w:tc>
          <w:tcPr>
            <w:tcW w:w="550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7"/>
              <w:ind w:left="103" w:right="173"/>
              <w:jc w:val="both"/>
              <w:rPr>
                <w:rFonts w:ascii="宋体" w:hAnsi="宋体" w:cs="宋体" w:eastAsia="宋体" w:hint="default"/>
                <w:sz w:val="18"/>
                <w:szCs w:val="18"/>
              </w:rPr>
            </w:pPr>
            <w:r>
              <w:rPr>
                <w:rFonts w:ascii="宋体" w:hAnsi="宋体" w:cs="宋体" w:eastAsia="宋体" w:hint="default"/>
                <w:sz w:val="18"/>
                <w:szCs w:val="18"/>
              </w:rPr>
              <w:t>发电机及发电机组研制、生产及销售；声光机电一体化产品、通信 设备、卫星导航设备的研制、生产及销售；新能源、新材料、新技 术产品研制、生产及销售；其他机电设备的研制、生产及销售。</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1,142,141,074.41</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496" w:right="0"/>
              <w:jc w:val="left"/>
              <w:rPr>
                <w:rFonts w:ascii="Times New Roman" w:hAnsi="Times New Roman" w:cs="Times New Roman" w:eastAsia="Times New Roman" w:hint="default"/>
                <w:sz w:val="20"/>
                <w:szCs w:val="20"/>
              </w:rPr>
            </w:pPr>
            <w:r>
              <w:rPr>
                <w:rFonts w:ascii="Times New Roman"/>
                <w:sz w:val="20"/>
              </w:rPr>
              <w:t>220,447,252.79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622" w:right="0"/>
              <w:jc w:val="left"/>
              <w:rPr>
                <w:rFonts w:ascii="Times New Roman" w:hAnsi="Times New Roman" w:cs="Times New Roman" w:eastAsia="Times New Roman" w:hint="default"/>
                <w:sz w:val="20"/>
                <w:szCs w:val="20"/>
              </w:rPr>
            </w:pPr>
            <w:r>
              <w:rPr>
                <w:rFonts w:ascii="Times New Roman"/>
                <w:sz w:val="20"/>
              </w:rPr>
              <w:t>194,143,444.79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897" w:right="0"/>
              <w:jc w:val="left"/>
              <w:rPr>
                <w:rFonts w:ascii="Times New Roman" w:hAnsi="Times New Roman" w:cs="Times New Roman" w:eastAsia="Times New Roman" w:hint="default"/>
                <w:sz w:val="20"/>
                <w:szCs w:val="20"/>
              </w:rPr>
            </w:pPr>
            <w:r>
              <w:rPr>
                <w:rFonts w:ascii="Times New Roman"/>
                <w:sz w:val="20"/>
              </w:rPr>
              <w:t>128.78</w:t>
            </w:r>
          </w:p>
        </w:tc>
      </w:tr>
    </w:tbl>
    <w:p>
      <w:pPr>
        <w:spacing w:after="0" w:line="240" w:lineRule="auto"/>
        <w:jc w:val="left"/>
        <w:rPr>
          <w:rFonts w:ascii="Times New Roman" w:hAnsi="Times New Roman" w:cs="Times New Roman" w:eastAsia="Times New Roman" w:hint="default"/>
          <w:sz w:val="20"/>
          <w:szCs w:val="20"/>
        </w:rPr>
        <w:sectPr>
          <w:pgSz w:w="16840" w:h="11910" w:orient="landscape"/>
          <w:pgMar w:header="880" w:footer="1195" w:top="1120" w:bottom="1380" w:left="1300" w:right="1240"/>
        </w:sectPr>
      </w:pPr>
    </w:p>
    <w:p>
      <w:pPr>
        <w:spacing w:line="240" w:lineRule="auto" w:before="5"/>
        <w:rPr>
          <w:rFonts w:ascii="宋体" w:hAnsi="宋体" w:cs="宋体" w:eastAsia="宋体" w:hint="default"/>
          <w:sz w:val="11"/>
          <w:szCs w:val="11"/>
        </w:rPr>
      </w:pPr>
    </w:p>
    <w:tbl>
      <w:tblPr>
        <w:tblW w:w="0" w:type="auto"/>
        <w:jc w:val="left"/>
        <w:tblInd w:w="240" w:type="dxa"/>
        <w:tblLayout w:type="fixed"/>
        <w:tblCellMar>
          <w:top w:w="0" w:type="dxa"/>
          <w:left w:w="0" w:type="dxa"/>
          <w:bottom w:w="0" w:type="dxa"/>
          <w:right w:w="0" w:type="dxa"/>
        </w:tblCellMar>
        <w:tblLook w:val="01E0"/>
      </w:tblPr>
      <w:tblGrid>
        <w:gridCol w:w="1503"/>
        <w:gridCol w:w="5509"/>
        <w:gridCol w:w="1618"/>
        <w:gridCol w:w="1858"/>
        <w:gridCol w:w="1985"/>
        <w:gridCol w:w="1560"/>
      </w:tblGrid>
      <w:tr>
        <w:trPr>
          <w:trHeight w:val="471" w:hRule="exact"/>
        </w:trPr>
        <w:tc>
          <w:tcPr>
            <w:tcW w:w="1503" w:type="dxa"/>
            <w:tcBorders>
              <w:top w:val="nil" w:sz="6" w:space="0" w:color="auto"/>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上海红生系统工</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程有限公司</w:t>
            </w:r>
            <w:r>
              <w:rPr>
                <w:rFonts w:ascii="宋体" w:hAnsi="宋体" w:cs="宋体" w:eastAsia="宋体" w:hint="default"/>
                <w:sz w:val="18"/>
                <w:szCs w:val="18"/>
              </w:rPr>
              <w:t> </w:t>
            </w:r>
          </w:p>
        </w:tc>
        <w:tc>
          <w:tcPr>
            <w:tcW w:w="550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（通讯设备、计算机软硬件、网络技术）专业领域内的技术开发</w:t>
            </w:r>
            <w:r>
              <w:rPr>
                <w:rFonts w:ascii="宋体" w:hAnsi="宋体" w:cs="宋体" w:eastAsia="宋体" w:hint="default"/>
                <w:sz w:val="18"/>
                <w:szCs w:val="18"/>
              </w:rPr>
              <w:t> </w:t>
            </w:r>
          </w:p>
        </w:tc>
        <w:tc>
          <w:tcPr>
            <w:tcW w:w="1618" w:type="dxa"/>
            <w:tcBorders>
              <w:top w:val="nil" w:sz="6" w:space="0" w:color="auto"/>
              <w:left w:val="single" w:sz="4" w:space="0" w:color="000000"/>
              <w:bottom w:val="single" w:sz="4" w:space="0" w:color="000000"/>
              <w:right w:val="single" w:sz="4" w:space="0" w:color="000000"/>
            </w:tcBorders>
          </w:tcPr>
          <w:p>
            <w:pPr>
              <w:pStyle w:val="TableParagraph"/>
              <w:spacing w:line="226" w:lineRule="exact"/>
              <w:ind w:right="102"/>
              <w:jc w:val="right"/>
              <w:rPr>
                <w:rFonts w:ascii="Times New Roman" w:hAnsi="Times New Roman" w:cs="Times New Roman" w:eastAsia="Times New Roman" w:hint="default"/>
                <w:sz w:val="20"/>
                <w:szCs w:val="20"/>
              </w:rPr>
            </w:pPr>
            <w:r>
              <w:rPr>
                <w:rFonts w:ascii="Times New Roman"/>
                <w:w w:val="95"/>
                <w:sz w:val="20"/>
              </w:rPr>
              <w:t>116,676,751.31</w:t>
            </w:r>
            <w:r>
              <w:rPr>
                <w:rFonts w:ascii="Times New Roman"/>
                <w:sz w:val="20"/>
              </w:rPr>
            </w:r>
          </w:p>
        </w:tc>
        <w:tc>
          <w:tcPr>
            <w:tcW w:w="1858" w:type="dxa"/>
            <w:tcBorders>
              <w:top w:val="nil" w:sz="6" w:space="0" w:color="auto"/>
              <w:left w:val="single" w:sz="4" w:space="0" w:color="000000"/>
              <w:bottom w:val="single" w:sz="4" w:space="0" w:color="000000"/>
              <w:right w:val="single" w:sz="4" w:space="0" w:color="000000"/>
            </w:tcBorders>
          </w:tcPr>
          <w:p>
            <w:pPr>
              <w:pStyle w:val="TableParagraph"/>
              <w:spacing w:line="226" w:lineRule="exact"/>
              <w:ind w:right="101"/>
              <w:jc w:val="right"/>
              <w:rPr>
                <w:rFonts w:ascii="Times New Roman" w:hAnsi="Times New Roman" w:cs="Times New Roman" w:eastAsia="Times New Roman" w:hint="default"/>
                <w:sz w:val="20"/>
                <w:szCs w:val="20"/>
              </w:rPr>
            </w:pPr>
            <w:r>
              <w:rPr>
                <w:rFonts w:ascii="Times New Roman"/>
                <w:w w:val="95"/>
                <w:sz w:val="20"/>
              </w:rPr>
              <w:t>70,082,896.46</w:t>
            </w:r>
            <w:r>
              <w:rPr>
                <w:rFonts w:ascii="Times New Roman"/>
                <w:sz w:val="20"/>
              </w:rPr>
            </w:r>
          </w:p>
        </w:tc>
        <w:tc>
          <w:tcPr>
            <w:tcW w:w="1985" w:type="dxa"/>
            <w:tcBorders>
              <w:top w:val="nil" w:sz="6" w:space="0" w:color="auto"/>
              <w:left w:val="single" w:sz="4" w:space="0" w:color="000000"/>
              <w:bottom w:val="single" w:sz="4" w:space="0" w:color="000000"/>
              <w:right w:val="single" w:sz="4" w:space="0" w:color="000000"/>
            </w:tcBorders>
          </w:tcPr>
          <w:p>
            <w:pPr>
              <w:pStyle w:val="TableParagraph"/>
              <w:spacing w:line="226" w:lineRule="exact"/>
              <w:ind w:right="101"/>
              <w:jc w:val="right"/>
              <w:rPr>
                <w:rFonts w:ascii="Times New Roman" w:hAnsi="Times New Roman" w:cs="Times New Roman" w:eastAsia="Times New Roman" w:hint="default"/>
                <w:sz w:val="20"/>
                <w:szCs w:val="20"/>
              </w:rPr>
            </w:pPr>
            <w:r>
              <w:rPr>
                <w:rFonts w:ascii="Times New Roman"/>
                <w:w w:val="95"/>
                <w:sz w:val="20"/>
              </w:rPr>
              <w:t>60,053,421.57</w:t>
            </w:r>
            <w:r>
              <w:rPr>
                <w:rFonts w:ascii="Times New Roman"/>
                <w:sz w:val="20"/>
              </w:rPr>
            </w: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0"/>
                <w:szCs w:val="20"/>
              </w:rPr>
            </w:pPr>
            <w:r>
              <w:rPr>
                <w:rFonts w:ascii="Times New Roman"/>
                <w:sz w:val="20"/>
              </w:rPr>
              <w:t>39.83</w:t>
            </w:r>
          </w:p>
        </w:tc>
      </w:tr>
      <w:tr>
        <w:trPr>
          <w:trHeight w:val="478" w:hRule="exact"/>
        </w:trPr>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泰豪电源技术有</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5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发电机及机组的设计、制造、销售与售后服务</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2"/>
              <w:jc w:val="right"/>
              <w:rPr>
                <w:rFonts w:ascii="Times New Roman" w:hAnsi="Times New Roman" w:cs="Times New Roman" w:eastAsia="Times New Roman" w:hint="default"/>
                <w:sz w:val="20"/>
                <w:szCs w:val="20"/>
              </w:rPr>
            </w:pPr>
            <w:r>
              <w:rPr>
                <w:rFonts w:ascii="Times New Roman"/>
                <w:spacing w:val="-1"/>
                <w:sz w:val="20"/>
              </w:rPr>
              <w:t>1,948,161,288.13</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1"/>
              <w:jc w:val="right"/>
              <w:rPr>
                <w:rFonts w:ascii="Times New Roman" w:hAnsi="Times New Roman" w:cs="Times New Roman" w:eastAsia="Times New Roman" w:hint="default"/>
                <w:sz w:val="20"/>
                <w:szCs w:val="20"/>
              </w:rPr>
            </w:pPr>
            <w:r>
              <w:rPr>
                <w:rFonts w:ascii="Times New Roman"/>
                <w:spacing w:val="-1"/>
                <w:sz w:val="20"/>
              </w:rPr>
              <w:t>50,960,126.55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1"/>
              <w:jc w:val="right"/>
              <w:rPr>
                <w:rFonts w:ascii="Times New Roman" w:hAnsi="Times New Roman" w:cs="Times New Roman" w:eastAsia="Times New Roman" w:hint="default"/>
                <w:sz w:val="20"/>
                <w:szCs w:val="20"/>
              </w:rPr>
            </w:pPr>
            <w:r>
              <w:rPr>
                <w:rFonts w:ascii="Times New Roman"/>
                <w:w w:val="95"/>
                <w:sz w:val="20"/>
              </w:rPr>
              <w:t>45,695,247.98</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20"/>
                <w:szCs w:val="20"/>
              </w:rPr>
            </w:pPr>
            <w:r>
              <w:rPr>
                <w:rFonts w:ascii="Times New Roman"/>
                <w:sz w:val="20"/>
              </w:rPr>
              <w:t>30.31</w:t>
            </w:r>
          </w:p>
        </w:tc>
      </w:tr>
      <w:tr>
        <w:trPr>
          <w:trHeight w:val="478" w:hRule="exact"/>
        </w:trPr>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龙岩市海德馨汽</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车有限公司</w:t>
            </w:r>
            <w:r>
              <w:rPr>
                <w:rFonts w:ascii="宋体" w:hAnsi="宋体" w:cs="宋体" w:eastAsia="宋体" w:hint="default"/>
                <w:sz w:val="18"/>
                <w:szCs w:val="18"/>
              </w:rPr>
              <w:t> </w:t>
            </w:r>
          </w:p>
        </w:tc>
        <w:tc>
          <w:tcPr>
            <w:tcW w:w="5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专用作业车（应急电源车、抢险救援照明车、应急通信车</w:t>
            </w:r>
            <w:r>
              <w:rPr>
                <w:rFonts w:ascii="宋体" w:hAnsi="宋体" w:cs="宋体" w:eastAsia="宋体" w:hint="default"/>
                <w:sz w:val="18"/>
                <w:szCs w:val="18"/>
              </w:rPr>
              <w:t>)</w:t>
            </w:r>
            <w:r>
              <w:rPr>
                <w:rFonts w:ascii="宋体" w:hAnsi="宋体" w:cs="宋体" w:eastAsia="宋体" w:hint="default"/>
                <w:sz w:val="18"/>
                <w:szCs w:val="18"/>
              </w:rPr>
              <w:t>生产销售</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2"/>
              <w:jc w:val="right"/>
              <w:rPr>
                <w:rFonts w:ascii="Times New Roman" w:hAnsi="Times New Roman" w:cs="Times New Roman" w:eastAsia="Times New Roman" w:hint="default"/>
                <w:sz w:val="20"/>
                <w:szCs w:val="20"/>
              </w:rPr>
            </w:pPr>
            <w:r>
              <w:rPr>
                <w:rFonts w:ascii="Times New Roman"/>
                <w:w w:val="95"/>
                <w:sz w:val="20"/>
              </w:rPr>
              <w:t>321,219,604.62</w:t>
            </w:r>
            <w:r>
              <w:rPr>
                <w:rFonts w:ascii="Times New Roman"/>
                <w:sz w:val="20"/>
              </w:rPr>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1"/>
              <w:jc w:val="right"/>
              <w:rPr>
                <w:rFonts w:ascii="Times New Roman" w:hAnsi="Times New Roman" w:cs="Times New Roman" w:eastAsia="Times New Roman" w:hint="default"/>
                <w:sz w:val="20"/>
                <w:szCs w:val="20"/>
              </w:rPr>
            </w:pPr>
            <w:r>
              <w:rPr>
                <w:rFonts w:ascii="Times New Roman"/>
                <w:w w:val="95"/>
                <w:sz w:val="20"/>
              </w:rPr>
              <w:t>35,094,134.36</w:t>
            </w:r>
            <w:r>
              <w:rPr>
                <w:rFonts w:ascii="Times New Roman"/>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1"/>
              <w:jc w:val="right"/>
              <w:rPr>
                <w:rFonts w:ascii="Times New Roman" w:hAnsi="Times New Roman" w:cs="Times New Roman" w:eastAsia="Times New Roman" w:hint="default"/>
                <w:sz w:val="20"/>
                <w:szCs w:val="20"/>
              </w:rPr>
            </w:pPr>
            <w:r>
              <w:rPr>
                <w:rFonts w:ascii="Times New Roman"/>
                <w:w w:val="95"/>
                <w:sz w:val="20"/>
              </w:rPr>
              <w:t>33,014,871.90</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0"/>
                <w:szCs w:val="20"/>
              </w:rPr>
            </w:pPr>
            <w:r>
              <w:rPr>
                <w:rFonts w:ascii="Times New Roman"/>
                <w:sz w:val="20"/>
              </w:rPr>
              <w:t>21.90</w:t>
            </w:r>
          </w:p>
        </w:tc>
      </w:tr>
      <w:tr>
        <w:trPr>
          <w:trHeight w:val="475" w:hRule="exact"/>
        </w:trPr>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泰豪国际投资有</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5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投、融资及相关服务</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Times New Roman" w:hAnsi="Times New Roman" w:cs="Times New Roman" w:eastAsia="Times New Roman" w:hint="default"/>
                <w:sz w:val="20"/>
                <w:szCs w:val="20"/>
              </w:rPr>
            </w:pPr>
            <w:r>
              <w:rPr>
                <w:rFonts w:ascii="Times New Roman"/>
                <w:w w:val="95"/>
                <w:sz w:val="20"/>
              </w:rPr>
              <w:t>132,239,245.46</w:t>
            </w:r>
            <w:r>
              <w:rPr>
                <w:rFonts w:ascii="Times New Roman"/>
                <w:sz w:val="20"/>
              </w:rPr>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Times New Roman" w:hAnsi="Times New Roman" w:cs="Times New Roman" w:eastAsia="Times New Roman" w:hint="default"/>
                <w:sz w:val="20"/>
                <w:szCs w:val="20"/>
              </w:rPr>
            </w:pPr>
            <w:r>
              <w:rPr>
                <w:rFonts w:ascii="Times New Roman"/>
                <w:spacing w:val="-1"/>
                <w:sz w:val="20"/>
              </w:rPr>
              <w:t>25,489,461.78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Times New Roman" w:hAnsi="Times New Roman" w:cs="Times New Roman" w:eastAsia="Times New Roman" w:hint="default"/>
                <w:sz w:val="20"/>
                <w:szCs w:val="20"/>
              </w:rPr>
            </w:pPr>
            <w:r>
              <w:rPr>
                <w:rFonts w:ascii="Times New Roman"/>
                <w:w w:val="95"/>
                <w:sz w:val="20"/>
              </w:rPr>
              <w:t>24,324,551.25</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0"/>
                <w:szCs w:val="20"/>
              </w:rPr>
            </w:pPr>
            <w:r>
              <w:rPr>
                <w:rFonts w:ascii="Times New Roman"/>
                <w:sz w:val="20"/>
              </w:rPr>
              <w:t>16.14</w:t>
            </w:r>
          </w:p>
        </w:tc>
      </w:tr>
      <w:tr>
        <w:trPr>
          <w:trHeight w:val="502" w:hRule="exact"/>
        </w:trPr>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3"/>
              <w:ind w:left="105" w:right="125"/>
              <w:jc w:val="left"/>
              <w:rPr>
                <w:rFonts w:ascii="宋体" w:hAnsi="宋体" w:cs="宋体" w:eastAsia="宋体" w:hint="default"/>
                <w:sz w:val="18"/>
                <w:szCs w:val="18"/>
              </w:rPr>
            </w:pPr>
            <w:r>
              <w:rPr>
                <w:rFonts w:ascii="宋体" w:hAnsi="宋体" w:cs="宋体" w:eastAsia="宋体" w:hint="default"/>
                <w:sz w:val="18"/>
                <w:szCs w:val="18"/>
              </w:rPr>
              <w:t>泰豪软件股份有 限公司</w:t>
            </w:r>
            <w:r>
              <w:rPr>
                <w:rFonts w:ascii="宋体" w:hAnsi="宋体" w:cs="宋体" w:eastAsia="宋体" w:hint="default"/>
                <w:sz w:val="18"/>
                <w:szCs w:val="18"/>
              </w:rPr>
              <w:t> </w:t>
            </w:r>
          </w:p>
        </w:tc>
        <w:tc>
          <w:tcPr>
            <w:tcW w:w="55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3"/>
              <w:ind w:left="103" w:right="173"/>
              <w:jc w:val="left"/>
              <w:rPr>
                <w:rFonts w:ascii="宋体" w:hAnsi="宋体" w:cs="宋体" w:eastAsia="宋体" w:hint="default"/>
                <w:sz w:val="18"/>
                <w:szCs w:val="18"/>
              </w:rPr>
            </w:pPr>
            <w:r>
              <w:rPr>
                <w:rFonts w:ascii="宋体" w:hAnsi="宋体" w:cs="宋体" w:eastAsia="宋体" w:hint="default"/>
                <w:sz w:val="18"/>
                <w:szCs w:val="18"/>
              </w:rPr>
              <w:t>计算机软件及相关产品的开发、生产、销售，信息系统集成，综合 信息技术服务，高科技产业咨询、服务及投资，物业管理</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w w:val="95"/>
                <w:sz w:val="20"/>
              </w:rPr>
              <w:t>591,571,766.81</w:t>
            </w:r>
            <w:r>
              <w:rPr>
                <w:rFonts w:ascii="Times New Roman"/>
                <w:sz w:val="20"/>
              </w:rPr>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0"/>
                <w:szCs w:val="20"/>
              </w:rPr>
            </w:pPr>
            <w:r>
              <w:rPr>
                <w:rFonts w:ascii="Times New Roman"/>
                <w:spacing w:val="-1"/>
                <w:sz w:val="20"/>
              </w:rPr>
              <w:t>91,463,250.75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0"/>
                <w:szCs w:val="20"/>
              </w:rPr>
            </w:pPr>
            <w:r>
              <w:rPr>
                <w:rFonts w:ascii="Times New Roman"/>
                <w:w w:val="95"/>
                <w:sz w:val="20"/>
              </w:rPr>
              <w:t>82,943,360.61</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Times New Roman" w:hAnsi="Times New Roman" w:cs="Times New Roman" w:eastAsia="Times New Roman" w:hint="default"/>
                <w:sz w:val="20"/>
                <w:szCs w:val="20"/>
              </w:rPr>
            </w:pPr>
            <w:r>
              <w:rPr>
                <w:rFonts w:ascii="Times New Roman"/>
                <w:sz w:val="20"/>
              </w:rPr>
              <w:t>55.02</w:t>
            </w:r>
          </w:p>
        </w:tc>
      </w:tr>
      <w:tr>
        <w:trPr>
          <w:trHeight w:val="711" w:hRule="exact"/>
        </w:trPr>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5" w:right="35"/>
              <w:jc w:val="left"/>
              <w:rPr>
                <w:rFonts w:ascii="宋体" w:hAnsi="宋体" w:cs="宋体" w:eastAsia="宋体" w:hint="default"/>
                <w:sz w:val="18"/>
                <w:szCs w:val="18"/>
              </w:rPr>
            </w:pPr>
            <w:r>
              <w:rPr>
                <w:rFonts w:ascii="宋体" w:hAnsi="宋体" w:cs="宋体" w:eastAsia="宋体" w:hint="default"/>
                <w:sz w:val="18"/>
                <w:szCs w:val="18"/>
              </w:rPr>
              <w:t>上海博辕信息技 术服务有限公司</w:t>
            </w:r>
            <w:r>
              <w:rPr>
                <w:rFonts w:ascii="宋体" w:hAnsi="宋体" w:cs="宋体" w:eastAsia="宋体" w:hint="default"/>
                <w:sz w:val="18"/>
                <w:szCs w:val="18"/>
              </w:rPr>
              <w:t> </w:t>
            </w:r>
          </w:p>
        </w:tc>
        <w:tc>
          <w:tcPr>
            <w:tcW w:w="55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计算机科技、智能交通领域内的技术开发、销售计算机软硬件、仪</w:t>
            </w:r>
          </w:p>
          <w:p>
            <w:pPr>
              <w:pStyle w:val="TableParagraph"/>
              <w:spacing w:line="240" w:lineRule="auto"/>
              <w:ind w:left="103" w:right="173"/>
              <w:jc w:val="left"/>
              <w:rPr>
                <w:rFonts w:ascii="宋体" w:hAnsi="宋体" w:cs="宋体" w:eastAsia="宋体" w:hint="default"/>
                <w:sz w:val="18"/>
                <w:szCs w:val="18"/>
              </w:rPr>
            </w:pPr>
            <w:r>
              <w:rPr>
                <w:rFonts w:ascii="宋体" w:hAnsi="宋体" w:cs="宋体" w:eastAsia="宋体" w:hint="default"/>
                <w:sz w:val="18"/>
                <w:szCs w:val="18"/>
              </w:rPr>
              <w:t>器仪表、电气设备、通讯设备；市政公用建设工程、建筑智能化建 设工程、消防设施工程专业施工</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2"/>
              <w:jc w:val="right"/>
              <w:rPr>
                <w:rFonts w:ascii="Times New Roman" w:hAnsi="Times New Roman" w:cs="Times New Roman" w:eastAsia="Times New Roman" w:hint="default"/>
                <w:sz w:val="20"/>
                <w:szCs w:val="20"/>
              </w:rPr>
            </w:pPr>
            <w:r>
              <w:rPr>
                <w:rFonts w:ascii="Times New Roman"/>
                <w:w w:val="95"/>
                <w:sz w:val="20"/>
              </w:rPr>
              <w:t>494,728,874.91</w:t>
            </w:r>
            <w:r>
              <w:rPr>
                <w:rFonts w:ascii="Times New Roman"/>
                <w:sz w:val="20"/>
              </w:rPr>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Times New Roman" w:hAnsi="Times New Roman" w:cs="Times New Roman" w:eastAsia="Times New Roman" w:hint="default"/>
                <w:sz w:val="20"/>
                <w:szCs w:val="20"/>
              </w:rPr>
            </w:pPr>
            <w:r>
              <w:rPr>
                <w:rFonts w:ascii="Times New Roman"/>
                <w:w w:val="95"/>
                <w:sz w:val="20"/>
              </w:rPr>
              <w:t>107,967,790.49</w:t>
            </w:r>
            <w:r>
              <w:rPr>
                <w:rFonts w:ascii="Times New Roman"/>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Times New Roman" w:hAnsi="Times New Roman" w:cs="Times New Roman" w:eastAsia="Times New Roman" w:hint="default"/>
                <w:sz w:val="20"/>
                <w:szCs w:val="20"/>
              </w:rPr>
            </w:pPr>
            <w:r>
              <w:rPr>
                <w:rFonts w:ascii="Times New Roman"/>
                <w:w w:val="95"/>
                <w:sz w:val="20"/>
              </w:rPr>
              <w:t>90,980,460.04</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z w:val="20"/>
              </w:rPr>
              <w:t>60.35</w:t>
            </w:r>
          </w:p>
        </w:tc>
      </w:tr>
      <w:tr>
        <w:trPr>
          <w:trHeight w:val="821" w:hRule="exact"/>
        </w:trPr>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32" w:lineRule="exact"/>
              <w:ind w:left="105" w:right="125"/>
              <w:jc w:val="left"/>
              <w:rPr>
                <w:rFonts w:ascii="宋体" w:hAnsi="宋体" w:cs="宋体" w:eastAsia="宋体" w:hint="default"/>
                <w:sz w:val="18"/>
                <w:szCs w:val="18"/>
              </w:rPr>
            </w:pPr>
            <w:r>
              <w:rPr>
                <w:rFonts w:ascii="宋体" w:hAnsi="宋体" w:cs="宋体" w:eastAsia="宋体" w:hint="default"/>
                <w:sz w:val="18"/>
                <w:szCs w:val="18"/>
              </w:rPr>
              <w:t>广东泰豪能源科 技有限公司</w:t>
            </w:r>
            <w:r>
              <w:rPr>
                <w:rFonts w:ascii="宋体" w:hAnsi="宋体" w:cs="宋体" w:eastAsia="宋体" w:hint="default"/>
                <w:sz w:val="18"/>
                <w:szCs w:val="18"/>
              </w:rPr>
              <w:t> </w:t>
            </w:r>
          </w:p>
        </w:tc>
        <w:tc>
          <w:tcPr>
            <w:tcW w:w="550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7"/>
              <w:ind w:left="103" w:right="96"/>
              <w:jc w:val="both"/>
              <w:rPr>
                <w:rFonts w:ascii="宋体" w:hAnsi="宋体" w:cs="宋体" w:eastAsia="宋体" w:hint="default"/>
                <w:sz w:val="18"/>
                <w:szCs w:val="18"/>
              </w:rPr>
            </w:pPr>
            <w:r>
              <w:rPr>
                <w:rFonts w:ascii="宋体" w:hAnsi="宋体" w:cs="宋体" w:eastAsia="宋体" w:hint="default"/>
                <w:spacing w:val="-1"/>
                <w:sz w:val="18"/>
                <w:szCs w:val="18"/>
              </w:rPr>
              <w:t>售电业务</w:t>
            </w:r>
            <w:r>
              <w:rPr>
                <w:rFonts w:ascii="宋体" w:hAnsi="宋体" w:cs="宋体" w:eastAsia="宋体" w:hint="default"/>
                <w:spacing w:val="-1"/>
                <w:sz w:val="18"/>
                <w:szCs w:val="18"/>
              </w:rPr>
              <w:t>;</w:t>
            </w:r>
            <w:r>
              <w:rPr>
                <w:rFonts w:ascii="宋体" w:hAnsi="宋体" w:cs="宋体" w:eastAsia="宋体" w:hint="default"/>
                <w:spacing w:val="-1"/>
                <w:sz w:val="18"/>
                <w:szCs w:val="18"/>
              </w:rPr>
              <w:t>能源技术研究、技术开发服务</w:t>
            </w:r>
            <w:r>
              <w:rPr>
                <w:rFonts w:ascii="宋体" w:hAnsi="宋体" w:cs="宋体" w:eastAsia="宋体" w:hint="default"/>
                <w:spacing w:val="-1"/>
                <w:sz w:val="18"/>
                <w:szCs w:val="18"/>
              </w:rPr>
              <w:t>;</w:t>
            </w:r>
            <w:r>
              <w:rPr>
                <w:rFonts w:ascii="宋体" w:hAnsi="宋体" w:cs="宋体" w:eastAsia="宋体" w:hint="default"/>
                <w:spacing w:val="-1"/>
                <w:sz w:val="18"/>
                <w:szCs w:val="18"/>
              </w:rPr>
              <w:t>网络技术的研究、开发</w:t>
            </w:r>
            <w:r>
              <w:rPr>
                <w:rFonts w:ascii="宋体" w:hAnsi="宋体" w:cs="宋体" w:eastAsia="宋体" w:hint="default"/>
                <w:spacing w:val="-1"/>
                <w:sz w:val="18"/>
                <w:szCs w:val="18"/>
              </w:rPr>
              <w:t>;</w:t>
            </w:r>
            <w:r>
              <w:rPr>
                <w:rFonts w:ascii="宋体" w:hAnsi="宋体" w:cs="宋体" w:eastAsia="宋体" w:hint="default"/>
                <w:spacing w:val="-1"/>
                <w:sz w:val="18"/>
                <w:szCs w:val="18"/>
              </w:rPr>
              <w:t>电</w:t>
            </w:r>
            <w:r>
              <w:rPr>
                <w:rFonts w:ascii="宋体" w:hAnsi="宋体" w:cs="宋体" w:eastAsia="宋体" w:hint="default"/>
                <w:spacing w:val="-79"/>
                <w:sz w:val="18"/>
                <w:szCs w:val="18"/>
              </w:rPr>
              <w:t> </w:t>
            </w:r>
            <w:r>
              <w:rPr>
                <w:rFonts w:ascii="宋体" w:hAnsi="宋体" w:cs="宋体" w:eastAsia="宋体" w:hint="default"/>
                <w:spacing w:val="-1"/>
                <w:sz w:val="18"/>
                <w:szCs w:val="18"/>
              </w:rPr>
              <w:t>力工程设计服务</w:t>
            </w:r>
            <w:r>
              <w:rPr>
                <w:rFonts w:ascii="宋体" w:hAnsi="宋体" w:cs="宋体" w:eastAsia="宋体" w:hint="default"/>
                <w:spacing w:val="-1"/>
                <w:sz w:val="18"/>
                <w:szCs w:val="18"/>
              </w:rPr>
              <w:t>;</w:t>
            </w:r>
            <w:r>
              <w:rPr>
                <w:rFonts w:ascii="宋体" w:hAnsi="宋体" w:cs="宋体" w:eastAsia="宋体" w:hint="default"/>
                <w:spacing w:val="-1"/>
                <w:sz w:val="18"/>
                <w:szCs w:val="18"/>
              </w:rPr>
              <w:t>计算机技术开发、技术服务</w:t>
            </w:r>
            <w:r>
              <w:rPr>
                <w:rFonts w:ascii="宋体" w:hAnsi="宋体" w:cs="宋体" w:eastAsia="宋体" w:hint="default"/>
                <w:spacing w:val="-1"/>
                <w:sz w:val="18"/>
                <w:szCs w:val="18"/>
              </w:rPr>
              <w:t>;</w:t>
            </w:r>
            <w:r>
              <w:rPr>
                <w:rFonts w:ascii="宋体" w:hAnsi="宋体" w:cs="宋体" w:eastAsia="宋体" w:hint="default"/>
                <w:spacing w:val="-1"/>
                <w:sz w:val="18"/>
                <w:szCs w:val="18"/>
              </w:rPr>
              <w:t>信息系统集成服务</w:t>
            </w:r>
            <w:r>
              <w:rPr>
                <w:rFonts w:ascii="宋体" w:hAnsi="宋体" w:cs="宋体" w:eastAsia="宋体" w:hint="default"/>
                <w:spacing w:val="-1"/>
                <w:sz w:val="18"/>
                <w:szCs w:val="18"/>
              </w:rPr>
              <w:t>;</w:t>
            </w:r>
            <w:r>
              <w:rPr>
                <w:rFonts w:ascii="宋体" w:hAnsi="宋体" w:cs="宋体" w:eastAsia="宋体" w:hint="default"/>
                <w:spacing w:val="-1"/>
                <w:sz w:val="18"/>
                <w:szCs w:val="18"/>
              </w:rPr>
              <w:t>能</w:t>
            </w:r>
            <w:r>
              <w:rPr>
                <w:rFonts w:ascii="宋体" w:hAnsi="宋体" w:cs="宋体" w:eastAsia="宋体" w:hint="default"/>
                <w:spacing w:val="-73"/>
                <w:sz w:val="18"/>
                <w:szCs w:val="18"/>
              </w:rPr>
              <w:t> </w:t>
            </w:r>
            <w:r>
              <w:rPr>
                <w:rFonts w:ascii="宋体" w:hAnsi="宋体" w:cs="宋体" w:eastAsia="宋体" w:hint="default"/>
                <w:sz w:val="18"/>
                <w:szCs w:val="18"/>
              </w:rPr>
              <w:t>源技术咨询服务</w:t>
            </w:r>
            <w:r>
              <w:rPr>
                <w:rFonts w:ascii="宋体" w:hAnsi="宋体" w:cs="宋体" w:eastAsia="宋体" w:hint="default"/>
                <w:sz w:val="18"/>
                <w:szCs w:val="18"/>
              </w:rPr>
              <w:t>;</w:t>
            </w:r>
            <w:r>
              <w:rPr>
                <w:rFonts w:ascii="宋体" w:hAnsi="宋体" w:cs="宋体" w:eastAsia="宋体" w:hint="default"/>
                <w:sz w:val="18"/>
                <w:szCs w:val="18"/>
              </w:rPr>
              <w:t>工程技术咨询服务等</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9,995,486.43</w:t>
            </w:r>
            <w:r>
              <w:rPr>
                <w:rFonts w:ascii="Times New Roman"/>
                <w:sz w:val="20"/>
              </w:rPr>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5"/>
                <w:sz w:val="20"/>
              </w:rPr>
              <w:t>-32,801,820.02</w:t>
            </w:r>
            <w:r>
              <w:rPr>
                <w:rFonts w:ascii="Times New Roman"/>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5"/>
                <w:sz w:val="20"/>
              </w:rPr>
              <w:t>-32,932,333,73</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w w:val="95"/>
                <w:sz w:val="20"/>
              </w:rPr>
              <w:t>-21.84</w:t>
            </w:r>
            <w:r>
              <w:rPr>
                <w:rFonts w:ascii="Times New Roman"/>
                <w:sz w:val="20"/>
              </w:rPr>
            </w:r>
          </w:p>
        </w:tc>
      </w:tr>
    </w:tbl>
    <w:p>
      <w:pPr>
        <w:spacing w:line="240" w:lineRule="auto" w:before="2"/>
        <w:rPr>
          <w:rFonts w:ascii="宋体" w:hAnsi="宋体" w:cs="宋体" w:eastAsia="宋体" w:hint="default"/>
          <w:sz w:val="13"/>
          <w:szCs w:val="13"/>
        </w:rPr>
      </w:pPr>
    </w:p>
    <w:p>
      <w:pPr>
        <w:pStyle w:val="BodyText"/>
        <w:spacing w:line="240" w:lineRule="auto" w:before="36"/>
        <w:ind w:left="324" w:right="0"/>
        <w:jc w:val="left"/>
      </w:pPr>
      <w:r>
        <w:rPr>
          <w:rFonts w:ascii="Times New Roman" w:hAnsi="Times New Roman" w:cs="Times New Roman" w:eastAsia="Times New Roman" w:hint="default"/>
          <w:spacing w:val="-2"/>
        </w:rPr>
        <w:t>3</w:t>
      </w:r>
      <w:r>
        <w:rPr>
          <w:spacing w:val="-2"/>
        </w:rPr>
        <w:t>、报告期内子公司业绩波动较上年同期超过</w:t>
      </w:r>
      <w:r>
        <w:rPr>
          <w:spacing w:val="25"/>
        </w:rPr>
        <w:t> </w:t>
      </w:r>
      <w:r>
        <w:rPr>
          <w:rFonts w:ascii="Times New Roman" w:hAnsi="Times New Roman" w:cs="Times New Roman" w:eastAsia="Times New Roman" w:hint="default"/>
          <w:spacing w:val="-2"/>
        </w:rPr>
        <w:t>30%</w:t>
      </w:r>
      <w:r>
        <w:rPr>
          <w:spacing w:val="-2"/>
        </w:rPr>
        <w:t>，且对合并经营业绩造成重大影响的明细：</w:t>
      </w:r>
    </w:p>
    <w:tbl>
      <w:tblPr>
        <w:tblW w:w="0" w:type="auto"/>
        <w:jc w:val="left"/>
        <w:tblInd w:w="110" w:type="dxa"/>
        <w:tblLayout w:type="fixed"/>
        <w:tblCellMar>
          <w:top w:w="0" w:type="dxa"/>
          <w:left w:w="0" w:type="dxa"/>
          <w:bottom w:w="0" w:type="dxa"/>
          <w:right w:w="0" w:type="dxa"/>
        </w:tblCellMar>
        <w:tblLook w:val="01E0"/>
      </w:tblPr>
      <w:tblGrid>
        <w:gridCol w:w="2384"/>
        <w:gridCol w:w="1616"/>
        <w:gridCol w:w="1666"/>
        <w:gridCol w:w="994"/>
        <w:gridCol w:w="1560"/>
        <w:gridCol w:w="1558"/>
        <w:gridCol w:w="852"/>
        <w:gridCol w:w="3663"/>
      </w:tblGrid>
      <w:tr>
        <w:trPr>
          <w:trHeight w:val="283" w:hRule="exact"/>
        </w:trPr>
        <w:tc>
          <w:tcPr>
            <w:tcW w:w="2384" w:type="dxa"/>
            <w:vMerge w:val="restart"/>
            <w:tcBorders>
              <w:top w:val="single" w:sz="4" w:space="0" w:color="000000"/>
              <w:left w:val="single" w:sz="4" w:space="0" w:color="000000"/>
              <w:right w:val="single" w:sz="4" w:space="0" w:color="000000"/>
            </w:tcBorders>
          </w:tcPr>
          <w:p>
            <w:pPr>
              <w:pStyle w:val="TableParagraph"/>
              <w:spacing w:line="240" w:lineRule="auto" w:before="107"/>
              <w:ind w:left="766" w:right="0"/>
              <w:jc w:val="left"/>
              <w:rPr>
                <w:rFonts w:ascii="宋体" w:hAnsi="宋体" w:cs="宋体" w:eastAsia="宋体" w:hint="default"/>
                <w:sz w:val="21"/>
                <w:szCs w:val="21"/>
              </w:rPr>
            </w:pPr>
            <w:r>
              <w:rPr>
                <w:rFonts w:ascii="宋体" w:hAnsi="宋体" w:cs="宋体" w:eastAsia="宋体" w:hint="default"/>
                <w:sz w:val="21"/>
                <w:szCs w:val="21"/>
              </w:rPr>
              <w:t>公司名称</w:t>
            </w:r>
            <w:r>
              <w:rPr>
                <w:rFonts w:ascii="宋体" w:hAnsi="宋体" w:cs="宋体" w:eastAsia="宋体" w:hint="default"/>
                <w:sz w:val="21"/>
                <w:szCs w:val="21"/>
              </w:rPr>
              <w:t> </w:t>
            </w:r>
          </w:p>
        </w:tc>
        <w:tc>
          <w:tcPr>
            <w:tcW w:w="32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994" w:type="dxa"/>
            <w:vMerge w:val="restart"/>
            <w:tcBorders>
              <w:top w:val="single" w:sz="4" w:space="0" w:color="000000"/>
              <w:left w:val="single" w:sz="4" w:space="0" w:color="000000"/>
              <w:right w:val="single" w:sz="4" w:space="0" w:color="000000"/>
            </w:tcBorders>
          </w:tcPr>
          <w:p>
            <w:pPr>
              <w:pStyle w:val="TableParagraph"/>
              <w:spacing w:line="272" w:lineRule="exact" w:before="1"/>
              <w:ind w:left="230" w:right="120" w:hanging="53"/>
              <w:jc w:val="left"/>
              <w:rPr>
                <w:rFonts w:ascii="宋体" w:hAnsi="宋体" w:cs="宋体" w:eastAsia="宋体" w:hint="default"/>
                <w:sz w:val="21"/>
                <w:szCs w:val="21"/>
              </w:rPr>
            </w:pPr>
            <w:r>
              <w:rPr>
                <w:rFonts w:ascii="宋体" w:hAnsi="宋体" w:cs="宋体" w:eastAsia="宋体" w:hint="default"/>
                <w:sz w:val="21"/>
                <w:szCs w:val="21"/>
              </w:rPr>
              <w:t>增减幅</w:t>
            </w:r>
            <w:r>
              <w:rPr>
                <w:rFonts w:ascii="宋体" w:hAnsi="宋体" w:cs="宋体" w:eastAsia="宋体" w:hint="default"/>
                <w:spacing w:val="-102"/>
                <w:sz w:val="21"/>
                <w:szCs w:val="21"/>
              </w:rPr>
              <w:t> </w:t>
            </w:r>
            <w:r>
              <w:rPr>
                <w:rFonts w:ascii="宋体" w:hAnsi="宋体" w:cs="宋体" w:eastAsia="宋体" w:hint="default"/>
                <w:sz w:val="21"/>
                <w:szCs w:val="21"/>
              </w:rPr>
              <w:t>度</w:t>
            </w:r>
            <w:r>
              <w:rPr>
                <w:rFonts w:ascii="宋体" w:hAnsi="宋体" w:cs="宋体" w:eastAsia="宋体" w:hint="default"/>
                <w:sz w:val="21"/>
                <w:szCs w:val="21"/>
              </w:rPr>
              <w:t>(%) </w:t>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852" w:type="dxa"/>
            <w:vMerge w:val="restart"/>
            <w:tcBorders>
              <w:top w:val="single" w:sz="4" w:space="0" w:color="000000"/>
              <w:left w:val="single" w:sz="4" w:space="0" w:color="000000"/>
              <w:right w:val="single" w:sz="4" w:space="0" w:color="000000"/>
            </w:tcBorders>
          </w:tcPr>
          <w:p>
            <w:pPr>
              <w:pStyle w:val="TableParagraph"/>
              <w:spacing w:line="272" w:lineRule="exact" w:before="1"/>
              <w:ind w:left="160" w:right="48" w:hanging="53"/>
              <w:jc w:val="left"/>
              <w:rPr>
                <w:rFonts w:ascii="宋体" w:hAnsi="宋体" w:cs="宋体" w:eastAsia="宋体" w:hint="default"/>
                <w:sz w:val="21"/>
                <w:szCs w:val="21"/>
              </w:rPr>
            </w:pPr>
            <w:r>
              <w:rPr>
                <w:rFonts w:ascii="宋体" w:hAnsi="宋体" w:cs="宋体" w:eastAsia="宋体" w:hint="default"/>
                <w:sz w:val="21"/>
                <w:szCs w:val="21"/>
              </w:rPr>
              <w:t>增减幅</w:t>
            </w:r>
            <w:r>
              <w:rPr>
                <w:rFonts w:ascii="宋体" w:hAnsi="宋体" w:cs="宋体" w:eastAsia="宋体" w:hint="default"/>
                <w:spacing w:val="-102"/>
                <w:sz w:val="21"/>
                <w:szCs w:val="21"/>
              </w:rPr>
              <w:t> </w:t>
            </w:r>
            <w:r>
              <w:rPr>
                <w:rFonts w:ascii="宋体" w:hAnsi="宋体" w:cs="宋体" w:eastAsia="宋体" w:hint="default"/>
                <w:sz w:val="21"/>
                <w:szCs w:val="21"/>
              </w:rPr>
              <w:t>度</w:t>
            </w:r>
            <w:r>
              <w:rPr>
                <w:rFonts w:ascii="宋体" w:hAnsi="宋体" w:cs="宋体" w:eastAsia="宋体" w:hint="default"/>
                <w:sz w:val="21"/>
                <w:szCs w:val="21"/>
              </w:rPr>
              <w:t>(%) </w:t>
            </w:r>
          </w:p>
        </w:tc>
        <w:tc>
          <w:tcPr>
            <w:tcW w:w="3663"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center"/>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283" w:hRule="exact"/>
        </w:trPr>
        <w:tc>
          <w:tcPr>
            <w:tcW w:w="2384" w:type="dxa"/>
            <w:vMerge/>
            <w:tcBorders>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994"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852" w:type="dxa"/>
            <w:vMerge/>
            <w:tcBorders>
              <w:left w:val="single" w:sz="4" w:space="0" w:color="000000"/>
              <w:bottom w:val="single" w:sz="4" w:space="0" w:color="000000"/>
              <w:right w:val="single" w:sz="4" w:space="0" w:color="000000"/>
            </w:tcBorders>
          </w:tcPr>
          <w:p>
            <w:pPr/>
          </w:p>
        </w:tc>
        <w:tc>
          <w:tcPr>
            <w:tcW w:w="3663" w:type="dxa"/>
            <w:vMerge/>
            <w:tcBorders>
              <w:left w:val="single" w:sz="4" w:space="0" w:color="000000"/>
              <w:bottom w:val="single" w:sz="4" w:space="0" w:color="000000"/>
              <w:right w:val="single" w:sz="4" w:space="0" w:color="000000"/>
            </w:tcBorders>
          </w:tcPr>
          <w:p>
            <w:pPr/>
          </w:p>
        </w:tc>
      </w:tr>
      <w:tr>
        <w:trPr>
          <w:trHeight w:val="624" w:hRule="exact"/>
        </w:trPr>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0"/>
              <w:ind w:left="103" w:right="166"/>
              <w:jc w:val="left"/>
              <w:rPr>
                <w:rFonts w:ascii="宋体" w:hAnsi="宋体" w:cs="宋体" w:eastAsia="宋体" w:hint="default"/>
                <w:sz w:val="21"/>
                <w:szCs w:val="21"/>
              </w:rPr>
            </w:pPr>
            <w:r>
              <w:rPr>
                <w:rFonts w:ascii="宋体" w:hAnsi="宋体" w:cs="宋体" w:eastAsia="宋体" w:hint="default"/>
                <w:spacing w:val="-2"/>
                <w:sz w:val="21"/>
                <w:szCs w:val="21"/>
              </w:rPr>
              <w:t>江西泰豪军工集团有限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1,142,141,074.41</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spacing w:val="-1"/>
                <w:sz w:val="20"/>
              </w:rPr>
              <w:t>1,077,859,257.15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z w:val="20"/>
              </w:rPr>
              <w:t>5.96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5"/>
                <w:sz w:val="20"/>
              </w:rPr>
              <w:t>194,143,444.79</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96" w:right="0"/>
              <w:jc w:val="center"/>
              <w:rPr>
                <w:rFonts w:ascii="Times New Roman" w:hAnsi="Times New Roman" w:cs="Times New Roman" w:eastAsia="Times New Roman" w:hint="default"/>
                <w:sz w:val="20"/>
                <w:szCs w:val="20"/>
              </w:rPr>
            </w:pPr>
            <w:r>
              <w:rPr>
                <w:rFonts w:ascii="Times New Roman"/>
                <w:sz w:val="20"/>
              </w:rPr>
              <w:t>67,635,914.92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w w:val="95"/>
                <w:sz w:val="20"/>
              </w:rPr>
              <w:t>187.04</w:t>
            </w:r>
            <w:r>
              <w:rPr>
                <w:rFonts w:ascii="Times New Roman"/>
                <w:sz w:val="20"/>
              </w:rPr>
            </w:r>
          </w:p>
        </w:tc>
        <w:tc>
          <w:tcPr>
            <w:tcW w:w="366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0"/>
              <w:ind w:left="103" w:right="182"/>
              <w:jc w:val="left"/>
              <w:rPr>
                <w:rFonts w:ascii="宋体" w:hAnsi="宋体" w:cs="宋体" w:eastAsia="宋体" w:hint="default"/>
                <w:sz w:val="21"/>
                <w:szCs w:val="21"/>
              </w:rPr>
            </w:pPr>
            <w:r>
              <w:rPr>
                <w:rFonts w:ascii="宋体" w:hAnsi="宋体" w:cs="宋体" w:eastAsia="宋体" w:hint="default"/>
                <w:spacing w:val="-2"/>
                <w:sz w:val="21"/>
                <w:szCs w:val="21"/>
              </w:rPr>
              <w:t>“军改”后市场恢复导致收入增长、</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股权处置导致利润增长</w:t>
            </w:r>
            <w:r>
              <w:rPr>
                <w:rFonts w:ascii="宋体" w:hAnsi="宋体" w:cs="宋体" w:eastAsia="宋体" w:hint="default"/>
                <w:sz w:val="21"/>
                <w:szCs w:val="21"/>
              </w:rPr>
              <w:t> </w:t>
            </w:r>
          </w:p>
        </w:tc>
      </w:tr>
      <w:tr>
        <w:trPr>
          <w:trHeight w:val="557" w:hRule="exact"/>
        </w:trPr>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上海红生系统工程有限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w w:val="95"/>
                <w:sz w:val="20"/>
              </w:rPr>
              <w:t>116,676,751.31</w:t>
            </w:r>
            <w:r>
              <w:rPr>
                <w:rFonts w:ascii="Times New Roman"/>
                <w:sz w:val="20"/>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9"/>
              <w:jc w:val="right"/>
              <w:rPr>
                <w:rFonts w:ascii="Times New Roman" w:hAnsi="Times New Roman" w:cs="Times New Roman" w:eastAsia="Times New Roman" w:hint="default"/>
                <w:sz w:val="20"/>
                <w:szCs w:val="20"/>
              </w:rPr>
            </w:pPr>
            <w:r>
              <w:rPr>
                <w:rFonts w:ascii="Times New Roman"/>
                <w:w w:val="95"/>
                <w:sz w:val="20"/>
              </w:rPr>
              <w:t>84,430,265.28</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20"/>
                <w:szCs w:val="20"/>
              </w:rPr>
            </w:pPr>
            <w:r>
              <w:rPr>
                <w:rFonts w:ascii="Times New Roman"/>
                <w:sz w:val="20"/>
              </w:rPr>
              <w:t>38.19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w w:val="95"/>
                <w:sz w:val="20"/>
              </w:rPr>
              <w:t>60,053,421.57</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96" w:right="0"/>
              <w:jc w:val="center"/>
              <w:rPr>
                <w:rFonts w:ascii="Times New Roman" w:hAnsi="Times New Roman" w:cs="Times New Roman" w:eastAsia="Times New Roman" w:hint="default"/>
                <w:sz w:val="20"/>
                <w:szCs w:val="20"/>
              </w:rPr>
            </w:pPr>
            <w:r>
              <w:rPr>
                <w:rFonts w:ascii="Times New Roman"/>
                <w:sz w:val="20"/>
              </w:rPr>
              <w:t>51,172,340.74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20"/>
                <w:szCs w:val="20"/>
              </w:rPr>
            </w:pPr>
            <w:r>
              <w:rPr>
                <w:rFonts w:ascii="Times New Roman"/>
                <w:sz w:val="20"/>
              </w:rPr>
              <w:t>17.36</w:t>
            </w:r>
          </w:p>
        </w:tc>
        <w:tc>
          <w:tcPr>
            <w:tcW w:w="3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订单交付量增加</w:t>
            </w:r>
            <w:r>
              <w:rPr>
                <w:rFonts w:ascii="宋体" w:hAnsi="宋体" w:cs="宋体" w:eastAsia="宋体" w:hint="default"/>
                <w:sz w:val="21"/>
                <w:szCs w:val="21"/>
              </w:rPr>
              <w:t> </w:t>
            </w:r>
          </w:p>
        </w:tc>
      </w:tr>
      <w:tr>
        <w:trPr>
          <w:trHeight w:val="1243" w:hRule="exact"/>
        </w:trPr>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62"/>
              <w:jc w:val="right"/>
              <w:rPr>
                <w:rFonts w:ascii="宋体" w:hAnsi="宋体" w:cs="宋体" w:eastAsia="宋体" w:hint="default"/>
                <w:sz w:val="21"/>
                <w:szCs w:val="21"/>
              </w:rPr>
            </w:pPr>
            <w:r>
              <w:rPr>
                <w:rFonts w:ascii="宋体" w:hAnsi="宋体" w:cs="宋体" w:eastAsia="宋体" w:hint="default"/>
                <w:spacing w:val="-2"/>
                <w:sz w:val="21"/>
                <w:szCs w:val="21"/>
              </w:rPr>
              <w:t>泰豪电源技术有限公司</w:t>
            </w:r>
            <w:r>
              <w:rPr>
                <w:rFonts w:ascii="宋体" w:hAnsi="宋体" w:cs="宋体" w:eastAsia="宋体" w:hint="default"/>
                <w:sz w:val="21"/>
                <w:szCs w:val="21"/>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1,948,161,288.13</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spacing w:val="-1"/>
                <w:sz w:val="20"/>
              </w:rPr>
              <w:t>1,403,361,664.19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z w:val="20"/>
              </w:rPr>
              <w:t>38.82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5"/>
                <w:sz w:val="20"/>
              </w:rPr>
              <w:t>45,695,247.98</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96" w:right="0"/>
              <w:jc w:val="center"/>
              <w:rPr>
                <w:rFonts w:ascii="Times New Roman" w:hAnsi="Times New Roman" w:cs="Times New Roman" w:eastAsia="Times New Roman" w:hint="default"/>
                <w:sz w:val="20"/>
                <w:szCs w:val="20"/>
              </w:rPr>
            </w:pPr>
            <w:r>
              <w:rPr>
                <w:rFonts w:ascii="Times New Roman"/>
                <w:sz w:val="20"/>
              </w:rPr>
              <w:t>51,618,316.13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w w:val="95"/>
                <w:sz w:val="20"/>
              </w:rPr>
              <w:t>-11.47</w:t>
            </w:r>
            <w:r>
              <w:rPr>
                <w:rFonts w:ascii="Times New Roman"/>
                <w:sz w:val="20"/>
              </w:rPr>
            </w:r>
          </w:p>
        </w:tc>
        <w:tc>
          <w:tcPr>
            <w:tcW w:w="366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0"/>
              <w:ind w:left="103" w:right="182"/>
              <w:jc w:val="both"/>
              <w:rPr>
                <w:rFonts w:ascii="宋体" w:hAnsi="宋体" w:cs="宋体" w:eastAsia="宋体" w:hint="default"/>
                <w:sz w:val="21"/>
                <w:szCs w:val="21"/>
              </w:rPr>
            </w:pPr>
            <w:r>
              <w:rPr>
                <w:rFonts w:ascii="宋体" w:hAnsi="宋体" w:cs="宋体" w:eastAsia="宋体" w:hint="default"/>
                <w:spacing w:val="-2"/>
                <w:sz w:val="21"/>
                <w:szCs w:val="21"/>
              </w:rPr>
              <w:t>合并增加深圳电力导致收入增加，按</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新金融准则以预期损失率计提坏账增</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2"/>
                <w:sz w:val="21"/>
                <w:szCs w:val="21"/>
              </w:rPr>
              <w:t>加以及新增贷款计提财务费用增长导</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致利润下降</w:t>
            </w:r>
            <w:r>
              <w:rPr>
                <w:rFonts w:ascii="宋体" w:hAnsi="宋体" w:cs="宋体" w:eastAsia="宋体" w:hint="default"/>
                <w:sz w:val="21"/>
                <w:szCs w:val="21"/>
              </w:rPr>
              <w:t> </w:t>
            </w:r>
          </w:p>
        </w:tc>
      </w:tr>
      <w:tr>
        <w:trPr>
          <w:trHeight w:val="826" w:hRule="exact"/>
        </w:trPr>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62"/>
              <w:jc w:val="right"/>
              <w:rPr>
                <w:rFonts w:ascii="宋体" w:hAnsi="宋体" w:cs="宋体" w:eastAsia="宋体" w:hint="default"/>
                <w:sz w:val="21"/>
                <w:szCs w:val="21"/>
              </w:rPr>
            </w:pPr>
            <w:r>
              <w:rPr>
                <w:rFonts w:ascii="宋体" w:hAnsi="宋体" w:cs="宋体" w:eastAsia="宋体" w:hint="default"/>
                <w:spacing w:val="-2"/>
                <w:sz w:val="21"/>
                <w:szCs w:val="21"/>
              </w:rPr>
              <w:t>泰豪国际投资有限公司</w:t>
            </w:r>
            <w:r>
              <w:rPr>
                <w:rFonts w:ascii="宋体" w:hAnsi="宋体" w:cs="宋体" w:eastAsia="宋体" w:hint="default"/>
                <w:sz w:val="21"/>
                <w:szCs w:val="21"/>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5"/>
                <w:sz w:val="20"/>
              </w:rPr>
              <w:t>132,239,245.46</w:t>
            </w:r>
            <w:r>
              <w:rPr>
                <w:rFonts w:ascii="Times New Roman"/>
                <w:sz w:val="20"/>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5"/>
                <w:sz w:val="20"/>
              </w:rPr>
              <w:t>726,396,969.04</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w w:val="95"/>
                <w:sz w:val="20"/>
              </w:rPr>
              <w:t>-81.80</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5"/>
                <w:sz w:val="20"/>
              </w:rPr>
              <w:t>24,324,551.25</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96" w:right="0"/>
              <w:jc w:val="center"/>
              <w:rPr>
                <w:rFonts w:ascii="Times New Roman" w:hAnsi="Times New Roman" w:cs="Times New Roman" w:eastAsia="Times New Roman" w:hint="default"/>
                <w:sz w:val="20"/>
                <w:szCs w:val="20"/>
              </w:rPr>
            </w:pPr>
            <w:r>
              <w:rPr>
                <w:rFonts w:ascii="Times New Roman"/>
                <w:sz w:val="20"/>
              </w:rPr>
              <w:t>20,661,045.51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z w:val="20"/>
              </w:rPr>
              <w:t>17.73</w:t>
            </w:r>
          </w:p>
        </w:tc>
        <w:tc>
          <w:tcPr>
            <w:tcW w:w="36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盈利能力较弱、回款周期长的业务收</w:t>
            </w:r>
          </w:p>
          <w:p>
            <w:pPr>
              <w:pStyle w:val="TableParagraph"/>
              <w:spacing w:line="240" w:lineRule="auto"/>
              <w:ind w:left="103" w:right="182"/>
              <w:jc w:val="left"/>
              <w:rPr>
                <w:rFonts w:ascii="宋体" w:hAnsi="宋体" w:cs="宋体" w:eastAsia="宋体" w:hint="default"/>
                <w:sz w:val="21"/>
                <w:szCs w:val="21"/>
              </w:rPr>
            </w:pPr>
            <w:r>
              <w:rPr>
                <w:rFonts w:ascii="宋体" w:hAnsi="宋体" w:cs="宋体" w:eastAsia="宋体" w:hint="default"/>
                <w:spacing w:val="-2"/>
                <w:sz w:val="21"/>
                <w:szCs w:val="21"/>
              </w:rPr>
              <w:t>缩导致收入下降，收回货款冲回坏账</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准备导致利润增长</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pgSz w:w="16840" w:h="11910" w:orient="landscape"/>
          <w:pgMar w:header="880" w:footer="1195" w:top="1120" w:bottom="1380" w:left="1200" w:right="1120"/>
        </w:sectPr>
      </w:pPr>
    </w:p>
    <w:p>
      <w:pPr>
        <w:spacing w:line="240" w:lineRule="auto" w:before="5"/>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2384"/>
        <w:gridCol w:w="1616"/>
        <w:gridCol w:w="1666"/>
        <w:gridCol w:w="994"/>
        <w:gridCol w:w="1560"/>
        <w:gridCol w:w="1558"/>
        <w:gridCol w:w="852"/>
        <w:gridCol w:w="3663"/>
      </w:tblGrid>
      <w:tr>
        <w:trPr>
          <w:trHeight w:val="1236" w:hRule="exact"/>
        </w:trPr>
        <w:tc>
          <w:tcPr>
            <w:tcW w:w="2384"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泰豪软件股份有限公司</w:t>
            </w:r>
            <w:r>
              <w:rPr>
                <w:rFonts w:ascii="宋体" w:hAnsi="宋体" w:cs="宋体" w:eastAsia="宋体" w:hint="default"/>
                <w:sz w:val="21"/>
                <w:szCs w:val="21"/>
              </w:rPr>
              <w:t> </w:t>
            </w:r>
          </w:p>
        </w:tc>
        <w:tc>
          <w:tcPr>
            <w:tcW w:w="161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5"/>
                <w:sz w:val="20"/>
              </w:rPr>
              <w:t>591,571,766.81</w:t>
            </w:r>
            <w:r>
              <w:rPr>
                <w:rFonts w:ascii="Times New Roman"/>
                <w:sz w:val="20"/>
              </w:rPr>
            </w:r>
          </w:p>
        </w:tc>
        <w:tc>
          <w:tcPr>
            <w:tcW w:w="166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5"/>
                <w:sz w:val="20"/>
              </w:rPr>
              <w:t>859,450,022.29</w:t>
            </w:r>
            <w:r>
              <w:rPr>
                <w:rFonts w:ascii="Times New Roman"/>
                <w:sz w:val="20"/>
              </w:rPr>
            </w:r>
          </w:p>
        </w:tc>
        <w:tc>
          <w:tcPr>
            <w:tcW w:w="994"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w w:val="95"/>
                <w:sz w:val="20"/>
              </w:rPr>
              <w:t>-31.17</w:t>
            </w:r>
            <w:r>
              <w:rPr>
                <w:rFonts w:ascii="Times New Roman"/>
                <w:sz w:val="20"/>
              </w:rPr>
            </w: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5"/>
                <w:sz w:val="20"/>
              </w:rPr>
              <w:t>82,943,360.61</w:t>
            </w:r>
            <w:r>
              <w:rPr>
                <w:rFonts w:ascii="Times New Roman"/>
                <w:sz w:val="20"/>
              </w:rPr>
            </w:r>
          </w:p>
        </w:tc>
        <w:tc>
          <w:tcPr>
            <w:tcW w:w="155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5"/>
                <w:sz w:val="20"/>
              </w:rPr>
              <w:t>41,650,151.56</w:t>
            </w:r>
            <w:r>
              <w:rPr>
                <w:rFonts w:ascii="Times New Roman"/>
                <w:sz w:val="20"/>
              </w:rPr>
            </w:r>
          </w:p>
        </w:tc>
        <w:tc>
          <w:tcPr>
            <w:tcW w:w="852"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z w:val="20"/>
              </w:rPr>
              <w:t>99.14</w:t>
            </w:r>
          </w:p>
        </w:tc>
        <w:tc>
          <w:tcPr>
            <w:tcW w:w="3663" w:type="dxa"/>
            <w:tcBorders>
              <w:top w:val="nil" w:sz="6" w:space="0" w:color="auto"/>
              <w:left w:val="single" w:sz="4" w:space="0" w:color="000000"/>
              <w:bottom w:val="single" w:sz="4" w:space="0" w:color="000000"/>
              <w:right w:val="single" w:sz="4" w:space="0" w:color="000000"/>
            </w:tcBorders>
          </w:tcPr>
          <w:p>
            <w:pPr>
              <w:pStyle w:val="TableParagraph"/>
              <w:spacing w:line="237" w:lineRule="auto" w:before="41"/>
              <w:ind w:left="103" w:right="182"/>
              <w:jc w:val="both"/>
              <w:rPr>
                <w:rFonts w:ascii="宋体" w:hAnsi="宋体" w:cs="宋体" w:eastAsia="宋体" w:hint="default"/>
                <w:sz w:val="21"/>
                <w:szCs w:val="21"/>
              </w:rPr>
            </w:pPr>
            <w:r>
              <w:rPr>
                <w:rFonts w:ascii="宋体" w:hAnsi="宋体" w:cs="宋体" w:eastAsia="宋体" w:hint="default"/>
                <w:spacing w:val="-2"/>
                <w:sz w:val="21"/>
                <w:szCs w:val="21"/>
              </w:rPr>
              <w:t>合并减少深圳电力导致收入下降，软</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件业务结构性优化，其中软件产品和</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服务毛利率较高的收入占比增加，导</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致利润增长</w:t>
            </w:r>
            <w:r>
              <w:rPr>
                <w:rFonts w:ascii="宋体" w:hAnsi="宋体" w:cs="宋体" w:eastAsia="宋体" w:hint="default"/>
                <w:sz w:val="21"/>
                <w:szCs w:val="21"/>
              </w:rPr>
              <w:t> </w:t>
            </w:r>
          </w:p>
        </w:tc>
      </w:tr>
      <w:tr>
        <w:trPr>
          <w:trHeight w:val="557" w:hRule="exact"/>
        </w:trPr>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上海博辕信息技术服务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w w:val="95"/>
                <w:sz w:val="20"/>
              </w:rPr>
              <w:t>494,728,874.91</w:t>
            </w:r>
            <w:r>
              <w:rPr>
                <w:rFonts w:ascii="Times New Roman"/>
                <w:sz w:val="20"/>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9"/>
              <w:jc w:val="right"/>
              <w:rPr>
                <w:rFonts w:ascii="Times New Roman" w:hAnsi="Times New Roman" w:cs="Times New Roman" w:eastAsia="Times New Roman" w:hint="default"/>
                <w:sz w:val="20"/>
                <w:szCs w:val="20"/>
              </w:rPr>
            </w:pPr>
            <w:r>
              <w:rPr>
                <w:rFonts w:ascii="Times New Roman"/>
                <w:w w:val="95"/>
                <w:sz w:val="20"/>
              </w:rPr>
              <w:t>699,595,343.80</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20"/>
                <w:szCs w:val="20"/>
              </w:rPr>
            </w:pPr>
            <w:r>
              <w:rPr>
                <w:rFonts w:ascii="Times New Roman"/>
                <w:w w:val="95"/>
                <w:sz w:val="20"/>
              </w:rPr>
              <w:t>-29.28</w:t>
            </w:r>
            <w:r>
              <w:rPr>
                <w:rFonts w:asci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w w:val="95"/>
                <w:sz w:val="20"/>
              </w:rPr>
              <w:t>90,980,460.04</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9"/>
              <w:jc w:val="right"/>
              <w:rPr>
                <w:rFonts w:ascii="Times New Roman" w:hAnsi="Times New Roman" w:cs="Times New Roman" w:eastAsia="Times New Roman" w:hint="default"/>
                <w:sz w:val="20"/>
                <w:szCs w:val="20"/>
              </w:rPr>
            </w:pPr>
            <w:r>
              <w:rPr>
                <w:rFonts w:ascii="Times New Roman"/>
                <w:w w:val="95"/>
                <w:sz w:val="20"/>
              </w:rPr>
              <w:t>106,072,261.24</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20"/>
                <w:szCs w:val="20"/>
              </w:rPr>
            </w:pPr>
            <w:r>
              <w:rPr>
                <w:rFonts w:ascii="Times New Roman"/>
                <w:w w:val="95"/>
                <w:sz w:val="20"/>
              </w:rPr>
              <w:t>-14.23</w:t>
            </w:r>
            <w:r>
              <w:rPr>
                <w:rFonts w:ascii="Times New Roman"/>
                <w:sz w:val="20"/>
              </w:rPr>
            </w:r>
          </w:p>
        </w:tc>
        <w:tc>
          <w:tcPr>
            <w:tcW w:w="3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业务转型导致收入、利润下降</w:t>
            </w:r>
            <w:r>
              <w:rPr>
                <w:rFonts w:ascii="宋体" w:hAnsi="宋体" w:cs="宋体" w:eastAsia="宋体" w:hint="default"/>
                <w:sz w:val="21"/>
                <w:szCs w:val="21"/>
              </w:rPr>
              <w:t> </w:t>
            </w:r>
          </w:p>
        </w:tc>
      </w:tr>
    </w:tbl>
    <w:p>
      <w:pPr>
        <w:spacing w:line="240" w:lineRule="auto" w:before="7"/>
        <w:rPr>
          <w:rFonts w:ascii="宋体" w:hAnsi="宋体" w:cs="宋体" w:eastAsia="宋体" w:hint="default"/>
          <w:sz w:val="17"/>
          <w:szCs w:val="17"/>
        </w:rPr>
      </w:pPr>
    </w:p>
    <w:p>
      <w:pPr>
        <w:pStyle w:val="Heading5"/>
        <w:spacing w:line="240" w:lineRule="auto" w:before="36"/>
        <w:ind w:left="324" w:right="0"/>
        <w:jc w:val="left"/>
        <w:rPr>
          <w:b w:val="0"/>
          <w:bCs w:val="0"/>
        </w:rPr>
      </w:pPr>
      <w:r>
        <w:rPr>
          <w:rFonts w:ascii="宋体" w:hAnsi="宋体" w:cs="宋体" w:eastAsia="宋体" w:hint="default"/>
        </w:rPr>
        <w:t>(</w:t>
      </w:r>
      <w:r>
        <w:rPr/>
        <w:t>八</w:t>
      </w:r>
      <w:r>
        <w:rPr>
          <w:rFonts w:ascii="宋体" w:hAnsi="宋体" w:cs="宋体" w:eastAsia="宋体" w:hint="default"/>
        </w:rPr>
        <w:t>)</w:t>
      </w:r>
      <w:r>
        <w:rPr>
          <w:rFonts w:ascii="宋体" w:hAnsi="宋体" w:cs="宋体" w:eastAsia="宋体" w:hint="default"/>
          <w:spacing w:val="-51"/>
        </w:rPr>
        <w:t> </w:t>
      </w:r>
      <w:r>
        <w:rPr/>
        <w:t>公司控制的结构化主体情况</w:t>
      </w:r>
      <w:r>
        <w:rPr>
          <w:b w:val="0"/>
          <w:bCs w:val="0"/>
        </w:rPr>
      </w:r>
    </w:p>
    <w:p>
      <w:pPr>
        <w:pStyle w:val="Heading3"/>
        <w:spacing w:line="312" w:lineRule="exact" w:before="53"/>
        <w:ind w:left="324"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5"/>
        <w:spacing w:line="290" w:lineRule="auto" w:before="0"/>
        <w:ind w:left="324" w:right="10379"/>
        <w:jc w:val="left"/>
        <w:rPr>
          <w:b w:val="0"/>
          <w:bCs w:val="0"/>
        </w:rPr>
      </w:pPr>
      <w:r>
        <w:rPr>
          <w:rFonts w:ascii="宋体" w:hAnsi="宋体" w:cs="宋体" w:eastAsia="宋体" w:hint="default"/>
          <w:b w:val="0"/>
          <w:bCs w:val="0"/>
          <w:sz w:val="24"/>
          <w:szCs w:val="24"/>
        </w:rPr>
        <w:t> </w:t>
      </w:r>
      <w:r>
        <w:rPr>
          <w:w w:val="100"/>
        </w:rPr>
        <w:t>三、公</w:t>
      </w:r>
      <w:r>
        <w:rPr>
          <w:spacing w:val="-1"/>
          <w:w w:val="100"/>
        </w:rPr>
        <w:t>司</w:t>
      </w:r>
      <w:r>
        <w:rPr>
          <w:w w:val="100"/>
        </w:rPr>
        <w:t>关于公司未来</w:t>
      </w:r>
      <w:r>
        <w:rPr>
          <w:spacing w:val="-3"/>
          <w:w w:val="100"/>
        </w:rPr>
        <w:t>发</w:t>
      </w:r>
      <w:r>
        <w:rPr>
          <w:w w:val="100"/>
        </w:rPr>
        <w:t>展</w:t>
      </w:r>
      <w:r>
        <w:rPr>
          <w:spacing w:val="-3"/>
          <w:w w:val="100"/>
        </w:rPr>
        <w:t>的</w:t>
      </w:r>
      <w:r>
        <w:rPr>
          <w:w w:val="100"/>
        </w:rPr>
        <w:t>讨论与分析</w:t>
      </w:r>
      <w:r>
        <w:rPr>
          <w:w w:val="100"/>
        </w:rPr>
        <w:t> </w:t>
      </w:r>
      <w:r>
        <w:rPr>
          <w:rFonts w:ascii="宋体" w:hAnsi="宋体" w:cs="宋体" w:eastAsia="宋体" w:hint="default"/>
          <w:w w:val="99"/>
        </w:rPr>
        <w:t>(</w:t>
      </w:r>
      <w:r>
        <w:rPr>
          <w:w w:val="100"/>
        </w:rPr>
        <w:t>一</w:t>
      </w:r>
      <w:r>
        <w:rPr>
          <w:rFonts w:ascii="宋体" w:hAnsi="宋体" w:cs="宋体" w:eastAsia="宋体" w:hint="default"/>
          <w:w w:val="99"/>
        </w:rPr>
        <w:t>)</w:t>
      </w:r>
      <w:r>
        <w:rPr>
          <w:rFonts w:ascii="宋体" w:hAnsi="宋体" w:cs="宋体" w:eastAsia="宋体" w:hint="default"/>
          <w:spacing w:val="-49"/>
        </w:rPr>
        <w:t> </w:t>
      </w:r>
      <w:r>
        <w:rPr>
          <w:w w:val="100"/>
        </w:rPr>
        <w:t>行业格局和趋势</w:t>
      </w:r>
      <w:r>
        <w:rPr>
          <w:b w:val="0"/>
          <w:bCs w:val="0"/>
          <w:w w:val="100"/>
        </w:rPr>
      </w:r>
    </w:p>
    <w:p>
      <w:pPr>
        <w:pStyle w:val="Heading3"/>
        <w:spacing w:line="240" w:lineRule="auto" w:before="6"/>
        <w:ind w:left="324"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4"/>
        <w:ind w:left="804" w:right="0"/>
        <w:jc w:val="left"/>
      </w:pPr>
      <w:r>
        <w:rPr>
          <w:rFonts w:ascii="宋体" w:hAnsi="宋体" w:cs="宋体" w:eastAsia="宋体" w:hint="default"/>
        </w:rPr>
        <w:t>1</w:t>
      </w:r>
      <w:r>
        <w:rPr/>
        <w:t>、公司所处行业的发展趋势</w:t>
      </w:r>
    </w:p>
    <w:p>
      <w:pPr>
        <w:spacing w:after="0" w:line="240" w:lineRule="auto"/>
        <w:jc w:val="left"/>
        <w:sectPr>
          <w:pgSz w:w="16840" w:h="11910" w:orient="landscape"/>
          <w:pgMar w:header="880" w:footer="1195" w:top="1120" w:bottom="1380" w:left="1200" w:right="1120"/>
        </w:sectPr>
      </w:pPr>
    </w:p>
    <w:p>
      <w:pPr>
        <w:spacing w:line="240" w:lineRule="auto" w:before="11"/>
        <w:rPr>
          <w:rFonts w:ascii="宋体" w:hAnsi="宋体" w:cs="宋体" w:eastAsia="宋体" w:hint="default"/>
          <w:sz w:val="18"/>
          <w:szCs w:val="18"/>
        </w:rPr>
      </w:pPr>
    </w:p>
    <w:p>
      <w:pPr>
        <w:pStyle w:val="BodyText"/>
        <w:spacing w:line="273" w:lineRule="exact" w:before="36"/>
        <w:ind w:left="557" w:right="102"/>
        <w:jc w:val="left"/>
        <w:rPr>
          <w:rFonts w:ascii="宋体" w:hAnsi="宋体" w:cs="宋体" w:eastAsia="宋体" w:hint="default"/>
        </w:rPr>
      </w:pPr>
      <w:r>
        <w:rPr>
          <w:rFonts w:ascii="宋体" w:hAnsi="宋体" w:cs="宋体" w:eastAsia="宋体" w:hint="default"/>
        </w:rPr>
        <w:t>1.1</w:t>
      </w:r>
      <w:r>
        <w:rPr>
          <w:rFonts w:ascii="宋体" w:hAnsi="宋体" w:cs="宋体" w:eastAsia="宋体" w:hint="default"/>
          <w:spacing w:val="-44"/>
        </w:rPr>
        <w:t> </w:t>
      </w:r>
      <w:r>
        <w:rPr>
          <w:spacing w:val="-3"/>
        </w:rPr>
        <w:t>政策环境</w:t>
      </w:r>
      <w:r>
        <w:rPr>
          <w:rFonts w:ascii="宋体" w:hAnsi="宋体" w:cs="宋体" w:eastAsia="宋体" w:hint="default"/>
        </w:rPr>
        <w:t> </w:t>
      </w:r>
    </w:p>
    <w:p>
      <w:pPr>
        <w:pStyle w:val="BodyText"/>
        <w:spacing w:line="240" w:lineRule="auto"/>
        <w:ind w:left="557" w:right="102"/>
        <w:jc w:val="left"/>
      </w:pPr>
      <w:r>
        <w:rPr/>
        <w:t>（</w:t>
      </w:r>
      <w:r>
        <w:rPr>
          <w:rFonts w:ascii="宋体" w:hAnsi="宋体" w:cs="宋体" w:eastAsia="宋体" w:hint="default"/>
        </w:rPr>
        <w:t>1</w:t>
      </w:r>
      <w:r>
        <w:rPr/>
        <w:t>）军方装备采购机制深度变革，对企业产品创新和综合实力提出新要求</w:t>
      </w:r>
      <w:r>
        <w:rPr>
          <w:rFonts w:ascii="宋体" w:hAnsi="宋体" w:cs="宋体" w:eastAsia="宋体" w:hint="default"/>
          <w:w w:val="100"/>
        </w:rPr>
        <w:t> </w:t>
      </w:r>
      <w:r>
        <w:rPr>
          <w:spacing w:val="-2"/>
        </w:rPr>
        <w:t>军方招标采购体制逐步由从单一来源采购向公开招投标转变、由技术方案招标向实物比测招</w:t>
      </w:r>
    </w:p>
    <w:p>
      <w:pPr>
        <w:pStyle w:val="BodyText"/>
        <w:spacing w:line="274" w:lineRule="exact" w:before="22"/>
        <w:ind w:right="208"/>
        <w:jc w:val="both"/>
      </w:pPr>
      <w:r>
        <w:rPr>
          <w:spacing w:val="-1"/>
        </w:rPr>
        <w:t>标转变，这对军工企业的技术实力、研发投入有了更高的要求，进一步提高军品行业的技术和资</w:t>
      </w:r>
      <w:r>
        <w:rPr>
          <w:spacing w:val="-54"/>
        </w:rPr>
        <w:t> </w:t>
      </w:r>
      <w:r>
        <w:rPr>
          <w:spacing w:val="-54"/>
        </w:rPr>
      </w:r>
      <w:r>
        <w:rPr>
          <w:spacing w:val="-4"/>
        </w:rPr>
        <w:t>金门槛，可以预见“军改”对军工企业影响仍将持续。从装备采购次数来看，自 </w:t>
      </w:r>
      <w:r>
        <w:rPr>
          <w:rFonts w:ascii="宋体" w:hAnsi="宋体" w:cs="宋体" w:eastAsia="宋体" w:hint="default"/>
        </w:rPr>
        <w:t>2018</w:t>
      </w:r>
      <w:r>
        <w:rPr>
          <w:rFonts w:ascii="宋体" w:hAnsi="宋体" w:cs="宋体" w:eastAsia="宋体" w:hint="default"/>
          <w:spacing w:val="-37"/>
        </w:rPr>
        <w:t> </w:t>
      </w:r>
      <w:r>
        <w:rPr>
          <w:spacing w:val="-5"/>
        </w:rPr>
        <w:t>年以来，军</w:t>
      </w:r>
    </w:p>
    <w:p>
      <w:pPr>
        <w:pStyle w:val="BodyText"/>
        <w:spacing w:line="245" w:lineRule="exact"/>
        <w:ind w:right="0"/>
        <w:jc w:val="both"/>
        <w:rPr>
          <w:rFonts w:ascii="宋体" w:hAnsi="宋体" w:cs="宋体" w:eastAsia="宋体" w:hint="default"/>
        </w:rPr>
      </w:pPr>
      <w:r>
        <w:rPr>
          <w:spacing w:val="-3"/>
        </w:rPr>
        <w:t>队装备采购已经实现快速增长，全年装备招标采购次数累计已达</w:t>
      </w:r>
      <w:r>
        <w:rPr>
          <w:spacing w:val="-28"/>
        </w:rPr>
        <w:t> </w:t>
      </w:r>
      <w:r>
        <w:rPr>
          <w:rFonts w:ascii="宋体" w:hAnsi="宋体" w:cs="宋体" w:eastAsia="宋体" w:hint="default"/>
        </w:rPr>
        <w:t>1650</w:t>
      </w:r>
      <w:r>
        <w:rPr>
          <w:rFonts w:ascii="宋体" w:hAnsi="宋体" w:cs="宋体" w:eastAsia="宋体" w:hint="default"/>
          <w:spacing w:val="-32"/>
        </w:rPr>
        <w:t> </w:t>
      </w:r>
      <w:r>
        <w:rPr>
          <w:spacing w:val="-5"/>
        </w:rPr>
        <w:t>次之多，远高于</w:t>
      </w:r>
      <w:r>
        <w:rPr>
          <w:spacing w:val="-32"/>
        </w:rPr>
        <w:t> </w:t>
      </w:r>
      <w:r>
        <w:rPr>
          <w:rFonts w:ascii="宋体" w:hAnsi="宋体" w:cs="宋体" w:eastAsia="宋体" w:hint="default"/>
        </w:rPr>
        <w:t>2015-2017</w:t>
      </w:r>
    </w:p>
    <w:p>
      <w:pPr>
        <w:pStyle w:val="BodyText"/>
        <w:spacing w:line="272" w:lineRule="exact" w:before="27"/>
        <w:ind w:right="208"/>
        <w:jc w:val="both"/>
        <w:rPr>
          <w:rFonts w:ascii="宋体" w:hAnsi="宋体" w:cs="宋体" w:eastAsia="宋体" w:hint="default"/>
        </w:rPr>
      </w:pPr>
      <w:r>
        <w:rPr>
          <w:spacing w:val="-7"/>
        </w:rPr>
        <w:t>年同期水平，体现了军品采购的开放性越来越高。</w:t>
      </w:r>
      <w:r>
        <w:rPr>
          <w:rFonts w:ascii="宋体" w:hAnsi="宋体" w:cs="宋体" w:eastAsia="宋体" w:hint="default"/>
          <w:spacing w:val="-7"/>
        </w:rPr>
        <w:t>2019</w:t>
      </w:r>
      <w:r>
        <w:rPr>
          <w:rFonts w:ascii="宋体" w:hAnsi="宋体" w:cs="宋体" w:eastAsia="宋体" w:hint="default"/>
          <w:spacing w:val="-45"/>
        </w:rPr>
        <w:t> </w:t>
      </w:r>
      <w:r>
        <w:rPr/>
        <w:t>年全年对外披露采购信息高达</w:t>
      </w:r>
      <w:r>
        <w:rPr>
          <w:spacing w:val="-45"/>
        </w:rPr>
        <w:t> </w:t>
      </w:r>
      <w:r>
        <w:rPr>
          <w:rFonts w:ascii="宋体" w:hAnsi="宋体" w:cs="宋体" w:eastAsia="宋体" w:hint="default"/>
        </w:rPr>
        <w:t>4000</w:t>
      </w:r>
      <w:r>
        <w:rPr>
          <w:rFonts w:ascii="宋体" w:hAnsi="宋体" w:cs="宋体" w:eastAsia="宋体" w:hint="default"/>
          <w:spacing w:val="-44"/>
        </w:rPr>
        <w:t> </w:t>
      </w:r>
      <w:r>
        <w:rPr/>
        <w:t>余条，</w:t>
      </w:r>
      <w:r>
        <w:rPr>
          <w:spacing w:val="-102"/>
        </w:rPr>
        <w:t> </w:t>
      </w:r>
      <w:r>
        <w:rPr>
          <w:spacing w:val="-102"/>
        </w:rPr>
      </w:r>
      <w:r>
        <w:rPr/>
        <w:t>再创新高，军工行业高景气度的同时，对军工企业的综合实力提出了更大的考验。</w:t>
      </w:r>
      <w:r>
        <w:rPr>
          <w:rFonts w:ascii="宋体" w:hAnsi="宋体" w:cs="宋体" w:eastAsia="宋体" w:hint="default"/>
        </w:rPr>
        <w:t> </w:t>
      </w:r>
    </w:p>
    <w:p>
      <w:pPr>
        <w:pStyle w:val="BodyText"/>
        <w:spacing w:line="247" w:lineRule="exact"/>
        <w:ind w:left="557" w:right="102"/>
        <w:jc w:val="left"/>
        <w:rPr>
          <w:rFonts w:ascii="宋体" w:hAnsi="宋体" w:cs="宋体" w:eastAsia="宋体" w:hint="default"/>
        </w:rPr>
      </w:pPr>
      <w:r>
        <w:rPr/>
        <w:t>（</w:t>
      </w:r>
      <w:r>
        <w:rPr>
          <w:rFonts w:ascii="宋体" w:hAnsi="宋体" w:cs="宋体" w:eastAsia="宋体" w:hint="default"/>
        </w:rPr>
        <w:t>2</w:t>
      </w:r>
      <w:r>
        <w:rPr/>
        <w:t>）“十三五”规划末期，军费预算执行力度有望明显加大</w:t>
      </w:r>
      <w:r>
        <w:rPr>
          <w:rFonts w:ascii="宋体" w:hAnsi="宋体" w:cs="宋体" w:eastAsia="宋体" w:hint="default"/>
        </w:rPr>
        <w:t> </w:t>
      </w:r>
    </w:p>
    <w:p>
      <w:pPr>
        <w:pStyle w:val="BodyText"/>
        <w:spacing w:line="272" w:lineRule="exact"/>
        <w:ind w:left="557" w:right="102"/>
        <w:jc w:val="left"/>
      </w:pPr>
      <w:r>
        <w:rPr/>
        <w:t>自</w:t>
      </w:r>
      <w:r>
        <w:rPr>
          <w:spacing w:val="-50"/>
        </w:rPr>
        <w:t> </w:t>
      </w:r>
      <w:r>
        <w:rPr>
          <w:rFonts w:ascii="宋体" w:hAnsi="宋体" w:cs="宋体" w:eastAsia="宋体" w:hint="default"/>
        </w:rPr>
        <w:t>2015</w:t>
      </w:r>
      <w:r>
        <w:rPr>
          <w:rFonts w:ascii="宋体" w:hAnsi="宋体" w:cs="宋体" w:eastAsia="宋体" w:hint="default"/>
          <w:spacing w:val="-53"/>
        </w:rPr>
        <w:t> </w:t>
      </w:r>
      <w:r>
        <w:rPr/>
        <w:t>年开始由于军改影响，军工企业收入受到明显压制，其影响一直持续至</w:t>
      </w:r>
      <w:r>
        <w:rPr>
          <w:spacing w:val="-50"/>
        </w:rPr>
        <w:t> </w:t>
      </w:r>
      <w:r>
        <w:rPr>
          <w:rFonts w:ascii="宋体" w:hAnsi="宋体" w:cs="宋体" w:eastAsia="宋体" w:hint="default"/>
        </w:rPr>
        <w:t>2017</w:t>
      </w:r>
      <w:r>
        <w:rPr>
          <w:rFonts w:ascii="宋体" w:hAnsi="宋体" w:cs="宋体" w:eastAsia="宋体" w:hint="default"/>
          <w:spacing w:val="-52"/>
        </w:rPr>
        <w:t> </w:t>
      </w:r>
      <w:r>
        <w:rPr/>
        <w:t>年，从</w:t>
      </w:r>
    </w:p>
    <w:p>
      <w:pPr>
        <w:pStyle w:val="BodyText"/>
        <w:spacing w:line="237" w:lineRule="auto" w:before="2"/>
        <w:ind w:right="208"/>
        <w:jc w:val="both"/>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5"/>
        </w:rPr>
        <w:t> </w:t>
      </w:r>
      <w:r>
        <w:rPr/>
        <w:t>年下半年开始至</w:t>
      </w:r>
      <w:r>
        <w:rPr>
          <w:spacing w:val="-48"/>
        </w:rPr>
        <w:t> </w:t>
      </w:r>
      <w:r>
        <w:rPr>
          <w:rFonts w:ascii="宋体" w:hAnsi="宋体" w:cs="宋体" w:eastAsia="宋体" w:hint="default"/>
        </w:rPr>
        <w:t>2020</w:t>
      </w:r>
      <w:r>
        <w:rPr>
          <w:rFonts w:ascii="宋体" w:hAnsi="宋体" w:cs="宋体" w:eastAsia="宋体" w:hint="default"/>
          <w:spacing w:val="-48"/>
        </w:rPr>
        <w:t> </w:t>
      </w:r>
      <w:r>
        <w:rPr/>
        <w:t>年，军工行业已进入集中采购期，军工企业业绩增长将有望由主机厂</w:t>
      </w:r>
      <w:r>
        <w:rPr>
          <w:w w:val="100"/>
        </w:rPr>
        <w:t> </w:t>
      </w:r>
      <w:r>
        <w:rPr>
          <w:spacing w:val="-3"/>
        </w:rPr>
        <w:t>向配套厂以及民参军企业传导。作为“十三五”最后一年，</w:t>
      </w:r>
      <w:r>
        <w:rPr>
          <w:rFonts w:ascii="宋体" w:hAnsi="宋体" w:cs="宋体" w:eastAsia="宋体" w:hint="default"/>
          <w:spacing w:val="-3"/>
        </w:rPr>
        <w:t>2020</w:t>
      </w:r>
      <w:r>
        <w:rPr>
          <w:rFonts w:ascii="宋体" w:hAnsi="宋体" w:cs="宋体" w:eastAsia="宋体" w:hint="default"/>
          <w:spacing w:val="-24"/>
        </w:rPr>
        <w:t> </w:t>
      </w:r>
      <w:r>
        <w:rPr/>
        <w:t>年军品订单有望在五年军品周期</w:t>
      </w:r>
      <w:r>
        <w:rPr>
          <w:spacing w:val="-92"/>
        </w:rPr>
        <w:t> </w:t>
      </w:r>
      <w:r>
        <w:rPr>
          <w:spacing w:val="-92"/>
        </w:rPr>
      </w:r>
      <w:r>
        <w:rPr/>
        <w:t>“前松后紧”的规律下继续呈现加速释放态势，行业基本面继续加速改善的趋势明确。</w:t>
      </w:r>
      <w:r>
        <w:rPr>
          <w:rFonts w:ascii="宋体" w:hAnsi="宋体" w:cs="宋体" w:eastAsia="宋体" w:hint="default"/>
        </w:rPr>
        <w:t> </w:t>
      </w:r>
    </w:p>
    <w:p>
      <w:pPr>
        <w:pStyle w:val="BodyText"/>
        <w:spacing w:line="271" w:lineRule="exact"/>
        <w:ind w:left="557" w:right="102"/>
        <w:jc w:val="left"/>
        <w:rPr>
          <w:rFonts w:ascii="宋体" w:hAnsi="宋体" w:cs="宋体" w:eastAsia="宋体" w:hint="default"/>
        </w:rPr>
      </w:pPr>
      <w:r>
        <w:rPr/>
        <w:t>（</w:t>
      </w:r>
      <w:r>
        <w:rPr>
          <w:rFonts w:ascii="宋体" w:hAnsi="宋体" w:cs="宋体" w:eastAsia="宋体" w:hint="default"/>
        </w:rPr>
        <w:t>3</w:t>
      </w:r>
      <w:r>
        <w:rPr/>
        <w:t>）电力体制改革稳步推进</w:t>
      </w:r>
      <w:r>
        <w:rPr>
          <w:rFonts w:ascii="宋体" w:hAnsi="宋体" w:cs="宋体" w:eastAsia="宋体" w:hint="default"/>
        </w:rPr>
        <w:t> </w:t>
      </w:r>
    </w:p>
    <w:p>
      <w:pPr>
        <w:pStyle w:val="BodyText"/>
        <w:spacing w:line="237" w:lineRule="auto" w:before="2"/>
        <w:ind w:right="208" w:firstLine="420"/>
        <w:jc w:val="both"/>
      </w:pPr>
      <w:r>
        <w:rPr>
          <w:rFonts w:ascii="宋体" w:hAnsi="宋体" w:cs="宋体" w:eastAsia="宋体" w:hint="default"/>
        </w:rPr>
        <w:t>2019</w:t>
      </w:r>
      <w:r>
        <w:rPr>
          <w:rFonts w:ascii="宋体" w:hAnsi="宋体" w:cs="宋体" w:eastAsia="宋体" w:hint="default"/>
          <w:spacing w:val="-36"/>
        </w:rPr>
        <w:t> </w:t>
      </w:r>
      <w:r>
        <w:rPr/>
        <w:t>年</w:t>
      </w:r>
      <w:r>
        <w:rPr>
          <w:spacing w:val="-33"/>
        </w:rPr>
        <w:t> </w:t>
      </w:r>
      <w:r>
        <w:rPr>
          <w:rFonts w:ascii="宋体" w:hAnsi="宋体" w:cs="宋体" w:eastAsia="宋体" w:hint="default"/>
        </w:rPr>
        <w:t>3</w:t>
      </w:r>
      <w:r>
        <w:rPr>
          <w:rFonts w:ascii="宋体" w:hAnsi="宋体" w:cs="宋体" w:eastAsia="宋体" w:hint="default"/>
          <w:spacing w:val="-36"/>
        </w:rPr>
        <w:t> </w:t>
      </w:r>
      <w:r>
        <w:rPr>
          <w:spacing w:val="-3"/>
        </w:rPr>
        <w:t>月，国家能源局综合司发布了《关于征求进一步推进电力现货市场建设试点工作的</w:t>
      </w:r>
      <w:r>
        <w:rPr>
          <w:w w:val="100"/>
        </w:rPr>
        <w:t> </w:t>
      </w:r>
      <w:r>
        <w:rPr>
          <w:spacing w:val="-1"/>
        </w:rPr>
        <w:t>意见的函》，旨在建立健全电力现货市场运行机制、强化提升电力现货市场运营能力、规范建设</w:t>
      </w:r>
      <w:r>
        <w:rPr>
          <w:spacing w:val="-55"/>
        </w:rPr>
        <w:t> </w:t>
      </w:r>
      <w:r>
        <w:rPr>
          <w:spacing w:val="-55"/>
        </w:rPr>
      </w:r>
      <w:r>
        <w:rPr>
          <w:spacing w:val="-3"/>
        </w:rPr>
        <w:t>电力现货市场运营平台、完善电力现货市场配套机制、做好电力现货市场建设组织实施。</w:t>
      </w:r>
      <w:r>
        <w:rPr>
          <w:rFonts w:ascii="宋体" w:hAnsi="宋体" w:cs="宋体" w:eastAsia="宋体" w:hint="default"/>
          <w:spacing w:val="-3"/>
        </w:rPr>
        <w:t>2019 </w:t>
      </w:r>
      <w:r>
        <w:rPr/>
        <w:t>年</w:t>
      </w:r>
      <w:r>
        <w:rPr>
          <w:spacing w:val="-74"/>
        </w:rPr>
        <w:t> </w:t>
      </w:r>
      <w:r>
        <w:rPr>
          <w:rFonts w:ascii="宋体" w:hAnsi="宋体" w:cs="宋体" w:eastAsia="宋体" w:hint="default"/>
        </w:rPr>
        <w:t>11</w:t>
      </w:r>
      <w:r>
        <w:rPr>
          <w:rFonts w:ascii="宋体" w:hAnsi="宋体" w:cs="宋体" w:eastAsia="宋体" w:hint="default"/>
          <w:spacing w:val="20"/>
        </w:rPr>
        <w:t> </w:t>
      </w:r>
      <w:r>
        <w:rPr>
          <w:spacing w:val="-3"/>
        </w:rPr>
        <w:t>月，国家能源局对上半年我国电力辅助系统发展情况进行总结，新疆、甘肃、山东、福建等近</w:t>
      </w:r>
    </w:p>
    <w:p>
      <w:pPr>
        <w:pStyle w:val="BodyText"/>
        <w:spacing w:line="272" w:lineRule="exact"/>
        <w:ind w:right="0"/>
        <w:jc w:val="both"/>
      </w:pPr>
      <w:r>
        <w:rPr>
          <w:rFonts w:ascii="宋体" w:hAnsi="宋体" w:cs="宋体" w:eastAsia="宋体" w:hint="default"/>
        </w:rPr>
        <w:t>20</w:t>
      </w:r>
      <w:r>
        <w:rPr>
          <w:rFonts w:ascii="宋体" w:hAnsi="宋体" w:cs="宋体" w:eastAsia="宋体" w:hint="default"/>
          <w:spacing w:val="9"/>
        </w:rPr>
        <w:t> </w:t>
      </w:r>
      <w:r>
        <w:rPr/>
        <w:t>个省（区、市、地区）的调峰市场已投入运行（含模拟运行、试运行），山东、山西、福建、</w:t>
      </w:r>
    </w:p>
    <w:p>
      <w:pPr>
        <w:pStyle w:val="BodyText"/>
        <w:spacing w:line="272" w:lineRule="exact"/>
        <w:ind w:right="0"/>
        <w:jc w:val="both"/>
      </w:pPr>
      <w:r>
        <w:rPr/>
        <w:t>广东等</w:t>
      </w:r>
      <w:r>
        <w:rPr>
          <w:spacing w:val="-39"/>
        </w:rPr>
        <w:t> </w:t>
      </w:r>
      <w:r>
        <w:rPr>
          <w:rFonts w:ascii="宋体" w:hAnsi="宋体" w:cs="宋体" w:eastAsia="宋体" w:hint="default"/>
        </w:rPr>
        <w:t>6</w:t>
      </w:r>
      <w:r>
        <w:rPr>
          <w:rFonts w:ascii="宋体" w:hAnsi="宋体" w:cs="宋体" w:eastAsia="宋体" w:hint="default"/>
          <w:spacing w:val="-40"/>
        </w:rPr>
        <w:t> </w:t>
      </w:r>
      <w:r>
        <w:rPr>
          <w:spacing w:val="-6"/>
        </w:rPr>
        <w:t>个省（区、市、地区）的调频市场已投入运行（含模拟运行、试运行）。</w:t>
      </w:r>
      <w:r>
        <w:rPr>
          <w:rFonts w:ascii="宋体" w:hAnsi="宋体" w:cs="宋体" w:eastAsia="宋体" w:hint="default"/>
          <w:spacing w:val="-6"/>
        </w:rPr>
        <w:t>2019</w:t>
      </w:r>
      <w:r>
        <w:rPr>
          <w:rFonts w:ascii="宋体" w:hAnsi="宋体" w:cs="宋体" w:eastAsia="宋体" w:hint="default"/>
          <w:spacing w:val="-39"/>
        </w:rPr>
        <w:t> </w:t>
      </w:r>
      <w:r>
        <w:rPr/>
        <w:t>年</w:t>
      </w:r>
      <w:r>
        <w:rPr>
          <w:spacing w:val="-42"/>
        </w:rPr>
        <w:t> </w:t>
      </w:r>
      <w:r>
        <w:rPr>
          <w:rFonts w:ascii="宋体" w:hAnsi="宋体" w:cs="宋体" w:eastAsia="宋体" w:hint="default"/>
        </w:rPr>
        <w:t>12</w:t>
      </w:r>
      <w:r>
        <w:rPr>
          <w:rFonts w:ascii="宋体" w:hAnsi="宋体" w:cs="宋体" w:eastAsia="宋体" w:hint="default"/>
          <w:spacing w:val="-40"/>
        </w:rPr>
        <w:t> </w:t>
      </w:r>
      <w:r>
        <w:rPr>
          <w:spacing w:val="-3"/>
        </w:rPr>
        <w:t>月，</w:t>
      </w:r>
      <w:r>
        <w:rPr/>
      </w:r>
    </w:p>
    <w:p>
      <w:pPr>
        <w:pStyle w:val="BodyText"/>
        <w:spacing w:line="272" w:lineRule="exact" w:before="27"/>
        <w:ind w:right="208"/>
        <w:jc w:val="both"/>
        <w:rPr>
          <w:rFonts w:ascii="宋体" w:hAnsi="宋体" w:cs="宋体" w:eastAsia="宋体" w:hint="default"/>
        </w:rPr>
      </w:pPr>
      <w:r>
        <w:rPr>
          <w:spacing w:val="-4"/>
        </w:rPr>
        <w:t>国家发改委发布《关于做好</w:t>
      </w:r>
      <w:r>
        <w:rPr>
          <w:spacing w:val="-30"/>
        </w:rPr>
        <w:t> </w:t>
      </w:r>
      <w:r>
        <w:rPr>
          <w:rFonts w:ascii="宋体" w:hAnsi="宋体" w:cs="宋体" w:eastAsia="宋体" w:hint="default"/>
        </w:rPr>
        <w:t>2020</w:t>
      </w:r>
      <w:r>
        <w:rPr>
          <w:rFonts w:ascii="宋体" w:hAnsi="宋体" w:cs="宋体" w:eastAsia="宋体" w:hint="default"/>
          <w:spacing w:val="-28"/>
        </w:rPr>
        <w:t> </w:t>
      </w:r>
      <w:r>
        <w:rPr>
          <w:spacing w:val="-4"/>
        </w:rPr>
        <w:t>年电力中长期合同签订工作的通知》，鼓励市场主体协商签订中</w:t>
      </w:r>
      <w:r>
        <w:rPr>
          <w:spacing w:val="-95"/>
        </w:rPr>
        <w:t> </w:t>
      </w:r>
      <w:r>
        <w:rPr>
          <w:spacing w:val="-95"/>
        </w:rPr>
      </w:r>
      <w:r>
        <w:rPr>
          <w:spacing w:val="-1"/>
        </w:rPr>
        <w:t>长期合同时，充分借鉴上下游电价联动机制经验，采用灵活可浮动的价格机制，理顺和打通电力</w:t>
      </w:r>
      <w:r>
        <w:rPr>
          <w:spacing w:val="-55"/>
        </w:rPr>
        <w:t> </w:t>
      </w:r>
      <w:r>
        <w:rPr>
          <w:spacing w:val="-55"/>
        </w:rPr>
      </w:r>
      <w:r>
        <w:rPr/>
        <w:t>及其上下游行业的价格市场化形成机制，明确未签合同市场主体不享有电力现货交易权利。</w:t>
      </w:r>
      <w:r>
        <w:rPr>
          <w:rFonts w:ascii="宋体" w:hAnsi="宋体" w:cs="宋体" w:eastAsia="宋体" w:hint="default"/>
        </w:rPr>
        <w:t> </w:t>
      </w:r>
    </w:p>
    <w:p>
      <w:pPr>
        <w:pStyle w:val="BodyText"/>
        <w:spacing w:line="247" w:lineRule="exact"/>
        <w:ind w:left="557" w:right="102"/>
        <w:jc w:val="left"/>
        <w:rPr>
          <w:rFonts w:ascii="宋体" w:hAnsi="宋体" w:cs="宋体" w:eastAsia="宋体" w:hint="default"/>
        </w:rPr>
      </w:pPr>
      <w:r>
        <w:rPr>
          <w:rFonts w:ascii="宋体" w:hAnsi="宋体" w:cs="宋体" w:eastAsia="宋体" w:hint="default"/>
        </w:rPr>
        <w:t>1.2</w:t>
      </w:r>
      <w:r>
        <w:rPr>
          <w:rFonts w:ascii="宋体" w:hAnsi="宋体" w:cs="宋体" w:eastAsia="宋体" w:hint="default"/>
          <w:spacing w:val="-44"/>
        </w:rPr>
        <w:t> </w:t>
      </w:r>
      <w:r>
        <w:rPr>
          <w:spacing w:val="-3"/>
        </w:rPr>
        <w:t>产业动向</w:t>
      </w:r>
      <w:r>
        <w:rPr>
          <w:rFonts w:ascii="宋体" w:hAnsi="宋体" w:cs="宋体" w:eastAsia="宋体" w:hint="default"/>
        </w:rPr>
        <w:t> </w:t>
      </w:r>
    </w:p>
    <w:p>
      <w:pPr>
        <w:pStyle w:val="BodyText"/>
        <w:spacing w:line="240" w:lineRule="auto"/>
        <w:ind w:left="557" w:right="102"/>
        <w:jc w:val="left"/>
      </w:pPr>
      <w:r>
        <w:rPr/>
        <w:t>（</w:t>
      </w:r>
      <w:r>
        <w:rPr>
          <w:rFonts w:ascii="宋体" w:hAnsi="宋体" w:cs="宋体" w:eastAsia="宋体" w:hint="default"/>
        </w:rPr>
        <w:t>1</w:t>
      </w:r>
      <w:r>
        <w:rPr/>
        <w:t>）装备信息化及高端材料自主可控建设加快</w:t>
      </w:r>
      <w:r>
        <w:rPr>
          <w:rFonts w:ascii="宋体" w:hAnsi="宋体" w:cs="宋体" w:eastAsia="宋体" w:hint="default"/>
          <w:w w:val="100"/>
        </w:rPr>
        <w:t> </w:t>
      </w:r>
      <w:r>
        <w:rPr>
          <w:spacing w:val="-2"/>
        </w:rPr>
        <w:t>自主可控是保障国家安全、推动国家创新和经济发展的必要条件。目前，在内外部局势叠加</w:t>
      </w:r>
    </w:p>
    <w:p>
      <w:pPr>
        <w:pStyle w:val="BodyText"/>
        <w:spacing w:line="237" w:lineRule="auto"/>
        <w:ind w:right="208"/>
        <w:jc w:val="both"/>
        <w:rPr>
          <w:rFonts w:ascii="宋体" w:hAnsi="宋体" w:cs="宋体" w:eastAsia="宋体" w:hint="default"/>
        </w:rPr>
      </w:pPr>
      <w:r>
        <w:rPr>
          <w:spacing w:val="-1"/>
        </w:rPr>
        <w:t>政策利好的背景下，我国的自主可控领域有较大的发展空间。自主可控范畴较广，目前国内军工</w:t>
      </w:r>
      <w:r>
        <w:rPr>
          <w:spacing w:val="-55"/>
        </w:rPr>
        <w:t> </w:t>
      </w:r>
      <w:r>
        <w:rPr>
          <w:spacing w:val="-55"/>
        </w:rPr>
      </w:r>
      <w:r>
        <w:rPr>
          <w:spacing w:val="-1"/>
        </w:rPr>
        <w:t>自主可控建设的核心领域包括军工电子信息化及高端材料等领域。军工电子信息化将沿着两个方</w:t>
      </w:r>
      <w:r>
        <w:rPr>
          <w:spacing w:val="-55"/>
        </w:rPr>
        <w:t> </w:t>
      </w:r>
      <w:r>
        <w:rPr>
          <w:spacing w:val="-55"/>
        </w:rPr>
      </w:r>
      <w:r>
        <w:rPr>
          <w:spacing w:val="-1"/>
        </w:rPr>
        <w:t>向发展：一是对现有机械化武器装备进行信息化改造和提升，二是研制新的信息化武器装备，包</w:t>
      </w:r>
      <w:r>
        <w:rPr>
          <w:spacing w:val="-55"/>
        </w:rPr>
        <w:t> </w:t>
      </w:r>
      <w:r>
        <w:rPr>
          <w:spacing w:val="-55"/>
        </w:rPr>
      </w:r>
      <w:r>
        <w:rPr/>
        <w:t>括信息化弹药、信息化作战平台、单兵数字化装备和</w:t>
      </w:r>
      <w:r>
        <w:rPr>
          <w:spacing w:val="-51"/>
        </w:rPr>
        <w:t> </w:t>
      </w:r>
      <w:r>
        <w:rPr>
          <w:rFonts w:ascii="宋体" w:hAnsi="宋体" w:cs="宋体" w:eastAsia="宋体" w:hint="default"/>
        </w:rPr>
        <w:t>C4ISR</w:t>
      </w:r>
      <w:r>
        <w:rPr>
          <w:rFonts w:ascii="宋体" w:hAnsi="宋体" w:cs="宋体" w:eastAsia="宋体" w:hint="default"/>
          <w:spacing w:val="-50"/>
        </w:rPr>
        <w:t> </w:t>
      </w:r>
      <w:r>
        <w:rPr/>
        <w:t>系统（通信、指挥、控制、情报与计</w:t>
      </w:r>
      <w:r>
        <w:rPr>
          <w:w w:val="100"/>
        </w:rPr>
        <w:t> </w:t>
      </w:r>
      <w:r>
        <w:rPr>
          <w:spacing w:val="-1"/>
        </w:rPr>
        <w:t>算机系统）。军工装备信息化将使电子信息系统在武器装备体系中的比重将越来越大，相应的作</w:t>
      </w:r>
      <w:r>
        <w:rPr>
          <w:spacing w:val="-55"/>
        </w:rPr>
        <w:t> </w:t>
      </w:r>
      <w:r>
        <w:rPr>
          <w:spacing w:val="-55"/>
        </w:rPr>
      </w:r>
      <w:r>
        <w:rPr>
          <w:spacing w:val="-1"/>
        </w:rPr>
        <w:t>战保障装备的地位和作用日益重要。军用高端材料是新一代武器装备的物质基础，按其用途可分</w:t>
      </w:r>
      <w:r>
        <w:rPr>
          <w:spacing w:val="-54"/>
        </w:rPr>
        <w:t> </w:t>
      </w:r>
      <w:r>
        <w:rPr>
          <w:spacing w:val="-54"/>
        </w:rPr>
      </w:r>
      <w:r>
        <w:rPr>
          <w:spacing w:val="-1"/>
        </w:rPr>
        <w:t>为结构材料和功能材料两大类。在结构材料方面，供应缺口主要集中在高端高温合金、高性能复</w:t>
      </w:r>
      <w:r>
        <w:rPr>
          <w:spacing w:val="-55"/>
        </w:rPr>
        <w:t> </w:t>
      </w:r>
      <w:r>
        <w:rPr>
          <w:spacing w:val="-55"/>
        </w:rPr>
      </w:r>
      <w:r>
        <w:rPr>
          <w:spacing w:val="-1"/>
        </w:rPr>
        <w:t>合材料方面。在功能材料方面，较为突出的如半导体材料、隐身材料、防弹材料、阻尼及减振材</w:t>
      </w:r>
      <w:r>
        <w:rPr>
          <w:spacing w:val="-55"/>
        </w:rPr>
        <w:t> </w:t>
      </w:r>
      <w:r>
        <w:rPr>
          <w:spacing w:val="-55"/>
        </w:rPr>
      </w:r>
      <w:r>
        <w:rPr/>
        <w:t>料。</w:t>
      </w:r>
      <w:r>
        <w:rPr>
          <w:rFonts w:ascii="宋体" w:hAnsi="宋体" w:cs="宋体" w:eastAsia="宋体" w:hint="default"/>
        </w:rPr>
        <w:t> </w:t>
      </w:r>
    </w:p>
    <w:p>
      <w:pPr>
        <w:pStyle w:val="BodyText"/>
        <w:spacing w:line="272" w:lineRule="exact" w:before="26"/>
        <w:ind w:left="557" w:right="102"/>
        <w:jc w:val="left"/>
      </w:pPr>
      <w:r>
        <w:rPr/>
        <w:t>（</w:t>
      </w:r>
      <w:r>
        <w:rPr>
          <w:rFonts w:ascii="宋体" w:hAnsi="宋体" w:cs="宋体" w:eastAsia="宋体" w:hint="default"/>
        </w:rPr>
        <w:t>2</w:t>
      </w:r>
      <w:r>
        <w:rPr/>
        <w:t>）军用新能源技术快速发展</w:t>
      </w:r>
      <w:r>
        <w:rPr>
          <w:rFonts w:ascii="宋体" w:hAnsi="宋体" w:cs="宋体" w:eastAsia="宋体" w:hint="default"/>
          <w:w w:val="100"/>
        </w:rPr>
        <w:t> </w:t>
      </w:r>
      <w:r>
        <w:rPr>
          <w:spacing w:val="-2"/>
        </w:rPr>
        <w:t>军用传统能源设备如军用电站存在噪音大、红外特征明显、排放浓烟等诸多短板，作战中易</w:t>
      </w:r>
    </w:p>
    <w:p>
      <w:pPr>
        <w:pStyle w:val="BodyText"/>
        <w:spacing w:line="272" w:lineRule="exact" w:before="1"/>
        <w:ind w:right="209"/>
        <w:jc w:val="both"/>
      </w:pPr>
      <w:r>
        <w:rPr>
          <w:spacing w:val="-1"/>
        </w:rPr>
        <w:t>暴露、隐身性差、易被敌方察觉，目前锂电池的发展逐渐进入瓶颈期，安全性、能量密度等方面</w:t>
      </w:r>
      <w:r>
        <w:rPr>
          <w:spacing w:val="-55"/>
        </w:rPr>
        <w:t> </w:t>
      </w:r>
      <w:r>
        <w:rPr>
          <w:spacing w:val="-55"/>
        </w:rPr>
      </w:r>
      <w:r>
        <w:rPr>
          <w:spacing w:val="-1"/>
        </w:rPr>
        <w:t>均无法完全满足军用需求。氢燃料电池则突破了传统能源及锂电池的诸多限制，燃料电池既具有</w:t>
      </w:r>
    </w:p>
    <w:p>
      <w:pPr>
        <w:pStyle w:val="BodyText"/>
        <w:spacing w:line="272" w:lineRule="exact" w:before="2"/>
        <w:ind w:left="557" w:right="204" w:hanging="421"/>
        <w:jc w:val="left"/>
      </w:pPr>
      <w:r>
        <w:rPr/>
        <w:t>良好的隐身性能，又兼具绿色环保、续航里程高、功率密度大、燃料补充快等优点。</w:t>
      </w:r>
      <w:r>
        <w:rPr>
          <w:rFonts w:ascii="宋体" w:hAnsi="宋体" w:cs="宋体" w:eastAsia="宋体" w:hint="default"/>
          <w:w w:val="100"/>
        </w:rPr>
        <w:t> </w:t>
      </w:r>
      <w:r>
        <w:rPr>
          <w:spacing w:val="-4"/>
        </w:rPr>
        <w:t>目前氢能发展已上升到国家层面，自 </w:t>
      </w:r>
      <w:r>
        <w:rPr>
          <w:rFonts w:ascii="宋体" w:hAnsi="宋体" w:cs="宋体" w:eastAsia="宋体" w:hint="default"/>
        </w:rPr>
        <w:t>2017</w:t>
      </w:r>
      <w:r>
        <w:rPr>
          <w:rFonts w:ascii="宋体" w:hAnsi="宋体" w:cs="宋体" w:eastAsia="宋体" w:hint="default"/>
          <w:spacing w:val="-27"/>
        </w:rPr>
        <w:t> </w:t>
      </w:r>
      <w:r>
        <w:rPr>
          <w:spacing w:val="-5"/>
        </w:rPr>
        <w:t>年来，鼓励氢能发展的政策及补贴不断涌现，氢能</w:t>
      </w:r>
    </w:p>
    <w:p>
      <w:pPr>
        <w:pStyle w:val="BodyText"/>
        <w:spacing w:line="272" w:lineRule="exact" w:before="1"/>
        <w:ind w:right="209"/>
        <w:jc w:val="both"/>
        <w:rPr>
          <w:rFonts w:ascii="宋体" w:hAnsi="宋体" w:cs="宋体" w:eastAsia="宋体" w:hint="default"/>
        </w:rPr>
      </w:pPr>
      <w:r>
        <w:rPr/>
        <w:t>被写入</w:t>
      </w:r>
      <w:r>
        <w:rPr>
          <w:spacing w:val="-33"/>
        </w:rPr>
        <w:t> </w:t>
      </w:r>
      <w:r>
        <w:rPr>
          <w:rFonts w:ascii="宋体" w:hAnsi="宋体" w:cs="宋体" w:eastAsia="宋体" w:hint="default"/>
        </w:rPr>
        <w:t>2019</w:t>
      </w:r>
      <w:r>
        <w:rPr>
          <w:rFonts w:ascii="宋体" w:hAnsi="宋体" w:cs="宋体" w:eastAsia="宋体" w:hint="default"/>
          <w:spacing w:val="-34"/>
        </w:rPr>
        <w:t> </w:t>
      </w:r>
      <w:r>
        <w:rPr>
          <w:spacing w:val="-4"/>
        </w:rPr>
        <w:t>年政府工作报告，有望迎来快速崛起。中央军委后勤保障部军需能源局、军事科学院</w:t>
      </w:r>
      <w:r>
        <w:rPr>
          <w:spacing w:val="-98"/>
        </w:rPr>
        <w:t> </w:t>
      </w:r>
      <w:r>
        <w:rPr>
          <w:spacing w:val="-98"/>
        </w:rPr>
      </w:r>
      <w:r>
        <w:rPr>
          <w:spacing w:val="-1"/>
        </w:rPr>
        <w:t>军事新能源技术研究所等部门都提出以氢燃料电池为核心的军用电源市场需求。后保部、空军地</w:t>
      </w:r>
      <w:r>
        <w:rPr>
          <w:spacing w:val="-55"/>
        </w:rPr>
        <w:t> </w:t>
      </w:r>
      <w:r>
        <w:rPr>
          <w:spacing w:val="-55"/>
        </w:rPr>
      </w:r>
      <w:r>
        <w:rPr/>
        <w:t>装局、武警特战部队等部门的氢能电源产品年需求也日渐释放并在快速增长。</w:t>
      </w:r>
      <w:r>
        <w:rPr>
          <w:rFonts w:ascii="宋体" w:hAnsi="宋体" w:cs="宋体" w:eastAsia="宋体" w:hint="default"/>
        </w:rPr>
        <w:t> </w:t>
      </w:r>
    </w:p>
    <w:p>
      <w:pPr>
        <w:pStyle w:val="BodyText"/>
        <w:spacing w:line="272" w:lineRule="exact" w:before="1"/>
        <w:ind w:left="557" w:right="204"/>
        <w:jc w:val="left"/>
      </w:pPr>
      <w:r>
        <w:rPr/>
        <w:t>（</w:t>
      </w:r>
      <w:r>
        <w:rPr>
          <w:rFonts w:ascii="宋体" w:hAnsi="宋体" w:cs="宋体" w:eastAsia="宋体" w:hint="default"/>
        </w:rPr>
        <w:t>3</w:t>
      </w:r>
      <w:r>
        <w:rPr/>
        <w:t>）新型军用通信技术及装备建设需求旺盛</w:t>
      </w:r>
      <w:r>
        <w:rPr>
          <w:rFonts w:ascii="宋体" w:hAnsi="宋体" w:cs="宋体" w:eastAsia="宋体" w:hint="default"/>
          <w:w w:val="100"/>
        </w:rPr>
        <w:t> </w:t>
      </w:r>
      <w:r>
        <w:rPr>
          <w:spacing w:val="-3"/>
        </w:rPr>
        <w:t>军用通信系统是国防信息化体系中不可或缺的重要部分，军用通信系统是军事 </w:t>
      </w:r>
      <w:r>
        <w:rPr>
          <w:rFonts w:ascii="宋体" w:hAnsi="宋体" w:cs="宋体" w:eastAsia="宋体" w:hint="default"/>
        </w:rPr>
        <w:t>C4ISR</w:t>
      </w:r>
      <w:r>
        <w:rPr>
          <w:rFonts w:ascii="宋体" w:hAnsi="宋体" w:cs="宋体" w:eastAsia="宋体" w:hint="default"/>
          <w:spacing w:val="5"/>
        </w:rPr>
        <w:t> </w:t>
      </w:r>
      <w:r>
        <w:rPr/>
        <w:t>系统的</w:t>
      </w:r>
    </w:p>
    <w:p>
      <w:pPr>
        <w:pStyle w:val="BodyText"/>
        <w:spacing w:line="272" w:lineRule="exact" w:before="1"/>
        <w:ind w:right="209"/>
        <w:jc w:val="both"/>
      </w:pPr>
      <w:r>
        <w:rPr>
          <w:spacing w:val="-3"/>
        </w:rPr>
        <w:t>神经中枢，分布于整个 </w:t>
      </w:r>
      <w:r>
        <w:rPr>
          <w:rFonts w:ascii="宋体" w:hAnsi="宋体" w:cs="宋体" w:eastAsia="宋体" w:hint="default"/>
        </w:rPr>
        <w:t>C4ISR </w:t>
      </w:r>
      <w:r>
        <w:rPr>
          <w:spacing w:val="-3"/>
        </w:rPr>
        <w:t>系统中，承担着命令交接、信息传输的功能。随着军队改革持续推</w:t>
      </w:r>
      <w:r>
        <w:rPr>
          <w:spacing w:val="-91"/>
        </w:rPr>
        <w:t> </w:t>
      </w:r>
      <w:r>
        <w:rPr>
          <w:spacing w:val="-91"/>
        </w:rPr>
      </w:r>
      <w:r>
        <w:rPr>
          <w:spacing w:val="-1"/>
        </w:rPr>
        <w:t>进，“战区主战”、“军种主建”的思路分工明确，单军种产品到多军兵种联合作战系统成为未</w:t>
      </w:r>
    </w:p>
    <w:p>
      <w:pPr>
        <w:pStyle w:val="BodyText"/>
        <w:spacing w:line="272" w:lineRule="exact" w:before="1"/>
        <w:ind w:right="209"/>
        <w:jc w:val="both"/>
      </w:pPr>
      <w:r>
        <w:rPr>
          <w:spacing w:val="-6"/>
        </w:rPr>
        <w:t>来发展的趋势。以全军各兵种互联互通、高效协同作战为基础，设计未来信息化作战大系统平台，</w:t>
      </w:r>
      <w:r>
        <w:rPr>
          <w:spacing w:val="-54"/>
        </w:rPr>
        <w:t> </w:t>
      </w:r>
      <w:r>
        <w:rPr>
          <w:spacing w:val="-54"/>
        </w:rPr>
      </w:r>
      <w:r>
        <w:rPr>
          <w:spacing w:val="-1"/>
        </w:rPr>
        <w:t>成为当下乃至今后军用通信、雷达、对抗、侦察等信息化发展非常确定的思路和方向。以陆军为</w:t>
      </w:r>
    </w:p>
    <w:p>
      <w:pPr>
        <w:spacing w:after="0" w:line="272" w:lineRule="exact"/>
        <w:jc w:val="both"/>
        <w:sectPr>
          <w:headerReference w:type="default" r:id="rId16"/>
          <w:footerReference w:type="default" r:id="rId17"/>
          <w:pgSz w:w="11910" w:h="16840"/>
          <w:pgMar w:header="880" w:footer="1195" w:top="1120" w:bottom="1380" w:left="1140" w:right="1580"/>
          <w:pgNumType w:start="24"/>
        </w:sectPr>
      </w:pPr>
    </w:p>
    <w:p>
      <w:pPr>
        <w:spacing w:line="240" w:lineRule="auto" w:before="11"/>
        <w:rPr>
          <w:rFonts w:ascii="宋体" w:hAnsi="宋体" w:cs="宋体" w:eastAsia="宋体" w:hint="default"/>
          <w:sz w:val="18"/>
          <w:szCs w:val="18"/>
        </w:rPr>
      </w:pPr>
    </w:p>
    <w:p>
      <w:pPr>
        <w:pStyle w:val="BodyText"/>
        <w:spacing w:line="237" w:lineRule="auto" w:before="38"/>
        <w:ind w:right="208"/>
        <w:jc w:val="both"/>
        <w:rPr>
          <w:rFonts w:ascii="宋体" w:hAnsi="宋体" w:cs="宋体" w:eastAsia="宋体" w:hint="default"/>
        </w:rPr>
      </w:pPr>
      <w:r>
        <w:rPr>
          <w:spacing w:val="-1"/>
        </w:rPr>
        <w:t>例，其对天、空、地一体化通信需求非常迫切，“十三五”期间重点在装备的减型增效、力量所</w:t>
      </w:r>
      <w:r>
        <w:rPr>
          <w:spacing w:val="-55"/>
        </w:rPr>
        <w:t> </w:t>
      </w:r>
      <w:r>
        <w:rPr>
          <w:spacing w:val="-55"/>
        </w:rPr>
      </w:r>
      <w:r>
        <w:rPr>
          <w:spacing w:val="-4"/>
        </w:rPr>
        <w:t>至即实现通信覆盖能力上进行突破，突出“节点”+“终端”的网络架构，以设备波形化、软件化</w:t>
      </w:r>
      <w:r>
        <w:rPr>
          <w:spacing w:val="-33"/>
        </w:rPr>
        <w:t> </w:t>
      </w:r>
      <w:r>
        <w:rPr>
          <w:spacing w:val="-33"/>
        </w:rPr>
      </w:r>
      <w:r>
        <w:rPr>
          <w:spacing w:val="-1"/>
        </w:rPr>
        <w:t>达到多网系融合和多军种通信协同。随着军队改革的深入和联合作战体系的建立，对新型军用通</w:t>
      </w:r>
      <w:r>
        <w:rPr>
          <w:spacing w:val="-55"/>
        </w:rPr>
        <w:t> </w:t>
      </w:r>
      <w:r>
        <w:rPr>
          <w:spacing w:val="-55"/>
        </w:rPr>
      </w:r>
      <w:r>
        <w:rPr/>
        <w:t>信技术及装备将保持旺盛需求。</w:t>
      </w:r>
      <w:r>
        <w:rPr>
          <w:rFonts w:ascii="宋体" w:hAnsi="宋体" w:cs="宋体" w:eastAsia="宋体" w:hint="default"/>
        </w:rPr>
        <w:t> </w:t>
      </w:r>
    </w:p>
    <w:p>
      <w:pPr>
        <w:pStyle w:val="BodyText"/>
        <w:spacing w:line="272" w:lineRule="exact"/>
        <w:ind w:left="557" w:right="102"/>
        <w:jc w:val="left"/>
        <w:rPr>
          <w:rFonts w:ascii="宋体" w:hAnsi="宋体" w:cs="宋体" w:eastAsia="宋体" w:hint="default"/>
        </w:rPr>
      </w:pPr>
      <w:r>
        <w:rPr/>
        <w:t>（</w:t>
      </w:r>
      <w:r>
        <w:rPr>
          <w:rFonts w:ascii="宋体" w:hAnsi="宋体" w:cs="宋体" w:eastAsia="宋体" w:hint="default"/>
        </w:rPr>
        <w:t>4</w:t>
      </w:r>
      <w:r>
        <w:rPr/>
        <w:t>）电力物联网进入攻坚突破阶段，电网高质量发展、智能化、信息化升级</w:t>
      </w:r>
      <w:r>
        <w:rPr>
          <w:rFonts w:ascii="宋体" w:hAnsi="宋体" w:cs="宋体" w:eastAsia="宋体" w:hint="default"/>
        </w:rPr>
        <w:t> </w:t>
      </w:r>
    </w:p>
    <w:p>
      <w:pPr>
        <w:pStyle w:val="BodyText"/>
        <w:spacing w:line="237" w:lineRule="auto"/>
        <w:ind w:right="102" w:firstLine="420"/>
        <w:jc w:val="left"/>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46"/>
        </w:rPr>
        <w:t> </w:t>
      </w:r>
      <w:r>
        <w:rPr/>
        <w:t>年</w:t>
      </w:r>
      <w:r>
        <w:rPr>
          <w:spacing w:val="-43"/>
        </w:rPr>
        <w:t> </w:t>
      </w:r>
      <w:r>
        <w:rPr>
          <w:rFonts w:ascii="宋体" w:hAnsi="宋体" w:cs="宋体" w:eastAsia="宋体" w:hint="default"/>
        </w:rPr>
        <w:t>1</w:t>
      </w:r>
      <w:r>
        <w:rPr>
          <w:rFonts w:ascii="宋体" w:hAnsi="宋体" w:cs="宋体" w:eastAsia="宋体" w:hint="default"/>
          <w:spacing w:val="-45"/>
        </w:rPr>
        <w:t> </w:t>
      </w:r>
      <w:r>
        <w:rPr/>
        <w:t>月，国家电网公司印发</w:t>
      </w:r>
      <w:r>
        <w:rPr>
          <w:spacing w:val="-43"/>
        </w:rPr>
        <w:t> </w:t>
      </w:r>
      <w:r>
        <w:rPr>
          <w:rFonts w:ascii="宋体" w:hAnsi="宋体" w:cs="宋体" w:eastAsia="宋体" w:hint="default"/>
        </w:rPr>
        <w:t>2020</w:t>
      </w:r>
      <w:r>
        <w:rPr>
          <w:rFonts w:ascii="宋体" w:hAnsi="宋体" w:cs="宋体" w:eastAsia="宋体" w:hint="default"/>
          <w:spacing w:val="-46"/>
        </w:rPr>
        <w:t> </w:t>
      </w:r>
      <w:r>
        <w:rPr/>
        <w:t>年</w:t>
      </w:r>
      <w:r>
        <w:rPr>
          <w:spacing w:val="-43"/>
        </w:rPr>
        <w:t> </w:t>
      </w:r>
      <w:r>
        <w:rPr>
          <w:rFonts w:ascii="宋体" w:hAnsi="宋体" w:cs="宋体" w:eastAsia="宋体" w:hint="default"/>
        </w:rPr>
        <w:t>1</w:t>
      </w:r>
      <w:r>
        <w:rPr>
          <w:rFonts w:ascii="宋体" w:hAnsi="宋体" w:cs="宋体" w:eastAsia="宋体" w:hint="default"/>
          <w:spacing w:val="-45"/>
        </w:rPr>
        <w:t> </w:t>
      </w:r>
      <w:r>
        <w:rPr/>
        <w:t>号文件《国家电网有限公司关于全面深化改革奋</w:t>
      </w:r>
      <w:r>
        <w:rPr>
          <w:w w:val="100"/>
        </w:rPr>
        <w:t> </w:t>
      </w:r>
      <w:r>
        <w:rPr/>
        <w:t>力攻坚突破的意见》，提出了六个方面的任务，其中包括“加快电力物联网建设，推动构建能源</w:t>
      </w:r>
      <w:r>
        <w:rPr>
          <w:spacing w:val="-97"/>
        </w:rPr>
        <w:t> </w:t>
      </w:r>
      <w:r>
        <w:rPr>
          <w:spacing w:val="-97"/>
        </w:rPr>
      </w:r>
      <w:r>
        <w:rPr/>
        <w:t>互联网产业链，打造互利共赢能源新生态”、“加快培育“两网”融合新兴产业，立足综合能源</w:t>
      </w:r>
      <w:r>
        <w:rPr>
          <w:spacing w:val="-97"/>
        </w:rPr>
        <w:t> </w:t>
      </w:r>
      <w:r>
        <w:rPr>
          <w:spacing w:val="-97"/>
        </w:rPr>
      </w:r>
      <w:r>
        <w:rPr>
          <w:spacing w:val="-6"/>
          <w:w w:val="100"/>
        </w:rPr>
        <w:t>服务、储能等战略性新兴产业”、“积极推动全国统一电力市场建设”等在内的一系列重点任务。</w:t>
      </w:r>
      <w:r>
        <w:rPr>
          <w:w w:val="100"/>
        </w:rPr>
        <w:t> </w:t>
      </w:r>
      <w:r>
        <w:rPr/>
        <w:t>为公司在电力物联网产业深耕电力信息化，以及积极发展的综合能源服务等方向提供了新的发展</w:t>
      </w:r>
      <w:r>
        <w:rPr>
          <w:spacing w:val="-97"/>
        </w:rPr>
        <w:t> </w:t>
      </w:r>
      <w:r>
        <w:rPr>
          <w:spacing w:val="-97"/>
        </w:rPr>
      </w:r>
      <w:r>
        <w:rPr/>
        <w:t>机遇。根据《能源发展“十三五”规划》、《电力发展“十三五”规划》，十三五期间我国电网</w:t>
      </w:r>
      <w:r>
        <w:rPr>
          <w:spacing w:val="-97"/>
        </w:rPr>
        <w:t> </w:t>
      </w:r>
      <w:r>
        <w:rPr>
          <w:spacing w:val="-97"/>
        </w:rPr>
      </w:r>
      <w:r>
        <w:rPr/>
        <w:t>将着力提升电力利用效率、系统调节能力、安全及智能高效水平，优化电网资源配置、加大城乡</w:t>
      </w:r>
      <w:r>
        <w:rPr>
          <w:spacing w:val="-97"/>
        </w:rPr>
        <w:t> </w:t>
      </w:r>
      <w:r>
        <w:rPr>
          <w:spacing w:val="-97"/>
        </w:rPr>
      </w:r>
      <w:r>
        <w:rPr/>
        <w:t>电网改造、实施新一轮农网改造升级。预计</w:t>
      </w:r>
      <w:r>
        <w:rPr>
          <w:spacing w:val="-33"/>
        </w:rPr>
        <w:t> </w:t>
      </w:r>
      <w:r>
        <w:rPr>
          <w:rFonts w:ascii="宋体" w:hAnsi="宋体" w:cs="宋体" w:eastAsia="宋体" w:hint="default"/>
        </w:rPr>
        <w:t>2020</w:t>
      </w:r>
      <w:r>
        <w:rPr>
          <w:rFonts w:ascii="宋体" w:hAnsi="宋体" w:cs="宋体" w:eastAsia="宋体" w:hint="default"/>
          <w:spacing w:val="-36"/>
        </w:rPr>
        <w:t> </w:t>
      </w:r>
      <w:r>
        <w:rPr/>
        <w:t>年全国城市、农村供电可靠率分别达到</w:t>
      </w:r>
      <w:r>
        <w:rPr>
          <w:spacing w:val="-33"/>
        </w:rPr>
        <w:t> </w:t>
      </w:r>
      <w:r>
        <w:rPr>
          <w:rFonts w:ascii="宋体" w:hAnsi="宋体" w:cs="宋体" w:eastAsia="宋体" w:hint="default"/>
        </w:rPr>
        <w:t>99.9%</w:t>
      </w:r>
      <w:r>
        <w:rPr/>
        <w:t>、</w:t>
      </w:r>
      <w:r>
        <w:rPr>
          <w:w w:val="100"/>
        </w:rPr>
        <w:t> </w:t>
      </w:r>
      <w:r>
        <w:rPr>
          <w:rFonts w:ascii="宋体" w:hAnsi="宋体" w:cs="宋体" w:eastAsia="宋体" w:hint="default"/>
          <w:spacing w:val="-3"/>
        </w:rPr>
        <w:t>99.72%</w:t>
      </w:r>
      <w:r>
        <w:rPr>
          <w:spacing w:val="-3"/>
        </w:rPr>
        <w:t>，综合电压合格率分别达到</w:t>
      </w:r>
      <w:r>
        <w:rPr>
          <w:spacing w:val="-47"/>
        </w:rPr>
        <w:t> </w:t>
      </w:r>
      <w:r>
        <w:rPr>
          <w:rFonts w:ascii="宋体" w:hAnsi="宋体" w:cs="宋体" w:eastAsia="宋体" w:hint="default"/>
          <w:spacing w:val="-6"/>
        </w:rPr>
        <w:t>98.79%</w:t>
      </w:r>
      <w:r>
        <w:rPr>
          <w:spacing w:val="-6"/>
        </w:rPr>
        <w:t>、</w:t>
      </w:r>
      <w:r>
        <w:rPr>
          <w:rFonts w:ascii="宋体" w:hAnsi="宋体" w:cs="宋体" w:eastAsia="宋体" w:hint="default"/>
          <w:spacing w:val="-6"/>
        </w:rPr>
        <w:t>97%</w:t>
      </w:r>
      <w:r>
        <w:rPr>
          <w:spacing w:val="-6"/>
        </w:rPr>
        <w:t>。随着国网公司</w:t>
      </w:r>
      <w:r>
        <w:rPr>
          <w:spacing w:val="-47"/>
        </w:rPr>
        <w:t> </w:t>
      </w:r>
      <w:r>
        <w:rPr>
          <w:rFonts w:ascii="宋体" w:hAnsi="宋体" w:cs="宋体" w:eastAsia="宋体" w:hint="default"/>
        </w:rPr>
        <w:t>2019</w:t>
      </w:r>
      <w:r>
        <w:rPr>
          <w:rFonts w:ascii="宋体" w:hAnsi="宋体" w:cs="宋体" w:eastAsia="宋体" w:hint="default"/>
          <w:spacing w:val="-48"/>
        </w:rPr>
        <w:t> </w:t>
      </w:r>
      <w:r>
        <w:rPr/>
        <w:t>年</w:t>
      </w:r>
      <w:r>
        <w:rPr>
          <w:spacing w:val="-50"/>
        </w:rPr>
        <w:t> </w:t>
      </w:r>
      <w:r>
        <w:rPr>
          <w:rFonts w:ascii="宋体" w:hAnsi="宋体" w:cs="宋体" w:eastAsia="宋体" w:hint="default"/>
        </w:rPr>
        <w:t>12</w:t>
      </w:r>
      <w:r>
        <w:rPr>
          <w:rFonts w:ascii="宋体" w:hAnsi="宋体" w:cs="宋体" w:eastAsia="宋体" w:hint="default"/>
          <w:spacing w:val="-48"/>
        </w:rPr>
        <w:t> </w:t>
      </w:r>
      <w:r>
        <w:rPr/>
        <w:t>月发布的</w:t>
      </w:r>
      <w:r>
        <w:rPr>
          <w:spacing w:val="-48"/>
        </w:rPr>
        <w:t> </w:t>
      </w:r>
      <w:r>
        <w:rPr>
          <w:rFonts w:ascii="宋体" w:hAnsi="宋体" w:cs="宋体" w:eastAsia="宋体" w:hint="default"/>
        </w:rPr>
        <w:t>826</w:t>
      </w:r>
      <w:r>
        <w:rPr>
          <w:rFonts w:ascii="宋体" w:hAnsi="宋体" w:cs="宋体" w:eastAsia="宋体" w:hint="default"/>
          <w:spacing w:val="-49"/>
        </w:rPr>
        <w:t> </w:t>
      </w:r>
      <w:r>
        <w:rPr>
          <w:spacing w:val="-11"/>
        </w:rPr>
        <w:t>号文《关</w:t>
      </w:r>
      <w:r>
        <w:rPr>
          <w:spacing w:val="-92"/>
        </w:rPr>
        <w:t> </w:t>
      </w:r>
      <w:r>
        <w:rPr>
          <w:spacing w:val="-92"/>
        </w:rPr>
      </w:r>
      <w:r>
        <w:rPr/>
        <w:t>于进一步严格控制电网投资的通知》，大规模电网投资时代正在过去，未来几年以电力物联网为</w:t>
      </w:r>
      <w:r>
        <w:rPr>
          <w:spacing w:val="-96"/>
        </w:rPr>
        <w:t> </w:t>
      </w:r>
      <w:r>
        <w:rPr>
          <w:spacing w:val="-96"/>
        </w:rPr>
      </w:r>
      <w:r>
        <w:rPr/>
        <w:t>标志的电网信息化建设时代即将来临。</w:t>
      </w:r>
      <w:r>
        <w:rPr>
          <w:rFonts w:ascii="宋体" w:hAnsi="宋体" w:cs="宋体" w:eastAsia="宋体" w:hint="default"/>
        </w:rPr>
        <w:t> </w:t>
      </w:r>
    </w:p>
    <w:p>
      <w:pPr>
        <w:pStyle w:val="BodyText"/>
        <w:spacing w:line="272" w:lineRule="exact"/>
        <w:ind w:left="557" w:right="102"/>
        <w:jc w:val="left"/>
        <w:rPr>
          <w:rFonts w:ascii="宋体" w:hAnsi="宋体" w:cs="宋体" w:eastAsia="宋体" w:hint="default"/>
        </w:rPr>
      </w:pPr>
      <w:r>
        <w:rPr>
          <w:rFonts w:ascii="宋体" w:hAnsi="宋体" w:cs="宋体" w:eastAsia="宋体" w:hint="default"/>
        </w:rPr>
        <w:t>2</w:t>
      </w:r>
      <w:r>
        <w:rPr/>
        <w:t>、公司所处行业的竞争格局</w:t>
      </w:r>
      <w:r>
        <w:rPr>
          <w:rFonts w:ascii="宋体" w:hAnsi="宋体" w:cs="宋体" w:eastAsia="宋体" w:hint="default"/>
          <w:spacing w:val="-3"/>
        </w:rPr>
        <w:t> </w:t>
      </w:r>
      <w:r>
        <w:rPr>
          <w:rFonts w:ascii="宋体" w:hAnsi="宋体" w:cs="宋体" w:eastAsia="宋体" w:hint="default"/>
        </w:rPr>
        <w:t> </w:t>
      </w:r>
    </w:p>
    <w:p>
      <w:pPr>
        <w:pStyle w:val="BodyText"/>
        <w:spacing w:line="237" w:lineRule="auto"/>
        <w:ind w:left="557" w:right="564"/>
        <w:jc w:val="left"/>
        <w:rPr>
          <w:rFonts w:ascii="宋体" w:hAnsi="宋体" w:cs="宋体" w:eastAsia="宋体" w:hint="default"/>
        </w:rPr>
      </w:pPr>
      <w:r>
        <w:rPr>
          <w:rFonts w:ascii="宋体" w:hAnsi="宋体" w:cs="宋体" w:eastAsia="宋体" w:hint="default"/>
        </w:rPr>
        <w:t>2.1</w:t>
      </w:r>
      <w:r>
        <w:rPr>
          <w:rFonts w:ascii="宋体" w:hAnsi="宋体" w:cs="宋体" w:eastAsia="宋体" w:hint="default"/>
          <w:spacing w:val="-1"/>
        </w:rPr>
        <w:t> </w:t>
      </w:r>
      <w:r>
        <w:rPr/>
        <w:t>军工装备产业</w:t>
      </w:r>
      <w:r>
        <w:rPr>
          <w:rFonts w:ascii="宋体" w:hAnsi="宋体" w:cs="宋体" w:eastAsia="宋体" w:hint="default"/>
          <w:spacing w:val="-3"/>
          <w:w w:val="100"/>
        </w:rPr>
        <w:t> </w:t>
      </w:r>
      <w:r>
        <w:rPr>
          <w:rFonts w:ascii="宋体" w:hAnsi="宋体" w:cs="宋体" w:eastAsia="宋体" w:hint="default"/>
          <w:w w:val="100"/>
        </w:rPr>
        <w:t> </w:t>
      </w:r>
      <w:r>
        <w:rPr/>
        <w:t>公司军工装备产业主要包括车载通信指挥系统、舰载作战辅助系统、军用电站等。</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2.1.1</w:t>
      </w:r>
      <w:r>
        <w:rPr>
          <w:rFonts w:ascii="宋体" w:hAnsi="宋体" w:cs="宋体" w:eastAsia="宋体" w:hint="default"/>
          <w:spacing w:val="-2"/>
        </w:rPr>
        <w:t> </w:t>
      </w:r>
      <w:r>
        <w:rPr/>
        <w:t>车载通信指挥系统</w:t>
      </w:r>
      <w:r>
        <w:rPr>
          <w:rFonts w:ascii="宋体" w:hAnsi="宋体" w:cs="宋体" w:eastAsia="宋体" w:hint="default"/>
        </w:rPr>
        <w:t> </w:t>
      </w:r>
    </w:p>
    <w:p>
      <w:pPr>
        <w:pStyle w:val="BodyText"/>
        <w:spacing w:line="237" w:lineRule="auto" w:before="1"/>
        <w:ind w:right="209" w:firstLine="420"/>
        <w:jc w:val="both"/>
        <w:rPr>
          <w:rFonts w:ascii="宋体" w:hAnsi="宋体" w:cs="宋体" w:eastAsia="宋体" w:hint="default"/>
        </w:rPr>
      </w:pPr>
      <w:r>
        <w:rPr>
          <w:spacing w:val="-2"/>
        </w:rPr>
        <w:t>车载通信指挥系统主要是指用于军用移动通信指挥的各类车载通信指挥产品及军用特种改装</w:t>
      </w:r>
      <w:r>
        <w:rPr>
          <w:w w:val="100"/>
        </w:rPr>
        <w:t> </w:t>
      </w:r>
      <w:r>
        <w:rPr>
          <w:spacing w:val="-6"/>
          <w:w w:val="100"/>
        </w:rPr>
        <w:t>车辆。目前国内主要参与企业分别是央企军工集团子公司、部队直属企业以及其他少数民营企业。</w:t>
      </w:r>
      <w:r>
        <w:rPr>
          <w:w w:val="100"/>
        </w:rPr>
        <w:t> </w:t>
      </w:r>
      <w:r>
        <w:rPr>
          <w:spacing w:val="-1"/>
        </w:rPr>
        <w:t>其中江苏捷诚、鹤壁天海电子与本公司等少数几家企业占据多数市场份额。相比竞争对手，公司</w:t>
      </w:r>
      <w:r>
        <w:rPr>
          <w:spacing w:val="-55"/>
        </w:rPr>
        <w:t> </w:t>
      </w:r>
      <w:r>
        <w:rPr>
          <w:spacing w:val="-55"/>
        </w:rPr>
      </w:r>
      <w:r>
        <w:rPr>
          <w:spacing w:val="-1"/>
        </w:rPr>
        <w:t>凭借产品性能及服务优势在产品型号和业务规模上居于行业前列，先后承接了一大批国家级的军</w:t>
      </w:r>
      <w:r>
        <w:rPr>
          <w:spacing w:val="-55"/>
        </w:rPr>
        <w:t> </w:t>
      </w:r>
      <w:r>
        <w:rPr>
          <w:spacing w:val="-55"/>
        </w:rPr>
      </w:r>
      <w:r>
        <w:rPr>
          <w:spacing w:val="-1"/>
        </w:rPr>
        <w:t>工科研生产（配套）任务，填补了多项国内空白。报告期内，公司先后完成多个型号产品军方鉴</w:t>
      </w:r>
      <w:r>
        <w:rPr>
          <w:spacing w:val="-55"/>
        </w:rPr>
        <w:t> </w:t>
      </w:r>
      <w:r>
        <w:rPr>
          <w:spacing w:val="-55"/>
        </w:rPr>
      </w:r>
      <w:r>
        <w:rPr>
          <w:spacing w:val="-1"/>
        </w:rPr>
        <w:t>定，巩固了行业领先地位。未来，该类业务更多的压力将来自在武器装备信息化发展提速、装备</w:t>
      </w:r>
      <w:r>
        <w:rPr>
          <w:spacing w:val="-55"/>
        </w:rPr>
        <w:t> </w:t>
      </w:r>
      <w:r>
        <w:rPr>
          <w:spacing w:val="-55"/>
        </w:rPr>
      </w:r>
      <w:r>
        <w:rPr/>
        <w:t>升级换代加快的情况下，技术创新能力是否满足武器装备技术加速更新的要求。</w:t>
      </w:r>
      <w:r>
        <w:rPr>
          <w:rFonts w:ascii="宋体" w:hAnsi="宋体" w:cs="宋体" w:eastAsia="宋体" w:hint="default"/>
        </w:rPr>
        <w:t> </w:t>
      </w:r>
    </w:p>
    <w:p>
      <w:pPr>
        <w:pStyle w:val="BodyText"/>
        <w:spacing w:line="237" w:lineRule="auto" w:before="2"/>
        <w:ind w:right="209" w:firstLine="420"/>
        <w:jc w:val="both"/>
        <w:rPr>
          <w:rFonts w:ascii="宋体" w:hAnsi="宋体" w:cs="宋体" w:eastAsia="宋体" w:hint="default"/>
        </w:rPr>
      </w:pPr>
      <w:r>
        <w:rPr>
          <w:spacing w:val="-2"/>
        </w:rPr>
        <w:t>公司一方面将加强技术创新，开发适应信息化作战要求的新产品，重点开展智能控制、轻量</w:t>
      </w:r>
      <w:r>
        <w:rPr>
          <w:w w:val="100"/>
        </w:rPr>
        <w:t> </w:t>
      </w:r>
      <w:r>
        <w:rPr>
          <w:spacing w:val="-1"/>
        </w:rPr>
        <w:t>化、隐身及高效电磁屏蔽等方面关键技术的攻关。另一方面，积极利用外部合作，通过技术引进</w:t>
      </w:r>
      <w:r>
        <w:rPr>
          <w:spacing w:val="-55"/>
        </w:rPr>
        <w:t> </w:t>
      </w:r>
      <w:r>
        <w:rPr>
          <w:spacing w:val="-55"/>
        </w:rPr>
      </w:r>
      <w:r>
        <w:rPr>
          <w:spacing w:val="-1"/>
        </w:rPr>
        <w:t>及投资并购等机会，向产业链上游拓展，力争在新型通信整机、系统领域获得突破，逐步向高附</w:t>
      </w:r>
      <w:r>
        <w:rPr>
          <w:spacing w:val="-55"/>
        </w:rPr>
        <w:t> </w:t>
      </w:r>
      <w:r>
        <w:rPr>
          <w:spacing w:val="-55"/>
        </w:rPr>
      </w:r>
      <w:r>
        <w:rPr/>
        <w:t>加值的“集成化、智能化、模块化、小型化、高机动”通信指挥系统企业转型。</w:t>
      </w:r>
      <w:r>
        <w:rPr>
          <w:rFonts w:ascii="宋体" w:hAnsi="宋体" w:cs="宋体" w:eastAsia="宋体" w:hint="default"/>
        </w:rPr>
        <w:t> </w:t>
      </w:r>
    </w:p>
    <w:p>
      <w:pPr>
        <w:pStyle w:val="BodyText"/>
        <w:spacing w:line="272" w:lineRule="exact" w:before="26"/>
        <w:ind w:left="557" w:right="102"/>
        <w:jc w:val="left"/>
      </w:pPr>
      <w:r>
        <w:rPr>
          <w:rFonts w:ascii="宋体" w:hAnsi="宋体" w:cs="宋体" w:eastAsia="宋体" w:hint="default"/>
        </w:rPr>
        <w:t>2.1.2</w:t>
      </w:r>
      <w:r>
        <w:rPr>
          <w:rFonts w:ascii="宋体" w:hAnsi="宋体" w:cs="宋体" w:eastAsia="宋体" w:hint="default"/>
          <w:spacing w:val="-3"/>
        </w:rPr>
        <w:t> </w:t>
      </w:r>
      <w:r>
        <w:rPr/>
        <w:t>舰载作战辅助系统</w:t>
      </w:r>
      <w:r>
        <w:rPr>
          <w:rFonts w:ascii="宋体" w:hAnsi="宋体" w:cs="宋体" w:eastAsia="宋体" w:hint="default"/>
          <w:w w:val="100"/>
        </w:rPr>
        <w:t> </w:t>
      </w:r>
      <w:r>
        <w:rPr>
          <w:spacing w:val="-2"/>
        </w:rPr>
        <w:t>舰载作战辅助系统是海军舰艇的重要子系统，公司主要提供其中的综合监视设备、业务终端</w:t>
      </w:r>
    </w:p>
    <w:p>
      <w:pPr>
        <w:pStyle w:val="BodyText"/>
        <w:spacing w:line="272" w:lineRule="exact" w:before="1"/>
        <w:ind w:right="209"/>
        <w:jc w:val="both"/>
      </w:pPr>
      <w:r>
        <w:rPr>
          <w:spacing w:val="-6"/>
        </w:rPr>
        <w:t>等产品，是舰载作战指挥系统中重要的型号产品。由于作战系统涉密等级高、技术要求高等特点，</w:t>
      </w:r>
      <w:r>
        <w:rPr>
          <w:spacing w:val="-54"/>
        </w:rPr>
        <w:t> </w:t>
      </w:r>
      <w:r>
        <w:rPr>
          <w:spacing w:val="-54"/>
        </w:rPr>
      </w:r>
      <w:r>
        <w:rPr>
          <w:spacing w:val="-6"/>
          <w:w w:val="100"/>
        </w:rPr>
        <w:t>参与该细分领域的企业较少，主要以军工科研院所为主，公司是参与该领域的少数民营企业之一，</w:t>
      </w:r>
    </w:p>
    <w:p>
      <w:pPr>
        <w:pStyle w:val="BodyText"/>
        <w:spacing w:line="272" w:lineRule="exact" w:before="1"/>
        <w:ind w:right="209"/>
        <w:jc w:val="both"/>
      </w:pPr>
      <w:r>
        <w:rPr>
          <w:spacing w:val="-1"/>
        </w:rPr>
        <w:t>是海军细分领域重要供应商。公司在综合监视设备等细分领域处于领先地位，同类产品竞争对手</w:t>
      </w:r>
      <w:r>
        <w:rPr>
          <w:spacing w:val="-55"/>
        </w:rPr>
        <w:t> </w:t>
      </w:r>
      <w:r>
        <w:rPr>
          <w:spacing w:val="-55"/>
        </w:rPr>
      </w:r>
      <w:r>
        <w:rPr>
          <w:spacing w:val="-1"/>
        </w:rPr>
        <w:t>相对较少，且产品均为型号配套产品，盈利能力趋于稳定。面临的主要风险来自于海军相关装备</w:t>
      </w:r>
    </w:p>
    <w:p>
      <w:pPr>
        <w:pStyle w:val="BodyText"/>
        <w:spacing w:line="272" w:lineRule="exact" w:before="1"/>
        <w:ind w:left="557" w:right="102" w:hanging="421"/>
        <w:jc w:val="left"/>
      </w:pPr>
      <w:r>
        <w:rPr/>
        <w:t>建设速度放缓。</w:t>
      </w:r>
      <w:r>
        <w:rPr>
          <w:rFonts w:ascii="宋体" w:hAnsi="宋体" w:cs="宋体" w:eastAsia="宋体" w:hint="default"/>
          <w:w w:val="100"/>
        </w:rPr>
        <w:t> </w:t>
      </w:r>
      <w:r>
        <w:rPr>
          <w:spacing w:val="-2"/>
        </w:rPr>
        <w:t>公司将持续关注部队需求，重点跟进总体型号研制，确保海军现有型号和新研型号的稳定配</w:t>
      </w:r>
    </w:p>
    <w:p>
      <w:pPr>
        <w:pStyle w:val="BodyText"/>
        <w:spacing w:line="272" w:lineRule="exact" w:before="2"/>
        <w:ind w:right="209"/>
        <w:jc w:val="both"/>
      </w:pPr>
      <w:r>
        <w:rPr>
          <w:spacing w:val="-1"/>
        </w:rPr>
        <w:t>套，继续保持在该领域的竞争优势。同时加大研发投入，拓展产品系列，积极推动激光雷达等新</w:t>
      </w:r>
      <w:r>
        <w:rPr>
          <w:spacing w:val="-55"/>
        </w:rPr>
        <w:t> </w:t>
      </w:r>
      <w:r>
        <w:rPr>
          <w:spacing w:val="-55"/>
        </w:rPr>
      </w:r>
      <w:r>
        <w:rPr>
          <w:spacing w:val="-1"/>
        </w:rPr>
        <w:t>产品定型列装。此外，公司还将利用军改契机，积极开拓维修维保市场，不断扩大海军装备综合</w:t>
      </w:r>
    </w:p>
    <w:p>
      <w:pPr>
        <w:pStyle w:val="BodyText"/>
        <w:spacing w:line="272" w:lineRule="exact" w:before="1"/>
        <w:ind w:left="557" w:right="4345" w:hanging="421"/>
        <w:jc w:val="left"/>
        <w:rPr>
          <w:rFonts w:ascii="宋体" w:hAnsi="宋体" w:cs="宋体" w:eastAsia="宋体" w:hint="default"/>
        </w:rPr>
      </w:pPr>
      <w:r>
        <w:rPr/>
        <w:t>保障市场份额，使其成为公司业绩新的增长点。</w:t>
      </w:r>
      <w:r>
        <w:rPr>
          <w:rFonts w:ascii="宋体" w:hAnsi="宋体" w:cs="宋体" w:eastAsia="宋体" w:hint="default"/>
          <w:w w:val="100"/>
        </w:rPr>
        <w:t> </w:t>
      </w:r>
      <w:r>
        <w:rPr>
          <w:rFonts w:ascii="宋体" w:hAnsi="宋体" w:cs="宋体" w:eastAsia="宋体" w:hint="default"/>
        </w:rPr>
        <w:t>2.1.3</w:t>
      </w:r>
      <w:r>
        <w:rPr>
          <w:rFonts w:ascii="宋体" w:hAnsi="宋体" w:cs="宋体" w:eastAsia="宋体" w:hint="default"/>
          <w:spacing w:val="-1"/>
        </w:rPr>
        <w:t> </w:t>
      </w:r>
      <w:r>
        <w:rPr/>
        <w:t>军用电站</w:t>
      </w:r>
      <w:r>
        <w:rPr>
          <w:rFonts w:ascii="宋体" w:hAnsi="宋体" w:cs="宋体" w:eastAsia="宋体" w:hint="default"/>
        </w:rPr>
        <w:t> </w:t>
      </w:r>
    </w:p>
    <w:p>
      <w:pPr>
        <w:pStyle w:val="BodyText"/>
        <w:spacing w:line="246" w:lineRule="exact"/>
        <w:ind w:right="102" w:firstLine="420"/>
        <w:jc w:val="left"/>
      </w:pPr>
      <w:r>
        <w:rPr/>
        <w:t>军用电站主要指为各军兵种的雷达、导弹、通信装备等提供电力供应的系统，产品包括各类</w:t>
      </w:r>
    </w:p>
    <w:p>
      <w:pPr>
        <w:pStyle w:val="BodyText"/>
        <w:spacing w:line="237" w:lineRule="auto" w:before="2"/>
        <w:ind w:right="209"/>
        <w:jc w:val="both"/>
        <w:rPr>
          <w:rFonts w:ascii="宋体" w:hAnsi="宋体" w:cs="宋体" w:eastAsia="宋体" w:hint="default"/>
        </w:rPr>
      </w:pPr>
      <w:r>
        <w:rPr>
          <w:spacing w:val="-1"/>
        </w:rPr>
        <w:t>固定电站及拖车电站、方舱电站等移动电站。军用电站市场已进入成熟期，行业整体市场规模及</w:t>
      </w:r>
      <w:r>
        <w:rPr>
          <w:spacing w:val="-55"/>
        </w:rPr>
        <w:t> </w:t>
      </w:r>
      <w:r>
        <w:rPr>
          <w:spacing w:val="-55"/>
        </w:rPr>
      </w:r>
      <w:r>
        <w:rPr>
          <w:spacing w:val="-1"/>
        </w:rPr>
        <w:t>毛利水平趋于平稳，行业集中度较高，市场主要参与者为公司、郑州佛光、湖北同发等。相较竞</w:t>
      </w:r>
      <w:r>
        <w:rPr>
          <w:spacing w:val="-54"/>
        </w:rPr>
        <w:t> </w:t>
      </w:r>
      <w:r>
        <w:rPr>
          <w:spacing w:val="-54"/>
        </w:rPr>
      </w:r>
      <w:r>
        <w:rPr>
          <w:spacing w:val="-1"/>
        </w:rPr>
        <w:t>争对手，公司在产品门类、技术水平、市场覆盖率等方面均具有领先优势，凭借供电质量等技术</w:t>
      </w:r>
      <w:r>
        <w:rPr>
          <w:spacing w:val="-55"/>
        </w:rPr>
        <w:t> </w:t>
      </w:r>
      <w:r>
        <w:rPr>
          <w:spacing w:val="-55"/>
        </w:rPr>
      </w:r>
      <w:r>
        <w:rPr>
          <w:spacing w:val="-1"/>
        </w:rPr>
        <w:t>优势在军用雷达装备配套市场和通信车辆、导弹发射车配套市场等对电力品质要求较高的领域中</w:t>
      </w:r>
      <w:r>
        <w:rPr>
          <w:spacing w:val="-55"/>
        </w:rPr>
        <w:t> </w:t>
      </w:r>
      <w:r>
        <w:rPr>
          <w:spacing w:val="-55"/>
        </w:rPr>
      </w:r>
      <w:r>
        <w:rPr>
          <w:spacing w:val="-1"/>
        </w:rPr>
        <w:t>占据主导地位。面临的主要风险是新能源技术、高性能储能等新技术的快速发展对传统市场的冲</w:t>
      </w:r>
      <w:r>
        <w:rPr>
          <w:spacing w:val="-55"/>
        </w:rPr>
        <w:t> </w:t>
      </w:r>
      <w:r>
        <w:rPr>
          <w:spacing w:val="-55"/>
        </w:rPr>
      </w:r>
      <w:r>
        <w:rPr/>
        <w:t>击。</w:t>
      </w:r>
      <w:r>
        <w:rPr>
          <w:rFonts w:ascii="宋体" w:hAnsi="宋体" w:cs="宋体" w:eastAsia="宋体" w:hint="default"/>
        </w:rPr>
        <w:t> </w:t>
      </w:r>
    </w:p>
    <w:p>
      <w:pPr>
        <w:spacing w:after="0" w:line="237" w:lineRule="auto"/>
        <w:jc w:val="both"/>
        <w:rPr>
          <w:rFonts w:ascii="宋体" w:hAnsi="宋体" w:cs="宋体" w:eastAsia="宋体" w:hint="default"/>
        </w:rPr>
        <w:sectPr>
          <w:pgSz w:w="11910" w:h="16840"/>
          <w:pgMar w:header="880" w:footer="1195" w:top="1120" w:bottom="1380" w:left="1140" w:right="1580"/>
        </w:sectPr>
      </w:pPr>
    </w:p>
    <w:p>
      <w:pPr>
        <w:spacing w:line="240" w:lineRule="auto" w:before="11"/>
        <w:rPr>
          <w:rFonts w:ascii="宋体" w:hAnsi="宋体" w:cs="宋体" w:eastAsia="宋体" w:hint="default"/>
          <w:sz w:val="18"/>
          <w:szCs w:val="18"/>
        </w:rPr>
      </w:pPr>
    </w:p>
    <w:p>
      <w:pPr>
        <w:pStyle w:val="BodyText"/>
        <w:spacing w:line="237" w:lineRule="auto" w:before="38"/>
        <w:ind w:right="309" w:firstLine="420"/>
        <w:jc w:val="both"/>
        <w:rPr>
          <w:rFonts w:ascii="宋体" w:hAnsi="宋体" w:cs="宋体" w:eastAsia="宋体" w:hint="default"/>
        </w:rPr>
      </w:pPr>
      <w:r>
        <w:rPr>
          <w:spacing w:val="-2"/>
        </w:rPr>
        <w:t>未来，公司将重点从新能源电站、多能源微电网、全电车辆能源系统、新型高速和高功率密</w:t>
      </w:r>
      <w:r>
        <w:rPr>
          <w:w w:val="100"/>
        </w:rPr>
        <w:t> </w:t>
      </w:r>
      <w:r>
        <w:rPr>
          <w:spacing w:val="-1"/>
        </w:rPr>
        <w:t>度发电机、单兵电源系统、无人化和远程化智能电站等方向展开研发，继续巩固与保持技术领先</w:t>
      </w:r>
      <w:r>
        <w:rPr>
          <w:spacing w:val="-55"/>
        </w:rPr>
        <w:t> </w:t>
      </w:r>
      <w:r>
        <w:rPr>
          <w:spacing w:val="-55"/>
        </w:rPr>
      </w:r>
      <w:r>
        <w:rPr>
          <w:spacing w:val="-1"/>
        </w:rPr>
        <w:t>和规模优势，确保行业领先地位。首先，围绕现有业务，紧盯型号产品促进老市场稳定上量，拓</w:t>
      </w:r>
      <w:r>
        <w:rPr>
          <w:spacing w:val="-55"/>
        </w:rPr>
        <w:t> </w:t>
      </w:r>
      <w:r>
        <w:rPr>
          <w:spacing w:val="-55"/>
        </w:rPr>
      </w:r>
      <w:r>
        <w:rPr>
          <w:spacing w:val="-1"/>
        </w:rPr>
        <w:t>展军贸、军援市场，进一步扩大市场份额；其次，着手新一代电站平台产品的研发，向多能源微</w:t>
      </w:r>
      <w:r>
        <w:rPr>
          <w:spacing w:val="-55"/>
        </w:rPr>
        <w:t> </w:t>
      </w:r>
      <w:r>
        <w:rPr>
          <w:spacing w:val="-55"/>
        </w:rPr>
      </w:r>
      <w:r>
        <w:rPr>
          <w:spacing w:val="-4"/>
        </w:rPr>
        <w:t>电网、发电与供配电一体化、发电与供冷</w:t>
      </w:r>
      <w:r>
        <w:rPr>
          <w:rFonts w:ascii="宋体" w:hAnsi="宋体" w:cs="宋体" w:eastAsia="宋体" w:hint="default"/>
          <w:spacing w:val="-4"/>
        </w:rPr>
        <w:t>/</w:t>
      </w:r>
      <w:r>
        <w:rPr>
          <w:spacing w:val="-4"/>
        </w:rPr>
        <w:t>暖一体化产品扩展，以技术领先占位；第三，关注氢燃</w:t>
      </w:r>
      <w:r>
        <w:rPr>
          <w:spacing w:val="-34"/>
        </w:rPr>
        <w:t> </w:t>
      </w:r>
      <w:r>
        <w:rPr>
          <w:spacing w:val="-34"/>
        </w:rPr>
      </w:r>
      <w:r>
        <w:rPr>
          <w:spacing w:val="-6"/>
        </w:rPr>
        <w:t>料电池等新能源发电产品的发展，着手军用氢能源研发，力争以型号产品为主，辅助竞争性采购，</w:t>
      </w:r>
      <w:r>
        <w:rPr>
          <w:spacing w:val="-54"/>
        </w:rPr>
        <w:t> </w:t>
      </w:r>
      <w:r>
        <w:rPr>
          <w:spacing w:val="-54"/>
        </w:rPr>
      </w:r>
      <w:r>
        <w:rPr/>
        <w:t>实现利润与规模同步增长。</w:t>
      </w:r>
      <w:r>
        <w:rPr>
          <w:rFonts w:ascii="宋体" w:hAnsi="宋体" w:cs="宋体" w:eastAsia="宋体" w:hint="default"/>
        </w:rPr>
        <w:t> </w:t>
      </w:r>
    </w:p>
    <w:p>
      <w:pPr>
        <w:pStyle w:val="BodyText"/>
        <w:spacing w:line="237" w:lineRule="auto"/>
        <w:ind w:left="557" w:right="1504"/>
        <w:jc w:val="left"/>
        <w:rPr>
          <w:rFonts w:ascii="宋体" w:hAnsi="宋体" w:cs="宋体" w:eastAsia="宋体" w:hint="default"/>
        </w:rPr>
      </w:pPr>
      <w:r>
        <w:rPr>
          <w:rFonts w:ascii="宋体" w:hAnsi="宋体" w:cs="宋体" w:eastAsia="宋体" w:hint="default"/>
        </w:rPr>
        <w:t>2.2</w:t>
      </w:r>
      <w:r>
        <w:rPr>
          <w:rFonts w:ascii="宋体" w:hAnsi="宋体" w:cs="宋体" w:eastAsia="宋体" w:hint="default"/>
          <w:spacing w:val="-1"/>
        </w:rPr>
        <w:t> </w:t>
      </w:r>
      <w:r>
        <w:rPr/>
        <w:t>智能电力产业</w:t>
      </w:r>
      <w:r>
        <w:rPr>
          <w:rFonts w:ascii="宋体" w:hAnsi="宋体" w:cs="宋体" w:eastAsia="宋体" w:hint="default"/>
          <w:w w:val="100"/>
        </w:rPr>
        <w:t> </w:t>
      </w:r>
      <w:r>
        <w:rPr/>
        <w:t>公司智能电力产业主要包括智能电网软件及系统、智能应急电源等业务。</w:t>
      </w:r>
      <w:r>
        <w:rPr>
          <w:rFonts w:ascii="宋体" w:hAnsi="宋体" w:cs="宋体" w:eastAsia="宋体" w:hint="default"/>
          <w:w w:val="100"/>
        </w:rPr>
        <w:t> </w:t>
      </w:r>
      <w:r>
        <w:rPr>
          <w:rFonts w:ascii="宋体" w:hAnsi="宋体" w:cs="宋体" w:eastAsia="宋体" w:hint="default"/>
        </w:rPr>
        <w:t>2.2.1</w:t>
      </w:r>
      <w:r>
        <w:rPr>
          <w:rFonts w:ascii="宋体" w:hAnsi="宋体" w:cs="宋体" w:eastAsia="宋体" w:hint="default"/>
          <w:spacing w:val="-1"/>
        </w:rPr>
        <w:t> </w:t>
      </w:r>
      <w:r>
        <w:rPr/>
        <w:t>智能电力软件及系统</w:t>
      </w:r>
      <w:r>
        <w:rPr>
          <w:rFonts w:ascii="宋体" w:hAnsi="宋体" w:cs="宋体" w:eastAsia="宋体" w:hint="default"/>
          <w:spacing w:val="-3"/>
        </w:rPr>
        <w:t> </w:t>
      </w:r>
      <w:r>
        <w:rPr>
          <w:rFonts w:ascii="宋体" w:hAnsi="宋体" w:cs="宋体" w:eastAsia="宋体" w:hint="default"/>
        </w:rPr>
        <w:t> </w:t>
      </w:r>
    </w:p>
    <w:p>
      <w:pPr>
        <w:pStyle w:val="BodyText"/>
        <w:spacing w:line="237" w:lineRule="auto" w:before="1"/>
        <w:ind w:right="308" w:firstLine="420"/>
        <w:jc w:val="both"/>
        <w:rPr>
          <w:rFonts w:ascii="宋体" w:hAnsi="宋体" w:cs="宋体" w:eastAsia="宋体" w:hint="default"/>
        </w:rPr>
      </w:pPr>
      <w:r>
        <w:rPr>
          <w:spacing w:val="-2"/>
        </w:rPr>
        <w:t>在智能电网方面，公司一直深耕电力调度和运检系统信息化的细分市场，提供各类软件产品</w:t>
      </w:r>
      <w:r>
        <w:rPr>
          <w:w w:val="100"/>
        </w:rPr>
        <w:t> </w:t>
      </w:r>
      <w:r>
        <w:rPr>
          <w:spacing w:val="-6"/>
        </w:rPr>
        <w:t>及相应的系统集成。该市场具有准入门槛高、集中度高、行业企业盈利能力强等特点。国电南瑞、</w:t>
      </w:r>
      <w:r>
        <w:rPr>
          <w:spacing w:val="-54"/>
        </w:rPr>
        <w:t> </w:t>
      </w:r>
      <w:r>
        <w:rPr>
          <w:spacing w:val="-54"/>
        </w:rPr>
      </w:r>
      <w:r>
        <w:rPr>
          <w:spacing w:val="-1"/>
        </w:rPr>
        <w:t>科东电力及本公司是该市场的主要参与方，公司在国内各省调、地调市场上处于领先地位，主要</w:t>
      </w:r>
      <w:r>
        <w:rPr>
          <w:spacing w:val="-55"/>
        </w:rPr>
        <w:t> </w:t>
      </w:r>
      <w:r>
        <w:rPr>
          <w:spacing w:val="-55"/>
        </w:rPr>
      </w:r>
      <w:r>
        <w:rPr>
          <w:spacing w:val="-2"/>
          <w:w w:val="100"/>
        </w:rPr>
        <w:t>产品电网调度软件已经占领全国</w:t>
      </w:r>
      <w:r>
        <w:rPr>
          <w:spacing w:val="-47"/>
          <w:w w:val="100"/>
        </w:rPr>
        <w:t> </w:t>
      </w:r>
      <w:r>
        <w:rPr>
          <w:rFonts w:ascii="宋体" w:hAnsi="宋体" w:cs="宋体" w:eastAsia="宋体" w:hint="default"/>
          <w:w w:val="100"/>
        </w:rPr>
        <w:t>17</w:t>
      </w:r>
      <w:r>
        <w:rPr>
          <w:rFonts w:ascii="宋体" w:hAnsi="宋体" w:cs="宋体" w:eastAsia="宋体" w:hint="default"/>
          <w:spacing w:val="-50"/>
          <w:w w:val="100"/>
        </w:rPr>
        <w:t> </w:t>
      </w:r>
      <w:r>
        <w:rPr>
          <w:spacing w:val="-5"/>
          <w:w w:val="100"/>
        </w:rPr>
        <w:t>个省市的电网调度市场。由于智能电网软件及系统业务主要面</w:t>
      </w:r>
      <w:r>
        <w:rPr>
          <w:spacing w:val="-104"/>
          <w:w w:val="100"/>
        </w:rPr>
        <w:t> </w:t>
      </w:r>
      <w:r>
        <w:rPr>
          <w:spacing w:val="-104"/>
          <w:w w:val="100"/>
        </w:rPr>
      </w:r>
      <w:r>
        <w:rPr>
          <w:spacing w:val="-1"/>
        </w:rPr>
        <w:t>向两网提供产品及服务，存在产品更换复杂度高、成本高等特点，市场格局相对稳定。预计未来</w:t>
      </w:r>
      <w:r>
        <w:rPr>
          <w:spacing w:val="-55"/>
        </w:rPr>
        <w:t> </w:t>
      </w:r>
      <w:r>
        <w:rPr>
          <w:spacing w:val="-55"/>
        </w:rPr>
      </w:r>
      <w:r>
        <w:rPr/>
        <w:t>一定时期内，公司智能电网软件及系统业务的市场份额、盈利水平都将较为稳定。</w:t>
      </w:r>
      <w:r>
        <w:rPr>
          <w:rFonts w:ascii="宋体" w:hAnsi="宋体" w:cs="宋体" w:eastAsia="宋体" w:hint="default"/>
        </w:rPr>
        <w:t> </w:t>
      </w:r>
    </w:p>
    <w:p>
      <w:pPr>
        <w:pStyle w:val="BodyText"/>
        <w:spacing w:line="272" w:lineRule="exact" w:before="26"/>
        <w:ind w:right="311" w:firstLine="420"/>
        <w:jc w:val="both"/>
        <w:rPr>
          <w:rFonts w:ascii="宋体" w:hAnsi="宋体" w:cs="宋体" w:eastAsia="宋体" w:hint="default"/>
        </w:rPr>
      </w:pPr>
      <w:r>
        <w:rPr>
          <w:spacing w:val="-2"/>
        </w:rPr>
        <w:t>公司将一方面深耕市场，巩固现有的市场份额；另一方面结合电力物联网的发展趋势，逐步</w:t>
      </w:r>
      <w:r>
        <w:rPr>
          <w:w w:val="100"/>
        </w:rPr>
        <w:t> </w:t>
      </w:r>
      <w:r>
        <w:rPr/>
        <w:t>开发包括电网调控云、源网荷储调度控制、配电物联管理、输变电物联管控等一系列新产品。</w:t>
      </w:r>
      <w:r>
        <w:rPr>
          <w:rFonts w:ascii="宋体" w:hAnsi="宋体" w:cs="宋体" w:eastAsia="宋体" w:hint="default"/>
        </w:rPr>
        <w:t> </w:t>
      </w:r>
    </w:p>
    <w:p>
      <w:pPr>
        <w:pStyle w:val="BodyText"/>
        <w:spacing w:line="272" w:lineRule="exact" w:before="1"/>
        <w:ind w:right="308" w:firstLine="420"/>
        <w:jc w:val="both"/>
      </w:pPr>
      <w:r>
        <w:rPr>
          <w:spacing w:val="-2"/>
        </w:rPr>
        <w:t>在综合能源服务领域，公司作为行业的早期进入者，经过近年来的探索与积累，将主要业务</w:t>
      </w:r>
      <w:r>
        <w:rPr>
          <w:w w:val="100"/>
        </w:rPr>
        <w:t> </w:t>
      </w:r>
      <w:r>
        <w:rPr>
          <w:spacing w:val="-6"/>
        </w:rPr>
        <w:t>聚焦在能效管理平台、电力交易业务等方面。能效管理平台业务面向重点高耗能企业、商业楼宇、</w:t>
      </w:r>
    </w:p>
    <w:p>
      <w:pPr>
        <w:pStyle w:val="BodyText"/>
        <w:spacing w:line="272" w:lineRule="exact" w:before="1"/>
        <w:ind w:right="308"/>
        <w:jc w:val="both"/>
      </w:pPr>
      <w:r>
        <w:rPr>
          <w:spacing w:val="-1"/>
        </w:rPr>
        <w:t>园区等客户，以云托管的形式提供全生命周期能效管理服务，形成“硬件设备</w:t>
      </w:r>
      <w:r>
        <w:rPr>
          <w:rFonts w:ascii="宋体" w:hAnsi="宋体" w:cs="宋体" w:eastAsia="宋体" w:hint="default"/>
          <w:spacing w:val="-1"/>
        </w:rPr>
        <w:t>+</w:t>
      </w:r>
      <w:r>
        <w:rPr>
          <w:spacing w:val="-1"/>
        </w:rPr>
        <w:t>云能效平台</w:t>
      </w:r>
      <w:r>
        <w:rPr>
          <w:rFonts w:ascii="宋体" w:hAnsi="宋体" w:cs="宋体" w:eastAsia="宋体" w:hint="default"/>
          <w:spacing w:val="-1"/>
        </w:rPr>
        <w:t>+</w:t>
      </w:r>
      <w:r>
        <w:rPr>
          <w:spacing w:val="-1"/>
        </w:rPr>
        <w:t>节能</w:t>
      </w:r>
      <w:r>
        <w:rPr>
          <w:spacing w:val="-54"/>
        </w:rPr>
        <w:t> </w:t>
      </w:r>
      <w:r>
        <w:rPr>
          <w:spacing w:val="-1"/>
        </w:rPr>
        <w:t>咨询服务”闭环服务体系。除本公司外，目前国内该行业的主要参与方有安科瑞、林洋能源、远</w:t>
      </w:r>
      <w:r>
        <w:rPr>
          <w:spacing w:val="-54"/>
        </w:rPr>
        <w:t> </w:t>
      </w:r>
      <w:r>
        <w:rPr>
          <w:spacing w:val="-54"/>
        </w:rPr>
      </w:r>
      <w:r>
        <w:rPr>
          <w:spacing w:val="-1"/>
        </w:rPr>
        <w:t>景能源等；电力交易业务主要为发</w:t>
      </w:r>
      <w:r>
        <w:rPr>
          <w:rFonts w:ascii="宋体" w:hAnsi="宋体" w:cs="宋体" w:eastAsia="宋体" w:hint="default"/>
          <w:spacing w:val="-1"/>
        </w:rPr>
        <w:t>/</w:t>
      </w:r>
      <w:r>
        <w:rPr>
          <w:spacing w:val="-1"/>
        </w:rPr>
        <w:t>售电客户提供发</w:t>
      </w:r>
      <w:r>
        <w:rPr>
          <w:rFonts w:ascii="宋体" w:hAnsi="宋体" w:cs="宋体" w:eastAsia="宋体" w:hint="default"/>
          <w:spacing w:val="-1"/>
        </w:rPr>
        <w:t>/</w:t>
      </w:r>
      <w:r>
        <w:rPr>
          <w:spacing w:val="-1"/>
        </w:rPr>
        <w:t>售电侧交易辅助决策、交易仿真平台、售电</w:t>
      </w:r>
    </w:p>
    <w:p>
      <w:pPr>
        <w:pStyle w:val="BodyText"/>
        <w:spacing w:line="272" w:lineRule="exact" w:before="1"/>
        <w:ind w:right="0"/>
        <w:jc w:val="left"/>
      </w:pPr>
      <w:r>
        <w:rPr>
          <w:spacing w:val="-1"/>
        </w:rPr>
        <w:t>云等产品。我国电力交易市场已经开始试点运行，电力现货交易即将开启，但行业整体仍处于起</w:t>
      </w:r>
      <w:r>
        <w:rPr>
          <w:spacing w:val="-54"/>
        </w:rPr>
        <w:t> </w:t>
      </w:r>
      <w:r>
        <w:rPr>
          <w:spacing w:val="-54"/>
        </w:rPr>
      </w:r>
      <w:r>
        <w:rPr>
          <w:spacing w:val="-1"/>
        </w:rPr>
        <w:t>步阶段，尚未形成稳定的市场格局。除本公司外，该行业的主要市场参与方还包括图迹科技、清</w:t>
      </w:r>
    </w:p>
    <w:p>
      <w:pPr>
        <w:pStyle w:val="BodyText"/>
        <w:spacing w:line="272" w:lineRule="exact" w:before="1"/>
        <w:ind w:left="557" w:right="0" w:hanging="421"/>
        <w:jc w:val="left"/>
      </w:pPr>
      <w:r>
        <w:rPr/>
        <w:t>大科越、汇电云联等公司。</w:t>
      </w:r>
      <w:r>
        <w:rPr>
          <w:rFonts w:ascii="宋体" w:hAnsi="宋体" w:cs="宋体" w:eastAsia="宋体" w:hint="default"/>
          <w:w w:val="100"/>
        </w:rPr>
        <w:t> </w:t>
      </w:r>
      <w:r>
        <w:rPr>
          <w:spacing w:val="-2"/>
        </w:rPr>
        <w:t>未来，公司在继续加大产品研发力度，提高现有产品推广速度的同时，紧贴客户需求，基于</w:t>
      </w:r>
    </w:p>
    <w:p>
      <w:pPr>
        <w:pStyle w:val="BodyText"/>
        <w:spacing w:line="272" w:lineRule="exact" w:before="2"/>
        <w:ind w:left="557" w:right="224" w:hanging="421"/>
        <w:jc w:val="left"/>
        <w:rPr>
          <w:rFonts w:ascii="宋体" w:hAnsi="宋体" w:cs="宋体" w:eastAsia="宋体" w:hint="default"/>
        </w:rPr>
      </w:pPr>
      <w:r>
        <w:rPr/>
        <w:t>公司在底层平台及产品方面的技术优势，丰富公司产品种类，逐步介入电力物联网相关领域。</w:t>
      </w:r>
      <w:r>
        <w:rPr>
          <w:rFonts w:ascii="宋体" w:hAnsi="宋体" w:cs="宋体" w:eastAsia="宋体" w:hint="default"/>
          <w:w w:val="100"/>
        </w:rPr>
        <w:t> </w:t>
      </w:r>
      <w:r>
        <w:rPr>
          <w:rFonts w:ascii="宋体" w:hAnsi="宋体" w:cs="宋体" w:eastAsia="宋体" w:hint="default"/>
        </w:rPr>
        <w:t>2.2.2</w:t>
      </w:r>
      <w:r>
        <w:rPr>
          <w:rFonts w:ascii="宋体" w:hAnsi="宋体" w:cs="宋体" w:eastAsia="宋体" w:hint="default"/>
          <w:spacing w:val="-2"/>
        </w:rPr>
        <w:t> </w:t>
      </w:r>
      <w:r>
        <w:rPr/>
        <w:t>智能应急电源</w:t>
      </w:r>
      <w:r>
        <w:rPr>
          <w:rFonts w:ascii="宋体" w:hAnsi="宋体" w:cs="宋体" w:eastAsia="宋体" w:hint="default"/>
        </w:rPr>
        <w:t> </w:t>
      </w:r>
    </w:p>
    <w:p>
      <w:pPr>
        <w:pStyle w:val="BodyText"/>
        <w:spacing w:line="272" w:lineRule="exact" w:before="1"/>
        <w:ind w:right="309" w:firstLine="420"/>
        <w:jc w:val="both"/>
      </w:pPr>
      <w:r>
        <w:rPr>
          <w:spacing w:val="-2"/>
        </w:rPr>
        <w:t>智能应急电源是为数据中心、石化、银行、金融等对电力安全要求较高的行业提供应急及备</w:t>
      </w:r>
      <w:r>
        <w:rPr>
          <w:w w:val="100"/>
        </w:rPr>
        <w:t> </w:t>
      </w:r>
      <w:r>
        <w:rPr>
          <w:spacing w:val="-1"/>
        </w:rPr>
        <w:t>用电力供应的装备，公司主要为上述行业提供各类固定、移动应急电源产品。该行业已进入成熟</w:t>
      </w:r>
    </w:p>
    <w:p>
      <w:pPr>
        <w:pStyle w:val="BodyText"/>
        <w:spacing w:line="272" w:lineRule="exact" w:before="1"/>
        <w:ind w:right="0"/>
        <w:jc w:val="left"/>
      </w:pPr>
      <w:r>
        <w:rPr/>
        <w:t>期，整体格局较为稳定。康明斯、卡特彼勒、威尔信、科勒等欧美企业处于行业第一梯队，主导</w:t>
      </w:r>
      <w:r>
        <w:rPr>
          <w:spacing w:val="-97"/>
        </w:rPr>
        <w:t> </w:t>
      </w:r>
      <w:r>
        <w:rPr>
          <w:spacing w:val="-97"/>
        </w:rPr>
      </w:r>
      <w:r>
        <w:rPr/>
        <w:t>着高端市场。本公司与科泰电源、广东威能等十余家国内专业整机生产企业处于第二梯队，公司</w:t>
      </w:r>
    </w:p>
    <w:p>
      <w:pPr>
        <w:pStyle w:val="BodyText"/>
        <w:spacing w:line="272" w:lineRule="exact" w:before="1"/>
        <w:ind w:right="0"/>
        <w:jc w:val="left"/>
      </w:pPr>
      <w:r>
        <w:rPr>
          <w:spacing w:val="-4"/>
        </w:rPr>
        <w:t>在第二梯队中保持领先地位。</w:t>
      </w:r>
      <w:r>
        <w:rPr>
          <w:rFonts w:ascii="宋体" w:hAnsi="宋体" w:cs="宋体" w:eastAsia="宋体" w:hint="default"/>
          <w:spacing w:val="-4"/>
        </w:rPr>
        <w:t>2019</w:t>
      </w:r>
      <w:r>
        <w:rPr>
          <w:rFonts w:ascii="宋体" w:hAnsi="宋体" w:cs="宋体" w:eastAsia="宋体" w:hint="default"/>
          <w:spacing w:val="-40"/>
        </w:rPr>
        <w:t> </w:t>
      </w:r>
      <w:r>
        <w:rPr/>
        <w:t>年公司智能应急电源业务在国内中高端市场继续占据领先地位，</w:t>
      </w:r>
      <w:r>
        <w:rPr>
          <w:spacing w:val="-100"/>
        </w:rPr>
        <w:t> </w:t>
      </w:r>
      <w:r>
        <w:rPr>
          <w:spacing w:val="-100"/>
        </w:rPr>
      </w:r>
      <w:r>
        <w:rPr/>
        <w:t>且已逐渐向高端市场领域延伸，与公司形成直接竞争的主要厂商有：卡特彼勒、科勒、科泰电源</w:t>
      </w:r>
    </w:p>
    <w:p>
      <w:pPr>
        <w:pStyle w:val="BodyText"/>
        <w:spacing w:line="247" w:lineRule="exact"/>
        <w:ind w:right="0"/>
        <w:jc w:val="left"/>
        <w:rPr>
          <w:rFonts w:ascii="宋体" w:hAnsi="宋体" w:cs="宋体" w:eastAsia="宋体" w:hint="default"/>
        </w:rPr>
      </w:pPr>
      <w:r>
        <w:rPr/>
        <w:t>等。</w:t>
      </w:r>
      <w:r>
        <w:rPr>
          <w:rFonts w:ascii="宋体" w:hAnsi="宋体" w:cs="宋体" w:eastAsia="宋体" w:hint="default"/>
        </w:rPr>
        <w:t> </w:t>
      </w:r>
    </w:p>
    <w:p>
      <w:pPr>
        <w:pStyle w:val="BodyText"/>
        <w:spacing w:line="240" w:lineRule="auto"/>
        <w:ind w:right="311" w:firstLine="420"/>
        <w:jc w:val="both"/>
        <w:rPr>
          <w:rFonts w:ascii="宋体" w:hAnsi="宋体" w:cs="宋体" w:eastAsia="宋体" w:hint="default"/>
          <w:sz w:val="24"/>
          <w:szCs w:val="24"/>
        </w:rPr>
      </w:pPr>
      <w:r>
        <w:rPr>
          <w:spacing w:val="-2"/>
        </w:rPr>
        <w:t>未来，公司将努力保持国内市场领先的优势，并加大海外市场开拓，借助“一带一路”的发</w:t>
      </w:r>
      <w:r>
        <w:rPr>
          <w:w w:val="100"/>
        </w:rPr>
        <w:t> </w:t>
      </w:r>
      <w:r>
        <w:rPr/>
        <w:t>展机遇，进一步提升公司品牌的国际影响力。</w:t>
      </w:r>
      <w:r>
        <w:rPr>
          <w:rFonts w:ascii="宋体" w:hAnsi="宋体" w:cs="宋体" w:eastAsia="宋体" w:hint="default"/>
          <w:sz w:val="24"/>
          <w:szCs w:val="24"/>
        </w:rPr>
        <w:t>  </w:t>
      </w:r>
      <w:r>
        <w:rPr>
          <w:rFonts w:ascii="宋体" w:hAnsi="宋体" w:cs="宋体" w:eastAsia="宋体" w:hint="default"/>
          <w:spacing w:val="-3"/>
          <w:sz w:val="24"/>
          <w:szCs w:val="24"/>
        </w:rPr>
        <w:t> </w:t>
      </w:r>
      <w:r>
        <w:rPr>
          <w:rFonts w:ascii="宋体" w:hAnsi="宋体" w:cs="宋体" w:eastAsia="宋体" w:hint="default"/>
          <w:sz w:val="24"/>
          <w:szCs w:val="24"/>
        </w:rPr>
        <w:t> </w:t>
      </w:r>
    </w:p>
    <w:p>
      <w:pPr>
        <w:pStyle w:val="Heading5"/>
        <w:spacing w:line="240" w:lineRule="auto" w:before="56"/>
        <w:ind w:left="136" w:right="0"/>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47"/>
        </w:rPr>
        <w:t> </w:t>
      </w:r>
      <w:r>
        <w:rPr/>
        <w:t>公司发展战略</w:t>
      </w:r>
      <w:r>
        <w:rPr>
          <w:b w:val="0"/>
          <w:bCs w:val="0"/>
        </w:rPr>
      </w:r>
    </w:p>
    <w:p>
      <w:pPr>
        <w:pStyle w:val="Heading3"/>
        <w:spacing w:line="240" w:lineRule="auto" w:before="53"/>
        <w:ind w:left="1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1"/>
        <w:ind w:right="309" w:firstLine="480"/>
        <w:jc w:val="both"/>
        <w:rPr>
          <w:rFonts w:ascii="宋体" w:hAnsi="宋体" w:cs="宋体" w:eastAsia="宋体" w:hint="default"/>
        </w:rPr>
      </w:pPr>
      <w:r>
        <w:rPr>
          <w:spacing w:val="-3"/>
        </w:rPr>
        <w:t>公司通过对内外部环境分析及业务梳理，围绕战略发展方向，逐步实施产业结构调整，进一</w:t>
      </w:r>
      <w:r>
        <w:rPr>
          <w:w w:val="100"/>
        </w:rPr>
        <w:t> </w:t>
      </w:r>
      <w:r>
        <w:rPr/>
        <w:t>步聚焦军工装备产业发展，公司未来发展战略为：</w:t>
      </w:r>
      <w:r>
        <w:rPr>
          <w:rFonts w:ascii="宋体" w:hAnsi="宋体" w:cs="宋体" w:eastAsia="宋体" w:hint="default"/>
        </w:rPr>
        <w:t> </w:t>
      </w:r>
    </w:p>
    <w:p>
      <w:pPr>
        <w:pStyle w:val="BodyText"/>
        <w:spacing w:line="237" w:lineRule="auto"/>
        <w:ind w:right="309" w:firstLine="420"/>
        <w:jc w:val="both"/>
        <w:rPr>
          <w:rFonts w:ascii="宋体" w:hAnsi="宋体" w:cs="宋体" w:eastAsia="宋体" w:hint="default"/>
          <w:sz w:val="22"/>
          <w:szCs w:val="22"/>
        </w:rPr>
      </w:pPr>
      <w:r>
        <w:rPr>
          <w:spacing w:val="-2"/>
        </w:rPr>
        <w:t>公司将以军工信息化装备为主赛道，军工能源装备为辅赛道，围绕通信指挥、军用电站等产</w:t>
      </w:r>
      <w:r>
        <w:rPr>
          <w:w w:val="100"/>
        </w:rPr>
        <w:t> </w:t>
      </w:r>
      <w:r>
        <w:rPr>
          <w:spacing w:val="-1"/>
        </w:rPr>
        <w:t>品的研制与服务，内生外延式发展。对内加强技术研发攻关、严控产品质量，提升产品核心竞争</w:t>
      </w:r>
      <w:r>
        <w:rPr>
          <w:spacing w:val="-55"/>
        </w:rPr>
        <w:t> </w:t>
      </w:r>
      <w:r>
        <w:rPr>
          <w:spacing w:val="-55"/>
        </w:rPr>
      </w:r>
      <w:r>
        <w:rPr>
          <w:spacing w:val="-1"/>
        </w:rPr>
        <w:t>力；对外积极开展产业链上下游的外延式并购，整合产业和市场资源，向一流的创新型国防装备</w:t>
      </w:r>
      <w:r>
        <w:rPr>
          <w:spacing w:val="-55"/>
        </w:rPr>
        <w:t> </w:t>
      </w:r>
      <w:r>
        <w:rPr>
          <w:spacing w:val="-55"/>
        </w:rPr>
      </w:r>
      <w:r>
        <w:rPr/>
        <w:t>供应商迈进。</w:t>
      </w:r>
      <w:r>
        <w:rPr>
          <w:rFonts w:ascii="宋体" w:hAnsi="宋体" w:cs="宋体" w:eastAsia="宋体" w:hint="default"/>
          <w:w w:val="100"/>
          <w:sz w:val="22"/>
          <w:szCs w:val="22"/>
        </w:rPr>
        <w:t> </w:t>
      </w:r>
    </w:p>
    <w:p>
      <w:pPr>
        <w:pStyle w:val="Heading3"/>
        <w:spacing w:line="305" w:lineRule="exact"/>
        <w:ind w:left="136" w:right="0"/>
        <w:jc w:val="left"/>
        <w:rPr>
          <w:rFonts w:ascii="宋体" w:hAnsi="宋体" w:cs="宋体" w:eastAsia="宋体" w:hint="default"/>
        </w:rPr>
      </w:pPr>
      <w:r>
        <w:rPr>
          <w:rFonts w:ascii="宋体"/>
        </w:rPr>
        <w:t> </w:t>
      </w:r>
    </w:p>
    <w:p>
      <w:pPr>
        <w:pStyle w:val="Heading5"/>
        <w:spacing w:line="240" w:lineRule="auto"/>
        <w:ind w:left="136" w:right="0"/>
        <w:jc w:val="left"/>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48"/>
        </w:rPr>
        <w:t> </w:t>
      </w:r>
      <w:r>
        <w:rPr/>
        <w:t>经营计划</w:t>
      </w:r>
      <w:r>
        <w:rPr>
          <w:b w:val="0"/>
          <w:bCs w:val="0"/>
        </w:rPr>
      </w:r>
    </w:p>
    <w:p>
      <w:pPr>
        <w:pStyle w:val="Heading3"/>
        <w:spacing w:line="240" w:lineRule="auto" w:before="50"/>
        <w:ind w:left="1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140" w:right="1480"/>
        </w:sectPr>
      </w:pPr>
    </w:p>
    <w:p>
      <w:pPr>
        <w:spacing w:line="240" w:lineRule="auto" w:before="11"/>
        <w:rPr>
          <w:rFonts w:ascii="宋体" w:hAnsi="宋体" w:cs="宋体" w:eastAsia="宋体" w:hint="default"/>
          <w:sz w:val="18"/>
          <w:szCs w:val="18"/>
        </w:rPr>
      </w:pPr>
    </w:p>
    <w:p>
      <w:pPr>
        <w:pStyle w:val="BodyText"/>
        <w:spacing w:line="237" w:lineRule="auto" w:before="38"/>
        <w:ind w:right="109" w:firstLine="480"/>
        <w:jc w:val="both"/>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4"/>
        </w:rPr>
        <w:t> </w:t>
      </w:r>
      <w:r>
        <w:rPr>
          <w:spacing w:val="-5"/>
        </w:rPr>
        <w:t>年，公司在继续坚持“内生外延，创新发展”的工作思路的基础上，将进一步聚焦军工</w:t>
      </w:r>
      <w:r>
        <w:rPr>
          <w:w w:val="100"/>
        </w:rPr>
        <w:t> </w:t>
      </w:r>
      <w:r>
        <w:rPr>
          <w:spacing w:val="-1"/>
        </w:rPr>
        <w:t>装备主业，完善、优化产业结构及布局。对内巩固公司现有产业，剥离或处置非战略性产业及业</w:t>
      </w:r>
      <w:r>
        <w:rPr>
          <w:spacing w:val="-55"/>
        </w:rPr>
        <w:t> </w:t>
      </w:r>
      <w:r>
        <w:rPr>
          <w:spacing w:val="-55"/>
        </w:rPr>
      </w:r>
      <w:r>
        <w:rPr>
          <w:spacing w:val="-1"/>
        </w:rPr>
        <w:t>务，提升公司的盈利能力及核心竞争力。对外加强符合公司战略发展方向的外延式并购，重点将</w:t>
      </w:r>
      <w:r>
        <w:rPr>
          <w:spacing w:val="-55"/>
        </w:rPr>
        <w:t> </w:t>
      </w:r>
      <w:r>
        <w:rPr>
          <w:spacing w:val="-55"/>
        </w:rPr>
      </w:r>
      <w:r>
        <w:rPr/>
        <w:t>做好以下几方面的工作：</w:t>
      </w:r>
      <w:r>
        <w:rPr>
          <w:rFonts w:ascii="宋体" w:hAnsi="宋体" w:cs="宋体" w:eastAsia="宋体" w:hint="default"/>
        </w:rPr>
        <w:t> </w:t>
      </w:r>
    </w:p>
    <w:p>
      <w:pPr>
        <w:pStyle w:val="BodyText"/>
        <w:spacing w:line="272" w:lineRule="exact" w:before="26"/>
        <w:ind w:right="108" w:firstLine="420"/>
        <w:jc w:val="both"/>
        <w:rPr>
          <w:rFonts w:ascii="宋体" w:hAnsi="宋体" w:cs="宋体" w:eastAsia="宋体" w:hint="default"/>
        </w:rPr>
      </w:pPr>
      <w:r>
        <w:rPr>
          <w:spacing w:val="-4"/>
        </w:rPr>
        <w:t>（</w:t>
      </w:r>
      <w:r>
        <w:rPr>
          <w:rFonts w:ascii="宋体" w:hAnsi="宋体" w:cs="宋体" w:eastAsia="宋体" w:hint="default"/>
          <w:spacing w:val="-4"/>
        </w:rPr>
        <w:t>1</w:t>
      </w:r>
      <w:r>
        <w:rPr>
          <w:spacing w:val="-4"/>
        </w:rPr>
        <w:t>）围绕以军工信息化装备为主赛道、军工能源装备为辅赛道的战略规划方向，围绕公司军</w:t>
      </w:r>
      <w:r>
        <w:rPr>
          <w:w w:val="100"/>
        </w:rPr>
        <w:t> </w:t>
      </w:r>
      <w:r>
        <w:rPr/>
        <w:t>工装备产业上下游，加强军工装备产业的外延式并购，并重点关注可实现跨越式发展的机会。</w:t>
      </w:r>
      <w:r>
        <w:rPr>
          <w:rFonts w:ascii="宋体" w:hAnsi="宋体" w:cs="宋体" w:eastAsia="宋体" w:hint="default"/>
        </w:rPr>
        <w:t> </w:t>
      </w:r>
    </w:p>
    <w:p>
      <w:pPr>
        <w:pStyle w:val="BodyText"/>
        <w:spacing w:line="272" w:lineRule="exact" w:before="1"/>
        <w:ind w:right="109" w:firstLine="420"/>
        <w:jc w:val="both"/>
      </w:pPr>
      <w:r>
        <w:rPr>
          <w:spacing w:val="-9"/>
          <w:w w:val="100"/>
        </w:rPr>
        <w:t>（</w:t>
      </w:r>
      <w:r>
        <w:rPr>
          <w:rFonts w:ascii="宋体" w:hAnsi="宋体" w:cs="宋体" w:eastAsia="宋体" w:hint="default"/>
          <w:spacing w:val="-9"/>
          <w:w w:val="100"/>
        </w:rPr>
        <w:t>2</w:t>
      </w:r>
      <w:r>
        <w:rPr>
          <w:spacing w:val="-9"/>
          <w:w w:val="100"/>
        </w:rPr>
        <w:t>）进一步围绕公司战略、聚焦公司主业，加快推动不符合公司整体战略业务的剥离或处置，</w:t>
      </w:r>
      <w:r>
        <w:rPr>
          <w:w w:val="100"/>
        </w:rPr>
        <w:t> </w:t>
      </w:r>
      <w:r>
        <w:rPr>
          <w:spacing w:val="-1"/>
        </w:rPr>
        <w:t>将资源进一步聚焦在符合国家发展方向、市场前景良好、具有核心竞争力的主干产业，巩固优势</w:t>
      </w:r>
    </w:p>
    <w:p>
      <w:pPr>
        <w:pStyle w:val="BodyText"/>
        <w:spacing w:line="247" w:lineRule="exact"/>
        <w:ind w:right="0"/>
        <w:jc w:val="left"/>
        <w:rPr>
          <w:rFonts w:ascii="宋体" w:hAnsi="宋体" w:cs="宋体" w:eastAsia="宋体" w:hint="default"/>
        </w:rPr>
      </w:pPr>
      <w:r>
        <w:rPr/>
        <w:t>地位。</w:t>
      </w:r>
      <w:r>
        <w:rPr>
          <w:rFonts w:ascii="宋体" w:hAnsi="宋体" w:cs="宋体" w:eastAsia="宋体" w:hint="default"/>
        </w:rPr>
        <w:t> </w:t>
      </w:r>
    </w:p>
    <w:p>
      <w:pPr>
        <w:pStyle w:val="BodyText"/>
        <w:spacing w:line="237" w:lineRule="auto"/>
        <w:ind w:right="109" w:firstLine="420"/>
        <w:jc w:val="both"/>
        <w:rPr>
          <w:rFonts w:ascii="宋体" w:hAnsi="宋体" w:cs="宋体" w:eastAsia="宋体" w:hint="default"/>
        </w:rPr>
      </w:pPr>
      <w:r>
        <w:rPr>
          <w:spacing w:val="-4"/>
        </w:rPr>
        <w:t>（</w:t>
      </w:r>
      <w:r>
        <w:rPr>
          <w:rFonts w:ascii="宋体" w:hAnsi="宋体" w:cs="宋体" w:eastAsia="宋体" w:hint="default"/>
          <w:spacing w:val="-4"/>
        </w:rPr>
        <w:t>3</w:t>
      </w:r>
      <w:r>
        <w:rPr>
          <w:spacing w:val="-4"/>
        </w:rPr>
        <w:t>）继续加大研发投入，构建三级研发体系。以无人作战平台动力源、特殊环境下应急电源</w:t>
      </w:r>
      <w:r>
        <w:rPr>
          <w:w w:val="100"/>
        </w:rPr>
        <w:t> </w:t>
      </w:r>
      <w:r>
        <w:rPr>
          <w:spacing w:val="-1"/>
        </w:rPr>
        <w:t>系统研究等重大项目为牵引，加强与清华大学、华中科技大学等高校合作，搭建协同、高效的共</w:t>
      </w:r>
      <w:r>
        <w:rPr>
          <w:spacing w:val="-55"/>
        </w:rPr>
        <w:t> </w:t>
      </w:r>
      <w:r>
        <w:rPr>
          <w:spacing w:val="-55"/>
        </w:rPr>
      </w:r>
      <w:r>
        <w:rPr/>
        <w:t>性研发平台，进一步提升公司技术创新能力及主干产业核心竞争力。</w:t>
      </w:r>
      <w:r>
        <w:rPr>
          <w:rFonts w:ascii="宋体" w:hAnsi="宋体" w:cs="宋体" w:eastAsia="宋体" w:hint="default"/>
        </w:rPr>
        <w:t> </w:t>
      </w:r>
    </w:p>
    <w:p>
      <w:pPr>
        <w:pStyle w:val="BodyText"/>
        <w:spacing w:line="272" w:lineRule="exact" w:before="26"/>
        <w:ind w:right="109" w:firstLine="420"/>
        <w:jc w:val="both"/>
        <w:rPr>
          <w:rFonts w:ascii="宋体" w:hAnsi="宋体" w:cs="宋体" w:eastAsia="宋体" w:hint="default"/>
        </w:rPr>
      </w:pPr>
      <w:r>
        <w:rPr>
          <w:spacing w:val="-9"/>
          <w:w w:val="100"/>
        </w:rPr>
        <w:t>（</w:t>
      </w:r>
      <w:r>
        <w:rPr>
          <w:rFonts w:ascii="宋体" w:hAnsi="宋体" w:cs="宋体" w:eastAsia="宋体" w:hint="default"/>
          <w:spacing w:val="-9"/>
          <w:w w:val="100"/>
        </w:rPr>
        <w:t>4</w:t>
      </w:r>
      <w:r>
        <w:rPr>
          <w:spacing w:val="-9"/>
          <w:w w:val="100"/>
        </w:rPr>
        <w:t>）持续推动公司信息化体系、奋斗者体系的建设，重点关注信息化与生产管理业务的结合、</w:t>
      </w:r>
      <w:r>
        <w:rPr>
          <w:w w:val="100"/>
        </w:rPr>
        <w:t> </w:t>
      </w:r>
      <w:r>
        <w:rPr/>
        <w:t>流程优化等方面的建设与应用，提升公司信息化管理水平，降低管理成本、提升管理效率。</w:t>
      </w:r>
      <w:r>
        <w:rPr>
          <w:rFonts w:ascii="宋体" w:hAnsi="宋体" w:cs="宋体" w:eastAsia="宋体" w:hint="default"/>
        </w:rPr>
        <w:t> </w:t>
      </w:r>
    </w:p>
    <w:p>
      <w:pPr>
        <w:pStyle w:val="BodyText"/>
        <w:spacing w:line="272" w:lineRule="exact" w:before="2"/>
        <w:ind w:right="108" w:firstLine="420"/>
        <w:jc w:val="both"/>
        <w:rPr>
          <w:rFonts w:ascii="宋体" w:hAnsi="宋体" w:cs="宋体" w:eastAsia="宋体" w:hint="default"/>
        </w:rPr>
      </w:pPr>
      <w:r>
        <w:rPr>
          <w:spacing w:val="-4"/>
        </w:rPr>
        <w:t>（</w:t>
      </w:r>
      <w:r>
        <w:rPr>
          <w:rFonts w:ascii="宋体" w:hAnsi="宋体" w:cs="宋体" w:eastAsia="宋体" w:hint="default"/>
          <w:spacing w:val="-4"/>
        </w:rPr>
        <w:t>5</w:t>
      </w:r>
      <w:r>
        <w:rPr>
          <w:spacing w:val="-4"/>
        </w:rPr>
        <w:t>）加快推进公司上海区域总部基地及嘉兴装备科技产业园的建设，稳步提升公司军工装备</w:t>
      </w:r>
      <w:r>
        <w:rPr>
          <w:w w:val="100"/>
        </w:rPr>
        <w:t> </w:t>
      </w:r>
      <w:r>
        <w:rPr/>
        <w:t>产业的产能，提升生产效率，缩短交付周期。</w:t>
      </w:r>
      <w:r>
        <w:rPr>
          <w:rFonts w:ascii="宋体" w:hAnsi="宋体" w:cs="宋体" w:eastAsia="宋体" w:hint="default"/>
        </w:rPr>
        <w:t> </w:t>
      </w:r>
    </w:p>
    <w:p>
      <w:pPr>
        <w:pStyle w:val="BodyText"/>
        <w:spacing w:line="272" w:lineRule="exact" w:before="1"/>
        <w:ind w:right="108" w:firstLine="420"/>
        <w:jc w:val="both"/>
        <w:rPr>
          <w:rFonts w:ascii="宋体" w:hAnsi="宋体" w:cs="宋体" w:eastAsia="宋体" w:hint="default"/>
          <w:sz w:val="24"/>
          <w:szCs w:val="24"/>
        </w:rPr>
      </w:pPr>
      <w:r>
        <w:rPr>
          <w:spacing w:val="-4"/>
        </w:rPr>
        <w:t>（</w:t>
      </w:r>
      <w:r>
        <w:rPr>
          <w:rFonts w:ascii="宋体" w:hAnsi="宋体" w:cs="宋体" w:eastAsia="宋体" w:hint="default"/>
          <w:spacing w:val="-4"/>
        </w:rPr>
        <w:t>6</w:t>
      </w:r>
      <w:r>
        <w:rPr>
          <w:spacing w:val="-4"/>
        </w:rPr>
        <w:t>）引入能为公司战略发展带来协同资源的战略投资者、完成公司非公开发行股票，改善公</w:t>
      </w:r>
      <w:r>
        <w:rPr>
          <w:w w:val="100"/>
        </w:rPr>
        <w:t> </w:t>
      </w:r>
      <w:r>
        <w:rPr/>
        <w:t>司资产负债结构，提高资金运营效率，降低财务费用。</w:t>
      </w:r>
      <w:r>
        <w:rPr>
          <w:rFonts w:ascii="宋体" w:hAnsi="宋体" w:cs="宋体" w:eastAsia="宋体" w:hint="default"/>
          <w:sz w:val="24"/>
          <w:szCs w:val="24"/>
        </w:rPr>
        <w:t> </w:t>
      </w:r>
    </w:p>
    <w:p>
      <w:pPr>
        <w:pStyle w:val="Heading3"/>
        <w:spacing w:line="282" w:lineRule="exact"/>
        <w:ind w:left="136" w:right="0"/>
        <w:jc w:val="left"/>
        <w:rPr>
          <w:rFonts w:ascii="宋体" w:hAnsi="宋体" w:cs="宋体" w:eastAsia="宋体" w:hint="default"/>
        </w:rPr>
      </w:pPr>
      <w:r>
        <w:rPr>
          <w:rFonts w:ascii="宋体"/>
        </w:rPr>
        <w:t> </w:t>
      </w:r>
    </w:p>
    <w:p>
      <w:pPr>
        <w:pStyle w:val="Heading5"/>
        <w:spacing w:line="240" w:lineRule="auto" w:before="61"/>
        <w:ind w:left="136" w:right="0"/>
        <w:jc w:val="left"/>
        <w:rPr>
          <w:b w:val="0"/>
          <w:bCs w:val="0"/>
        </w:rPr>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47"/>
        </w:rPr>
        <w:t> </w:t>
      </w:r>
      <w:r>
        <w:rPr/>
        <w:t>可能面对的风险</w:t>
      </w:r>
      <w:r>
        <w:rPr>
          <w:b w:val="0"/>
          <w:bCs w:val="0"/>
        </w:rPr>
      </w:r>
    </w:p>
    <w:p>
      <w:pPr>
        <w:pStyle w:val="Heading3"/>
        <w:spacing w:line="240" w:lineRule="auto" w:before="52"/>
        <w:ind w:left="1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74" w:lineRule="exact" w:before="1"/>
        <w:ind w:left="617" w:right="0"/>
        <w:jc w:val="left"/>
        <w:rPr>
          <w:rFonts w:ascii="宋体" w:hAnsi="宋体" w:cs="宋体" w:eastAsia="宋体" w:hint="default"/>
        </w:rPr>
      </w:pPr>
      <w:r>
        <w:rPr>
          <w:rFonts w:ascii="宋体" w:hAnsi="宋体" w:cs="宋体" w:eastAsia="宋体" w:hint="default"/>
        </w:rPr>
        <w:t>1</w:t>
      </w:r>
      <w:r>
        <w:rPr/>
        <w:t>、宏观政策风险</w:t>
      </w:r>
      <w:r>
        <w:rPr>
          <w:rFonts w:ascii="宋体" w:hAnsi="宋体" w:cs="宋体" w:eastAsia="宋体" w:hint="default"/>
        </w:rPr>
        <w:t> </w:t>
      </w:r>
    </w:p>
    <w:p>
      <w:pPr>
        <w:pStyle w:val="BodyText"/>
        <w:spacing w:line="272" w:lineRule="exact" w:before="27"/>
        <w:ind w:left="557" w:right="105"/>
        <w:jc w:val="left"/>
      </w:pPr>
      <w:r>
        <w:rPr/>
        <w:t>（</w:t>
      </w:r>
      <w:r>
        <w:rPr>
          <w:rFonts w:ascii="宋体" w:hAnsi="宋体" w:cs="宋体" w:eastAsia="宋体" w:hint="default"/>
        </w:rPr>
        <w:t>1</w:t>
      </w:r>
      <w:r>
        <w:rPr/>
        <w:t>）武器装备科研生产许可目录调整，缩小政策保护范围持续引入市场竞争</w:t>
      </w:r>
      <w:r>
        <w:rPr>
          <w:rFonts w:ascii="宋体" w:hAnsi="宋体" w:cs="宋体" w:eastAsia="宋体" w:hint="default"/>
          <w:w w:val="100"/>
        </w:rPr>
        <w:t> </w:t>
      </w:r>
      <w:r>
        <w:rPr>
          <w:spacing w:val="-3"/>
        </w:rPr>
        <w:t>武器装备科研生产许可目录进一步调整，在</w:t>
      </w:r>
      <w:r>
        <w:rPr>
          <w:spacing w:val="-41"/>
        </w:rPr>
        <w:t> </w:t>
      </w:r>
      <w:r>
        <w:rPr>
          <w:rFonts w:ascii="宋体" w:hAnsi="宋体" w:cs="宋体" w:eastAsia="宋体" w:hint="default"/>
        </w:rPr>
        <w:t>2015</w:t>
      </w:r>
      <w:r>
        <w:rPr>
          <w:rFonts w:ascii="宋体" w:hAnsi="宋体" w:cs="宋体" w:eastAsia="宋体" w:hint="default"/>
          <w:spacing w:val="-41"/>
        </w:rPr>
        <w:t> </w:t>
      </w:r>
      <w:r>
        <w:rPr/>
        <w:t>年版目录的基础上再次减少了</w:t>
      </w:r>
      <w:r>
        <w:rPr>
          <w:spacing w:val="-39"/>
        </w:rPr>
        <w:t> </w:t>
      </w:r>
      <w:r>
        <w:rPr>
          <w:rFonts w:ascii="宋体" w:hAnsi="宋体" w:cs="宋体" w:eastAsia="宋体" w:hint="default"/>
          <w:spacing w:val="-4"/>
        </w:rPr>
        <w:t>62%</w:t>
      </w:r>
      <w:r>
        <w:rPr>
          <w:spacing w:val="-4"/>
        </w:rPr>
        <w:t>，大范围</w:t>
      </w:r>
    </w:p>
    <w:p>
      <w:pPr>
        <w:pStyle w:val="BodyText"/>
        <w:spacing w:line="272" w:lineRule="exact" w:before="1"/>
        <w:ind w:right="0"/>
        <w:jc w:val="left"/>
      </w:pPr>
      <w:r>
        <w:rPr>
          <w:spacing w:val="-1"/>
        </w:rPr>
        <w:t>取消设备级、部件级项目，取消军用电子一般整机装备和电子元器件项目，取消武器装备专用机</w:t>
      </w:r>
      <w:r>
        <w:rPr>
          <w:spacing w:val="-55"/>
        </w:rPr>
        <w:t> </w:t>
      </w:r>
      <w:r>
        <w:rPr>
          <w:spacing w:val="-55"/>
        </w:rPr>
      </w:r>
      <w:r>
        <w:rPr>
          <w:spacing w:val="-1"/>
        </w:rPr>
        <w:t>电设备类、武器装备专用材料及制品类和武器装备重大工程管理类的许可。仅保留对国家战略安</w:t>
      </w:r>
    </w:p>
    <w:p>
      <w:pPr>
        <w:pStyle w:val="BodyText"/>
        <w:spacing w:line="272" w:lineRule="exact" w:before="2"/>
        <w:ind w:right="0"/>
        <w:jc w:val="left"/>
      </w:pPr>
      <w:r>
        <w:rPr>
          <w:spacing w:val="-1"/>
        </w:rPr>
        <w:t>全、社会公共安全有重要影响的许可项目，大幅度缩减了武器装备科研生产许可的管理范围。此</w:t>
      </w:r>
      <w:r>
        <w:rPr>
          <w:spacing w:val="-55"/>
        </w:rPr>
        <w:t> </w:t>
      </w:r>
      <w:r>
        <w:rPr>
          <w:spacing w:val="-55"/>
        </w:rPr>
      </w:r>
      <w:r>
        <w:rPr>
          <w:spacing w:val="-1"/>
        </w:rPr>
        <w:t>外，为鼓励创新，大幅度缩减科研许可。许可取消后，企业从事此类装备研制工作将不再需要申</w:t>
      </w:r>
    </w:p>
    <w:p>
      <w:pPr>
        <w:pStyle w:val="BodyText"/>
        <w:spacing w:line="272" w:lineRule="exact" w:before="1"/>
        <w:ind w:right="0"/>
        <w:jc w:val="left"/>
        <w:rPr>
          <w:rFonts w:ascii="宋体" w:hAnsi="宋体" w:cs="宋体" w:eastAsia="宋体" w:hint="default"/>
        </w:rPr>
      </w:pPr>
      <w:r>
        <w:rPr>
          <w:spacing w:val="-1"/>
        </w:rPr>
        <w:t>请武器装备科研生产许可证，意味着更多从事相关民品主体可参与到装备研制过程中。被取消的</w:t>
      </w:r>
      <w:r>
        <w:rPr>
          <w:spacing w:val="-55"/>
        </w:rPr>
        <w:t> </w:t>
      </w:r>
      <w:r>
        <w:rPr>
          <w:spacing w:val="-55"/>
        </w:rPr>
      </w:r>
      <w:r>
        <w:rPr/>
        <w:t>四类装备研制生产主体存过渡期，现有证书过期后或将失去税收优惠。</w:t>
      </w:r>
      <w:r>
        <w:rPr>
          <w:rFonts w:ascii="宋体" w:hAnsi="宋体" w:cs="宋体" w:eastAsia="宋体" w:hint="default"/>
        </w:rPr>
        <w:t> </w:t>
      </w:r>
    </w:p>
    <w:p>
      <w:pPr>
        <w:pStyle w:val="BodyText"/>
        <w:spacing w:line="272" w:lineRule="exact" w:before="1"/>
        <w:ind w:right="109" w:firstLine="420"/>
        <w:jc w:val="both"/>
      </w:pPr>
      <w:r>
        <w:rPr>
          <w:spacing w:val="-2"/>
        </w:rPr>
        <w:t>应对措施：一方面，公司针对军队装备、训练实战化的新要求，持续加大研发投入，提升产</w:t>
      </w:r>
      <w:r>
        <w:rPr>
          <w:w w:val="100"/>
        </w:rPr>
        <w:t> </w:t>
      </w:r>
      <w:r>
        <w:rPr>
          <w:spacing w:val="-1"/>
        </w:rPr>
        <w:t>品性能、质量和服务保障水平，提高公司产品综合竞争力，进而满足新时期下部队装备需求，在</w:t>
      </w:r>
    </w:p>
    <w:p>
      <w:pPr>
        <w:pStyle w:val="BodyText"/>
        <w:spacing w:line="272" w:lineRule="exact" w:before="1"/>
        <w:ind w:right="0"/>
        <w:jc w:val="left"/>
        <w:rPr>
          <w:rFonts w:ascii="宋体" w:hAnsi="宋体" w:cs="宋体" w:eastAsia="宋体" w:hint="default"/>
        </w:rPr>
      </w:pPr>
      <w:r>
        <w:rPr>
          <w:spacing w:val="-1"/>
        </w:rPr>
        <w:t>市场竞争中始终处于优势地位。另一方面，在税收优惠过渡期内，通过生产线改进、原材料采购</w:t>
      </w:r>
      <w:r>
        <w:rPr>
          <w:spacing w:val="-55"/>
        </w:rPr>
        <w:t> </w:t>
      </w:r>
      <w:r>
        <w:rPr>
          <w:spacing w:val="-55"/>
        </w:rPr>
      </w:r>
      <w:r>
        <w:rPr/>
        <w:t>价格控制、工艺流程优化等多种“降本增效”措施，以降低对公司产品盈利能力的影响。</w:t>
      </w:r>
      <w:r>
        <w:rPr>
          <w:rFonts w:ascii="宋体" w:hAnsi="宋体" w:cs="宋体" w:eastAsia="宋体" w:hint="default"/>
        </w:rPr>
        <w:t> </w:t>
      </w:r>
    </w:p>
    <w:p>
      <w:pPr>
        <w:pStyle w:val="BodyText"/>
        <w:spacing w:line="247" w:lineRule="exact"/>
        <w:ind w:left="557" w:right="0"/>
        <w:jc w:val="left"/>
        <w:rPr>
          <w:rFonts w:ascii="宋体" w:hAnsi="宋体" w:cs="宋体" w:eastAsia="宋体" w:hint="default"/>
        </w:rPr>
      </w:pPr>
      <w:r>
        <w:rPr/>
        <w:t>（</w:t>
      </w:r>
      <w:r>
        <w:rPr>
          <w:rFonts w:ascii="宋体" w:hAnsi="宋体" w:cs="宋体" w:eastAsia="宋体" w:hint="default"/>
        </w:rPr>
        <w:t>2</w:t>
      </w:r>
      <w:r>
        <w:rPr/>
        <w:t>）电力体制改革进度不及预期，电力交易等市场发展缓慢</w:t>
      </w:r>
      <w:r>
        <w:rPr>
          <w:rFonts w:ascii="宋体" w:hAnsi="宋体" w:cs="宋体" w:eastAsia="宋体" w:hint="default"/>
        </w:rPr>
        <w:t> </w:t>
      </w:r>
    </w:p>
    <w:p>
      <w:pPr>
        <w:pStyle w:val="BodyText"/>
        <w:spacing w:line="237" w:lineRule="auto"/>
        <w:ind w:right="108" w:firstLine="420"/>
        <w:jc w:val="both"/>
        <w:rPr>
          <w:rFonts w:ascii="宋体" w:hAnsi="宋体" w:cs="宋体" w:eastAsia="宋体" w:hint="default"/>
        </w:rPr>
      </w:pPr>
      <w:r>
        <w:rPr>
          <w:spacing w:val="-1"/>
          <w:w w:val="100"/>
        </w:rPr>
        <w:t>自电改</w:t>
      </w:r>
      <w:r>
        <w:rPr>
          <w:spacing w:val="-53"/>
          <w:w w:val="100"/>
        </w:rPr>
        <w:t> </w:t>
      </w:r>
      <w:r>
        <w:rPr>
          <w:rFonts w:ascii="宋体" w:hAnsi="宋体" w:cs="宋体" w:eastAsia="宋体" w:hint="default"/>
          <w:w w:val="100"/>
        </w:rPr>
        <w:t>9</w:t>
      </w:r>
      <w:r>
        <w:rPr>
          <w:rFonts w:ascii="宋体" w:hAnsi="宋体" w:cs="宋体" w:eastAsia="宋体" w:hint="default"/>
          <w:spacing w:val="-53"/>
          <w:w w:val="100"/>
        </w:rPr>
        <w:t> </w:t>
      </w:r>
      <w:r>
        <w:rPr>
          <w:spacing w:val="-10"/>
          <w:w w:val="100"/>
        </w:rPr>
        <w:t>号文发布以来，我国新一轮电力体制改革已历经四年有余。增量配网建设试点、电</w:t>
      </w:r>
      <w:r>
        <w:rPr>
          <w:spacing w:val="1"/>
          <w:w w:val="100"/>
        </w:rPr>
        <w:t> </w:t>
      </w:r>
      <w:r>
        <w:rPr>
          <w:rFonts w:ascii="宋体" w:hAnsi="宋体" w:cs="宋体" w:eastAsia="宋体" w:hint="default"/>
          <w:spacing w:val="1"/>
          <w:w w:val="100"/>
        </w:rPr>
      </w:r>
      <w:r>
        <w:rPr>
          <w:w w:val="100"/>
        </w:rPr>
        <w:t>力 </w:t>
      </w:r>
      <w:r>
        <w:rPr>
          <w:spacing w:val="-1"/>
        </w:rPr>
        <w:t>交易等改革方向进一步深入发展。但目前来看，本轮电力体制改革实现构建有效竞争的市场结构</w:t>
      </w:r>
      <w:r>
        <w:rPr>
          <w:spacing w:val="-55"/>
        </w:rPr>
        <w:t> </w:t>
      </w:r>
      <w:r>
        <w:rPr>
          <w:spacing w:val="-55"/>
        </w:rPr>
      </w:r>
      <w:r>
        <w:rPr>
          <w:spacing w:val="-1"/>
        </w:rPr>
        <w:t>和市场体系，建立相对独立、规范运行的电力交易机构这一目标正逐步落地，但是距离市场化程</w:t>
      </w:r>
      <w:r>
        <w:rPr>
          <w:spacing w:val="-55"/>
        </w:rPr>
        <w:t> </w:t>
      </w:r>
      <w:r>
        <w:rPr>
          <w:spacing w:val="-55"/>
        </w:rPr>
      </w:r>
      <w:r>
        <w:rPr/>
        <w:t>度仍有距离。</w:t>
      </w:r>
      <w:r>
        <w:rPr>
          <w:rFonts w:ascii="宋体" w:hAnsi="宋体" w:cs="宋体" w:eastAsia="宋体" w:hint="default"/>
        </w:rPr>
        <w:t> </w:t>
      </w:r>
    </w:p>
    <w:p>
      <w:pPr>
        <w:pStyle w:val="BodyText"/>
        <w:spacing w:line="237" w:lineRule="auto"/>
        <w:ind w:right="109" w:firstLine="420"/>
        <w:jc w:val="both"/>
        <w:rPr>
          <w:rFonts w:ascii="宋体" w:hAnsi="宋体" w:cs="宋体" w:eastAsia="宋体" w:hint="default"/>
        </w:rPr>
      </w:pPr>
      <w:r>
        <w:rPr>
          <w:spacing w:val="-2"/>
        </w:rPr>
        <w:t>应对措施：针对上述风险，公司积极参与各试点省份电力市场规则制定、建设方案，推进更</w:t>
      </w:r>
      <w:r>
        <w:rPr>
          <w:w w:val="100"/>
        </w:rPr>
        <w:t> </w:t>
      </w:r>
      <w:r>
        <w:rPr>
          <w:spacing w:val="-6"/>
        </w:rPr>
        <w:t>多的省份电力市场尽快落地；其次，公司继续加大核心技术的研发，培育面向未来的核心竞争力，</w:t>
      </w:r>
      <w:r>
        <w:rPr>
          <w:spacing w:val="-54"/>
        </w:rPr>
        <w:t> </w:t>
      </w:r>
      <w:r>
        <w:rPr>
          <w:spacing w:val="-54"/>
        </w:rPr>
      </w:r>
      <w:r>
        <w:rPr>
          <w:spacing w:val="-1"/>
        </w:rPr>
        <w:t>结合人工智能、区块链、大数据等技术，培育核心平台产品研发能力，通过研发带动技术进步及</w:t>
      </w:r>
      <w:r>
        <w:rPr>
          <w:spacing w:val="-55"/>
        </w:rPr>
        <w:t> </w:t>
      </w:r>
      <w:r>
        <w:rPr>
          <w:spacing w:val="-55"/>
        </w:rPr>
      </w:r>
      <w:r>
        <w:rPr/>
        <w:t>模式创新，在国内积极打造综合能源服务示范园区，力争尽快形成成熟的可复制的运营模式。</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rFonts w:ascii="宋体" w:hAnsi="宋体" w:cs="宋体" w:eastAsia="宋体" w:hint="default"/>
        </w:rPr>
        <w:t>2</w:t>
      </w:r>
      <w:r>
        <w:rPr/>
        <w:t>、市场竞争风险</w:t>
      </w:r>
      <w:r>
        <w:rPr>
          <w:rFonts w:ascii="宋体" w:hAnsi="宋体" w:cs="宋体" w:eastAsia="宋体" w:hint="default"/>
        </w:rPr>
        <w:t> </w:t>
      </w:r>
    </w:p>
    <w:p>
      <w:pPr>
        <w:pStyle w:val="BodyText"/>
        <w:spacing w:line="240" w:lineRule="auto"/>
        <w:ind w:left="557" w:right="0"/>
        <w:jc w:val="left"/>
      </w:pPr>
      <w:r>
        <w:rPr/>
        <w:t>（</w:t>
      </w:r>
      <w:r>
        <w:rPr>
          <w:rFonts w:ascii="宋体" w:hAnsi="宋体" w:cs="宋体" w:eastAsia="宋体" w:hint="default"/>
        </w:rPr>
        <w:t>1</w:t>
      </w:r>
      <w:r>
        <w:rPr/>
        <w:t>）军工装备产业</w:t>
      </w:r>
      <w:r>
        <w:rPr>
          <w:rFonts w:ascii="宋体" w:hAnsi="宋体" w:cs="宋体" w:eastAsia="宋体" w:hint="default"/>
          <w:w w:val="100"/>
        </w:rPr>
        <w:t> </w:t>
      </w:r>
      <w:r>
        <w:rPr>
          <w:spacing w:val="-2"/>
        </w:rPr>
        <w:t>公司军用电站、车载通信指挥系统及舰载作战辅助系统产品在行业具备一定领先优势，目前</w:t>
      </w:r>
    </w:p>
    <w:p>
      <w:pPr>
        <w:pStyle w:val="BodyText"/>
        <w:spacing w:line="274" w:lineRule="exact" w:before="22"/>
        <w:ind w:right="0"/>
        <w:jc w:val="left"/>
        <w:rPr>
          <w:rFonts w:ascii="宋体" w:hAnsi="宋体" w:cs="宋体" w:eastAsia="宋体" w:hint="default"/>
        </w:rPr>
      </w:pPr>
      <w:r>
        <w:rPr>
          <w:spacing w:val="-1"/>
        </w:rPr>
        <w:t>主要面临市场规模瓶颈、新技术的快速发展对传统市场的冲击以及更多民参军企业进入带来的竞</w:t>
      </w:r>
      <w:r>
        <w:rPr>
          <w:spacing w:val="-55"/>
        </w:rPr>
        <w:t> </w:t>
      </w:r>
      <w:r>
        <w:rPr>
          <w:spacing w:val="-55"/>
        </w:rPr>
      </w:r>
      <w:r>
        <w:rPr/>
        <w:t>争风险。</w:t>
      </w:r>
      <w:r>
        <w:rPr>
          <w:rFonts w:ascii="宋体" w:hAnsi="宋体" w:cs="宋体" w:eastAsia="宋体" w:hint="default"/>
        </w:rPr>
        <w:t> </w:t>
      </w:r>
    </w:p>
    <w:p>
      <w:pPr>
        <w:pStyle w:val="BodyText"/>
        <w:spacing w:line="245" w:lineRule="exact"/>
        <w:ind w:right="0" w:firstLine="420"/>
        <w:jc w:val="both"/>
      </w:pPr>
      <w:r>
        <w:rPr/>
        <w:t>应对措施：公司将首先围绕现有业务，紧盯型号产品，促进原有市场稳定上量及在研新产品</w:t>
      </w:r>
    </w:p>
    <w:p>
      <w:pPr>
        <w:pStyle w:val="BodyText"/>
        <w:spacing w:line="274" w:lineRule="exact"/>
        <w:ind w:right="0"/>
        <w:jc w:val="left"/>
      </w:pPr>
      <w:r>
        <w:rPr/>
        <w:t>定型鉴定，并积极拓展军贸、军援市场，进一步扩大市场份额；其次，着手新一代产品的研发及</w:t>
      </w:r>
    </w:p>
    <w:p>
      <w:pPr>
        <w:spacing w:after="0" w:line="274" w:lineRule="exact"/>
        <w:jc w:val="left"/>
        <w:sectPr>
          <w:pgSz w:w="11910" w:h="16840"/>
          <w:pgMar w:header="880" w:footer="1195" w:top="1120" w:bottom="1380" w:left="1140" w:right="1680"/>
        </w:sectPr>
      </w:pPr>
    </w:p>
    <w:p>
      <w:pPr>
        <w:spacing w:line="240" w:lineRule="auto" w:before="11"/>
        <w:rPr>
          <w:rFonts w:ascii="宋体" w:hAnsi="宋体" w:cs="宋体" w:eastAsia="宋体" w:hint="default"/>
          <w:sz w:val="18"/>
          <w:szCs w:val="18"/>
        </w:rPr>
      </w:pPr>
    </w:p>
    <w:p>
      <w:pPr>
        <w:pStyle w:val="BodyText"/>
        <w:spacing w:line="237" w:lineRule="auto" w:before="38"/>
        <w:ind w:left="216" w:right="229"/>
        <w:jc w:val="both"/>
        <w:rPr>
          <w:rFonts w:ascii="宋体" w:hAnsi="宋体" w:cs="宋体" w:eastAsia="宋体" w:hint="default"/>
        </w:rPr>
      </w:pPr>
      <w:r>
        <w:rPr>
          <w:spacing w:val="-1"/>
        </w:rPr>
        <w:t>新市场的拓展，关注新型产品的替代效应，紧跟行业发展趋势，满足客户新需求；第三，充分利</w:t>
      </w:r>
      <w:r>
        <w:rPr>
          <w:spacing w:val="-55"/>
        </w:rPr>
        <w:t> </w:t>
      </w:r>
      <w:r>
        <w:rPr>
          <w:spacing w:val="-55"/>
        </w:rPr>
      </w:r>
      <w:r>
        <w:rPr>
          <w:spacing w:val="-1"/>
        </w:rPr>
        <w:t>用公司的研发和市场平台，积极与业内成熟企业及院所开展合作，共同推动军工通信、导航等信</w:t>
      </w:r>
      <w:r>
        <w:rPr>
          <w:spacing w:val="-55"/>
        </w:rPr>
        <w:t> </w:t>
      </w:r>
      <w:r>
        <w:rPr>
          <w:spacing w:val="-55"/>
        </w:rPr>
      </w:r>
      <w:r>
        <w:rPr/>
        <w:t>息化方向新产品在军方市场应用，进一步提升公司武器装备的核心配套能力。</w:t>
      </w:r>
      <w:r>
        <w:rPr>
          <w:rFonts w:ascii="宋体" w:hAnsi="宋体" w:cs="宋体" w:eastAsia="宋体" w:hint="default"/>
        </w:rPr>
        <w:t> </w:t>
      </w:r>
    </w:p>
    <w:p>
      <w:pPr>
        <w:pStyle w:val="BodyText"/>
        <w:spacing w:line="274" w:lineRule="exact" w:before="22"/>
        <w:ind w:left="637" w:right="0"/>
        <w:jc w:val="left"/>
      </w:pPr>
      <w:r>
        <w:rPr/>
        <w:t>（</w:t>
      </w:r>
      <w:r>
        <w:rPr>
          <w:rFonts w:ascii="宋体" w:hAnsi="宋体" w:cs="宋体" w:eastAsia="宋体" w:hint="default"/>
        </w:rPr>
        <w:t>2</w:t>
      </w:r>
      <w:r>
        <w:rPr/>
        <w:t>）智能电力产业</w:t>
      </w:r>
      <w:r>
        <w:rPr>
          <w:rFonts w:ascii="宋体" w:hAnsi="宋体" w:cs="宋体" w:eastAsia="宋体" w:hint="default"/>
          <w:spacing w:val="-3"/>
          <w:w w:val="100"/>
        </w:rPr>
        <w:t> </w:t>
      </w:r>
      <w:r>
        <w:rPr>
          <w:rFonts w:ascii="宋体" w:hAnsi="宋体" w:cs="宋体" w:eastAsia="宋体" w:hint="default"/>
          <w:w w:val="100"/>
        </w:rPr>
        <w:t> </w:t>
      </w:r>
      <w:r>
        <w:rPr>
          <w:spacing w:val="-2"/>
        </w:rPr>
        <w:t>随着国家电网、南方电网公司年度投资强度的不断下滑，电力行业将面临更多存量竞争，将</w:t>
      </w:r>
    </w:p>
    <w:p>
      <w:pPr>
        <w:pStyle w:val="BodyText"/>
        <w:spacing w:line="245" w:lineRule="exact"/>
        <w:ind w:left="216" w:right="0"/>
        <w:jc w:val="both"/>
        <w:rPr>
          <w:rFonts w:ascii="宋体" w:hAnsi="宋体" w:cs="宋体" w:eastAsia="宋体" w:hint="default"/>
        </w:rPr>
      </w:pPr>
      <w:r>
        <w:rPr/>
        <w:t>可能进一步加剧现有厂家间的相互竞争。</w:t>
      </w:r>
      <w:r>
        <w:rPr>
          <w:rFonts w:ascii="宋体" w:hAnsi="宋体" w:cs="宋体" w:eastAsia="宋体" w:hint="default"/>
        </w:rPr>
        <w:t> </w:t>
      </w:r>
    </w:p>
    <w:p>
      <w:pPr>
        <w:pStyle w:val="BodyText"/>
        <w:spacing w:line="237" w:lineRule="auto" w:before="2"/>
        <w:ind w:left="216" w:right="229" w:firstLine="420"/>
        <w:jc w:val="both"/>
        <w:rPr>
          <w:rFonts w:ascii="宋体" w:hAnsi="宋体" w:cs="宋体" w:eastAsia="宋体" w:hint="default"/>
        </w:rPr>
      </w:pPr>
      <w:r>
        <w:rPr>
          <w:spacing w:val="-2"/>
        </w:rPr>
        <w:t>应对措施：针对上述风险，公司加强了对行业发展趋势的研判和战略分析，适时调整智能电</w:t>
      </w:r>
      <w:r>
        <w:rPr>
          <w:w w:val="100"/>
        </w:rPr>
        <w:t> </w:t>
      </w:r>
      <w:r>
        <w:rPr>
          <w:spacing w:val="-1"/>
        </w:rPr>
        <w:t>力业务板块的发展策略，逐步退出、收缩竞争激烈、盈利较差的业务领域，进一步聚焦于公司具</w:t>
      </w:r>
      <w:r>
        <w:rPr>
          <w:spacing w:val="-55"/>
        </w:rPr>
        <w:t> </w:t>
      </w:r>
      <w:r>
        <w:rPr>
          <w:spacing w:val="-55"/>
        </w:rPr>
      </w:r>
      <w:r>
        <w:rPr>
          <w:spacing w:val="-1"/>
        </w:rPr>
        <w:t>有竞争优势的智能电力软件方向。未来，公司将继续围绕智能电网、电力物联网打造电力信息化</w:t>
      </w:r>
      <w:r>
        <w:rPr>
          <w:spacing w:val="-55"/>
        </w:rPr>
        <w:t> </w:t>
      </w:r>
      <w:r>
        <w:rPr>
          <w:spacing w:val="-55"/>
        </w:rPr>
      </w:r>
      <w:r>
        <w:rPr>
          <w:spacing w:val="-1"/>
        </w:rPr>
        <w:t>领域系列核心平台产品，使公司具备较高的技术门槛，并结合综合能源服务业务，拓展除两网外</w:t>
      </w:r>
      <w:r>
        <w:rPr>
          <w:spacing w:val="-55"/>
        </w:rPr>
        <w:t> </w:t>
      </w:r>
      <w:r>
        <w:rPr>
          <w:spacing w:val="-55"/>
        </w:rPr>
      </w:r>
      <w:r>
        <w:rPr/>
        <w:t>的工业企业客户，进一步提升电力业务系统解决方案的能力。</w:t>
      </w:r>
      <w:r>
        <w:rPr>
          <w:rFonts w:ascii="宋体" w:hAnsi="宋体" w:cs="宋体" w:eastAsia="宋体" w:hint="default"/>
        </w:rPr>
        <w:t> </w:t>
      </w:r>
    </w:p>
    <w:p>
      <w:pPr>
        <w:pStyle w:val="BodyText"/>
        <w:spacing w:line="274" w:lineRule="exact" w:before="22"/>
        <w:ind w:left="637" w:right="0"/>
        <w:jc w:val="left"/>
      </w:pPr>
      <w:r>
        <w:rPr>
          <w:rFonts w:ascii="宋体" w:hAnsi="宋体" w:cs="宋体" w:eastAsia="宋体" w:hint="default"/>
        </w:rPr>
        <w:t>3</w:t>
      </w:r>
      <w:r>
        <w:rPr/>
        <w:t>、管理整合的风险</w:t>
      </w:r>
      <w:r>
        <w:rPr>
          <w:rFonts w:ascii="宋体" w:hAnsi="宋体" w:cs="宋体" w:eastAsia="宋体" w:hint="default"/>
          <w:w w:val="100"/>
        </w:rPr>
        <w:t> </w:t>
      </w:r>
      <w:r>
        <w:rPr>
          <w:spacing w:val="-7"/>
          <w:w w:val="100"/>
        </w:rPr>
        <w:t>基于公司未来发展战略，公司将加大对外合作的力度，重点引入军工信息化相关团队和企业。</w:t>
      </w:r>
    </w:p>
    <w:p>
      <w:pPr>
        <w:pStyle w:val="BodyText"/>
        <w:spacing w:line="246" w:lineRule="exact"/>
        <w:ind w:left="216" w:right="0"/>
        <w:jc w:val="both"/>
        <w:rPr>
          <w:rFonts w:ascii="宋体" w:hAnsi="宋体" w:cs="宋体" w:eastAsia="宋体" w:hint="default"/>
        </w:rPr>
      </w:pPr>
      <w:r>
        <w:rPr/>
        <w:t>随着新团队和企业的逐步加入，公司将面临更多管理整合问题。</w:t>
      </w:r>
      <w:r>
        <w:rPr>
          <w:rFonts w:ascii="宋体" w:hAnsi="宋体" w:cs="宋体" w:eastAsia="宋体" w:hint="default"/>
        </w:rPr>
        <w:t> </w:t>
      </w:r>
    </w:p>
    <w:p>
      <w:pPr>
        <w:pStyle w:val="BodyText"/>
        <w:spacing w:line="237" w:lineRule="auto" w:before="2"/>
        <w:ind w:left="216" w:right="229" w:firstLine="420"/>
        <w:jc w:val="both"/>
        <w:rPr>
          <w:rFonts w:ascii="宋体" w:hAnsi="宋体" w:cs="宋体" w:eastAsia="宋体" w:hint="default"/>
        </w:rPr>
      </w:pPr>
      <w:r>
        <w:rPr>
          <w:spacing w:val="-2"/>
        </w:rPr>
        <w:t>应对措施：公司将加强资源整合，通过对新进入主体提供技术、管理、市场、人才等多方面</w:t>
      </w:r>
      <w:r>
        <w:rPr>
          <w:w w:val="100"/>
        </w:rPr>
        <w:t> </w:t>
      </w:r>
      <w:r>
        <w:rPr>
          <w:spacing w:val="-1"/>
        </w:rPr>
        <w:t>的资源支持，帮助其提升运营管理水平；通过信息化管理手段提高内部业务协同能力，提升运营</w:t>
      </w:r>
      <w:r>
        <w:rPr>
          <w:spacing w:val="-55"/>
        </w:rPr>
        <w:t> </w:t>
      </w:r>
      <w:r>
        <w:rPr>
          <w:spacing w:val="-55"/>
        </w:rPr>
      </w:r>
      <w:r>
        <w:rPr>
          <w:spacing w:val="-1"/>
        </w:rPr>
        <w:t>水平和管理效率；通过进一步聚焦产业方向，提高产业的协同效应；通过加强对企业员工的培训</w:t>
      </w:r>
      <w:r>
        <w:rPr>
          <w:spacing w:val="-55"/>
        </w:rPr>
        <w:t> </w:t>
      </w:r>
      <w:r>
        <w:rPr>
          <w:spacing w:val="-55"/>
        </w:rPr>
      </w:r>
      <w:r>
        <w:rPr/>
        <w:t>和企业文化体系建设，增强员工对公司文化的认同感，快速融入公司。</w:t>
      </w:r>
      <w:r>
        <w:rPr>
          <w:rFonts w:ascii="宋体" w:hAnsi="宋体" w:cs="宋体" w:eastAsia="宋体" w:hint="default"/>
        </w:rPr>
        <w:t> </w:t>
      </w:r>
    </w:p>
    <w:p>
      <w:pPr>
        <w:pStyle w:val="Heading5"/>
        <w:spacing w:line="240" w:lineRule="auto" w:before="59"/>
        <w:ind w:right="0"/>
        <w:jc w:val="both"/>
        <w:rPr>
          <w:b w:val="0"/>
          <w:bCs w:val="0"/>
        </w:rPr>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49"/>
        </w:rPr>
        <w:t> </w:t>
      </w:r>
      <w:r>
        <w:rPr/>
        <w:t>其他</w:t>
      </w:r>
      <w:r>
        <w:rPr>
          <w:b w:val="0"/>
          <w:bCs w:val="0"/>
        </w:rPr>
      </w:r>
    </w:p>
    <w:p>
      <w:pPr>
        <w:pStyle w:val="Heading3"/>
        <w:spacing w:line="313" w:lineRule="exact" w:before="50"/>
        <w:ind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right="0"/>
        <w:jc w:val="both"/>
        <w:rPr>
          <w:rFonts w:ascii="宋体" w:hAnsi="宋体" w:cs="宋体" w:eastAsia="宋体" w:hint="default"/>
        </w:rPr>
      </w:pPr>
      <w:r>
        <w:rPr>
          <w:rFonts w:ascii="宋体"/>
        </w:rPr>
        <w:t> </w:t>
      </w:r>
    </w:p>
    <w:p>
      <w:pPr>
        <w:pStyle w:val="Heading5"/>
        <w:spacing w:line="240" w:lineRule="auto" w:before="61"/>
        <w:ind w:right="0"/>
        <w:jc w:val="both"/>
        <w:rPr>
          <w:b w:val="0"/>
          <w:bCs w:val="0"/>
        </w:rPr>
      </w:pPr>
      <w:r>
        <w:rPr/>
        <w:t>四、公司因不适用准则规定或国家秘密、商业秘密等特殊原因，未按准则披露的情况和原因说明</w:t>
      </w:r>
      <w:r>
        <w:rPr>
          <w:b w:val="0"/>
          <w:bCs w:val="0"/>
        </w:rPr>
      </w:r>
    </w:p>
    <w:p>
      <w:pPr>
        <w:pStyle w:val="Heading3"/>
        <w:spacing w:line="313" w:lineRule="exact" w:before="52"/>
        <w:ind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right="0"/>
        <w:jc w:val="both"/>
        <w:rPr>
          <w:rFonts w:ascii="宋体" w:hAnsi="宋体" w:cs="宋体" w:eastAsia="宋体" w:hint="default"/>
        </w:rPr>
      </w:pPr>
      <w:r>
        <w:rPr>
          <w:rFonts w:ascii="宋体"/>
        </w:rPr>
        <w:t> </w:t>
      </w:r>
    </w:p>
    <w:p>
      <w:pPr>
        <w:pStyle w:val="Heading1"/>
        <w:tabs>
          <w:tab w:pos="1259" w:val="left" w:leader="none"/>
        </w:tabs>
        <w:spacing w:line="240" w:lineRule="auto" w:before="47"/>
        <w:ind w:right="16"/>
        <w:jc w:val="center"/>
        <w:rPr>
          <w:b w:val="0"/>
          <w:bCs w:val="0"/>
        </w:rPr>
      </w:pPr>
      <w:bookmarkStart w:name="_bookmark4" w:id="5"/>
      <w:bookmarkEnd w:id="5"/>
      <w:r>
        <w:rPr>
          <w:b w:val="0"/>
          <w:bCs w:val="0"/>
        </w:rPr>
      </w:r>
      <w:r>
        <w:rPr>
          <w:w w:val="95"/>
        </w:rPr>
        <w:t>第五节</w:t>
      </w:r>
      <w:r>
        <w:rPr>
          <w:rFonts w:ascii="宋体" w:hAnsi="宋体" w:cs="宋体" w:eastAsia="宋体" w:hint="default"/>
          <w:w w:val="95"/>
        </w:rPr>
        <w:tab/>
      </w:r>
      <w:r>
        <w:rPr/>
        <w:t>重要事项</w:t>
      </w:r>
      <w:r>
        <w:rPr>
          <w:b w:val="0"/>
          <w:bCs w:val="0"/>
        </w:rPr>
      </w:r>
    </w:p>
    <w:p>
      <w:pPr>
        <w:spacing w:line="240" w:lineRule="auto" w:before="5"/>
        <w:rPr>
          <w:rFonts w:ascii="黑体" w:hAnsi="黑体" w:cs="黑体" w:eastAsia="黑体" w:hint="default"/>
          <w:b/>
          <w:bCs/>
          <w:sz w:val="19"/>
          <w:szCs w:val="19"/>
        </w:rPr>
      </w:pPr>
    </w:p>
    <w:p>
      <w:pPr>
        <w:pStyle w:val="Heading5"/>
        <w:spacing w:line="240" w:lineRule="auto" w:before="0"/>
        <w:ind w:right="0"/>
        <w:jc w:val="left"/>
        <w:rPr>
          <w:b w:val="0"/>
          <w:bCs w:val="0"/>
        </w:rPr>
      </w:pPr>
      <w:r>
        <w:rPr/>
        <w:t>一、普通股利润分配或资本公积金转增预案</w:t>
      </w:r>
      <w:r>
        <w:rPr>
          <w:b w:val="0"/>
          <w:bCs w:val="0"/>
        </w:rPr>
      </w:r>
    </w:p>
    <w:p>
      <w:pPr>
        <w:pStyle w:val="Heading5"/>
        <w:spacing w:line="240" w:lineRule="auto" w:before="58"/>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Heading3"/>
        <w:spacing w:line="240" w:lineRule="auto" w:before="23"/>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37" w:lineRule="auto" w:before="6"/>
        <w:ind w:left="216" w:right="128" w:firstLine="480"/>
        <w:jc w:val="both"/>
        <w:rPr>
          <w:rFonts w:ascii="宋体" w:hAnsi="宋体" w:cs="宋体" w:eastAsia="宋体" w:hint="default"/>
        </w:rPr>
      </w:pPr>
      <w:r>
        <w:rPr>
          <w:rFonts w:ascii="宋体" w:hAnsi="宋体" w:cs="宋体" w:eastAsia="宋体" w:hint="default"/>
        </w:rPr>
        <w:t>2014</w:t>
      </w:r>
      <w:r>
        <w:rPr>
          <w:rFonts w:ascii="宋体" w:hAnsi="宋体" w:cs="宋体" w:eastAsia="宋体" w:hint="default"/>
          <w:spacing w:val="-48"/>
        </w:rPr>
        <w:t> </w:t>
      </w:r>
      <w:r>
        <w:rPr/>
        <w:t>年</w:t>
      </w:r>
      <w:r>
        <w:rPr>
          <w:spacing w:val="-46"/>
        </w:rPr>
        <w:t> </w:t>
      </w:r>
      <w:r>
        <w:rPr>
          <w:rFonts w:ascii="宋体" w:hAnsi="宋体" w:cs="宋体" w:eastAsia="宋体" w:hint="default"/>
        </w:rPr>
        <w:t>4</w:t>
      </w:r>
      <w:r>
        <w:rPr>
          <w:rFonts w:ascii="宋体" w:hAnsi="宋体" w:cs="宋体" w:eastAsia="宋体" w:hint="default"/>
          <w:spacing w:val="-48"/>
        </w:rPr>
        <w:t> </w:t>
      </w:r>
      <w:r>
        <w:rPr>
          <w:spacing w:val="-4"/>
        </w:rPr>
        <w:t>月，公司根据中国证监会《上市公司监管指引第</w:t>
      </w:r>
      <w:r>
        <w:rPr>
          <w:spacing w:val="-45"/>
        </w:rPr>
        <w:t> </w:t>
      </w:r>
      <w:r>
        <w:rPr>
          <w:rFonts w:ascii="宋体" w:hAnsi="宋体" w:cs="宋体" w:eastAsia="宋体" w:hint="default"/>
        </w:rPr>
        <w:t>3</w:t>
      </w:r>
      <w:r>
        <w:rPr>
          <w:rFonts w:ascii="宋体" w:hAnsi="宋体" w:cs="宋体" w:eastAsia="宋体" w:hint="default"/>
          <w:spacing w:val="-46"/>
        </w:rPr>
        <w:t> </w:t>
      </w:r>
      <w:r>
        <w:rPr>
          <w:spacing w:val="-5"/>
        </w:rPr>
        <w:t>号</w:t>
      </w:r>
      <w:r>
        <w:rPr>
          <w:rFonts w:ascii="宋体" w:hAnsi="宋体" w:cs="宋体" w:eastAsia="宋体" w:hint="default"/>
          <w:spacing w:val="-5"/>
        </w:rPr>
        <w:t>--</w:t>
      </w:r>
      <w:r>
        <w:rPr>
          <w:spacing w:val="-5"/>
        </w:rPr>
        <w:t>上市公司现金分红》（证监</w:t>
      </w:r>
      <w:r>
        <w:rPr>
          <w:w w:val="100"/>
        </w:rPr>
        <w:t> </w:t>
      </w:r>
      <w:r>
        <w:rPr/>
        <w:t>会公告</w:t>
      </w:r>
      <w:r>
        <w:rPr>
          <w:rFonts w:ascii="宋体" w:hAnsi="宋体" w:cs="宋体" w:eastAsia="宋体" w:hint="default"/>
        </w:rPr>
        <w:t>[2013]43</w:t>
      </w:r>
      <w:r>
        <w:rPr/>
        <w:t>）的要求及中国证监会江西监管局的有关文件精神，对《公司章程》中关于现金</w:t>
      </w:r>
      <w:r>
        <w:rPr>
          <w:spacing w:val="-98"/>
        </w:rPr>
        <w:t> </w:t>
      </w:r>
      <w:r>
        <w:rPr>
          <w:spacing w:val="-98"/>
        </w:rPr>
      </w:r>
      <w:r>
        <w:rPr>
          <w:spacing w:val="-1"/>
          <w:w w:val="100"/>
        </w:rPr>
        <w:t>分红相关条款进行了修订，并经公司第五届董事会第十六次会议、</w:t>
      </w:r>
      <w:r>
        <w:rPr>
          <w:rFonts w:ascii="宋体" w:hAnsi="宋体" w:cs="宋体" w:eastAsia="宋体" w:hint="default"/>
          <w:spacing w:val="-1"/>
          <w:w w:val="100"/>
        </w:rPr>
        <w:t>2013</w:t>
      </w:r>
      <w:r>
        <w:rPr>
          <w:rFonts w:ascii="宋体" w:hAnsi="宋体" w:cs="宋体" w:eastAsia="宋体" w:hint="default"/>
          <w:spacing w:val="-19"/>
          <w:w w:val="100"/>
        </w:rPr>
        <w:t> </w:t>
      </w:r>
      <w:r>
        <w:rPr>
          <w:spacing w:val="-9"/>
          <w:w w:val="100"/>
        </w:rPr>
        <w:t>年度股东大会审议通过。</w:t>
      </w:r>
      <w:r>
        <w:rPr>
          <w:rFonts w:ascii="宋体" w:hAnsi="宋体" w:cs="宋体" w:eastAsia="宋体" w:hint="default"/>
          <w:w w:val="100"/>
        </w:rPr>
        <w:t> </w:t>
      </w:r>
    </w:p>
    <w:p>
      <w:pPr>
        <w:pStyle w:val="Heading3"/>
        <w:spacing w:line="305" w:lineRule="exact"/>
        <w:ind w:right="0"/>
        <w:jc w:val="left"/>
        <w:rPr>
          <w:rFonts w:ascii="宋体" w:hAnsi="宋体" w:cs="宋体" w:eastAsia="宋体" w:hint="default"/>
        </w:rPr>
      </w:pPr>
      <w:r>
        <w:rPr>
          <w:rFonts w:ascii="宋体"/>
        </w:rPr>
        <w:t> </w:t>
      </w:r>
    </w:p>
    <w:p>
      <w:pPr>
        <w:pStyle w:val="Heading5"/>
        <w:spacing w:line="240"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spacing w:line="240" w:lineRule="auto" w:before="29"/>
        <w:ind w:left="0" w:right="113"/>
        <w:jc w:val="righ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996"/>
        <w:gridCol w:w="1198"/>
        <w:gridCol w:w="1186"/>
        <w:gridCol w:w="1200"/>
        <w:gridCol w:w="1424"/>
        <w:gridCol w:w="1529"/>
        <w:gridCol w:w="1517"/>
      </w:tblGrid>
      <w:tr>
        <w:trPr>
          <w:trHeight w:val="1371"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83" w:right="175"/>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w w:val="100"/>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19" w:right="119"/>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9" w:lineRule="exact"/>
              <w:ind w:left="105" w:right="0"/>
              <w:jc w:val="center"/>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65" w:right="113" w:hanging="5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z w:val="21"/>
                <w:szCs w:val="21"/>
              </w:rPr>
              <w:t>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49" w:lineRule="exact"/>
              <w:ind w:left="165" w:right="0"/>
              <w:jc w:val="left"/>
              <w:rPr>
                <w:rFonts w:ascii="宋体" w:hAnsi="宋体" w:cs="宋体" w:eastAsia="宋体" w:hint="default"/>
                <w:sz w:val="21"/>
                <w:szCs w:val="21"/>
              </w:rPr>
            </w:pPr>
            <w:r>
              <w:rPr>
                <w:rFonts w:ascii="宋体" w:hAnsi="宋体" w:cs="宋体" w:eastAsia="宋体" w:hint="default"/>
                <w:sz w:val="21"/>
                <w:szCs w:val="21"/>
              </w:rPr>
              <w:t>（含税）</w:t>
            </w:r>
            <w:r>
              <w:rPr>
                <w:rFonts w:ascii="宋体" w:hAnsi="宋体" w:cs="宋体" w:eastAsia="宋体" w:hint="default"/>
                <w:sz w:val="21"/>
                <w:szCs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1" w:firstLine="16"/>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股转</w:t>
            </w:r>
            <w:r>
              <w:rPr>
                <w:rFonts w:ascii="宋体" w:hAnsi="宋体" w:cs="宋体" w:eastAsia="宋体" w:hint="default"/>
                <w:w w:val="100"/>
                <w:sz w:val="21"/>
                <w:szCs w:val="21"/>
              </w:rPr>
              <w:t> </w:t>
            </w:r>
            <w:r>
              <w:rPr>
                <w:rFonts w:ascii="宋体" w:hAnsi="宋体" w:cs="宋体" w:eastAsia="宋体" w:hint="default"/>
                <w:spacing w:val="-16"/>
                <w:sz w:val="21"/>
                <w:szCs w:val="21"/>
              </w:rPr>
              <w:t>增数（股）</w:t>
            </w:r>
            <w:r>
              <w:rPr>
                <w:rFonts w:ascii="宋体" w:hAnsi="宋体" w:cs="宋体" w:eastAsia="宋体" w:hint="default"/>
                <w:sz w:val="21"/>
                <w:szCs w:val="21"/>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77" w:right="180"/>
              <w:jc w:val="center"/>
              <w:rPr>
                <w:rFonts w:ascii="宋体" w:hAnsi="宋体" w:cs="宋体" w:eastAsia="宋体" w:hint="default"/>
                <w:sz w:val="21"/>
                <w:szCs w:val="21"/>
              </w:rPr>
            </w:pPr>
            <w:r>
              <w:rPr>
                <w:rFonts w:ascii="宋体" w:hAnsi="宋体" w:cs="宋体" w:eastAsia="宋体" w:hint="default"/>
                <w:sz w:val="21"/>
                <w:szCs w:val="21"/>
              </w:rPr>
              <w:t>现金分红的</w:t>
            </w:r>
            <w:r>
              <w:rPr>
                <w:rFonts w:ascii="宋体" w:hAnsi="宋体" w:cs="宋体" w:eastAsia="宋体" w:hint="default"/>
                <w:w w:val="100"/>
                <w:sz w:val="21"/>
                <w:szCs w:val="21"/>
              </w:rPr>
              <w:t> </w:t>
            </w:r>
            <w:r>
              <w:rPr>
                <w:rFonts w:ascii="宋体" w:hAnsi="宋体" w:cs="宋体" w:eastAsia="宋体" w:hint="default"/>
                <w:sz w:val="21"/>
                <w:szCs w:val="21"/>
              </w:rPr>
              <w:t>数额</w:t>
            </w:r>
            <w:r>
              <w:rPr>
                <w:rFonts w:ascii="宋体" w:hAnsi="宋体" w:cs="宋体" w:eastAsia="宋体" w:hint="default"/>
                <w:sz w:val="21"/>
                <w:szCs w:val="21"/>
              </w:rPr>
              <w:t> </w:t>
            </w:r>
          </w:p>
          <w:p>
            <w:pPr>
              <w:pStyle w:val="TableParagraph"/>
              <w:spacing w:line="249" w:lineRule="exact"/>
              <w:ind w:left="98" w:right="0"/>
              <w:jc w:val="center"/>
              <w:rPr>
                <w:rFonts w:ascii="宋体" w:hAnsi="宋体" w:cs="宋体" w:eastAsia="宋体" w:hint="default"/>
                <w:sz w:val="21"/>
                <w:szCs w:val="21"/>
              </w:rPr>
            </w:pPr>
            <w:r>
              <w:rPr>
                <w:rFonts w:ascii="宋体" w:hAnsi="宋体" w:cs="宋体" w:eastAsia="宋体" w:hint="default"/>
                <w:sz w:val="21"/>
                <w:szCs w:val="21"/>
              </w:rPr>
              <w:t>（含税）</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分红年度合并</w:t>
            </w:r>
          </w:p>
          <w:p>
            <w:pPr>
              <w:pStyle w:val="TableParagraph"/>
              <w:spacing w:line="237" w:lineRule="auto" w:before="2"/>
              <w:ind w:left="127" w:right="127"/>
              <w:jc w:val="center"/>
              <w:rPr>
                <w:rFonts w:ascii="宋体" w:hAnsi="宋体" w:cs="宋体" w:eastAsia="宋体" w:hint="default"/>
                <w:sz w:val="21"/>
                <w:szCs w:val="21"/>
              </w:rPr>
            </w:pPr>
            <w:r>
              <w:rPr>
                <w:rFonts w:ascii="宋体" w:hAnsi="宋体" w:cs="宋体" w:eastAsia="宋体" w:hint="default"/>
                <w:spacing w:val="-1"/>
                <w:sz w:val="21"/>
                <w:szCs w:val="21"/>
              </w:rPr>
              <w:t>报表中归属于</w:t>
            </w:r>
            <w:r>
              <w:rPr>
                <w:rFonts w:ascii="宋体" w:hAnsi="宋体" w:cs="宋体" w:eastAsia="宋体" w:hint="default"/>
                <w:w w:val="100"/>
                <w:sz w:val="21"/>
                <w:szCs w:val="21"/>
              </w:rPr>
              <w:t> </w:t>
            </w:r>
            <w:r>
              <w:rPr>
                <w:rFonts w:ascii="宋体" w:hAnsi="宋体" w:cs="宋体" w:eastAsia="宋体" w:hint="default"/>
                <w:spacing w:val="-2"/>
                <w:sz w:val="21"/>
                <w:szCs w:val="21"/>
              </w:rPr>
              <w:t>上市公司普通</w:t>
            </w:r>
            <w:r>
              <w:rPr>
                <w:rFonts w:ascii="宋体" w:hAnsi="宋体" w:cs="宋体" w:eastAsia="宋体" w:hint="default"/>
                <w:spacing w:val="-3"/>
                <w:w w:val="100"/>
                <w:sz w:val="21"/>
                <w:szCs w:val="21"/>
              </w:rPr>
              <w:t> </w:t>
            </w:r>
            <w:r>
              <w:rPr>
                <w:rFonts w:ascii="宋体" w:hAnsi="宋体" w:cs="宋体" w:eastAsia="宋体" w:hint="default"/>
                <w:spacing w:val="-1"/>
                <w:sz w:val="21"/>
                <w:szCs w:val="21"/>
              </w:rPr>
              <w:t>股股东的净利</w:t>
            </w:r>
            <w:r>
              <w:rPr>
                <w:rFonts w:ascii="宋体" w:hAnsi="宋体" w:cs="宋体" w:eastAsia="宋体" w:hint="default"/>
                <w:w w:val="100"/>
                <w:sz w:val="21"/>
                <w:szCs w:val="21"/>
              </w:rPr>
              <w:t> </w:t>
            </w:r>
            <w:r>
              <w:rPr>
                <w:rFonts w:ascii="宋体" w:hAnsi="宋体" w:cs="宋体" w:eastAsia="宋体" w:hint="default"/>
                <w:sz w:val="21"/>
                <w:szCs w:val="21"/>
              </w:rPr>
              <w:t>润</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占合并报表中</w:t>
            </w:r>
          </w:p>
          <w:p>
            <w:pPr>
              <w:pStyle w:val="TableParagraph"/>
              <w:spacing w:line="237" w:lineRule="auto" w:before="2"/>
              <w:ind w:left="124" w:right="118"/>
              <w:jc w:val="center"/>
              <w:rPr>
                <w:rFonts w:ascii="宋体" w:hAnsi="宋体" w:cs="宋体" w:eastAsia="宋体" w:hint="default"/>
                <w:sz w:val="21"/>
                <w:szCs w:val="21"/>
              </w:rPr>
            </w:pPr>
            <w:r>
              <w:rPr>
                <w:rFonts w:ascii="宋体" w:hAnsi="宋体" w:cs="宋体" w:eastAsia="宋体" w:hint="default"/>
                <w:spacing w:val="-1"/>
                <w:sz w:val="21"/>
                <w:szCs w:val="21"/>
              </w:rPr>
              <w:t>归属于上市公</w:t>
            </w:r>
            <w:r>
              <w:rPr>
                <w:rFonts w:ascii="宋体" w:hAnsi="宋体" w:cs="宋体" w:eastAsia="宋体" w:hint="default"/>
                <w:w w:val="100"/>
                <w:sz w:val="21"/>
                <w:szCs w:val="21"/>
              </w:rPr>
              <w:t> </w:t>
            </w:r>
            <w:r>
              <w:rPr>
                <w:rFonts w:ascii="宋体" w:hAnsi="宋体" w:cs="宋体" w:eastAsia="宋体" w:hint="default"/>
                <w:spacing w:val="-2"/>
                <w:sz w:val="21"/>
                <w:szCs w:val="21"/>
              </w:rPr>
              <w:t>司普通股股东</w:t>
            </w:r>
            <w:r>
              <w:rPr>
                <w:rFonts w:ascii="宋体" w:hAnsi="宋体" w:cs="宋体" w:eastAsia="宋体" w:hint="default"/>
                <w:spacing w:val="-3"/>
                <w:w w:val="100"/>
                <w:sz w:val="21"/>
                <w:szCs w:val="21"/>
              </w:rPr>
              <w:t> </w:t>
            </w:r>
            <w:r>
              <w:rPr>
                <w:rFonts w:ascii="宋体" w:hAnsi="宋体" w:cs="宋体" w:eastAsia="宋体" w:hint="default"/>
                <w:spacing w:val="-1"/>
                <w:sz w:val="21"/>
                <w:szCs w:val="21"/>
              </w:rPr>
              <w:t>的净利润的比</w:t>
            </w:r>
            <w:r>
              <w:rPr>
                <w:rFonts w:ascii="宋体" w:hAnsi="宋体" w:cs="宋体" w:eastAsia="宋体" w:hint="default"/>
                <w:w w:val="100"/>
                <w:sz w:val="21"/>
                <w:szCs w:val="21"/>
              </w:rPr>
              <w:t> </w:t>
            </w:r>
            <w:r>
              <w:rPr>
                <w:rFonts w:ascii="宋体" w:hAnsi="宋体" w:cs="宋体" w:eastAsia="宋体" w:hint="default"/>
                <w:sz w:val="21"/>
                <w:szCs w:val="21"/>
              </w:rPr>
              <w:t>率</w:t>
            </w:r>
            <w:r>
              <w:rPr>
                <w:rFonts w:ascii="宋体" w:hAnsi="宋体" w:cs="宋体" w:eastAsia="宋体" w:hint="default"/>
                <w:sz w:val="21"/>
                <w:szCs w:val="21"/>
              </w:rPr>
              <w:t>(%) </w:t>
            </w:r>
          </w:p>
        </w:tc>
      </w:tr>
      <w:tr>
        <w:trPr>
          <w:trHeight w:val="283"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0.55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47,646,433.12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Times New Roman" w:hAnsi="Times New Roman" w:cs="Times New Roman" w:eastAsia="Times New Roman" w:hint="default"/>
                <w:sz w:val="21"/>
                <w:szCs w:val="21"/>
              </w:rPr>
            </w:pPr>
            <w:r>
              <w:rPr>
                <w:rFonts w:ascii="Times New Roman"/>
                <w:sz w:val="21"/>
              </w:rPr>
              <w:t>144,049,459.21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33.08</w:t>
            </w:r>
          </w:p>
        </w:tc>
      </w:tr>
      <w:tr>
        <w:trPr>
          <w:trHeight w:val="283"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Times New Roman" w:hAnsi="Times New Roman" w:cs="Times New Roman" w:eastAsia="Times New Roman" w:hint="default"/>
                <w:sz w:val="21"/>
                <w:szCs w:val="21"/>
              </w:rPr>
            </w:pPr>
            <w:r>
              <w:rPr>
                <w:rFonts w:ascii="Times New Roman"/>
                <w:sz w:val="21"/>
              </w:rPr>
              <w:t>262,178,814.19</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0.00</w:t>
            </w:r>
          </w:p>
        </w:tc>
      </w:tr>
      <w:tr>
        <w:trPr>
          <w:trHeight w:val="283"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1.2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w w:val="100"/>
                <w:sz w:val="21"/>
              </w:rPr>
              <w:t>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79,735,279.92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Times New Roman" w:hAnsi="Times New Roman" w:cs="Times New Roman" w:eastAsia="Times New Roman" w:hint="default"/>
                <w:sz w:val="21"/>
                <w:szCs w:val="21"/>
              </w:rPr>
            </w:pPr>
            <w:r>
              <w:rPr>
                <w:rFonts w:ascii="Times New Roman"/>
                <w:sz w:val="21"/>
              </w:rPr>
              <w:t>251,934,744.63</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31.65</w:t>
            </w:r>
          </w:p>
        </w:tc>
      </w:tr>
    </w:tbl>
    <w:p>
      <w:pPr>
        <w:spacing w:after="0" w:line="240" w:lineRule="auto"/>
        <w:jc w:val="right"/>
        <w:rPr>
          <w:rFonts w:ascii="Times New Roman" w:hAnsi="Times New Roman" w:cs="Times New Roman" w:eastAsia="Times New Roman" w:hint="default"/>
          <w:sz w:val="21"/>
          <w:szCs w:val="21"/>
        </w:rPr>
        <w:sectPr>
          <w:pgSz w:w="11910" w:h="16840"/>
          <w:pgMar w:header="880" w:footer="1195" w:top="1120" w:bottom="1380" w:left="1060" w:right="1560"/>
        </w:sectPr>
      </w:pPr>
    </w:p>
    <w:p>
      <w:pPr>
        <w:spacing w:line="240" w:lineRule="auto" w:before="13"/>
        <w:rPr>
          <w:rFonts w:ascii="宋体" w:hAnsi="宋体" w:cs="宋体" w:eastAsia="宋体" w:hint="default"/>
          <w:sz w:val="10"/>
          <w:szCs w:val="10"/>
        </w:rPr>
      </w:pPr>
    </w:p>
    <w:p>
      <w:pPr>
        <w:pStyle w:val="Heading5"/>
        <w:spacing w:line="240" w:lineRule="auto" w:before="36"/>
        <w:ind w:left="224"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0"/>
        </w:rPr>
        <w:t> </w:t>
      </w:r>
      <w:r>
        <w:rPr/>
        <w:t>以现金方式回购股份计入现金分红的情况</w:t>
      </w:r>
      <w:r>
        <w:rPr>
          <w:b w:val="0"/>
          <w:bCs w:val="0"/>
        </w:rPr>
      </w:r>
    </w:p>
    <w:p>
      <w:pPr>
        <w:pStyle w:val="Heading3"/>
        <w:spacing w:line="240" w:lineRule="auto" w:before="23"/>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72" w:lineRule="exact" w:before="92"/>
        <w:ind w:left="644" w:right="0" w:hanging="421"/>
        <w:jc w:val="left"/>
        <w:rPr>
          <w:b w:val="0"/>
          <w:bCs w:val="0"/>
        </w:rPr>
      </w:pPr>
      <w:r>
        <w:rPr>
          <w:rFonts w:ascii="Calibri" w:hAnsi="Calibri" w:cs="Calibri" w:eastAsia="Calibri" w:hint="default"/>
        </w:rPr>
        <w:t>(</w:t>
      </w:r>
      <w:r>
        <w:rPr/>
        <w:t>四</w:t>
      </w:r>
      <w:r>
        <w:rPr>
          <w:rFonts w:ascii="Calibri" w:hAnsi="Calibri" w:cs="Calibri" w:eastAsia="Calibri" w:hint="default"/>
        </w:rPr>
        <w:t>) </w:t>
      </w:r>
      <w:r>
        <w:rPr>
          <w:spacing w:val="-2"/>
        </w:rPr>
        <w:t>报告期内盈利且母公司可供普通股股东分配利润为正，但未提出普通股现金利润分配方案预案的，公司应当详细披露原因以及未分配利润的用途和</w:t>
      </w:r>
      <w:r>
        <w:rPr>
          <w:spacing w:val="-89"/>
        </w:rPr>
        <w:t> </w:t>
      </w:r>
      <w:r>
        <w:rPr>
          <w:spacing w:val="-89"/>
        </w:rPr>
      </w:r>
      <w:r>
        <w:rPr/>
        <w:t>使用计划</w:t>
      </w:r>
      <w:r>
        <w:rPr>
          <w:b w:val="0"/>
          <w:bCs w:val="0"/>
        </w:rPr>
      </w:r>
    </w:p>
    <w:p>
      <w:pPr>
        <w:pStyle w:val="Heading3"/>
        <w:spacing w:line="240" w:lineRule="auto" w:before="27"/>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40" w:lineRule="auto" w:before="61"/>
        <w:ind w:left="224" w:right="0"/>
        <w:jc w:val="left"/>
        <w:rPr>
          <w:b w:val="0"/>
          <w:bCs w:val="0"/>
        </w:rPr>
      </w:pPr>
      <w:r>
        <w:rPr/>
        <w:t>二、承诺事项履行情况</w:t>
      </w:r>
      <w:r>
        <w:rPr>
          <w:b w:val="0"/>
          <w:bCs w:val="0"/>
        </w:rPr>
      </w:r>
    </w:p>
    <w:p>
      <w:pPr>
        <w:pStyle w:val="Heading5"/>
        <w:tabs>
          <w:tab w:pos="790" w:val="left" w:leader="none"/>
        </w:tabs>
        <w:spacing w:line="240" w:lineRule="auto" w:before="58"/>
        <w:ind w:left="224"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公司实际控制人、股东、关联方、收购人以及公司等承诺相关方在报告期内或持续到报告期内的承诺事项</w:t>
      </w:r>
      <w:r>
        <w:rPr>
          <w:b w:val="0"/>
          <w:bCs w:val="0"/>
        </w:rPr>
      </w:r>
    </w:p>
    <w:p>
      <w:pPr>
        <w:pStyle w:val="Heading3"/>
        <w:spacing w:line="240" w:lineRule="auto" w:before="24"/>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718"/>
        <w:gridCol w:w="864"/>
        <w:gridCol w:w="1296"/>
        <w:gridCol w:w="5763"/>
        <w:gridCol w:w="1586"/>
        <w:gridCol w:w="721"/>
        <w:gridCol w:w="862"/>
        <w:gridCol w:w="1298"/>
        <w:gridCol w:w="996"/>
      </w:tblGrid>
      <w:tr>
        <w:trPr>
          <w:trHeight w:val="1373"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3" w:right="36"/>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背景</w:t>
            </w:r>
            <w:r>
              <w:rPr>
                <w:rFonts w:ascii="宋体" w:hAnsi="宋体" w:cs="宋体" w:eastAsia="宋体" w:hint="default"/>
                <w:sz w:val="21"/>
                <w:szCs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5" w:right="110"/>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类型</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21"/>
              <w:jc w:val="right"/>
              <w:rPr>
                <w:rFonts w:ascii="宋体" w:hAnsi="宋体" w:cs="宋体" w:eastAsia="宋体" w:hint="default"/>
                <w:sz w:val="21"/>
                <w:szCs w:val="21"/>
              </w:rPr>
            </w:pPr>
            <w:r>
              <w:rPr>
                <w:rFonts w:ascii="宋体" w:hAnsi="宋体" w:cs="宋体" w:eastAsia="宋体" w:hint="default"/>
                <w:spacing w:val="-1"/>
                <w:sz w:val="21"/>
                <w:szCs w:val="21"/>
              </w:rPr>
              <w:t>承诺方</w:t>
            </w:r>
            <w:r>
              <w:rPr>
                <w:rFonts w:ascii="宋体" w:hAnsi="宋体" w:cs="宋体" w:eastAsia="宋体" w:hint="default"/>
                <w:sz w:val="21"/>
                <w:szCs w:val="21"/>
              </w:rPr>
              <w:t> </w:t>
            </w:r>
          </w:p>
        </w:tc>
        <w:tc>
          <w:tcPr>
            <w:tcW w:w="5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67" w:right="2559"/>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16"/>
                <w:sz w:val="21"/>
                <w:szCs w:val="21"/>
              </w:rPr>
              <w:t>承诺时间及期</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限</w:t>
            </w:r>
            <w:r>
              <w:rPr>
                <w:rFonts w:ascii="宋体" w:hAnsi="宋体" w:cs="宋体" w:eastAsia="宋体" w:hint="default"/>
                <w:sz w:val="21"/>
                <w:szCs w:val="21"/>
              </w:rPr>
              <w:t> </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5"/>
              <w:jc w:val="both"/>
              <w:rPr>
                <w:rFonts w:ascii="宋体" w:hAnsi="宋体" w:cs="宋体" w:eastAsia="宋体" w:hint="default"/>
                <w:sz w:val="21"/>
                <w:szCs w:val="21"/>
              </w:rPr>
            </w:pPr>
            <w:r>
              <w:rPr>
                <w:rFonts w:ascii="宋体" w:hAnsi="宋体" w:cs="宋体" w:eastAsia="宋体" w:hint="default"/>
                <w:spacing w:val="41"/>
                <w:sz w:val="21"/>
                <w:szCs w:val="21"/>
              </w:rPr>
              <w:t>是否</w:t>
            </w:r>
            <w:r>
              <w:rPr>
                <w:rFonts w:ascii="宋体" w:hAnsi="宋体" w:cs="宋体" w:eastAsia="宋体" w:hint="default"/>
                <w:spacing w:val="-101"/>
                <w:sz w:val="21"/>
                <w:szCs w:val="21"/>
              </w:rPr>
              <w:t> </w:t>
            </w:r>
            <w:r>
              <w:rPr>
                <w:rFonts w:ascii="宋体" w:hAnsi="宋体" w:cs="宋体" w:eastAsia="宋体" w:hint="default"/>
                <w:spacing w:val="41"/>
                <w:sz w:val="21"/>
                <w:szCs w:val="21"/>
              </w:rPr>
              <w:t>有履</w:t>
            </w:r>
            <w:r>
              <w:rPr>
                <w:rFonts w:ascii="宋体" w:hAnsi="宋体" w:cs="宋体" w:eastAsia="宋体" w:hint="default"/>
                <w:spacing w:val="-101"/>
                <w:sz w:val="21"/>
                <w:szCs w:val="21"/>
              </w:rPr>
              <w:t> </w:t>
            </w:r>
            <w:r>
              <w:rPr>
                <w:rFonts w:ascii="宋体" w:hAnsi="宋体" w:cs="宋体" w:eastAsia="宋体" w:hint="default"/>
                <w:spacing w:val="41"/>
                <w:sz w:val="21"/>
                <w:szCs w:val="21"/>
              </w:rPr>
              <w:t>行期</w:t>
            </w:r>
            <w:r>
              <w:rPr>
                <w:rFonts w:ascii="宋体" w:hAnsi="宋体" w:cs="宋体" w:eastAsia="宋体" w:hint="default"/>
                <w:spacing w:val="-101"/>
                <w:sz w:val="21"/>
                <w:szCs w:val="21"/>
              </w:rPr>
              <w:t> </w:t>
            </w:r>
            <w:r>
              <w:rPr>
                <w:rFonts w:ascii="宋体" w:hAnsi="宋体" w:cs="宋体" w:eastAsia="宋体" w:hint="default"/>
                <w:sz w:val="21"/>
                <w:szCs w:val="21"/>
              </w:rPr>
              <w:t>限</w:t>
            </w:r>
            <w:r>
              <w:rPr>
                <w:rFonts w:ascii="宋体" w:hAnsi="宋体" w:cs="宋体" w:eastAsia="宋体" w:hint="default"/>
                <w:sz w:val="21"/>
                <w:szCs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4"/>
                <w:sz w:val="21"/>
                <w:szCs w:val="21"/>
              </w:rPr>
              <w:t>是否及</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4"/>
                <w:sz w:val="21"/>
                <w:szCs w:val="21"/>
              </w:rPr>
              <w:t>时严格</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履行</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26"/>
              <w:jc w:val="both"/>
              <w:rPr>
                <w:rFonts w:ascii="宋体" w:hAnsi="宋体" w:cs="宋体" w:eastAsia="宋体" w:hint="default"/>
                <w:sz w:val="21"/>
                <w:szCs w:val="21"/>
              </w:rPr>
            </w:pPr>
            <w:r>
              <w:rPr>
                <w:rFonts w:ascii="宋体" w:hAnsi="宋体" w:cs="宋体" w:eastAsia="宋体" w:hint="default"/>
                <w:spacing w:val="3"/>
                <w:sz w:val="21"/>
                <w:szCs w:val="21"/>
              </w:rPr>
              <w:t>如未能及时</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3"/>
                <w:sz w:val="21"/>
                <w:szCs w:val="21"/>
              </w:rPr>
              <w:t>履行应说明</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3"/>
                <w:sz w:val="21"/>
                <w:szCs w:val="21"/>
              </w:rPr>
              <w:t>未完成履行</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的具体原因</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如 未</w:t>
            </w:r>
            <w:r>
              <w:rPr>
                <w:rFonts w:ascii="宋体" w:hAnsi="宋体" w:cs="宋体" w:eastAsia="宋体" w:hint="default"/>
                <w:spacing w:val="-57"/>
                <w:sz w:val="21"/>
                <w:szCs w:val="21"/>
              </w:rPr>
              <w:t> </w:t>
            </w:r>
            <w:r>
              <w:rPr>
                <w:rFonts w:ascii="宋体" w:hAnsi="宋体" w:cs="宋体" w:eastAsia="宋体" w:hint="default"/>
                <w:sz w:val="21"/>
                <w:szCs w:val="21"/>
              </w:rPr>
              <w:t>能</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z w:val="21"/>
                <w:szCs w:val="21"/>
              </w:rPr>
              <w:t>及 时</w:t>
            </w:r>
            <w:r>
              <w:rPr>
                <w:rFonts w:ascii="宋体" w:hAnsi="宋体" w:cs="宋体" w:eastAsia="宋体" w:hint="default"/>
                <w:spacing w:val="-57"/>
                <w:sz w:val="21"/>
                <w:szCs w:val="21"/>
              </w:rPr>
              <w:t> </w:t>
            </w:r>
            <w:r>
              <w:rPr>
                <w:rFonts w:ascii="宋体" w:hAnsi="宋体" w:cs="宋体" w:eastAsia="宋体" w:hint="default"/>
                <w:sz w:val="21"/>
                <w:szCs w:val="21"/>
              </w:rPr>
              <w:t>履</w:t>
            </w:r>
            <w:r>
              <w:rPr>
                <w:rFonts w:ascii="宋体" w:hAnsi="宋体" w:cs="宋体" w:eastAsia="宋体" w:hint="default"/>
                <w:w w:val="100"/>
                <w:sz w:val="21"/>
                <w:szCs w:val="21"/>
              </w:rPr>
              <w:t> </w:t>
            </w:r>
            <w:r>
              <w:rPr>
                <w:rFonts w:ascii="宋体" w:hAnsi="宋体" w:cs="宋体" w:eastAsia="宋体" w:hint="default"/>
                <w:sz w:val="21"/>
                <w:szCs w:val="21"/>
              </w:rPr>
              <w:t>行 应</w:t>
            </w:r>
            <w:r>
              <w:rPr>
                <w:rFonts w:ascii="宋体" w:hAnsi="宋体" w:cs="宋体" w:eastAsia="宋体" w:hint="default"/>
                <w:spacing w:val="-57"/>
                <w:sz w:val="21"/>
                <w:szCs w:val="21"/>
              </w:rPr>
              <w:t> </w:t>
            </w:r>
            <w:r>
              <w:rPr>
                <w:rFonts w:ascii="宋体" w:hAnsi="宋体" w:cs="宋体" w:eastAsia="宋体" w:hint="default"/>
                <w:sz w:val="21"/>
                <w:szCs w:val="21"/>
              </w:rPr>
              <w:t>说</w:t>
            </w:r>
            <w:r>
              <w:rPr>
                <w:rFonts w:ascii="宋体" w:hAnsi="宋体" w:cs="宋体" w:eastAsia="宋体" w:hint="default"/>
                <w:w w:val="100"/>
                <w:sz w:val="21"/>
                <w:szCs w:val="21"/>
              </w:rPr>
              <w:t> </w:t>
            </w:r>
            <w:r>
              <w:rPr>
                <w:rFonts w:ascii="宋体" w:hAnsi="宋体" w:cs="宋体" w:eastAsia="宋体" w:hint="default"/>
                <w:sz w:val="21"/>
                <w:szCs w:val="21"/>
              </w:rPr>
              <w:t>明 下</w:t>
            </w:r>
            <w:r>
              <w:rPr>
                <w:rFonts w:ascii="宋体" w:hAnsi="宋体" w:cs="宋体" w:eastAsia="宋体" w:hint="default"/>
                <w:spacing w:val="-57"/>
                <w:sz w:val="21"/>
                <w:szCs w:val="21"/>
              </w:rPr>
              <w:t> </w:t>
            </w:r>
            <w:r>
              <w:rPr>
                <w:rFonts w:ascii="宋体" w:hAnsi="宋体" w:cs="宋体" w:eastAsia="宋体" w:hint="default"/>
                <w:sz w:val="21"/>
                <w:szCs w:val="21"/>
              </w:rPr>
              <w:t>一</w:t>
            </w:r>
            <w:r>
              <w:rPr>
                <w:rFonts w:ascii="宋体" w:hAnsi="宋体" w:cs="宋体" w:eastAsia="宋体" w:hint="default"/>
                <w:w w:val="100"/>
                <w:sz w:val="21"/>
                <w:szCs w:val="21"/>
              </w:rPr>
              <w:t> </w:t>
            </w:r>
            <w:r>
              <w:rPr>
                <w:rFonts w:ascii="宋体" w:hAnsi="宋体" w:cs="宋体" w:eastAsia="宋体" w:hint="default"/>
                <w:sz w:val="21"/>
                <w:szCs w:val="21"/>
              </w:rPr>
              <w:t>步计划</w:t>
            </w:r>
            <w:r>
              <w:rPr>
                <w:rFonts w:ascii="宋体" w:hAnsi="宋体" w:cs="宋体" w:eastAsia="宋体" w:hint="default"/>
                <w:sz w:val="21"/>
                <w:szCs w:val="21"/>
              </w:rPr>
              <w:t> </w:t>
            </w:r>
          </w:p>
        </w:tc>
      </w:tr>
      <w:tr>
        <w:trPr>
          <w:trHeight w:val="1644" w:hRule="exact"/>
        </w:trPr>
        <w:tc>
          <w:tcPr>
            <w:tcW w:w="7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72"/>
              <w:ind w:left="103" w:right="17"/>
              <w:jc w:val="both"/>
              <w:rPr>
                <w:rFonts w:ascii="宋体" w:hAnsi="宋体" w:cs="宋体" w:eastAsia="宋体" w:hint="default"/>
                <w:sz w:val="21"/>
                <w:szCs w:val="21"/>
              </w:rPr>
            </w:pPr>
            <w:r>
              <w:rPr>
                <w:rFonts w:ascii="宋体" w:hAnsi="宋体" w:cs="宋体" w:eastAsia="宋体" w:hint="default"/>
                <w:spacing w:val="40"/>
                <w:sz w:val="21"/>
                <w:szCs w:val="21"/>
              </w:rPr>
              <w:t>与重</w:t>
            </w:r>
            <w:r>
              <w:rPr>
                <w:rFonts w:ascii="宋体" w:hAnsi="宋体" w:cs="宋体" w:eastAsia="宋体" w:hint="default"/>
                <w:spacing w:val="-102"/>
                <w:sz w:val="21"/>
                <w:szCs w:val="21"/>
              </w:rPr>
              <w:t> </w:t>
            </w:r>
            <w:r>
              <w:rPr>
                <w:rFonts w:ascii="宋体" w:hAnsi="宋体" w:cs="宋体" w:eastAsia="宋体" w:hint="default"/>
                <w:spacing w:val="40"/>
                <w:sz w:val="21"/>
                <w:szCs w:val="21"/>
              </w:rPr>
              <w:t>大资</w:t>
            </w:r>
            <w:r>
              <w:rPr>
                <w:rFonts w:ascii="宋体" w:hAnsi="宋体" w:cs="宋体" w:eastAsia="宋体" w:hint="default"/>
                <w:spacing w:val="-102"/>
                <w:sz w:val="21"/>
                <w:szCs w:val="21"/>
              </w:rPr>
              <w:t> </w:t>
            </w:r>
            <w:r>
              <w:rPr>
                <w:rFonts w:ascii="宋体" w:hAnsi="宋体" w:cs="宋体" w:eastAsia="宋体" w:hint="default"/>
                <w:spacing w:val="40"/>
                <w:sz w:val="21"/>
                <w:szCs w:val="21"/>
              </w:rPr>
              <w:t>产重</w:t>
            </w:r>
            <w:r>
              <w:rPr>
                <w:rFonts w:ascii="宋体" w:hAnsi="宋体" w:cs="宋体" w:eastAsia="宋体" w:hint="default"/>
                <w:spacing w:val="-102"/>
                <w:sz w:val="21"/>
                <w:szCs w:val="21"/>
              </w:rPr>
              <w:t> </w:t>
            </w:r>
            <w:r>
              <w:rPr>
                <w:rFonts w:ascii="宋体" w:hAnsi="宋体" w:cs="宋体" w:eastAsia="宋体" w:hint="default"/>
                <w:spacing w:val="40"/>
                <w:sz w:val="21"/>
                <w:szCs w:val="21"/>
              </w:rPr>
              <w:t>组相</w:t>
            </w:r>
            <w:r>
              <w:rPr>
                <w:rFonts w:ascii="宋体" w:hAnsi="宋体" w:cs="宋体" w:eastAsia="宋体" w:hint="default"/>
                <w:spacing w:val="-102"/>
                <w:sz w:val="21"/>
                <w:szCs w:val="21"/>
              </w:rPr>
              <w:t> </w:t>
            </w:r>
            <w:r>
              <w:rPr>
                <w:rFonts w:ascii="宋体" w:hAnsi="宋体" w:cs="宋体" w:eastAsia="宋体" w:hint="default"/>
                <w:spacing w:val="40"/>
                <w:sz w:val="21"/>
                <w:szCs w:val="21"/>
              </w:rPr>
              <w:t>关的</w:t>
            </w:r>
            <w:r>
              <w:rPr>
                <w:rFonts w:ascii="宋体" w:hAnsi="宋体" w:cs="宋体" w:eastAsia="宋体" w:hint="default"/>
                <w:spacing w:val="-102"/>
                <w:sz w:val="21"/>
                <w:szCs w:val="21"/>
              </w:rPr>
              <w:t> </w:t>
            </w:r>
            <w:r>
              <w:rPr>
                <w:rFonts w:ascii="宋体" w:hAnsi="宋体" w:cs="宋体" w:eastAsia="宋体" w:hint="default"/>
                <w:sz w:val="21"/>
                <w:szCs w:val="21"/>
              </w:rPr>
              <w:t>承诺</w:t>
            </w:r>
            <w:r>
              <w:rPr>
                <w:rFonts w:ascii="宋体" w:hAnsi="宋体" w:cs="宋体" w:eastAsia="宋体" w:hint="default"/>
                <w:sz w:val="21"/>
                <w:szCs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4"/>
                <w:sz w:val="21"/>
                <w:szCs w:val="21"/>
              </w:rPr>
              <w:t>盈利预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4"/>
                <w:sz w:val="21"/>
                <w:szCs w:val="21"/>
              </w:rPr>
              <w:t>测及补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偿</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3"/>
                <w:sz w:val="21"/>
                <w:szCs w:val="21"/>
              </w:rPr>
              <w:t>胡健、宁波</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3"/>
                <w:sz w:val="21"/>
                <w:szCs w:val="21"/>
              </w:rPr>
              <w:t>杰赢、宁波</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3"/>
                <w:sz w:val="21"/>
                <w:szCs w:val="21"/>
              </w:rPr>
              <w:t>杰宝等八位</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股东</w:t>
            </w:r>
            <w:r>
              <w:rPr>
                <w:rFonts w:ascii="宋体" w:hAnsi="宋体" w:cs="宋体" w:eastAsia="宋体" w:hint="default"/>
                <w:sz w:val="21"/>
                <w:szCs w:val="21"/>
              </w:rPr>
              <w:t> </w:t>
            </w:r>
          </w:p>
        </w:tc>
        <w:tc>
          <w:tcPr>
            <w:tcW w:w="57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博辕信息</w:t>
            </w:r>
            <w:r>
              <w:rPr>
                <w:rFonts w:ascii="宋体" w:hAnsi="宋体" w:cs="宋体" w:eastAsia="宋体" w:hint="default"/>
                <w:spacing w:val="-46"/>
                <w:sz w:val="21"/>
                <w:szCs w:val="21"/>
              </w:rPr>
              <w:t> </w:t>
            </w:r>
            <w:r>
              <w:rPr>
                <w:rFonts w:ascii="宋体" w:hAnsi="宋体" w:cs="宋体" w:eastAsia="宋体" w:hint="default"/>
                <w:sz w:val="21"/>
                <w:szCs w:val="21"/>
              </w:rPr>
              <w:t>2015</w:t>
            </w:r>
            <w:r>
              <w:rPr>
                <w:rFonts w:ascii="宋体" w:hAnsi="宋体" w:cs="宋体" w:eastAsia="宋体" w:hint="default"/>
                <w:spacing w:val="-49"/>
                <w:sz w:val="21"/>
                <w:szCs w:val="21"/>
              </w:rPr>
              <w:t> </w:t>
            </w:r>
            <w:r>
              <w:rPr>
                <w:rFonts w:ascii="宋体" w:hAnsi="宋体" w:cs="宋体" w:eastAsia="宋体" w:hint="default"/>
                <w:sz w:val="21"/>
                <w:szCs w:val="21"/>
              </w:rPr>
              <w:t>年度、</w:t>
            </w:r>
            <w:r>
              <w:rPr>
                <w:rFonts w:ascii="宋体" w:hAnsi="宋体" w:cs="宋体" w:eastAsia="宋体" w:hint="default"/>
                <w:sz w:val="21"/>
                <w:szCs w:val="21"/>
              </w:rPr>
              <w:t>2016</w:t>
            </w:r>
            <w:r>
              <w:rPr>
                <w:rFonts w:ascii="宋体" w:hAnsi="宋体" w:cs="宋体" w:eastAsia="宋体" w:hint="default"/>
                <w:spacing w:val="-47"/>
                <w:sz w:val="21"/>
                <w:szCs w:val="21"/>
              </w:rPr>
              <w:t> </w:t>
            </w:r>
            <w:r>
              <w:rPr>
                <w:rFonts w:ascii="宋体" w:hAnsi="宋体" w:cs="宋体" w:eastAsia="宋体" w:hint="default"/>
                <w:sz w:val="21"/>
                <w:szCs w:val="21"/>
              </w:rPr>
              <w:t>年度、</w:t>
            </w:r>
            <w:r>
              <w:rPr>
                <w:rFonts w:ascii="宋体" w:hAnsi="宋体" w:cs="宋体" w:eastAsia="宋体" w:hint="default"/>
                <w:sz w:val="21"/>
                <w:szCs w:val="21"/>
              </w:rPr>
              <w:t>2017</w:t>
            </w:r>
            <w:r>
              <w:rPr>
                <w:rFonts w:ascii="宋体" w:hAnsi="宋体" w:cs="宋体" w:eastAsia="宋体" w:hint="default"/>
                <w:spacing w:val="-49"/>
                <w:sz w:val="21"/>
                <w:szCs w:val="21"/>
              </w:rPr>
              <w:t> </w:t>
            </w:r>
            <w:r>
              <w:rPr>
                <w:rFonts w:ascii="宋体" w:hAnsi="宋体" w:cs="宋体" w:eastAsia="宋体" w:hint="default"/>
                <w:sz w:val="21"/>
                <w:szCs w:val="21"/>
              </w:rPr>
              <w:t>年度、</w:t>
            </w:r>
            <w:r>
              <w:rPr>
                <w:rFonts w:ascii="宋体" w:hAnsi="宋体" w:cs="宋体" w:eastAsia="宋体" w:hint="default"/>
                <w:sz w:val="21"/>
                <w:szCs w:val="21"/>
              </w:rPr>
              <w:t>2018</w:t>
            </w:r>
            <w:r>
              <w:rPr>
                <w:rFonts w:ascii="宋体" w:hAnsi="宋体" w:cs="宋体" w:eastAsia="宋体" w:hint="default"/>
                <w:spacing w:val="-49"/>
                <w:sz w:val="21"/>
                <w:szCs w:val="21"/>
              </w:rPr>
              <w:t> </w:t>
            </w:r>
            <w:r>
              <w:rPr>
                <w:rFonts w:ascii="宋体" w:hAnsi="宋体" w:cs="宋体" w:eastAsia="宋体" w:hint="default"/>
                <w:sz w:val="21"/>
                <w:szCs w:val="21"/>
              </w:rPr>
              <w:t>年度实现</w:t>
            </w:r>
          </w:p>
          <w:p>
            <w:pPr>
              <w:pStyle w:val="TableParagraph"/>
              <w:spacing w:line="237" w:lineRule="auto"/>
              <w:ind w:left="103" w:right="-8"/>
              <w:jc w:val="left"/>
              <w:rPr>
                <w:rFonts w:ascii="宋体" w:hAnsi="宋体" w:cs="宋体" w:eastAsia="宋体" w:hint="default"/>
                <w:sz w:val="21"/>
                <w:szCs w:val="21"/>
              </w:rPr>
            </w:pPr>
            <w:r>
              <w:rPr>
                <w:rFonts w:ascii="宋体" w:hAnsi="宋体" w:cs="宋体" w:eastAsia="宋体" w:hint="default"/>
                <w:sz w:val="21"/>
                <w:szCs w:val="21"/>
              </w:rPr>
              <w:t>的扣除非经常性损益后归属于母公司所有者的净利润数分别</w:t>
            </w:r>
            <w:r>
              <w:rPr>
                <w:rFonts w:ascii="宋体" w:hAnsi="宋体" w:cs="宋体" w:eastAsia="宋体" w:hint="default"/>
                <w:spacing w:val="-22"/>
                <w:sz w:val="21"/>
                <w:szCs w:val="21"/>
              </w:rPr>
              <w:t> </w:t>
            </w:r>
            <w:r>
              <w:rPr>
                <w:rFonts w:ascii="宋体" w:hAnsi="宋体" w:cs="宋体" w:eastAsia="宋体" w:hint="default"/>
                <w:sz w:val="21"/>
                <w:szCs w:val="21"/>
              </w:rPr>
              <w:t>为人民币</w:t>
            </w:r>
            <w:r>
              <w:rPr>
                <w:rFonts w:ascii="宋体" w:hAnsi="宋体" w:cs="宋体" w:eastAsia="宋体" w:hint="default"/>
                <w:spacing w:val="-32"/>
                <w:sz w:val="21"/>
                <w:szCs w:val="21"/>
              </w:rPr>
              <w:t> </w:t>
            </w:r>
            <w:r>
              <w:rPr>
                <w:rFonts w:ascii="宋体" w:hAnsi="宋体" w:cs="宋体" w:eastAsia="宋体" w:hint="default"/>
                <w:sz w:val="21"/>
                <w:szCs w:val="21"/>
              </w:rPr>
              <w:t>3,500.00</w:t>
            </w:r>
            <w:r>
              <w:rPr>
                <w:rFonts w:ascii="宋体" w:hAnsi="宋体" w:cs="宋体" w:eastAsia="宋体" w:hint="default"/>
                <w:spacing w:val="-35"/>
                <w:sz w:val="21"/>
                <w:szCs w:val="21"/>
              </w:rPr>
              <w:t> </w:t>
            </w:r>
            <w:r>
              <w:rPr>
                <w:rFonts w:ascii="宋体" w:hAnsi="宋体" w:cs="宋体" w:eastAsia="宋体" w:hint="default"/>
                <w:sz w:val="21"/>
                <w:szCs w:val="21"/>
              </w:rPr>
              <w:t>万元、</w:t>
            </w:r>
            <w:r>
              <w:rPr>
                <w:rFonts w:ascii="宋体" w:hAnsi="宋体" w:cs="宋体" w:eastAsia="宋体" w:hint="default"/>
                <w:sz w:val="21"/>
                <w:szCs w:val="21"/>
              </w:rPr>
              <w:t>5,500.00</w:t>
            </w:r>
            <w:r>
              <w:rPr>
                <w:rFonts w:ascii="宋体" w:hAnsi="宋体" w:cs="宋体" w:eastAsia="宋体" w:hint="default"/>
                <w:spacing w:val="-32"/>
                <w:sz w:val="21"/>
                <w:szCs w:val="21"/>
              </w:rPr>
              <w:t> </w:t>
            </w:r>
            <w:r>
              <w:rPr>
                <w:rFonts w:ascii="宋体" w:hAnsi="宋体" w:cs="宋体" w:eastAsia="宋体" w:hint="default"/>
                <w:sz w:val="21"/>
                <w:szCs w:val="21"/>
              </w:rPr>
              <w:t>万元、</w:t>
            </w:r>
            <w:r>
              <w:rPr>
                <w:rFonts w:ascii="宋体" w:hAnsi="宋体" w:cs="宋体" w:eastAsia="宋体" w:hint="default"/>
                <w:sz w:val="21"/>
                <w:szCs w:val="21"/>
              </w:rPr>
              <w:t>7,150.00</w:t>
            </w:r>
            <w:r>
              <w:rPr>
                <w:rFonts w:ascii="宋体" w:hAnsi="宋体" w:cs="宋体" w:eastAsia="宋体" w:hint="default"/>
                <w:spacing w:val="-32"/>
                <w:sz w:val="21"/>
                <w:szCs w:val="21"/>
              </w:rPr>
              <w:t> </w:t>
            </w:r>
            <w:r>
              <w:rPr>
                <w:rFonts w:ascii="宋体" w:hAnsi="宋体" w:cs="宋体" w:eastAsia="宋体" w:hint="default"/>
                <w:sz w:val="21"/>
                <w:szCs w:val="21"/>
              </w:rPr>
              <w:t>万元、</w:t>
            </w:r>
            <w:r>
              <w:rPr>
                <w:rFonts w:ascii="宋体" w:hAnsi="宋体" w:cs="宋体" w:eastAsia="宋体" w:hint="default"/>
                <w:w w:val="100"/>
                <w:sz w:val="21"/>
                <w:szCs w:val="21"/>
              </w:rPr>
              <w:t> </w:t>
            </w:r>
            <w:r>
              <w:rPr>
                <w:rFonts w:ascii="宋体" w:hAnsi="宋体" w:cs="宋体" w:eastAsia="宋体" w:hint="default"/>
                <w:sz w:val="21"/>
                <w:szCs w:val="21"/>
              </w:rPr>
              <w:t>9,295.00</w:t>
            </w:r>
            <w:r>
              <w:rPr>
                <w:rFonts w:ascii="宋体" w:hAnsi="宋体" w:cs="宋体" w:eastAsia="宋体" w:hint="default"/>
                <w:spacing w:val="-23"/>
                <w:sz w:val="21"/>
                <w:szCs w:val="21"/>
              </w:rPr>
              <w:t> </w:t>
            </w:r>
            <w:r>
              <w:rPr>
                <w:rFonts w:ascii="宋体" w:hAnsi="宋体" w:cs="宋体" w:eastAsia="宋体" w:hint="default"/>
                <w:spacing w:val="-5"/>
                <w:sz w:val="21"/>
                <w:szCs w:val="21"/>
              </w:rPr>
              <w:t>万元。如果实现扣非净利润指标低于上述承诺内容，</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则上述补偿责任人将按照签署的《利润承诺补偿协议书》的</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约定进行补偿。</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3" w:right="0"/>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6"/>
                <w:sz w:val="21"/>
                <w:szCs w:val="21"/>
              </w:rPr>
              <w:t> </w:t>
            </w:r>
            <w:r>
              <w:rPr>
                <w:rFonts w:ascii="宋体" w:hAnsi="宋体" w:cs="宋体" w:eastAsia="宋体" w:hint="default"/>
                <w:sz w:val="21"/>
                <w:szCs w:val="21"/>
              </w:rPr>
              <w:t>2015</w:t>
            </w:r>
          </w:p>
          <w:p>
            <w:pPr>
              <w:pStyle w:val="TableParagraph"/>
              <w:spacing w:line="237" w:lineRule="auto"/>
              <w:ind w:left="103" w:right="19"/>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spacing w:val="-103"/>
                <w:sz w:val="21"/>
                <w:szCs w:val="21"/>
              </w:rPr>
              <w:t> </w:t>
            </w:r>
            <w:r>
              <w:rPr>
                <w:rFonts w:ascii="宋体" w:hAnsi="宋体" w:cs="宋体" w:eastAsia="宋体" w:hint="default"/>
                <w:spacing w:val="62"/>
                <w:sz w:val="21"/>
                <w:szCs w:val="21"/>
              </w:rPr>
              <w:t>承诺期限至</w:t>
            </w:r>
            <w:r>
              <w:rPr>
                <w:rFonts w:ascii="宋体" w:hAnsi="宋体" w:cs="宋体" w:eastAsia="宋体" w:hint="default"/>
                <w:spacing w:val="-94"/>
                <w:sz w:val="21"/>
                <w:szCs w:val="21"/>
              </w:rPr>
              <w:t> </w:t>
            </w: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 </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r>
      <w:tr>
        <w:trPr>
          <w:trHeight w:val="1370" w:hRule="exact"/>
        </w:trPr>
        <w:tc>
          <w:tcPr>
            <w:tcW w:w="718" w:type="dxa"/>
            <w:vMerge/>
            <w:tcBorders>
              <w:left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4"/>
                <w:sz w:val="21"/>
                <w:szCs w:val="21"/>
              </w:rPr>
              <w:t>盈利预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4"/>
                <w:sz w:val="21"/>
                <w:szCs w:val="21"/>
              </w:rPr>
              <w:t>测及补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偿</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24"/>
              <w:jc w:val="left"/>
              <w:rPr>
                <w:rFonts w:ascii="宋体" w:hAnsi="宋体" w:cs="宋体" w:eastAsia="宋体" w:hint="default"/>
                <w:sz w:val="21"/>
                <w:szCs w:val="21"/>
              </w:rPr>
            </w:pPr>
            <w:r>
              <w:rPr>
                <w:rFonts w:ascii="宋体" w:hAnsi="宋体" w:cs="宋体" w:eastAsia="宋体" w:hint="default"/>
                <w:spacing w:val="3"/>
                <w:sz w:val="21"/>
                <w:szCs w:val="21"/>
              </w:rPr>
              <w:t>胡健、余弓</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卜、成海林</w:t>
            </w:r>
            <w:r>
              <w:rPr>
                <w:rFonts w:ascii="宋体" w:hAnsi="宋体" w:cs="宋体" w:eastAsia="宋体" w:hint="default"/>
                <w:sz w:val="21"/>
                <w:szCs w:val="21"/>
              </w:rPr>
              <w:t> </w:t>
            </w:r>
          </w:p>
        </w:tc>
        <w:tc>
          <w:tcPr>
            <w:tcW w:w="57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8"/>
              <w:jc w:val="left"/>
              <w:rPr>
                <w:rFonts w:ascii="宋体" w:hAnsi="宋体" w:cs="宋体" w:eastAsia="宋体" w:hint="default"/>
                <w:sz w:val="21"/>
                <w:szCs w:val="21"/>
              </w:rPr>
            </w:pPr>
            <w:r>
              <w:rPr>
                <w:rFonts w:ascii="宋体" w:hAnsi="宋体" w:cs="宋体" w:eastAsia="宋体" w:hint="default"/>
                <w:sz w:val="21"/>
                <w:szCs w:val="21"/>
              </w:rPr>
              <w:t>博辕信息</w:t>
            </w:r>
            <w:r>
              <w:rPr>
                <w:rFonts w:ascii="宋体" w:hAnsi="宋体" w:cs="宋体" w:eastAsia="宋体" w:hint="default"/>
                <w:spacing w:val="-50"/>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pacing w:val="-11"/>
                <w:sz w:val="21"/>
                <w:szCs w:val="21"/>
              </w:rPr>
              <w:t>年度、</w:t>
            </w:r>
            <w:r>
              <w:rPr>
                <w:rFonts w:ascii="宋体" w:hAnsi="宋体" w:cs="宋体" w:eastAsia="宋体" w:hint="default"/>
                <w:spacing w:val="-11"/>
                <w:sz w:val="21"/>
                <w:szCs w:val="21"/>
              </w:rPr>
              <w:t>2020</w:t>
            </w:r>
            <w:r>
              <w:rPr>
                <w:rFonts w:ascii="宋体" w:hAnsi="宋体" w:cs="宋体" w:eastAsia="宋体" w:hint="default"/>
                <w:spacing w:val="-53"/>
                <w:sz w:val="21"/>
                <w:szCs w:val="21"/>
              </w:rPr>
              <w:t> </w:t>
            </w:r>
            <w:r>
              <w:rPr>
                <w:rFonts w:ascii="宋体" w:hAnsi="宋体" w:cs="宋体" w:eastAsia="宋体" w:hint="default"/>
                <w:sz w:val="21"/>
                <w:szCs w:val="21"/>
              </w:rPr>
              <w:t>年度实现的扣除非经常性损益后归</w:t>
            </w:r>
          </w:p>
          <w:p>
            <w:pPr>
              <w:pStyle w:val="TableParagraph"/>
              <w:spacing w:line="272" w:lineRule="exact"/>
              <w:ind w:left="103" w:right="-8"/>
              <w:jc w:val="left"/>
              <w:rPr>
                <w:rFonts w:ascii="宋体" w:hAnsi="宋体" w:cs="宋体" w:eastAsia="宋体" w:hint="default"/>
                <w:sz w:val="21"/>
                <w:szCs w:val="21"/>
              </w:rPr>
            </w:pPr>
            <w:r>
              <w:rPr>
                <w:rFonts w:ascii="宋体" w:hAnsi="宋体" w:cs="宋体" w:eastAsia="宋体" w:hint="default"/>
                <w:sz w:val="21"/>
                <w:szCs w:val="21"/>
              </w:rPr>
              <w:t>属于母公司所有者的净利润数分别为人民币</w:t>
            </w:r>
            <w:r>
              <w:rPr>
                <w:rFonts w:ascii="宋体" w:hAnsi="宋体" w:cs="宋体" w:eastAsia="宋体" w:hint="default"/>
                <w:spacing w:val="-63"/>
                <w:sz w:val="21"/>
                <w:szCs w:val="21"/>
              </w:rPr>
              <w:t> </w:t>
            </w:r>
            <w:r>
              <w:rPr>
                <w:rFonts w:ascii="宋体" w:hAnsi="宋体" w:cs="宋体" w:eastAsia="宋体" w:hint="default"/>
                <w:sz w:val="21"/>
                <w:szCs w:val="21"/>
              </w:rPr>
              <w:t>10,689.25</w:t>
            </w:r>
            <w:r>
              <w:rPr>
                <w:rFonts w:ascii="宋体" w:hAnsi="宋体" w:cs="宋体" w:eastAsia="宋体" w:hint="default"/>
                <w:spacing w:val="-63"/>
                <w:sz w:val="21"/>
                <w:szCs w:val="21"/>
              </w:rPr>
              <w:t> </w:t>
            </w:r>
            <w:r>
              <w:rPr>
                <w:rFonts w:ascii="宋体" w:hAnsi="宋体" w:cs="宋体" w:eastAsia="宋体" w:hint="default"/>
                <w:sz w:val="21"/>
                <w:szCs w:val="21"/>
              </w:rPr>
              <w:t>万元、</w:t>
            </w:r>
          </w:p>
          <w:p>
            <w:pPr>
              <w:pStyle w:val="TableParagraph"/>
              <w:spacing w:line="237" w:lineRule="auto" w:before="2"/>
              <w:ind w:left="103" w:right="-8"/>
              <w:jc w:val="left"/>
              <w:rPr>
                <w:rFonts w:ascii="宋体" w:hAnsi="宋体" w:cs="宋体" w:eastAsia="宋体" w:hint="default"/>
                <w:sz w:val="21"/>
                <w:szCs w:val="21"/>
              </w:rPr>
            </w:pPr>
            <w:r>
              <w:rPr>
                <w:rFonts w:ascii="宋体" w:hAnsi="宋体" w:cs="宋体" w:eastAsia="宋体" w:hint="default"/>
                <w:sz w:val="21"/>
                <w:szCs w:val="21"/>
              </w:rPr>
              <w:t>12,292.64 </w:t>
            </w:r>
            <w:r>
              <w:rPr>
                <w:rFonts w:ascii="宋体" w:hAnsi="宋体" w:cs="宋体" w:eastAsia="宋体" w:hint="default"/>
                <w:spacing w:val="2"/>
                <w:sz w:val="21"/>
                <w:szCs w:val="21"/>
              </w:rPr>
              <w:t>万元。如果实现扣非净利润指标低于上述承诺内</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2"/>
                <w:sz w:val="21"/>
                <w:szCs w:val="21"/>
              </w:rPr>
              <w:t>容，则上述补偿责任人将按照签署的《利润承诺补偿协议书》</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的约定进行补偿。</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6"/>
                <w:sz w:val="21"/>
                <w:szCs w:val="21"/>
              </w:rPr>
              <w:t> </w:t>
            </w:r>
            <w:r>
              <w:rPr>
                <w:rFonts w:ascii="宋体" w:hAnsi="宋体" w:cs="宋体" w:eastAsia="宋体" w:hint="default"/>
                <w:sz w:val="21"/>
                <w:szCs w:val="21"/>
              </w:rPr>
              <w:t>2015</w:t>
            </w:r>
          </w:p>
          <w:p>
            <w:pPr>
              <w:pStyle w:val="TableParagraph"/>
              <w:spacing w:line="237" w:lineRule="auto"/>
              <w:ind w:left="103" w:right="19"/>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spacing w:val="-103"/>
                <w:sz w:val="21"/>
                <w:szCs w:val="21"/>
              </w:rPr>
              <w:t> </w:t>
            </w:r>
            <w:r>
              <w:rPr>
                <w:rFonts w:ascii="宋体" w:hAnsi="宋体" w:cs="宋体" w:eastAsia="宋体" w:hint="default"/>
                <w:spacing w:val="62"/>
                <w:sz w:val="21"/>
                <w:szCs w:val="21"/>
              </w:rPr>
              <w:t>承诺期限至</w:t>
            </w:r>
            <w:r>
              <w:rPr>
                <w:rFonts w:ascii="宋体" w:hAnsi="宋体" w:cs="宋体" w:eastAsia="宋体" w:hint="default"/>
                <w:spacing w:val="-94"/>
                <w:sz w:val="21"/>
                <w:szCs w:val="21"/>
              </w:rPr>
              <w:t> </w:t>
            </w:r>
            <w:r>
              <w:rPr>
                <w:rFonts w:ascii="宋体" w:hAnsi="宋体" w:cs="宋体" w:eastAsia="宋体" w:hint="default"/>
                <w:sz w:val="21"/>
                <w:szCs w:val="21"/>
              </w:rPr>
              <w:t>2021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 </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r>
      <w:tr>
        <w:trPr>
          <w:trHeight w:val="1100" w:hRule="exact"/>
        </w:trPr>
        <w:tc>
          <w:tcPr>
            <w:tcW w:w="718" w:type="dxa"/>
            <w:vMerge/>
            <w:tcBorders>
              <w:left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12"/>
              <w:jc w:val="left"/>
              <w:rPr>
                <w:rFonts w:ascii="宋体" w:hAnsi="宋体" w:cs="宋体" w:eastAsia="宋体" w:hint="default"/>
                <w:sz w:val="21"/>
                <w:szCs w:val="21"/>
              </w:rPr>
            </w:pPr>
            <w:r>
              <w:rPr>
                <w:rFonts w:ascii="宋体" w:hAnsi="宋体" w:cs="宋体" w:eastAsia="宋体" w:hint="default"/>
                <w:spacing w:val="4"/>
                <w:sz w:val="21"/>
                <w:szCs w:val="21"/>
              </w:rPr>
              <w:t>解决同</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业竞争</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35"/>
              <w:jc w:val="right"/>
              <w:rPr>
                <w:rFonts w:ascii="宋体" w:hAnsi="宋体" w:cs="宋体" w:eastAsia="宋体" w:hint="default"/>
                <w:sz w:val="21"/>
                <w:szCs w:val="21"/>
              </w:rPr>
            </w:pPr>
            <w:r>
              <w:rPr>
                <w:rFonts w:ascii="宋体" w:hAnsi="宋体" w:cs="宋体" w:eastAsia="宋体" w:hint="default"/>
                <w:spacing w:val="-2"/>
                <w:sz w:val="21"/>
                <w:szCs w:val="21"/>
              </w:rPr>
              <w:t>泰豪集团</w:t>
            </w:r>
            <w:r>
              <w:rPr>
                <w:rFonts w:ascii="宋体" w:hAnsi="宋体" w:cs="宋体" w:eastAsia="宋体" w:hint="default"/>
                <w:sz w:val="21"/>
                <w:szCs w:val="21"/>
              </w:rPr>
              <w:t> </w:t>
            </w:r>
          </w:p>
        </w:tc>
        <w:tc>
          <w:tcPr>
            <w:tcW w:w="5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3"/>
              <w:jc w:val="left"/>
              <w:rPr>
                <w:rFonts w:ascii="宋体" w:hAnsi="宋体" w:cs="宋体" w:eastAsia="宋体" w:hint="default"/>
                <w:sz w:val="21"/>
                <w:szCs w:val="21"/>
              </w:rPr>
            </w:pPr>
            <w:r>
              <w:rPr>
                <w:rFonts w:ascii="宋体" w:hAnsi="宋体" w:cs="宋体" w:eastAsia="宋体" w:hint="default"/>
                <w:sz w:val="21"/>
                <w:szCs w:val="21"/>
              </w:rPr>
              <w:t>具体内容详见</w:t>
            </w:r>
            <w:r>
              <w:rPr>
                <w:rFonts w:ascii="宋体" w:hAnsi="宋体" w:cs="宋体" w:eastAsia="宋体" w:hint="default"/>
                <w:spacing w:val="-38"/>
                <w:sz w:val="21"/>
                <w:szCs w:val="21"/>
              </w:rPr>
              <w:t> </w:t>
            </w:r>
            <w:r>
              <w:rPr>
                <w:rFonts w:ascii="宋体" w:hAnsi="宋体" w:cs="宋体" w:eastAsia="宋体" w:hint="default"/>
                <w:sz w:val="21"/>
                <w:szCs w:val="21"/>
              </w:rPr>
              <w:t>2016</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2</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27</w:t>
            </w:r>
            <w:r>
              <w:rPr>
                <w:rFonts w:ascii="宋体" w:hAnsi="宋体" w:cs="宋体" w:eastAsia="宋体" w:hint="default"/>
                <w:spacing w:val="-41"/>
                <w:sz w:val="21"/>
                <w:szCs w:val="21"/>
              </w:rPr>
              <w:t> </w:t>
            </w:r>
            <w:r>
              <w:rPr>
                <w:rFonts w:ascii="宋体" w:hAnsi="宋体" w:cs="宋体" w:eastAsia="宋体" w:hint="default"/>
                <w:sz w:val="21"/>
                <w:szCs w:val="21"/>
              </w:rPr>
              <w:t>日披露的《公司关于发行股份</w:t>
            </w:r>
            <w:r>
              <w:rPr>
                <w:rFonts w:ascii="宋体" w:hAnsi="宋体" w:cs="宋体" w:eastAsia="宋体" w:hint="default"/>
                <w:w w:val="100"/>
                <w:sz w:val="21"/>
                <w:szCs w:val="21"/>
              </w:rPr>
              <w:t> </w:t>
            </w:r>
            <w:r>
              <w:rPr>
                <w:rFonts w:ascii="宋体" w:hAnsi="宋体" w:cs="宋体" w:eastAsia="宋体" w:hint="default"/>
                <w:spacing w:val="-4"/>
                <w:w w:val="100"/>
                <w:sz w:val="21"/>
                <w:szCs w:val="21"/>
              </w:rPr>
              <w:t>购买资产相关承诺事项的公告》（公告编号：临</w:t>
            </w:r>
            <w:r>
              <w:rPr>
                <w:rFonts w:ascii="宋体" w:hAnsi="宋体" w:cs="宋体" w:eastAsia="宋体" w:hint="default"/>
                <w:spacing w:val="-47"/>
                <w:w w:val="100"/>
                <w:sz w:val="21"/>
                <w:szCs w:val="21"/>
              </w:rPr>
              <w:t> </w:t>
            </w:r>
            <w:r>
              <w:rPr>
                <w:rFonts w:ascii="宋体" w:hAnsi="宋体" w:cs="宋体" w:eastAsia="宋体" w:hint="default"/>
                <w:spacing w:val="-14"/>
                <w:w w:val="100"/>
                <w:sz w:val="21"/>
                <w:szCs w:val="21"/>
              </w:rPr>
              <w:t>2016-017</w:t>
            </w:r>
            <w:r>
              <w:rPr>
                <w:rFonts w:ascii="宋体" w:hAnsi="宋体" w:cs="宋体" w:eastAsia="宋体" w:hint="default"/>
                <w:spacing w:val="-14"/>
                <w:w w:val="100"/>
                <w:sz w:val="21"/>
                <w:szCs w:val="21"/>
              </w:rPr>
              <w:t>）。</w:t>
            </w:r>
            <w:r>
              <w:rPr>
                <w:rFonts w:ascii="宋体" w:hAnsi="宋体" w:cs="宋体" w:eastAsia="宋体" w:hint="default"/>
                <w:w w:val="100"/>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6"/>
                <w:sz w:val="21"/>
                <w:szCs w:val="21"/>
              </w:rPr>
              <w:t> </w:t>
            </w:r>
            <w:r>
              <w:rPr>
                <w:rFonts w:ascii="宋体" w:hAnsi="宋体" w:cs="宋体" w:eastAsia="宋体" w:hint="default"/>
                <w:sz w:val="21"/>
                <w:szCs w:val="21"/>
              </w:rPr>
              <w:t>2015</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pacing w:val="-16"/>
                <w:w w:val="100"/>
                <w:sz w:val="21"/>
                <w:szCs w:val="21"/>
              </w:rPr>
              <w:t>承诺期限：长期</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有效</w:t>
            </w:r>
            <w:r>
              <w:rPr>
                <w:rFonts w:ascii="宋体" w:hAnsi="宋体" w:cs="宋体" w:eastAsia="宋体" w:hint="default"/>
                <w:sz w:val="21"/>
                <w:szCs w:val="21"/>
              </w:rPr>
              <w:t> </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7" w:hRule="exact"/>
        </w:trPr>
        <w:tc>
          <w:tcPr>
            <w:tcW w:w="718" w:type="dxa"/>
            <w:vMerge/>
            <w:tcBorders>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解决同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业竞争</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胡健、宁波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杰赢等四位</w:t>
            </w:r>
          </w:p>
        </w:tc>
        <w:tc>
          <w:tcPr>
            <w:tcW w:w="57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3"/>
              <w:jc w:val="left"/>
              <w:rPr>
                <w:rFonts w:ascii="宋体" w:hAnsi="宋体" w:cs="宋体" w:eastAsia="宋体" w:hint="default"/>
                <w:sz w:val="21"/>
                <w:szCs w:val="21"/>
              </w:rPr>
            </w:pPr>
            <w:r>
              <w:rPr>
                <w:rFonts w:ascii="宋体" w:hAnsi="宋体" w:cs="宋体" w:eastAsia="宋体" w:hint="default"/>
                <w:sz w:val="21"/>
                <w:szCs w:val="21"/>
              </w:rPr>
              <w:t>具体内容详见</w:t>
            </w:r>
            <w:r>
              <w:rPr>
                <w:rFonts w:ascii="宋体" w:hAnsi="宋体" w:cs="宋体" w:eastAsia="宋体" w:hint="default"/>
                <w:spacing w:val="-38"/>
                <w:sz w:val="21"/>
                <w:szCs w:val="21"/>
              </w:rPr>
              <w:t> </w:t>
            </w:r>
            <w:r>
              <w:rPr>
                <w:rFonts w:ascii="宋体" w:hAnsi="宋体" w:cs="宋体" w:eastAsia="宋体" w:hint="default"/>
                <w:sz w:val="21"/>
                <w:szCs w:val="21"/>
              </w:rPr>
              <w:t>2016</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2</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27</w:t>
            </w:r>
            <w:r>
              <w:rPr>
                <w:rFonts w:ascii="宋体" w:hAnsi="宋体" w:cs="宋体" w:eastAsia="宋体" w:hint="default"/>
                <w:spacing w:val="-41"/>
                <w:sz w:val="21"/>
                <w:szCs w:val="21"/>
              </w:rPr>
              <w:t> </w:t>
            </w:r>
            <w:r>
              <w:rPr>
                <w:rFonts w:ascii="宋体" w:hAnsi="宋体" w:cs="宋体" w:eastAsia="宋体" w:hint="default"/>
                <w:sz w:val="21"/>
                <w:szCs w:val="21"/>
              </w:rPr>
              <w:t>日披露的《公司关于发行股份</w:t>
            </w:r>
          </w:p>
          <w:p>
            <w:pPr>
              <w:pStyle w:val="TableParagraph"/>
              <w:spacing w:line="274"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购买</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相</w:t>
            </w:r>
            <w:r>
              <w:rPr>
                <w:rFonts w:ascii="宋体" w:hAnsi="宋体" w:cs="宋体" w:eastAsia="宋体" w:hint="default"/>
                <w:w w:val="100"/>
                <w:sz w:val="21"/>
                <w:szCs w:val="21"/>
              </w:rPr>
              <w:t>关</w:t>
            </w:r>
            <w:r>
              <w:rPr>
                <w:rFonts w:ascii="宋体" w:hAnsi="宋体" w:cs="宋体" w:eastAsia="宋体" w:hint="default"/>
                <w:spacing w:val="-3"/>
                <w:w w:val="100"/>
                <w:sz w:val="21"/>
                <w:szCs w:val="21"/>
              </w:rPr>
              <w:t>承</w:t>
            </w:r>
            <w:r>
              <w:rPr>
                <w:rFonts w:ascii="宋体" w:hAnsi="宋体" w:cs="宋体" w:eastAsia="宋体" w:hint="default"/>
                <w:w w:val="100"/>
                <w:sz w:val="21"/>
                <w:szCs w:val="21"/>
              </w:rPr>
              <w:t>诺</w:t>
            </w:r>
            <w:r>
              <w:rPr>
                <w:rFonts w:ascii="宋体" w:hAnsi="宋体" w:cs="宋体" w:eastAsia="宋体" w:hint="default"/>
                <w:spacing w:val="-3"/>
                <w:w w:val="100"/>
                <w:sz w:val="21"/>
                <w:szCs w:val="21"/>
              </w:rPr>
              <w:t>事</w:t>
            </w:r>
            <w:r>
              <w:rPr>
                <w:rFonts w:ascii="宋体" w:hAnsi="宋体" w:cs="宋体" w:eastAsia="宋体" w:hint="default"/>
                <w:w w:val="100"/>
                <w:sz w:val="21"/>
                <w:szCs w:val="21"/>
              </w:rPr>
              <w:t>项</w:t>
            </w:r>
            <w:r>
              <w:rPr>
                <w:rFonts w:ascii="宋体" w:hAnsi="宋体" w:cs="宋体" w:eastAsia="宋体" w:hint="default"/>
                <w:spacing w:val="-3"/>
                <w:w w:val="100"/>
                <w:sz w:val="21"/>
                <w:szCs w:val="21"/>
              </w:rPr>
              <w:t>的</w:t>
            </w:r>
            <w:r>
              <w:rPr>
                <w:rFonts w:ascii="宋体" w:hAnsi="宋体" w:cs="宋体" w:eastAsia="宋体" w:hint="default"/>
                <w:w w:val="100"/>
                <w:sz w:val="21"/>
                <w:szCs w:val="21"/>
              </w:rPr>
              <w:t>公</w:t>
            </w:r>
            <w:r>
              <w:rPr>
                <w:rFonts w:ascii="宋体" w:hAnsi="宋体" w:cs="宋体" w:eastAsia="宋体" w:hint="default"/>
                <w:spacing w:val="-3"/>
                <w:w w:val="100"/>
                <w:sz w:val="21"/>
                <w:szCs w:val="21"/>
              </w:rPr>
              <w:t>告</w:t>
            </w:r>
            <w:r>
              <w:rPr>
                <w:rFonts w:ascii="宋体" w:hAnsi="宋体" w:cs="宋体" w:eastAsia="宋体" w:hint="default"/>
                <w:spacing w:val="-3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告</w:t>
            </w:r>
            <w:r>
              <w:rPr>
                <w:rFonts w:ascii="宋体" w:hAnsi="宋体" w:cs="宋体" w:eastAsia="宋体" w:hint="default"/>
                <w:spacing w:val="-3"/>
                <w:w w:val="100"/>
                <w:sz w:val="21"/>
                <w:szCs w:val="21"/>
              </w:rPr>
              <w:t>编</w:t>
            </w:r>
            <w:r>
              <w:rPr>
                <w:rFonts w:ascii="宋体" w:hAnsi="宋体" w:cs="宋体" w:eastAsia="宋体" w:hint="default"/>
                <w:w w:val="100"/>
                <w:sz w:val="21"/>
                <w:szCs w:val="21"/>
              </w:rPr>
              <w:t>号</w:t>
            </w:r>
            <w:r>
              <w:rPr>
                <w:rFonts w:ascii="宋体" w:hAnsi="宋体" w:cs="宋体" w:eastAsia="宋体" w:hint="default"/>
                <w:spacing w:val="-20"/>
                <w:w w:val="100"/>
                <w:sz w:val="21"/>
                <w:szCs w:val="21"/>
              </w:rPr>
              <w:t>：</w:t>
            </w:r>
            <w:r>
              <w:rPr>
                <w:rFonts w:ascii="宋体" w:hAnsi="宋体" w:cs="宋体" w:eastAsia="宋体" w:hint="default"/>
                <w:w w:val="100"/>
                <w:sz w:val="21"/>
                <w:szCs w:val="21"/>
              </w:rPr>
              <w:t>临</w:t>
            </w:r>
            <w:r>
              <w:rPr>
                <w:rFonts w:ascii="宋体" w:hAnsi="宋体" w:cs="宋体" w:eastAsia="宋体" w:hint="default"/>
                <w:spacing w:val="-52"/>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w:t>
            </w:r>
            <w:r>
              <w:rPr>
                <w:rFonts w:ascii="宋体" w:hAnsi="宋体" w:cs="宋体" w:eastAsia="宋体" w:hint="default"/>
                <w:spacing w:val="-3"/>
                <w:w w:val="100"/>
                <w:sz w:val="21"/>
                <w:szCs w:val="21"/>
              </w:rPr>
              <w:t>1</w:t>
            </w:r>
            <w:r>
              <w:rPr>
                <w:rFonts w:ascii="宋体" w:hAnsi="宋体" w:cs="宋体" w:eastAsia="宋体" w:hint="default"/>
                <w:spacing w:val="-1"/>
                <w:w w:val="100"/>
                <w:sz w:val="21"/>
                <w:szCs w:val="21"/>
              </w:rPr>
              <w:t>6</w:t>
            </w:r>
            <w:r>
              <w:rPr>
                <w:rFonts w:ascii="宋体" w:hAnsi="宋体" w:cs="宋体" w:eastAsia="宋体" w:hint="default"/>
                <w:w w:val="100"/>
                <w:sz w:val="21"/>
                <w:szCs w:val="21"/>
              </w:rPr>
              <w:t>-01</w:t>
            </w:r>
            <w:r>
              <w:rPr>
                <w:rFonts w:ascii="宋体" w:hAnsi="宋体" w:cs="宋体" w:eastAsia="宋体" w:hint="default"/>
                <w:spacing w:val="-3"/>
                <w:w w:val="100"/>
                <w:sz w:val="21"/>
                <w:szCs w:val="21"/>
              </w:rPr>
              <w:t>7</w:t>
            </w:r>
            <w:r>
              <w:rPr>
                <w:rFonts w:ascii="宋体" w:hAnsi="宋体" w:cs="宋体" w:eastAsia="宋体" w:hint="default"/>
                <w:spacing w:val="-20"/>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6"/>
                <w:sz w:val="21"/>
                <w:szCs w:val="21"/>
              </w:rPr>
              <w:t> </w:t>
            </w:r>
            <w:r>
              <w:rPr>
                <w:rFonts w:ascii="宋体" w:hAnsi="宋体" w:cs="宋体" w:eastAsia="宋体" w:hint="default"/>
                <w:sz w:val="21"/>
                <w:szCs w:val="21"/>
              </w:rPr>
              <w:t>2015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spacing w:after="0" w:line="240" w:lineRule="auto"/>
        <w:jc w:val="left"/>
        <w:rPr>
          <w:rFonts w:ascii="宋体" w:hAnsi="宋体" w:cs="宋体" w:eastAsia="宋体" w:hint="default"/>
          <w:sz w:val="21"/>
          <w:szCs w:val="21"/>
        </w:rPr>
        <w:sectPr>
          <w:headerReference w:type="default" r:id="rId18"/>
          <w:footerReference w:type="default" r:id="rId19"/>
          <w:pgSz w:w="16840" w:h="11910" w:orient="landscape"/>
          <w:pgMar w:header="880" w:footer="1195" w:top="1120" w:bottom="1380" w:left="1300" w:right="1200"/>
          <w:pgNumType w:start="2"/>
        </w:sectPr>
      </w:pPr>
    </w:p>
    <w:p>
      <w:pPr>
        <w:spacing w:line="240" w:lineRule="auto" w:before="4"/>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718"/>
        <w:gridCol w:w="864"/>
        <w:gridCol w:w="1296"/>
        <w:gridCol w:w="5763"/>
        <w:gridCol w:w="1586"/>
        <w:gridCol w:w="721"/>
        <w:gridCol w:w="862"/>
        <w:gridCol w:w="1298"/>
        <w:gridCol w:w="996"/>
      </w:tblGrid>
      <w:tr>
        <w:trPr>
          <w:trHeight w:val="555" w:hRule="exact"/>
        </w:trPr>
        <w:tc>
          <w:tcPr>
            <w:tcW w:w="718" w:type="dxa"/>
            <w:vMerge w:val="restart"/>
            <w:tcBorders>
              <w:top w:val="single" w:sz="4" w:space="0" w:color="000000"/>
              <w:left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z w:val="21"/>
                <w:szCs w:val="21"/>
              </w:rPr>
              <w:t> </w:t>
            </w:r>
          </w:p>
        </w:tc>
        <w:tc>
          <w:tcPr>
            <w:tcW w:w="5763"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承诺期限</w:t>
            </w:r>
            <w:r>
              <w:rPr>
                <w:rFonts w:ascii="宋体" w:hAnsi="宋体" w:cs="宋体" w:eastAsia="宋体" w:hint="default"/>
                <w:sz w:val="21"/>
                <w:szCs w:val="21"/>
              </w:rPr>
              <w:t>:</w:t>
            </w:r>
            <w:r>
              <w:rPr>
                <w:rFonts w:ascii="宋体" w:hAnsi="宋体" w:cs="宋体" w:eastAsia="宋体" w:hint="default"/>
                <w:sz w:val="21"/>
                <w:szCs w:val="21"/>
              </w:rPr>
              <w:t>长期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有效</w:t>
            </w:r>
            <w:r>
              <w:rPr>
                <w:rFonts w:ascii="宋体" w:hAnsi="宋体" w:cs="宋体" w:eastAsia="宋体" w:hint="default"/>
                <w:sz w:val="21"/>
                <w:szCs w:val="21"/>
              </w:rPr>
              <w:t> </w:t>
            </w:r>
          </w:p>
        </w:tc>
        <w:tc>
          <w:tcPr>
            <w:tcW w:w="72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718" w:type="dxa"/>
            <w:vMerge/>
            <w:tcBorders>
              <w:left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12"/>
              <w:jc w:val="left"/>
              <w:rPr>
                <w:rFonts w:ascii="宋体" w:hAnsi="宋体" w:cs="宋体" w:eastAsia="宋体" w:hint="default"/>
                <w:sz w:val="21"/>
                <w:szCs w:val="21"/>
              </w:rPr>
            </w:pPr>
            <w:r>
              <w:rPr>
                <w:rFonts w:ascii="宋体" w:hAnsi="宋体" w:cs="宋体" w:eastAsia="宋体" w:hint="default"/>
                <w:spacing w:val="4"/>
                <w:sz w:val="21"/>
                <w:szCs w:val="21"/>
              </w:rPr>
              <w:t>解决关</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联交易</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泰豪集团</w:t>
            </w:r>
            <w:r>
              <w:rPr>
                <w:rFonts w:ascii="宋体" w:hAnsi="宋体" w:cs="宋体" w:eastAsia="宋体" w:hint="default"/>
                <w:sz w:val="21"/>
                <w:szCs w:val="21"/>
              </w:rPr>
              <w:t> </w:t>
            </w:r>
          </w:p>
        </w:tc>
        <w:tc>
          <w:tcPr>
            <w:tcW w:w="5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3"/>
              <w:jc w:val="left"/>
              <w:rPr>
                <w:rFonts w:ascii="宋体" w:hAnsi="宋体" w:cs="宋体" w:eastAsia="宋体" w:hint="default"/>
                <w:sz w:val="21"/>
                <w:szCs w:val="21"/>
              </w:rPr>
            </w:pPr>
            <w:r>
              <w:rPr>
                <w:rFonts w:ascii="宋体" w:hAnsi="宋体" w:cs="宋体" w:eastAsia="宋体" w:hint="default"/>
                <w:sz w:val="21"/>
                <w:szCs w:val="21"/>
              </w:rPr>
              <w:t>具体内容详见</w:t>
            </w:r>
            <w:r>
              <w:rPr>
                <w:rFonts w:ascii="宋体" w:hAnsi="宋体" w:cs="宋体" w:eastAsia="宋体" w:hint="default"/>
                <w:spacing w:val="-38"/>
                <w:sz w:val="21"/>
                <w:szCs w:val="21"/>
              </w:rPr>
              <w:t> </w:t>
            </w:r>
            <w:r>
              <w:rPr>
                <w:rFonts w:ascii="宋体" w:hAnsi="宋体" w:cs="宋体" w:eastAsia="宋体" w:hint="default"/>
                <w:sz w:val="21"/>
                <w:szCs w:val="21"/>
              </w:rPr>
              <w:t>2016</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2</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27</w:t>
            </w:r>
            <w:r>
              <w:rPr>
                <w:rFonts w:ascii="宋体" w:hAnsi="宋体" w:cs="宋体" w:eastAsia="宋体" w:hint="default"/>
                <w:spacing w:val="-41"/>
                <w:sz w:val="21"/>
                <w:szCs w:val="21"/>
              </w:rPr>
              <w:t> </w:t>
            </w:r>
            <w:r>
              <w:rPr>
                <w:rFonts w:ascii="宋体" w:hAnsi="宋体" w:cs="宋体" w:eastAsia="宋体" w:hint="default"/>
                <w:sz w:val="21"/>
                <w:szCs w:val="21"/>
              </w:rPr>
              <w:t>日披露的《公司关于发行股份</w:t>
            </w:r>
            <w:r>
              <w:rPr>
                <w:rFonts w:ascii="宋体" w:hAnsi="宋体" w:cs="宋体" w:eastAsia="宋体" w:hint="default"/>
                <w:w w:val="100"/>
                <w:sz w:val="21"/>
                <w:szCs w:val="21"/>
              </w:rPr>
              <w:t> </w:t>
            </w:r>
            <w:r>
              <w:rPr>
                <w:rFonts w:ascii="宋体" w:hAnsi="宋体" w:cs="宋体" w:eastAsia="宋体" w:hint="default"/>
                <w:spacing w:val="-4"/>
                <w:w w:val="100"/>
                <w:sz w:val="21"/>
                <w:szCs w:val="21"/>
              </w:rPr>
              <w:t>购买资产相关承诺事项的公告》（公告编号：临</w:t>
            </w:r>
            <w:r>
              <w:rPr>
                <w:rFonts w:ascii="宋体" w:hAnsi="宋体" w:cs="宋体" w:eastAsia="宋体" w:hint="default"/>
                <w:spacing w:val="-47"/>
                <w:w w:val="100"/>
                <w:sz w:val="21"/>
                <w:szCs w:val="21"/>
              </w:rPr>
              <w:t> </w:t>
            </w:r>
            <w:r>
              <w:rPr>
                <w:rFonts w:ascii="宋体" w:hAnsi="宋体" w:cs="宋体" w:eastAsia="宋体" w:hint="default"/>
                <w:spacing w:val="-14"/>
                <w:w w:val="100"/>
                <w:sz w:val="21"/>
                <w:szCs w:val="21"/>
              </w:rPr>
              <w:t>2016-017</w:t>
            </w:r>
            <w:r>
              <w:rPr>
                <w:rFonts w:ascii="宋体" w:hAnsi="宋体" w:cs="宋体" w:eastAsia="宋体" w:hint="default"/>
                <w:spacing w:val="-14"/>
                <w:w w:val="100"/>
                <w:sz w:val="21"/>
                <w:szCs w:val="21"/>
              </w:rPr>
              <w:t>）。</w:t>
            </w:r>
            <w:r>
              <w:rPr>
                <w:rFonts w:ascii="宋体" w:hAnsi="宋体" w:cs="宋体" w:eastAsia="宋体" w:hint="default"/>
                <w:w w:val="100"/>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6"/>
                <w:sz w:val="21"/>
                <w:szCs w:val="21"/>
              </w:rPr>
              <w:t> </w:t>
            </w:r>
            <w:r>
              <w:rPr>
                <w:rFonts w:ascii="宋体" w:hAnsi="宋体" w:cs="宋体" w:eastAsia="宋体" w:hint="default"/>
                <w:sz w:val="21"/>
                <w:szCs w:val="21"/>
              </w:rPr>
              <w:t>2015</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pacing w:val="-16"/>
                <w:w w:val="100"/>
                <w:sz w:val="21"/>
                <w:szCs w:val="21"/>
              </w:rPr>
              <w:t>承诺期限：长期</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有效</w:t>
            </w:r>
            <w:r>
              <w:rPr>
                <w:rFonts w:ascii="宋体" w:hAnsi="宋体" w:cs="宋体" w:eastAsia="宋体" w:hint="default"/>
                <w:sz w:val="21"/>
                <w:szCs w:val="21"/>
              </w:rPr>
              <w:t> </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1100" w:hRule="exact"/>
        </w:trPr>
        <w:tc>
          <w:tcPr>
            <w:tcW w:w="718" w:type="dxa"/>
            <w:vMerge/>
            <w:tcBorders>
              <w:left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03" w:right="12"/>
              <w:jc w:val="left"/>
              <w:rPr>
                <w:rFonts w:ascii="宋体" w:hAnsi="宋体" w:cs="宋体" w:eastAsia="宋体" w:hint="default"/>
                <w:sz w:val="21"/>
                <w:szCs w:val="21"/>
              </w:rPr>
            </w:pPr>
            <w:r>
              <w:rPr>
                <w:rFonts w:ascii="宋体" w:hAnsi="宋体" w:cs="宋体" w:eastAsia="宋体" w:hint="default"/>
                <w:spacing w:val="4"/>
                <w:sz w:val="21"/>
                <w:szCs w:val="21"/>
              </w:rPr>
              <w:t>解决关</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联交易</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胡健、宁波</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pacing w:val="3"/>
                <w:sz w:val="21"/>
                <w:szCs w:val="21"/>
              </w:rPr>
              <w:t>杰赢、宁波</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3"/>
                <w:sz w:val="21"/>
                <w:szCs w:val="21"/>
              </w:rPr>
              <w:t>杰宝等十六</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位股东</w:t>
            </w:r>
            <w:r>
              <w:rPr>
                <w:rFonts w:ascii="宋体" w:hAnsi="宋体" w:cs="宋体" w:eastAsia="宋体" w:hint="default"/>
                <w:sz w:val="21"/>
                <w:szCs w:val="21"/>
              </w:rPr>
              <w:t> </w:t>
            </w:r>
          </w:p>
        </w:tc>
        <w:tc>
          <w:tcPr>
            <w:tcW w:w="5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03" w:right="-3"/>
              <w:jc w:val="left"/>
              <w:rPr>
                <w:rFonts w:ascii="宋体" w:hAnsi="宋体" w:cs="宋体" w:eastAsia="宋体" w:hint="default"/>
                <w:sz w:val="21"/>
                <w:szCs w:val="21"/>
              </w:rPr>
            </w:pPr>
            <w:r>
              <w:rPr>
                <w:rFonts w:ascii="宋体" w:hAnsi="宋体" w:cs="宋体" w:eastAsia="宋体" w:hint="default"/>
                <w:sz w:val="21"/>
                <w:szCs w:val="21"/>
              </w:rPr>
              <w:t>具体内容详见</w:t>
            </w:r>
            <w:r>
              <w:rPr>
                <w:rFonts w:ascii="宋体" w:hAnsi="宋体" w:cs="宋体" w:eastAsia="宋体" w:hint="default"/>
                <w:spacing w:val="-38"/>
                <w:sz w:val="21"/>
                <w:szCs w:val="21"/>
              </w:rPr>
              <w:t> </w:t>
            </w:r>
            <w:r>
              <w:rPr>
                <w:rFonts w:ascii="宋体" w:hAnsi="宋体" w:cs="宋体" w:eastAsia="宋体" w:hint="default"/>
                <w:sz w:val="21"/>
                <w:szCs w:val="21"/>
              </w:rPr>
              <w:t>2016</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2</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27</w:t>
            </w:r>
            <w:r>
              <w:rPr>
                <w:rFonts w:ascii="宋体" w:hAnsi="宋体" w:cs="宋体" w:eastAsia="宋体" w:hint="default"/>
                <w:spacing w:val="-41"/>
                <w:sz w:val="21"/>
                <w:szCs w:val="21"/>
              </w:rPr>
              <w:t> </w:t>
            </w:r>
            <w:r>
              <w:rPr>
                <w:rFonts w:ascii="宋体" w:hAnsi="宋体" w:cs="宋体" w:eastAsia="宋体" w:hint="default"/>
                <w:sz w:val="21"/>
                <w:szCs w:val="21"/>
              </w:rPr>
              <w:t>日披露的《公司关于发行股份</w:t>
            </w:r>
            <w:r>
              <w:rPr>
                <w:rFonts w:ascii="宋体" w:hAnsi="宋体" w:cs="宋体" w:eastAsia="宋体" w:hint="default"/>
                <w:w w:val="100"/>
                <w:sz w:val="21"/>
                <w:szCs w:val="21"/>
              </w:rPr>
              <w:t> </w:t>
            </w:r>
            <w:r>
              <w:rPr>
                <w:rFonts w:ascii="宋体" w:hAnsi="宋体" w:cs="宋体" w:eastAsia="宋体" w:hint="default"/>
                <w:spacing w:val="-4"/>
                <w:w w:val="100"/>
                <w:sz w:val="21"/>
                <w:szCs w:val="21"/>
              </w:rPr>
              <w:t>购买资产相关承诺事项的公告》（公告编号：临</w:t>
            </w:r>
            <w:r>
              <w:rPr>
                <w:rFonts w:ascii="宋体" w:hAnsi="宋体" w:cs="宋体" w:eastAsia="宋体" w:hint="default"/>
                <w:spacing w:val="-47"/>
                <w:w w:val="100"/>
                <w:sz w:val="21"/>
                <w:szCs w:val="21"/>
              </w:rPr>
              <w:t> </w:t>
            </w:r>
            <w:r>
              <w:rPr>
                <w:rFonts w:ascii="宋体" w:hAnsi="宋体" w:cs="宋体" w:eastAsia="宋体" w:hint="default"/>
                <w:spacing w:val="-14"/>
                <w:w w:val="100"/>
                <w:sz w:val="21"/>
                <w:szCs w:val="21"/>
              </w:rPr>
              <w:t>2016-017</w:t>
            </w:r>
            <w:r>
              <w:rPr>
                <w:rFonts w:ascii="宋体" w:hAnsi="宋体" w:cs="宋体" w:eastAsia="宋体" w:hint="default"/>
                <w:spacing w:val="-14"/>
                <w:w w:val="100"/>
                <w:sz w:val="21"/>
                <w:szCs w:val="21"/>
              </w:rPr>
              <w:t>）。</w:t>
            </w:r>
            <w:r>
              <w:rPr>
                <w:rFonts w:ascii="宋体" w:hAnsi="宋体" w:cs="宋体" w:eastAsia="宋体" w:hint="default"/>
                <w:w w:val="100"/>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长期有效</w:t>
            </w:r>
            <w:r>
              <w:rPr>
                <w:rFonts w:ascii="宋体" w:hAnsi="宋体" w:cs="宋体" w:eastAsia="宋体" w:hint="default"/>
                <w:sz w:val="21"/>
                <w:szCs w:val="21"/>
              </w:rPr>
              <w:t> </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4913" w:hRule="exact"/>
        </w:trPr>
        <w:tc>
          <w:tcPr>
            <w:tcW w:w="718" w:type="dxa"/>
            <w:vMerge/>
            <w:tcBorders>
              <w:left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pacing w:val="4"/>
                <w:sz w:val="21"/>
                <w:szCs w:val="21"/>
              </w:rPr>
              <w:t>股份限</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售</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3"/>
                <w:sz w:val="21"/>
                <w:szCs w:val="21"/>
              </w:rPr>
              <w:t>李爱明、宁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3"/>
                <w:sz w:val="21"/>
                <w:szCs w:val="21"/>
              </w:rPr>
              <w:t>波杰赢、宁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3"/>
                <w:sz w:val="21"/>
                <w:szCs w:val="21"/>
              </w:rPr>
              <w:t>波杰宝等五</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位股东</w:t>
            </w:r>
            <w:r>
              <w:rPr>
                <w:rFonts w:ascii="宋体" w:hAnsi="宋体" w:cs="宋体" w:eastAsia="宋体" w:hint="default"/>
                <w:sz w:val="21"/>
                <w:szCs w:val="21"/>
              </w:rPr>
              <w:t> </w:t>
            </w:r>
          </w:p>
        </w:tc>
        <w:tc>
          <w:tcPr>
            <w:tcW w:w="57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因发行股份购买资产取得的泰豪科技股份自股票上市之日起</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21"/>
                <w:sz w:val="21"/>
                <w:szCs w:val="21"/>
              </w:rPr>
              <w:t> </w:t>
            </w:r>
            <w:r>
              <w:rPr>
                <w:rFonts w:ascii="宋体" w:hAnsi="宋体" w:cs="宋体" w:eastAsia="宋体" w:hint="default"/>
                <w:sz w:val="21"/>
                <w:szCs w:val="21"/>
              </w:rPr>
              <w:t>个月内不得转让，上述限售期届满之日起根据如下方式分</w:t>
            </w:r>
          </w:p>
          <w:p>
            <w:pPr>
              <w:pStyle w:val="TableParagraph"/>
              <w:spacing w:line="237" w:lineRule="auto"/>
              <w:ind w:left="103" w:right="26"/>
              <w:jc w:val="both"/>
              <w:rPr>
                <w:rFonts w:ascii="宋体" w:hAnsi="宋体" w:cs="宋体" w:eastAsia="宋体" w:hint="default"/>
                <w:sz w:val="21"/>
                <w:szCs w:val="21"/>
              </w:rPr>
            </w:pPr>
            <w:r>
              <w:rPr>
                <w:rFonts w:ascii="宋体" w:hAnsi="宋体" w:cs="宋体" w:eastAsia="宋体" w:hint="default"/>
                <w:sz w:val="21"/>
                <w:szCs w:val="21"/>
              </w:rPr>
              <w:t>三次解禁：自上市之日起满</w:t>
            </w:r>
            <w:r>
              <w:rPr>
                <w:rFonts w:ascii="宋体" w:hAnsi="宋体" w:cs="宋体" w:eastAsia="宋体" w:hint="default"/>
                <w:spacing w:val="-31"/>
                <w:sz w:val="21"/>
                <w:szCs w:val="21"/>
              </w:rPr>
              <w:t> </w:t>
            </w:r>
            <w:r>
              <w:rPr>
                <w:rFonts w:ascii="宋体" w:hAnsi="宋体" w:cs="宋体" w:eastAsia="宋体" w:hint="default"/>
                <w:sz w:val="21"/>
                <w:szCs w:val="21"/>
              </w:rPr>
              <w:t>12</w:t>
            </w:r>
            <w:r>
              <w:rPr>
                <w:rFonts w:ascii="宋体" w:hAnsi="宋体" w:cs="宋体" w:eastAsia="宋体" w:hint="default"/>
                <w:spacing w:val="-33"/>
                <w:sz w:val="21"/>
                <w:szCs w:val="21"/>
              </w:rPr>
              <w:t> </w:t>
            </w:r>
            <w:r>
              <w:rPr>
                <w:rFonts w:ascii="宋体" w:hAnsi="宋体" w:cs="宋体" w:eastAsia="宋体" w:hint="default"/>
                <w:sz w:val="21"/>
                <w:szCs w:val="21"/>
              </w:rPr>
              <w:t>个月且</w:t>
            </w:r>
            <w:r>
              <w:rPr>
                <w:rFonts w:ascii="宋体" w:hAnsi="宋体" w:cs="宋体" w:eastAsia="宋体" w:hint="default"/>
                <w:spacing w:val="-31"/>
                <w:sz w:val="21"/>
                <w:szCs w:val="21"/>
              </w:rPr>
              <w:t> </w:t>
            </w:r>
            <w:r>
              <w:rPr>
                <w:rFonts w:ascii="宋体" w:hAnsi="宋体" w:cs="宋体" w:eastAsia="宋体" w:hint="default"/>
                <w:sz w:val="21"/>
                <w:szCs w:val="21"/>
              </w:rPr>
              <w:t>2016</w:t>
            </w:r>
            <w:r>
              <w:rPr>
                <w:rFonts w:ascii="宋体" w:hAnsi="宋体" w:cs="宋体" w:eastAsia="宋体" w:hint="default"/>
                <w:spacing w:val="-31"/>
                <w:sz w:val="21"/>
                <w:szCs w:val="21"/>
              </w:rPr>
              <w:t> </w:t>
            </w:r>
            <w:r>
              <w:rPr>
                <w:rFonts w:ascii="宋体" w:hAnsi="宋体" w:cs="宋体" w:eastAsia="宋体" w:hint="default"/>
                <w:sz w:val="21"/>
                <w:szCs w:val="21"/>
              </w:rPr>
              <w:t>年度的《专项审</w:t>
            </w:r>
            <w:r>
              <w:rPr>
                <w:rFonts w:ascii="宋体" w:hAnsi="宋体" w:cs="宋体" w:eastAsia="宋体" w:hint="default"/>
                <w:w w:val="100"/>
                <w:sz w:val="21"/>
                <w:szCs w:val="21"/>
              </w:rPr>
              <w:t> </w:t>
            </w:r>
            <w:r>
              <w:rPr>
                <w:rFonts w:ascii="宋体" w:hAnsi="宋体" w:cs="宋体" w:eastAsia="宋体" w:hint="default"/>
                <w:sz w:val="21"/>
                <w:szCs w:val="21"/>
              </w:rPr>
              <w:t>核报告》出具后，解禁额度为各自因本次发行股份购买资产</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所获得的泰豪科技股份总数的</w:t>
            </w:r>
            <w:r>
              <w:rPr>
                <w:rFonts w:ascii="宋体" w:hAnsi="宋体" w:cs="宋体" w:eastAsia="宋体" w:hint="default"/>
                <w:spacing w:val="-48"/>
                <w:sz w:val="21"/>
                <w:szCs w:val="21"/>
              </w:rPr>
              <w:t> </w:t>
            </w:r>
            <w:r>
              <w:rPr>
                <w:rFonts w:ascii="宋体" w:hAnsi="宋体" w:cs="宋体" w:eastAsia="宋体" w:hint="default"/>
                <w:spacing w:val="-7"/>
                <w:sz w:val="21"/>
                <w:szCs w:val="21"/>
              </w:rPr>
              <w:t>25.00%</w:t>
            </w:r>
            <w:r>
              <w:rPr>
                <w:rFonts w:ascii="宋体" w:hAnsi="宋体" w:cs="宋体" w:eastAsia="宋体" w:hint="default"/>
                <w:spacing w:val="-7"/>
                <w:sz w:val="21"/>
                <w:szCs w:val="21"/>
              </w:rPr>
              <w:t>；自上市之日起满</w:t>
            </w:r>
            <w:r>
              <w:rPr>
                <w:rFonts w:ascii="宋体" w:hAnsi="宋体" w:cs="宋体" w:eastAsia="宋体" w:hint="default"/>
                <w:spacing w:val="-48"/>
                <w:sz w:val="21"/>
                <w:szCs w:val="21"/>
              </w:rPr>
              <w:t> </w:t>
            </w:r>
            <w:r>
              <w:rPr>
                <w:rFonts w:ascii="宋体" w:hAnsi="宋体" w:cs="宋体" w:eastAsia="宋体" w:hint="default"/>
                <w:sz w:val="21"/>
                <w:szCs w:val="21"/>
              </w:rPr>
              <w:t>24</w:t>
            </w:r>
            <w:r>
              <w:rPr>
                <w:rFonts w:ascii="宋体" w:hAnsi="宋体" w:cs="宋体" w:eastAsia="宋体" w:hint="default"/>
                <w:spacing w:val="-49"/>
                <w:sz w:val="21"/>
                <w:szCs w:val="21"/>
              </w:rPr>
              <w:t> </w:t>
            </w:r>
            <w:r>
              <w:rPr>
                <w:rFonts w:ascii="宋体" w:hAnsi="宋体" w:cs="宋体" w:eastAsia="宋体" w:hint="default"/>
                <w:sz w:val="21"/>
                <w:szCs w:val="21"/>
              </w:rPr>
              <w:t>个</w:t>
            </w:r>
            <w:r>
              <w:rPr>
                <w:rFonts w:ascii="宋体" w:hAnsi="宋体" w:cs="宋体" w:eastAsia="宋体" w:hint="default"/>
                <w:spacing w:val="-97"/>
                <w:sz w:val="21"/>
                <w:szCs w:val="21"/>
              </w:rPr>
              <w:t> </w:t>
            </w:r>
            <w:r>
              <w:rPr>
                <w:rFonts w:ascii="宋体" w:hAnsi="宋体" w:cs="宋体" w:eastAsia="宋体" w:hint="default"/>
                <w:sz w:val="21"/>
                <w:szCs w:val="21"/>
              </w:rPr>
              <w:t>月且</w:t>
            </w:r>
            <w:r>
              <w:rPr>
                <w:rFonts w:ascii="宋体" w:hAnsi="宋体" w:cs="宋体" w:eastAsia="宋体" w:hint="default"/>
                <w:spacing w:val="-41"/>
                <w:sz w:val="21"/>
                <w:szCs w:val="21"/>
              </w:rPr>
              <w:t> </w:t>
            </w:r>
            <w:r>
              <w:rPr>
                <w:rFonts w:ascii="宋体" w:hAnsi="宋体" w:cs="宋体" w:eastAsia="宋体" w:hint="default"/>
                <w:sz w:val="21"/>
                <w:szCs w:val="21"/>
              </w:rPr>
              <w:t>2017</w:t>
            </w:r>
            <w:r>
              <w:rPr>
                <w:rFonts w:ascii="宋体" w:hAnsi="宋体" w:cs="宋体" w:eastAsia="宋体" w:hint="default"/>
                <w:spacing w:val="-43"/>
                <w:sz w:val="21"/>
                <w:szCs w:val="21"/>
              </w:rPr>
              <w:t> </w:t>
            </w:r>
            <w:r>
              <w:rPr>
                <w:rFonts w:ascii="宋体" w:hAnsi="宋体" w:cs="宋体" w:eastAsia="宋体" w:hint="default"/>
                <w:spacing w:val="-3"/>
                <w:sz w:val="21"/>
                <w:szCs w:val="21"/>
              </w:rPr>
              <w:t>年度的《专项审核报告》出具后，解禁额度为各自</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8"/>
                <w:sz w:val="21"/>
                <w:szCs w:val="21"/>
              </w:rPr>
              <w:t>因本次发行股份购买资产所获得的泰豪科技股份总数的</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10.00%</w:t>
            </w:r>
            <w:r>
              <w:rPr>
                <w:rFonts w:ascii="宋体" w:hAnsi="宋体" w:cs="宋体" w:eastAsia="宋体" w:hint="default"/>
                <w:sz w:val="21"/>
                <w:szCs w:val="21"/>
              </w:rPr>
              <w:t>；自上市之日起满</w:t>
            </w:r>
            <w:r>
              <w:rPr>
                <w:rFonts w:ascii="宋体" w:hAnsi="宋体" w:cs="宋体" w:eastAsia="宋体" w:hint="default"/>
                <w:spacing w:val="-33"/>
                <w:sz w:val="21"/>
                <w:szCs w:val="21"/>
              </w:rPr>
              <w:t> </w:t>
            </w:r>
            <w:r>
              <w:rPr>
                <w:rFonts w:ascii="宋体" w:hAnsi="宋体" w:cs="宋体" w:eastAsia="宋体" w:hint="default"/>
                <w:sz w:val="21"/>
                <w:szCs w:val="21"/>
              </w:rPr>
              <w:t>36</w:t>
            </w:r>
            <w:r>
              <w:rPr>
                <w:rFonts w:ascii="宋体" w:hAnsi="宋体" w:cs="宋体" w:eastAsia="宋体" w:hint="default"/>
                <w:spacing w:val="-31"/>
                <w:sz w:val="21"/>
                <w:szCs w:val="21"/>
              </w:rPr>
              <w:t> </w:t>
            </w:r>
            <w:r>
              <w:rPr>
                <w:rFonts w:ascii="宋体" w:hAnsi="宋体" w:cs="宋体" w:eastAsia="宋体" w:hint="default"/>
                <w:sz w:val="21"/>
                <w:szCs w:val="21"/>
              </w:rPr>
              <w:t>个月且</w:t>
            </w:r>
            <w:r>
              <w:rPr>
                <w:rFonts w:ascii="宋体" w:hAnsi="宋体" w:cs="宋体" w:eastAsia="宋体" w:hint="default"/>
                <w:spacing w:val="-31"/>
                <w:sz w:val="21"/>
                <w:szCs w:val="21"/>
              </w:rPr>
              <w:t> </w:t>
            </w:r>
            <w:r>
              <w:rPr>
                <w:rFonts w:ascii="宋体" w:hAnsi="宋体" w:cs="宋体" w:eastAsia="宋体" w:hint="default"/>
                <w:sz w:val="21"/>
                <w:szCs w:val="21"/>
              </w:rPr>
              <w:t>2018</w:t>
            </w:r>
            <w:r>
              <w:rPr>
                <w:rFonts w:ascii="宋体" w:hAnsi="宋体" w:cs="宋体" w:eastAsia="宋体" w:hint="default"/>
                <w:spacing w:val="-34"/>
                <w:sz w:val="21"/>
                <w:szCs w:val="21"/>
              </w:rPr>
              <w:t> </w:t>
            </w:r>
            <w:r>
              <w:rPr>
                <w:rFonts w:ascii="宋体" w:hAnsi="宋体" w:cs="宋体" w:eastAsia="宋体" w:hint="default"/>
                <w:sz w:val="21"/>
                <w:szCs w:val="21"/>
              </w:rPr>
              <w:t>年度的《专项审核</w:t>
            </w:r>
            <w:r>
              <w:rPr>
                <w:rFonts w:ascii="宋体" w:hAnsi="宋体" w:cs="宋体" w:eastAsia="宋体" w:hint="default"/>
                <w:w w:val="100"/>
                <w:sz w:val="21"/>
                <w:szCs w:val="21"/>
              </w:rPr>
              <w:t> </w:t>
            </w:r>
            <w:r>
              <w:rPr>
                <w:rFonts w:ascii="宋体" w:hAnsi="宋体" w:cs="宋体" w:eastAsia="宋体" w:hint="default"/>
                <w:sz w:val="21"/>
                <w:szCs w:val="21"/>
              </w:rPr>
              <w:t>报告》出具后，解禁额度为各自因本次发行股份购买资产所</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获得的泰豪科技股份总数的</w:t>
            </w:r>
            <w:r>
              <w:rPr>
                <w:rFonts w:ascii="宋体" w:hAnsi="宋体" w:cs="宋体" w:eastAsia="宋体" w:hint="default"/>
                <w:spacing w:val="-21"/>
                <w:sz w:val="21"/>
                <w:szCs w:val="21"/>
              </w:rPr>
              <w:t> </w:t>
            </w:r>
            <w:r>
              <w:rPr>
                <w:rFonts w:ascii="宋体" w:hAnsi="宋体" w:cs="宋体" w:eastAsia="宋体" w:hint="default"/>
                <w:sz w:val="21"/>
                <w:szCs w:val="21"/>
              </w:rPr>
              <w:t>65.00%</w:t>
            </w:r>
            <w:r>
              <w:rPr>
                <w:rFonts w:ascii="宋体" w:hAnsi="宋体" w:cs="宋体" w:eastAsia="宋体" w:hint="default"/>
                <w:sz w:val="21"/>
                <w:szCs w:val="21"/>
              </w:rPr>
              <w:t>。股份解禁前，如需实施</w:t>
            </w:r>
            <w:r>
              <w:rPr>
                <w:rFonts w:ascii="宋体" w:hAnsi="宋体" w:cs="宋体" w:eastAsia="宋体" w:hint="default"/>
                <w:w w:val="100"/>
                <w:sz w:val="21"/>
                <w:szCs w:val="21"/>
              </w:rPr>
              <w:t> </w:t>
            </w:r>
            <w:r>
              <w:rPr>
                <w:rFonts w:ascii="宋体" w:hAnsi="宋体" w:cs="宋体" w:eastAsia="宋体" w:hint="default"/>
                <w:sz w:val="21"/>
                <w:szCs w:val="21"/>
              </w:rPr>
              <w:t>股份补偿的，则当年解禁的股份数为：上述股东认购的泰豪</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科技股份总数×当年解禁比例—当年应补偿股份数。其中，</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第一次解禁时还应扣除上述股东因履行</w:t>
            </w:r>
            <w:r>
              <w:rPr>
                <w:rFonts w:ascii="宋体" w:hAnsi="宋体" w:cs="宋体" w:eastAsia="宋体" w:hint="default"/>
                <w:spacing w:val="-63"/>
                <w:sz w:val="21"/>
                <w:szCs w:val="21"/>
              </w:rPr>
              <w:t> </w:t>
            </w:r>
            <w:r>
              <w:rPr>
                <w:rFonts w:ascii="宋体" w:hAnsi="宋体" w:cs="宋体" w:eastAsia="宋体" w:hint="default"/>
                <w:sz w:val="21"/>
                <w:szCs w:val="21"/>
              </w:rPr>
              <w:t>2015</w:t>
            </w:r>
            <w:r>
              <w:rPr>
                <w:rFonts w:ascii="宋体" w:hAnsi="宋体" w:cs="宋体" w:eastAsia="宋体" w:hint="default"/>
                <w:spacing w:val="-63"/>
                <w:sz w:val="21"/>
                <w:szCs w:val="21"/>
              </w:rPr>
              <w:t> </w:t>
            </w:r>
            <w:r>
              <w:rPr>
                <w:rFonts w:ascii="宋体" w:hAnsi="宋体" w:cs="宋体" w:eastAsia="宋体" w:hint="default"/>
                <w:sz w:val="21"/>
                <w:szCs w:val="21"/>
              </w:rPr>
              <w:t>年度业绩补偿义</w:t>
            </w:r>
            <w:r>
              <w:rPr>
                <w:rFonts w:ascii="宋体" w:hAnsi="宋体" w:cs="宋体" w:eastAsia="宋体" w:hint="default"/>
                <w:w w:val="100"/>
                <w:sz w:val="21"/>
                <w:szCs w:val="21"/>
              </w:rPr>
              <w:t> </w:t>
            </w:r>
            <w:r>
              <w:rPr>
                <w:rFonts w:ascii="宋体" w:hAnsi="宋体" w:cs="宋体" w:eastAsia="宋体" w:hint="default"/>
                <w:sz w:val="21"/>
                <w:szCs w:val="21"/>
              </w:rPr>
              <w:t>务已补偿的股份数（如有）。当年扣减后可解锁的股份数量</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小于或等于</w:t>
            </w:r>
            <w:r>
              <w:rPr>
                <w:rFonts w:ascii="宋体" w:hAnsi="宋体" w:cs="宋体" w:eastAsia="宋体" w:hint="default"/>
                <w:spacing w:val="-54"/>
                <w:sz w:val="21"/>
                <w:szCs w:val="21"/>
              </w:rPr>
              <w:t> </w:t>
            </w:r>
            <w:r>
              <w:rPr>
                <w:rFonts w:ascii="宋体" w:hAnsi="宋体" w:cs="宋体" w:eastAsia="宋体" w:hint="default"/>
                <w:sz w:val="21"/>
                <w:szCs w:val="21"/>
              </w:rPr>
              <w:t>0</w:t>
            </w:r>
            <w:r>
              <w:rPr>
                <w:rFonts w:ascii="宋体" w:hAnsi="宋体" w:cs="宋体" w:eastAsia="宋体" w:hint="default"/>
                <w:spacing w:val="-55"/>
                <w:sz w:val="21"/>
                <w:szCs w:val="21"/>
              </w:rPr>
              <w:t> </w:t>
            </w:r>
            <w:r>
              <w:rPr>
                <w:rFonts w:ascii="宋体" w:hAnsi="宋体" w:cs="宋体" w:eastAsia="宋体" w:hint="default"/>
                <w:sz w:val="21"/>
                <w:szCs w:val="21"/>
              </w:rPr>
              <w:t>的，则上述股东各自当年可解锁的股份数为</w:t>
            </w:r>
            <w:r>
              <w:rPr>
                <w:rFonts w:ascii="宋体" w:hAnsi="宋体" w:cs="宋体" w:eastAsia="宋体" w:hint="default"/>
                <w:spacing w:val="-55"/>
                <w:sz w:val="21"/>
                <w:szCs w:val="21"/>
              </w:rPr>
              <w:t> </w:t>
            </w:r>
            <w:r>
              <w:rPr>
                <w:rFonts w:ascii="宋体" w:hAnsi="宋体" w:cs="宋体" w:eastAsia="宋体" w:hint="default"/>
                <w:sz w:val="21"/>
                <w:szCs w:val="21"/>
              </w:rPr>
              <w:t>0</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且次年可解锁的股份数量还应扣减该差额的绝对值。限售期</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内，如因泰豪科技实施送红股、资本公积金转增股本事项而</w:t>
            </w:r>
            <w:r>
              <w:rPr>
                <w:rFonts w:ascii="宋体" w:hAnsi="宋体" w:cs="宋体" w:eastAsia="宋体" w:hint="default"/>
                <w:spacing w:val="-22"/>
                <w:sz w:val="21"/>
                <w:szCs w:val="21"/>
              </w:rPr>
              <w:t> </w:t>
            </w:r>
            <w:r>
              <w:rPr>
                <w:rFonts w:ascii="宋体" w:hAnsi="宋体" w:cs="宋体" w:eastAsia="宋体" w:hint="default"/>
                <w:sz w:val="21"/>
                <w:szCs w:val="21"/>
              </w:rPr>
              <w:t>增持的泰豪科技股份，亦应遵守上述限售期限的约定。</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27"/>
              <w:ind w:left="103" w:right="0"/>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6"/>
                <w:sz w:val="21"/>
                <w:szCs w:val="21"/>
              </w:rPr>
              <w:t> </w:t>
            </w:r>
            <w:r>
              <w:rPr>
                <w:rFonts w:ascii="宋体" w:hAnsi="宋体" w:cs="宋体" w:eastAsia="宋体" w:hint="default"/>
                <w:sz w:val="21"/>
                <w:szCs w:val="21"/>
              </w:rPr>
              <w:t>2015</w:t>
            </w:r>
          </w:p>
          <w:p>
            <w:pPr>
              <w:pStyle w:val="TableParagraph"/>
              <w:spacing w:line="237" w:lineRule="auto"/>
              <w:ind w:left="103" w:right="19"/>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spacing w:val="-103"/>
                <w:sz w:val="21"/>
                <w:szCs w:val="21"/>
              </w:rPr>
              <w:t> </w:t>
            </w:r>
            <w:r>
              <w:rPr>
                <w:rFonts w:ascii="宋体" w:hAnsi="宋体" w:cs="宋体" w:eastAsia="宋体" w:hint="default"/>
                <w:spacing w:val="62"/>
                <w:sz w:val="21"/>
                <w:szCs w:val="21"/>
              </w:rPr>
              <w:t>承诺期限至</w:t>
            </w:r>
            <w:r>
              <w:rPr>
                <w:rFonts w:ascii="宋体" w:hAnsi="宋体" w:cs="宋体" w:eastAsia="宋体" w:hint="default"/>
                <w:spacing w:val="-94"/>
                <w:sz w:val="21"/>
                <w:szCs w:val="21"/>
              </w:rPr>
              <w:t> </w:t>
            </w: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 </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1100" w:hRule="exact"/>
        </w:trPr>
        <w:tc>
          <w:tcPr>
            <w:tcW w:w="718" w:type="dxa"/>
            <w:vMerge/>
            <w:tcBorders>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4"/>
                <w:sz w:val="21"/>
                <w:szCs w:val="21"/>
              </w:rPr>
              <w:t>股份限</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售</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3" w:right="24"/>
              <w:jc w:val="left"/>
              <w:rPr>
                <w:rFonts w:ascii="宋体" w:hAnsi="宋体" w:cs="宋体" w:eastAsia="宋体" w:hint="default"/>
                <w:sz w:val="21"/>
                <w:szCs w:val="21"/>
              </w:rPr>
            </w:pPr>
            <w:r>
              <w:rPr>
                <w:rFonts w:ascii="宋体" w:hAnsi="宋体" w:cs="宋体" w:eastAsia="宋体" w:hint="default"/>
                <w:spacing w:val="3"/>
                <w:sz w:val="21"/>
                <w:szCs w:val="21"/>
              </w:rPr>
              <w:t>胡健、余弓</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卜、成海林</w:t>
            </w:r>
            <w:r>
              <w:rPr>
                <w:rFonts w:ascii="宋体" w:hAnsi="宋体" w:cs="宋体" w:eastAsia="宋体" w:hint="default"/>
                <w:sz w:val="21"/>
                <w:szCs w:val="21"/>
              </w:rPr>
              <w:t> </w:t>
            </w:r>
          </w:p>
        </w:tc>
        <w:tc>
          <w:tcPr>
            <w:tcW w:w="57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因本次发行股份购买资产持有的股票自上市之日起</w:t>
            </w:r>
            <w:r>
              <w:rPr>
                <w:rFonts w:ascii="宋体" w:hAnsi="宋体" w:cs="宋体" w:eastAsia="宋体" w:hint="default"/>
                <w:spacing w:val="-64"/>
                <w:sz w:val="21"/>
                <w:szCs w:val="21"/>
              </w:rPr>
              <w:t> </w:t>
            </w:r>
            <w:r>
              <w:rPr>
                <w:rFonts w:ascii="宋体" w:hAnsi="宋体" w:cs="宋体" w:eastAsia="宋体" w:hint="default"/>
                <w:sz w:val="21"/>
                <w:szCs w:val="21"/>
              </w:rPr>
              <w:t>12</w:t>
            </w:r>
            <w:r>
              <w:rPr>
                <w:rFonts w:ascii="宋体" w:hAnsi="宋体" w:cs="宋体" w:eastAsia="宋体" w:hint="default"/>
                <w:spacing w:val="-62"/>
                <w:sz w:val="21"/>
                <w:szCs w:val="21"/>
              </w:rPr>
              <w:t> </w:t>
            </w:r>
            <w:r>
              <w:rPr>
                <w:rFonts w:ascii="宋体" w:hAnsi="宋体" w:cs="宋体" w:eastAsia="宋体" w:hint="default"/>
                <w:sz w:val="21"/>
                <w:szCs w:val="21"/>
              </w:rPr>
              <w:t>个月不</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能转让，自</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个月限售期届满之日起根据如下方式分五次解</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z w:val="21"/>
                <w:szCs w:val="21"/>
              </w:rPr>
              <w:t>禁：自上市之日起满</w:t>
            </w:r>
            <w:r>
              <w:rPr>
                <w:rFonts w:ascii="宋体" w:hAnsi="宋体" w:cs="宋体" w:eastAsia="宋体" w:hint="default"/>
                <w:spacing w:val="-33"/>
                <w:sz w:val="21"/>
                <w:szCs w:val="21"/>
              </w:rPr>
              <w:t> </w:t>
            </w:r>
            <w:r>
              <w:rPr>
                <w:rFonts w:ascii="宋体" w:hAnsi="宋体" w:cs="宋体" w:eastAsia="宋体" w:hint="default"/>
                <w:sz w:val="21"/>
                <w:szCs w:val="21"/>
              </w:rPr>
              <w:t>12</w:t>
            </w:r>
            <w:r>
              <w:rPr>
                <w:rFonts w:ascii="宋体" w:hAnsi="宋体" w:cs="宋体" w:eastAsia="宋体" w:hint="default"/>
                <w:spacing w:val="-33"/>
                <w:sz w:val="21"/>
                <w:szCs w:val="21"/>
              </w:rPr>
              <w:t> </w:t>
            </w:r>
            <w:r>
              <w:rPr>
                <w:rFonts w:ascii="宋体" w:hAnsi="宋体" w:cs="宋体" w:eastAsia="宋体" w:hint="default"/>
                <w:sz w:val="21"/>
                <w:szCs w:val="21"/>
              </w:rPr>
              <w:t>个月且</w:t>
            </w:r>
            <w:r>
              <w:rPr>
                <w:rFonts w:ascii="宋体" w:hAnsi="宋体" w:cs="宋体" w:eastAsia="宋体" w:hint="default"/>
                <w:spacing w:val="-31"/>
                <w:sz w:val="21"/>
                <w:szCs w:val="21"/>
              </w:rPr>
              <w:t> </w:t>
            </w:r>
            <w:r>
              <w:rPr>
                <w:rFonts w:ascii="宋体" w:hAnsi="宋体" w:cs="宋体" w:eastAsia="宋体" w:hint="default"/>
                <w:sz w:val="21"/>
                <w:szCs w:val="21"/>
              </w:rPr>
              <w:t>2016</w:t>
            </w:r>
            <w:r>
              <w:rPr>
                <w:rFonts w:ascii="宋体" w:hAnsi="宋体" w:cs="宋体" w:eastAsia="宋体" w:hint="default"/>
                <w:spacing w:val="-31"/>
                <w:sz w:val="21"/>
                <w:szCs w:val="21"/>
              </w:rPr>
              <w:t> </w:t>
            </w:r>
            <w:r>
              <w:rPr>
                <w:rFonts w:ascii="宋体" w:hAnsi="宋体" w:cs="宋体" w:eastAsia="宋体" w:hint="default"/>
                <w:sz w:val="21"/>
                <w:szCs w:val="21"/>
              </w:rPr>
              <w:t>年度的博辕信息《专项</w:t>
            </w:r>
            <w:r>
              <w:rPr>
                <w:rFonts w:ascii="宋体" w:hAnsi="宋体" w:cs="宋体" w:eastAsia="宋体" w:hint="default"/>
                <w:w w:val="100"/>
                <w:sz w:val="21"/>
                <w:szCs w:val="21"/>
              </w:rPr>
              <w:t> </w:t>
            </w:r>
            <w:r>
              <w:rPr>
                <w:rFonts w:ascii="宋体" w:hAnsi="宋体" w:cs="宋体" w:eastAsia="宋体" w:hint="default"/>
                <w:sz w:val="21"/>
                <w:szCs w:val="21"/>
              </w:rPr>
              <w:t>审核报告》出具后，解禁额度为各自因本次发行股份购买资</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6"/>
                <w:sz w:val="21"/>
                <w:szCs w:val="21"/>
              </w:rPr>
              <w:t> </w:t>
            </w:r>
            <w:r>
              <w:rPr>
                <w:rFonts w:ascii="宋体" w:hAnsi="宋体" w:cs="宋体" w:eastAsia="宋体" w:hint="default"/>
                <w:sz w:val="21"/>
                <w:szCs w:val="21"/>
              </w:rPr>
              <w:t>2015</w:t>
            </w:r>
          </w:p>
          <w:p>
            <w:pPr>
              <w:pStyle w:val="TableParagraph"/>
              <w:spacing w:line="237" w:lineRule="auto"/>
              <w:ind w:left="103" w:right="19"/>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spacing w:val="-103"/>
                <w:sz w:val="21"/>
                <w:szCs w:val="21"/>
              </w:rPr>
              <w:t> </w:t>
            </w:r>
            <w:r>
              <w:rPr>
                <w:rFonts w:ascii="宋体" w:hAnsi="宋体" w:cs="宋体" w:eastAsia="宋体" w:hint="default"/>
                <w:spacing w:val="62"/>
                <w:sz w:val="21"/>
                <w:szCs w:val="21"/>
              </w:rPr>
              <w:t>承诺期限至</w:t>
            </w:r>
            <w:r>
              <w:rPr>
                <w:rFonts w:ascii="宋体" w:hAnsi="宋体" w:cs="宋体" w:eastAsia="宋体" w:hint="default"/>
                <w:spacing w:val="-94"/>
                <w:sz w:val="21"/>
                <w:szCs w:val="21"/>
              </w:rPr>
              <w:t> </w:t>
            </w:r>
            <w:r>
              <w:rPr>
                <w:rFonts w:ascii="宋体" w:hAnsi="宋体" w:cs="宋体" w:eastAsia="宋体" w:hint="default"/>
                <w:sz w:val="21"/>
                <w:szCs w:val="21"/>
              </w:rPr>
              <w:t>2021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spacing w:after="0" w:line="240" w:lineRule="auto"/>
        <w:jc w:val="left"/>
        <w:rPr>
          <w:rFonts w:ascii="宋体" w:hAnsi="宋体" w:cs="宋体" w:eastAsia="宋体" w:hint="default"/>
          <w:sz w:val="21"/>
          <w:szCs w:val="21"/>
        </w:rPr>
        <w:sectPr>
          <w:pgSz w:w="16840" w:h="11910" w:orient="landscape"/>
          <w:pgMar w:header="880" w:footer="1195" w:top="1120" w:bottom="1380" w:left="1300" w:right="1200"/>
        </w:sectPr>
      </w:pPr>
    </w:p>
    <w:p>
      <w:pPr>
        <w:spacing w:line="240" w:lineRule="auto" w:before="4"/>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718"/>
        <w:gridCol w:w="864"/>
        <w:gridCol w:w="1296"/>
        <w:gridCol w:w="5763"/>
        <w:gridCol w:w="1586"/>
        <w:gridCol w:w="721"/>
        <w:gridCol w:w="862"/>
        <w:gridCol w:w="1298"/>
        <w:gridCol w:w="996"/>
      </w:tblGrid>
      <w:tr>
        <w:trPr>
          <w:trHeight w:val="4911" w:hRule="exact"/>
        </w:trPr>
        <w:tc>
          <w:tcPr>
            <w:tcW w:w="718" w:type="dxa"/>
            <w:vMerge w:val="restart"/>
            <w:tcBorders>
              <w:top w:val="single" w:sz="4" w:space="0" w:color="000000"/>
              <w:left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57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产所获得的泰豪科技股份总数的</w:t>
            </w:r>
            <w:r>
              <w:rPr>
                <w:rFonts w:ascii="宋体" w:hAnsi="宋体" w:cs="宋体" w:eastAsia="宋体" w:hint="default"/>
                <w:spacing w:val="-43"/>
                <w:sz w:val="21"/>
                <w:szCs w:val="21"/>
              </w:rPr>
              <w:t> </w:t>
            </w:r>
            <w:r>
              <w:rPr>
                <w:rFonts w:ascii="宋体" w:hAnsi="宋体" w:cs="宋体" w:eastAsia="宋体" w:hint="default"/>
                <w:spacing w:val="-3"/>
                <w:sz w:val="21"/>
                <w:szCs w:val="21"/>
              </w:rPr>
              <w:t>25.00%</w:t>
            </w:r>
            <w:r>
              <w:rPr>
                <w:rFonts w:ascii="宋体" w:hAnsi="宋体" w:cs="宋体" w:eastAsia="宋体" w:hint="default"/>
                <w:spacing w:val="-3"/>
                <w:sz w:val="21"/>
                <w:szCs w:val="21"/>
              </w:rPr>
              <w:t>；自上市之日起满</w:t>
            </w:r>
            <w:r>
              <w:rPr>
                <w:rFonts w:ascii="宋体" w:hAnsi="宋体" w:cs="宋体" w:eastAsia="宋体" w:hint="default"/>
                <w:spacing w:val="-42"/>
                <w:sz w:val="21"/>
                <w:szCs w:val="21"/>
              </w:rPr>
              <w:t> </w:t>
            </w:r>
            <w:r>
              <w:rPr>
                <w:rFonts w:ascii="宋体" w:hAnsi="宋体" w:cs="宋体" w:eastAsia="宋体" w:hint="default"/>
                <w:sz w:val="21"/>
                <w:szCs w:val="21"/>
              </w:rPr>
              <w:t>24</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个月且</w:t>
            </w:r>
            <w:r>
              <w:rPr>
                <w:rFonts w:ascii="宋体" w:hAnsi="宋体" w:cs="宋体" w:eastAsia="宋体" w:hint="default"/>
                <w:spacing w:val="-37"/>
                <w:sz w:val="21"/>
                <w:szCs w:val="21"/>
              </w:rPr>
              <w:t> </w:t>
            </w:r>
            <w:r>
              <w:rPr>
                <w:rFonts w:ascii="宋体" w:hAnsi="宋体" w:cs="宋体" w:eastAsia="宋体" w:hint="default"/>
                <w:sz w:val="21"/>
                <w:szCs w:val="21"/>
              </w:rPr>
              <w:t>2017</w:t>
            </w:r>
            <w:r>
              <w:rPr>
                <w:rFonts w:ascii="宋体" w:hAnsi="宋体" w:cs="宋体" w:eastAsia="宋体" w:hint="default"/>
                <w:spacing w:val="-36"/>
                <w:sz w:val="21"/>
                <w:szCs w:val="21"/>
              </w:rPr>
              <w:t> </w:t>
            </w:r>
            <w:r>
              <w:rPr>
                <w:rFonts w:ascii="宋体" w:hAnsi="宋体" w:cs="宋体" w:eastAsia="宋体" w:hint="default"/>
                <w:spacing w:val="-3"/>
                <w:sz w:val="21"/>
                <w:szCs w:val="21"/>
              </w:rPr>
              <w:t>年度的《专项审核报告》出具后，解禁额度为各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8"/>
                <w:sz w:val="21"/>
                <w:szCs w:val="21"/>
              </w:rPr>
              <w:t>自因本次发行股份购买资产所获得的泰豪科技股份总数的</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6"/>
                <w:sz w:val="21"/>
                <w:szCs w:val="21"/>
              </w:rPr>
              <w:t>10.00%</w:t>
            </w:r>
            <w:r>
              <w:rPr>
                <w:rFonts w:ascii="宋体" w:hAnsi="宋体" w:cs="宋体" w:eastAsia="宋体" w:hint="default"/>
                <w:spacing w:val="-6"/>
                <w:sz w:val="21"/>
                <w:szCs w:val="21"/>
              </w:rPr>
              <w:t>；自上市之日起满</w:t>
            </w:r>
            <w:r>
              <w:rPr>
                <w:rFonts w:ascii="宋体" w:hAnsi="宋体" w:cs="宋体" w:eastAsia="宋体" w:hint="default"/>
                <w:spacing w:val="-44"/>
                <w:sz w:val="21"/>
                <w:szCs w:val="21"/>
              </w:rPr>
              <w:t> </w:t>
            </w:r>
            <w:r>
              <w:rPr>
                <w:rFonts w:ascii="宋体" w:hAnsi="宋体" w:cs="宋体" w:eastAsia="宋体" w:hint="default"/>
                <w:sz w:val="21"/>
                <w:szCs w:val="21"/>
              </w:rPr>
              <w:t>36</w:t>
            </w:r>
            <w:r>
              <w:rPr>
                <w:rFonts w:ascii="宋体" w:hAnsi="宋体" w:cs="宋体" w:eastAsia="宋体" w:hint="default"/>
                <w:spacing w:val="-45"/>
                <w:sz w:val="21"/>
                <w:szCs w:val="21"/>
              </w:rPr>
              <w:t> </w:t>
            </w:r>
            <w:r>
              <w:rPr>
                <w:rFonts w:ascii="宋体" w:hAnsi="宋体" w:cs="宋体" w:eastAsia="宋体" w:hint="default"/>
                <w:sz w:val="21"/>
                <w:szCs w:val="21"/>
              </w:rPr>
              <w:t>个月且</w:t>
            </w:r>
            <w:r>
              <w:rPr>
                <w:rFonts w:ascii="宋体" w:hAnsi="宋体" w:cs="宋体" w:eastAsia="宋体" w:hint="default"/>
                <w:spacing w:val="-45"/>
                <w:sz w:val="21"/>
                <w:szCs w:val="21"/>
              </w:rPr>
              <w:t> </w:t>
            </w:r>
            <w:r>
              <w:rPr>
                <w:rFonts w:ascii="宋体" w:hAnsi="宋体" w:cs="宋体" w:eastAsia="宋体" w:hint="default"/>
                <w:sz w:val="21"/>
                <w:szCs w:val="21"/>
              </w:rPr>
              <w:t>2018</w:t>
            </w:r>
            <w:r>
              <w:rPr>
                <w:rFonts w:ascii="宋体" w:hAnsi="宋体" w:cs="宋体" w:eastAsia="宋体" w:hint="default"/>
                <w:spacing w:val="-47"/>
                <w:sz w:val="21"/>
                <w:szCs w:val="21"/>
              </w:rPr>
              <w:t> </w:t>
            </w:r>
            <w:r>
              <w:rPr>
                <w:rFonts w:ascii="宋体" w:hAnsi="宋体" w:cs="宋体" w:eastAsia="宋体" w:hint="default"/>
                <w:spacing w:val="-9"/>
                <w:sz w:val="21"/>
                <w:szCs w:val="21"/>
              </w:rPr>
              <w:t>年度的博辕信息《专</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项审核报告》出具后，解禁额度为各自因本次发行股份购买</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资产所获得的泰豪科技股份总数的</w:t>
            </w:r>
            <w:r>
              <w:rPr>
                <w:rFonts w:ascii="宋体" w:hAnsi="宋体" w:cs="宋体" w:eastAsia="宋体" w:hint="default"/>
                <w:spacing w:val="-20"/>
                <w:sz w:val="21"/>
                <w:szCs w:val="21"/>
              </w:rPr>
              <w:t> </w:t>
            </w:r>
            <w:r>
              <w:rPr>
                <w:rFonts w:ascii="宋体" w:hAnsi="宋体" w:cs="宋体" w:eastAsia="宋体" w:hint="default"/>
                <w:sz w:val="21"/>
                <w:szCs w:val="21"/>
              </w:rPr>
              <w:t>15.00%</w:t>
            </w:r>
            <w:r>
              <w:rPr>
                <w:rFonts w:ascii="宋体" w:hAnsi="宋体" w:cs="宋体" w:eastAsia="宋体" w:hint="default"/>
                <w:sz w:val="21"/>
                <w:szCs w:val="21"/>
              </w:rPr>
              <w:t>；自上市之日起满</w:t>
            </w:r>
            <w:r>
              <w:rPr>
                <w:rFonts w:ascii="宋体" w:hAnsi="宋体" w:cs="宋体" w:eastAsia="宋体" w:hint="default"/>
                <w:w w:val="100"/>
                <w:sz w:val="21"/>
                <w:szCs w:val="21"/>
              </w:rPr>
              <w:t> </w:t>
            </w:r>
            <w:r>
              <w:rPr>
                <w:rFonts w:ascii="宋体" w:hAnsi="宋体" w:cs="宋体" w:eastAsia="宋体" w:hint="default"/>
                <w:sz w:val="21"/>
                <w:szCs w:val="21"/>
              </w:rPr>
              <w:t>48</w:t>
            </w:r>
            <w:r>
              <w:rPr>
                <w:rFonts w:ascii="宋体" w:hAnsi="宋体" w:cs="宋体" w:eastAsia="宋体" w:hint="default"/>
                <w:spacing w:val="-45"/>
                <w:sz w:val="21"/>
                <w:szCs w:val="21"/>
              </w:rPr>
              <w:t> </w:t>
            </w:r>
            <w:r>
              <w:rPr>
                <w:rFonts w:ascii="宋体" w:hAnsi="宋体" w:cs="宋体" w:eastAsia="宋体" w:hint="default"/>
                <w:sz w:val="21"/>
                <w:szCs w:val="21"/>
              </w:rPr>
              <w:t>个月且</w:t>
            </w:r>
            <w:r>
              <w:rPr>
                <w:rFonts w:ascii="宋体" w:hAnsi="宋体" w:cs="宋体" w:eastAsia="宋体" w:hint="default"/>
                <w:spacing w:val="-44"/>
                <w:sz w:val="21"/>
                <w:szCs w:val="21"/>
              </w:rPr>
              <w:t> </w:t>
            </w:r>
            <w:r>
              <w:rPr>
                <w:rFonts w:ascii="宋体" w:hAnsi="宋体" w:cs="宋体" w:eastAsia="宋体" w:hint="default"/>
                <w:sz w:val="21"/>
                <w:szCs w:val="21"/>
              </w:rPr>
              <w:t>2019</w:t>
            </w:r>
            <w:r>
              <w:rPr>
                <w:rFonts w:ascii="宋体" w:hAnsi="宋体" w:cs="宋体" w:eastAsia="宋体" w:hint="default"/>
                <w:spacing w:val="-47"/>
                <w:sz w:val="21"/>
                <w:szCs w:val="21"/>
              </w:rPr>
              <w:t> </w:t>
            </w:r>
            <w:r>
              <w:rPr>
                <w:rFonts w:ascii="宋体" w:hAnsi="宋体" w:cs="宋体" w:eastAsia="宋体" w:hint="default"/>
                <w:spacing w:val="-5"/>
                <w:sz w:val="21"/>
                <w:szCs w:val="21"/>
              </w:rPr>
              <w:t>年度的博辕信息《专项审核报告》出具后，解</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禁额度为各自因本次发行股份购买资产所获得的泰豪科技股</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份总数的</w:t>
            </w:r>
            <w:r>
              <w:rPr>
                <w:rFonts w:ascii="宋体" w:hAnsi="宋体" w:cs="宋体" w:eastAsia="宋体" w:hint="default"/>
                <w:spacing w:val="-47"/>
                <w:sz w:val="21"/>
                <w:szCs w:val="21"/>
              </w:rPr>
              <w:t> </w:t>
            </w:r>
            <w:r>
              <w:rPr>
                <w:rFonts w:ascii="宋体" w:hAnsi="宋体" w:cs="宋体" w:eastAsia="宋体" w:hint="default"/>
                <w:sz w:val="21"/>
                <w:szCs w:val="21"/>
              </w:rPr>
              <w:t>25.00%</w:t>
            </w:r>
            <w:r>
              <w:rPr>
                <w:rFonts w:ascii="宋体" w:hAnsi="宋体" w:cs="宋体" w:eastAsia="宋体" w:hint="default"/>
                <w:sz w:val="21"/>
                <w:szCs w:val="21"/>
              </w:rPr>
              <w:t>；自上市之日起满</w:t>
            </w:r>
            <w:r>
              <w:rPr>
                <w:rFonts w:ascii="宋体" w:hAnsi="宋体" w:cs="宋体" w:eastAsia="宋体" w:hint="default"/>
                <w:spacing w:val="-48"/>
                <w:sz w:val="21"/>
                <w:szCs w:val="21"/>
              </w:rPr>
              <w:t> </w:t>
            </w:r>
            <w:r>
              <w:rPr>
                <w:rFonts w:ascii="宋体" w:hAnsi="宋体" w:cs="宋体" w:eastAsia="宋体" w:hint="default"/>
                <w:sz w:val="21"/>
                <w:szCs w:val="21"/>
              </w:rPr>
              <w:t>60</w:t>
            </w:r>
            <w:r>
              <w:rPr>
                <w:rFonts w:ascii="宋体" w:hAnsi="宋体" w:cs="宋体" w:eastAsia="宋体" w:hint="default"/>
                <w:spacing w:val="-47"/>
                <w:sz w:val="21"/>
                <w:szCs w:val="21"/>
              </w:rPr>
              <w:t> </w:t>
            </w:r>
            <w:r>
              <w:rPr>
                <w:rFonts w:ascii="宋体" w:hAnsi="宋体" w:cs="宋体" w:eastAsia="宋体" w:hint="default"/>
                <w:sz w:val="21"/>
                <w:szCs w:val="21"/>
              </w:rPr>
              <w:t>个月且</w:t>
            </w:r>
            <w:r>
              <w:rPr>
                <w:rFonts w:ascii="宋体" w:hAnsi="宋体" w:cs="宋体" w:eastAsia="宋体" w:hint="default"/>
                <w:spacing w:val="-47"/>
                <w:sz w:val="21"/>
                <w:szCs w:val="21"/>
              </w:rPr>
              <w:t> </w:t>
            </w:r>
            <w:r>
              <w:rPr>
                <w:rFonts w:ascii="宋体" w:hAnsi="宋体" w:cs="宋体" w:eastAsia="宋体" w:hint="default"/>
                <w:sz w:val="21"/>
                <w:szCs w:val="21"/>
              </w:rPr>
              <w:t>2020</w:t>
            </w:r>
            <w:r>
              <w:rPr>
                <w:rFonts w:ascii="宋体" w:hAnsi="宋体" w:cs="宋体" w:eastAsia="宋体" w:hint="default"/>
                <w:spacing w:val="-50"/>
                <w:sz w:val="21"/>
                <w:szCs w:val="21"/>
              </w:rPr>
              <w:t> </w:t>
            </w:r>
            <w:r>
              <w:rPr>
                <w:rFonts w:ascii="宋体" w:hAnsi="宋体" w:cs="宋体" w:eastAsia="宋体" w:hint="default"/>
                <w:sz w:val="21"/>
                <w:szCs w:val="21"/>
              </w:rPr>
              <w:t>年度的博</w:t>
            </w:r>
            <w:r>
              <w:rPr>
                <w:rFonts w:ascii="宋体" w:hAnsi="宋体" w:cs="宋体" w:eastAsia="宋体" w:hint="default"/>
                <w:w w:val="100"/>
                <w:sz w:val="21"/>
                <w:szCs w:val="21"/>
              </w:rPr>
              <w:t> </w:t>
            </w:r>
            <w:r>
              <w:rPr>
                <w:rFonts w:ascii="宋体" w:hAnsi="宋体" w:cs="宋体" w:eastAsia="宋体" w:hint="default"/>
                <w:sz w:val="21"/>
                <w:szCs w:val="21"/>
              </w:rPr>
              <w:t>辕信息《专项审核报告》和《减值测试报告》出具后，解禁</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额度为各自因本次发行股份购买资产所获得的泰豪科技股份</w:t>
            </w:r>
            <w:r>
              <w:rPr>
                <w:rFonts w:ascii="宋体" w:hAnsi="宋体" w:cs="宋体" w:eastAsia="宋体" w:hint="default"/>
                <w:spacing w:val="-22"/>
                <w:sz w:val="21"/>
                <w:szCs w:val="21"/>
              </w:rPr>
              <w:t> </w:t>
            </w:r>
            <w:r>
              <w:rPr>
                <w:rFonts w:ascii="宋体" w:hAnsi="宋体" w:cs="宋体" w:eastAsia="宋体" w:hint="default"/>
                <w:sz w:val="21"/>
                <w:szCs w:val="21"/>
              </w:rPr>
              <w:t>总数的</w:t>
            </w:r>
            <w:r>
              <w:rPr>
                <w:rFonts w:ascii="宋体" w:hAnsi="宋体" w:cs="宋体" w:eastAsia="宋体" w:hint="default"/>
                <w:spacing w:val="-21"/>
                <w:sz w:val="21"/>
                <w:szCs w:val="21"/>
              </w:rPr>
              <w:t> </w:t>
            </w:r>
            <w:r>
              <w:rPr>
                <w:rFonts w:ascii="宋体" w:hAnsi="宋体" w:cs="宋体" w:eastAsia="宋体" w:hint="default"/>
                <w:sz w:val="21"/>
                <w:szCs w:val="21"/>
              </w:rPr>
              <w:t>25.00%</w:t>
            </w:r>
            <w:r>
              <w:rPr>
                <w:rFonts w:ascii="宋体" w:hAnsi="宋体" w:cs="宋体" w:eastAsia="宋体" w:hint="default"/>
                <w:sz w:val="21"/>
                <w:szCs w:val="21"/>
              </w:rPr>
              <w:t>。其中，第一次解禁时还应扣除上述股东因履</w:t>
            </w:r>
            <w:r>
              <w:rPr>
                <w:rFonts w:ascii="宋体" w:hAnsi="宋体" w:cs="宋体" w:eastAsia="宋体" w:hint="default"/>
                <w:w w:val="100"/>
                <w:sz w:val="21"/>
                <w:szCs w:val="21"/>
              </w:rPr>
              <w:t> </w:t>
            </w:r>
            <w:r>
              <w:rPr>
                <w:rFonts w:ascii="宋体" w:hAnsi="宋体" w:cs="宋体" w:eastAsia="宋体" w:hint="default"/>
                <w:sz w:val="21"/>
                <w:szCs w:val="21"/>
              </w:rPr>
              <w:t>行 </w:t>
            </w:r>
            <w:r>
              <w:rPr>
                <w:rFonts w:ascii="宋体" w:hAnsi="宋体" w:cs="宋体" w:eastAsia="宋体" w:hint="default"/>
                <w:sz w:val="21"/>
                <w:szCs w:val="21"/>
              </w:rPr>
              <w:t>2015</w:t>
            </w:r>
            <w:r>
              <w:rPr>
                <w:rFonts w:ascii="宋体" w:hAnsi="宋体" w:cs="宋体" w:eastAsia="宋体" w:hint="default"/>
                <w:spacing w:val="-59"/>
                <w:sz w:val="21"/>
                <w:szCs w:val="21"/>
              </w:rPr>
              <w:t> </w:t>
            </w:r>
            <w:r>
              <w:rPr>
                <w:rFonts w:ascii="宋体" w:hAnsi="宋体" w:cs="宋体" w:eastAsia="宋体" w:hint="default"/>
                <w:spacing w:val="-3"/>
                <w:sz w:val="21"/>
                <w:szCs w:val="21"/>
              </w:rPr>
              <w:t>年度业绩补偿义务已补偿的股份数（如有）。当年扣</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减后可解锁的股份数量小于或等于 </w:t>
            </w:r>
            <w:r>
              <w:rPr>
                <w:rFonts w:ascii="宋体" w:hAnsi="宋体" w:cs="宋体" w:eastAsia="宋体" w:hint="default"/>
                <w:sz w:val="21"/>
                <w:szCs w:val="21"/>
              </w:rPr>
              <w:t>0</w:t>
            </w:r>
            <w:r>
              <w:rPr>
                <w:rFonts w:ascii="宋体" w:hAnsi="宋体" w:cs="宋体" w:eastAsia="宋体" w:hint="default"/>
                <w:spacing w:val="-21"/>
                <w:sz w:val="21"/>
                <w:szCs w:val="21"/>
              </w:rPr>
              <w:t> </w:t>
            </w:r>
            <w:r>
              <w:rPr>
                <w:rFonts w:ascii="宋体" w:hAnsi="宋体" w:cs="宋体" w:eastAsia="宋体" w:hint="default"/>
                <w:sz w:val="21"/>
                <w:szCs w:val="21"/>
              </w:rPr>
              <w:t>的，则上述股东各自当</w:t>
            </w:r>
            <w:r>
              <w:rPr>
                <w:rFonts w:ascii="宋体" w:hAnsi="宋体" w:cs="宋体" w:eastAsia="宋体" w:hint="default"/>
                <w:w w:val="100"/>
                <w:sz w:val="21"/>
                <w:szCs w:val="21"/>
              </w:rPr>
              <w:t> </w:t>
            </w:r>
            <w:r>
              <w:rPr>
                <w:rFonts w:ascii="宋体" w:hAnsi="宋体" w:cs="宋体" w:eastAsia="宋体" w:hint="default"/>
                <w:sz w:val="21"/>
                <w:szCs w:val="21"/>
              </w:rPr>
              <w:t>年可解锁的股份数为</w:t>
            </w:r>
            <w:r>
              <w:rPr>
                <w:rFonts w:ascii="宋体" w:hAnsi="宋体" w:cs="宋体" w:eastAsia="宋体" w:hint="default"/>
                <w:spacing w:val="-28"/>
                <w:sz w:val="21"/>
                <w:szCs w:val="21"/>
              </w:rPr>
              <w:t> </w:t>
            </w:r>
            <w:r>
              <w:rPr>
                <w:rFonts w:ascii="宋体" w:hAnsi="宋体" w:cs="宋体" w:eastAsia="宋体" w:hint="default"/>
                <w:spacing w:val="-6"/>
                <w:sz w:val="21"/>
                <w:szCs w:val="21"/>
              </w:rPr>
              <w:t>0</w:t>
            </w:r>
            <w:r>
              <w:rPr>
                <w:rFonts w:ascii="宋体" w:hAnsi="宋体" w:cs="宋体" w:eastAsia="宋体" w:hint="default"/>
                <w:spacing w:val="-6"/>
                <w:sz w:val="21"/>
                <w:szCs w:val="21"/>
              </w:rPr>
              <w:t>，且次年可解锁的股份数量还应扣减该</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差额的绝对值。限售期内，如因泰豪科技实施送红股、资本</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公积金转增股本事项而增持的泰豪科技股份，亦应遵守上述</w:t>
            </w:r>
            <w:r>
              <w:rPr>
                <w:rFonts w:ascii="宋体" w:hAnsi="宋体" w:cs="宋体" w:eastAsia="宋体" w:hint="default"/>
                <w:spacing w:val="-22"/>
                <w:sz w:val="21"/>
                <w:szCs w:val="21"/>
              </w:rPr>
              <w:t> </w:t>
            </w:r>
            <w:r>
              <w:rPr>
                <w:rFonts w:ascii="宋体" w:hAnsi="宋体" w:cs="宋体" w:eastAsia="宋体" w:hint="default"/>
                <w:sz w:val="21"/>
                <w:szCs w:val="21"/>
              </w:rPr>
              <w:t>限售期限的约定。</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 </w:t>
            </w:r>
          </w:p>
        </w:tc>
        <w:tc>
          <w:tcPr>
            <w:tcW w:w="72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718" w:type="dxa"/>
            <w:vMerge/>
            <w:tcBorders>
              <w:left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4"/>
              <w:ind w:left="103" w:right="99"/>
              <w:jc w:val="left"/>
              <w:rPr>
                <w:rFonts w:ascii="宋体" w:hAnsi="宋体" w:cs="宋体" w:eastAsia="宋体" w:hint="default"/>
                <w:sz w:val="21"/>
                <w:szCs w:val="21"/>
              </w:rPr>
            </w:pPr>
            <w:r>
              <w:rPr>
                <w:rFonts w:ascii="宋体" w:hAnsi="宋体" w:cs="宋体" w:eastAsia="宋体" w:hint="default"/>
                <w:spacing w:val="4"/>
                <w:sz w:val="21"/>
                <w:szCs w:val="21"/>
              </w:rPr>
              <w:t>股份限</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售</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浙江中赢</w:t>
            </w:r>
            <w:r>
              <w:rPr>
                <w:rFonts w:ascii="宋体" w:hAnsi="宋体" w:cs="宋体" w:eastAsia="宋体" w:hint="default"/>
                <w:sz w:val="21"/>
                <w:szCs w:val="21"/>
              </w:rPr>
              <w:t> </w:t>
            </w:r>
          </w:p>
        </w:tc>
        <w:tc>
          <w:tcPr>
            <w:tcW w:w="576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6"/>
              <w:jc w:val="both"/>
              <w:rPr>
                <w:rFonts w:ascii="宋体" w:hAnsi="宋体" w:cs="宋体" w:eastAsia="宋体" w:hint="default"/>
                <w:sz w:val="21"/>
                <w:szCs w:val="21"/>
              </w:rPr>
            </w:pPr>
            <w:r>
              <w:rPr>
                <w:rFonts w:ascii="宋体" w:hAnsi="宋体" w:cs="宋体" w:eastAsia="宋体" w:hint="default"/>
                <w:sz w:val="21"/>
                <w:szCs w:val="21"/>
              </w:rPr>
              <w:t>因发行股份购买资产取得的泰豪科技股份自股票上市之日起</w:t>
            </w:r>
            <w:r>
              <w:rPr>
                <w:rFonts w:ascii="宋体" w:hAnsi="宋体" w:cs="宋体" w:eastAsia="宋体" w:hint="default"/>
                <w:spacing w:val="-22"/>
                <w:sz w:val="21"/>
                <w:szCs w:val="21"/>
              </w:rPr>
              <w:t> </w:t>
            </w:r>
            <w:r>
              <w:rPr>
                <w:rFonts w:ascii="宋体" w:hAnsi="宋体" w:cs="宋体" w:eastAsia="宋体" w:hint="default"/>
                <w:sz w:val="21"/>
                <w:szCs w:val="21"/>
              </w:rPr>
              <w:t>36</w:t>
            </w:r>
            <w:r>
              <w:rPr>
                <w:rFonts w:ascii="宋体" w:hAnsi="宋体" w:cs="宋体" w:eastAsia="宋体" w:hint="default"/>
                <w:spacing w:val="-21"/>
                <w:sz w:val="21"/>
                <w:szCs w:val="21"/>
              </w:rPr>
              <w:t> </w:t>
            </w:r>
            <w:r>
              <w:rPr>
                <w:rFonts w:ascii="宋体" w:hAnsi="宋体" w:cs="宋体" w:eastAsia="宋体" w:hint="default"/>
                <w:sz w:val="21"/>
                <w:szCs w:val="21"/>
              </w:rPr>
              <w:t>个月内不得转让。限售期内，如因泰豪科技实施送红股、</w:t>
            </w:r>
            <w:r>
              <w:rPr>
                <w:rFonts w:ascii="宋体" w:hAnsi="宋体" w:cs="宋体" w:eastAsia="宋体" w:hint="default"/>
                <w:w w:val="100"/>
                <w:sz w:val="21"/>
                <w:szCs w:val="21"/>
              </w:rPr>
              <w:t> </w:t>
            </w:r>
            <w:r>
              <w:rPr>
                <w:rFonts w:ascii="宋体" w:hAnsi="宋体" w:cs="宋体" w:eastAsia="宋体" w:hint="default"/>
                <w:sz w:val="21"/>
                <w:szCs w:val="21"/>
              </w:rPr>
              <w:t>资本公积金转增股本事项而增持的泰豪科技股份，亦应遵守</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上述限售期限的约定。</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6"/>
                <w:sz w:val="21"/>
                <w:szCs w:val="21"/>
              </w:rPr>
              <w:t> </w:t>
            </w:r>
            <w:r>
              <w:rPr>
                <w:rFonts w:ascii="宋体" w:hAnsi="宋体" w:cs="宋体" w:eastAsia="宋体" w:hint="default"/>
                <w:sz w:val="21"/>
                <w:szCs w:val="21"/>
              </w:rPr>
              <w:t>2015</w:t>
            </w:r>
          </w:p>
          <w:p>
            <w:pPr>
              <w:pStyle w:val="TableParagraph"/>
              <w:spacing w:line="237" w:lineRule="auto" w:before="1"/>
              <w:ind w:left="103" w:right="19"/>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spacing w:val="-103"/>
                <w:sz w:val="21"/>
                <w:szCs w:val="21"/>
              </w:rPr>
              <w:t> </w:t>
            </w:r>
            <w:r>
              <w:rPr>
                <w:rFonts w:ascii="宋体" w:hAnsi="宋体" w:cs="宋体" w:eastAsia="宋体" w:hint="default"/>
                <w:spacing w:val="62"/>
                <w:sz w:val="21"/>
                <w:szCs w:val="21"/>
              </w:rPr>
              <w:t>承诺期限至</w:t>
            </w:r>
            <w:r>
              <w:rPr>
                <w:rFonts w:ascii="宋体" w:hAnsi="宋体" w:cs="宋体" w:eastAsia="宋体" w:hint="default"/>
                <w:spacing w:val="-94"/>
                <w:sz w:val="21"/>
                <w:szCs w:val="21"/>
              </w:rPr>
              <w:t> </w:t>
            </w: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 </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1373" w:hRule="exact"/>
        </w:trPr>
        <w:tc>
          <w:tcPr>
            <w:tcW w:w="718" w:type="dxa"/>
            <w:vMerge/>
            <w:tcBorders>
              <w:left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3"/>
                <w:sz w:val="21"/>
                <w:szCs w:val="21"/>
              </w:rPr>
              <w:t>胡健、余弓</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3"/>
                <w:sz w:val="21"/>
                <w:szCs w:val="21"/>
              </w:rPr>
              <w:t>卜等六位股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东</w:t>
            </w:r>
            <w:r>
              <w:rPr>
                <w:rFonts w:ascii="宋体" w:hAnsi="宋体" w:cs="宋体" w:eastAsia="宋体" w:hint="default"/>
                <w:sz w:val="21"/>
                <w:szCs w:val="21"/>
              </w:rPr>
              <w:t> </w:t>
            </w:r>
          </w:p>
        </w:tc>
        <w:tc>
          <w:tcPr>
            <w:tcW w:w="5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03" w:right="-8"/>
              <w:jc w:val="left"/>
              <w:rPr>
                <w:rFonts w:ascii="宋体" w:hAnsi="宋体" w:cs="宋体" w:eastAsia="宋体" w:hint="default"/>
                <w:sz w:val="21"/>
                <w:szCs w:val="21"/>
              </w:rPr>
            </w:pPr>
            <w:r>
              <w:rPr>
                <w:rFonts w:ascii="宋体" w:hAnsi="宋体" w:cs="宋体" w:eastAsia="宋体" w:hint="default"/>
                <w:sz w:val="21"/>
                <w:szCs w:val="21"/>
              </w:rPr>
              <w:t>任职期限及竞业禁止的承诺，具体内容详见</w:t>
            </w:r>
            <w:r>
              <w:rPr>
                <w:rFonts w:ascii="宋体" w:hAnsi="宋体" w:cs="宋体" w:eastAsia="宋体" w:hint="default"/>
                <w:spacing w:val="-26"/>
                <w:sz w:val="21"/>
                <w:szCs w:val="21"/>
              </w:rPr>
              <w:t> </w:t>
            </w:r>
            <w:r>
              <w:rPr>
                <w:rFonts w:ascii="宋体" w:hAnsi="宋体" w:cs="宋体" w:eastAsia="宋体" w:hint="default"/>
                <w:sz w:val="21"/>
                <w:szCs w:val="21"/>
              </w:rPr>
              <w:t>2016</w:t>
            </w:r>
            <w:r>
              <w:rPr>
                <w:rFonts w:ascii="宋体" w:hAnsi="宋体" w:cs="宋体" w:eastAsia="宋体" w:hint="default"/>
                <w:spacing w:val="-26"/>
                <w:sz w:val="21"/>
                <w:szCs w:val="21"/>
              </w:rPr>
              <w:t> </w:t>
            </w:r>
            <w:r>
              <w:rPr>
                <w:rFonts w:ascii="宋体" w:hAnsi="宋体" w:cs="宋体" w:eastAsia="宋体" w:hint="default"/>
                <w:sz w:val="21"/>
                <w:szCs w:val="21"/>
              </w:rPr>
              <w:t>年</w:t>
            </w:r>
            <w:r>
              <w:rPr>
                <w:rFonts w:ascii="宋体" w:hAnsi="宋体" w:cs="宋体" w:eastAsia="宋体" w:hint="default"/>
                <w:spacing w:val="-26"/>
                <w:sz w:val="21"/>
                <w:szCs w:val="21"/>
              </w:rPr>
              <w:t> </w:t>
            </w:r>
            <w:r>
              <w:rPr>
                <w:rFonts w:ascii="宋体" w:hAnsi="宋体" w:cs="宋体" w:eastAsia="宋体" w:hint="default"/>
                <w:sz w:val="21"/>
                <w:szCs w:val="21"/>
              </w:rPr>
              <w:t>2</w:t>
            </w:r>
            <w:r>
              <w:rPr>
                <w:rFonts w:ascii="宋体" w:hAnsi="宋体" w:cs="宋体" w:eastAsia="宋体" w:hint="default"/>
                <w:spacing w:val="-26"/>
                <w:sz w:val="21"/>
                <w:szCs w:val="21"/>
              </w:rPr>
              <w:t> </w:t>
            </w:r>
            <w:r>
              <w:rPr>
                <w:rFonts w:ascii="宋体" w:hAnsi="宋体" w:cs="宋体" w:eastAsia="宋体" w:hint="default"/>
                <w:sz w:val="21"/>
                <w:szCs w:val="21"/>
              </w:rPr>
              <w:t>月</w:t>
            </w:r>
            <w:r>
              <w:rPr>
                <w:rFonts w:ascii="宋体" w:hAnsi="宋体" w:cs="宋体" w:eastAsia="宋体" w:hint="default"/>
                <w:spacing w:val="-24"/>
                <w:sz w:val="21"/>
                <w:szCs w:val="21"/>
              </w:rPr>
              <w:t> </w:t>
            </w:r>
            <w:r>
              <w:rPr>
                <w:rFonts w:ascii="宋体" w:hAnsi="宋体" w:cs="宋体" w:eastAsia="宋体" w:hint="default"/>
                <w:sz w:val="21"/>
                <w:szCs w:val="21"/>
              </w:rPr>
              <w:t>27</w:t>
            </w:r>
            <w:r>
              <w:rPr>
                <w:rFonts w:ascii="宋体" w:hAnsi="宋体" w:cs="宋体" w:eastAsia="宋体" w:hint="default"/>
                <w:w w:val="100"/>
                <w:sz w:val="21"/>
                <w:szCs w:val="21"/>
              </w:rPr>
              <w:t> </w:t>
            </w:r>
            <w:r>
              <w:rPr>
                <w:rFonts w:ascii="宋体" w:hAnsi="宋体" w:cs="宋体" w:eastAsia="宋体" w:hint="default"/>
                <w:spacing w:val="-2"/>
                <w:sz w:val="21"/>
                <w:szCs w:val="21"/>
              </w:rPr>
              <w:t>日披露的《公司关于发行股份购买资产相关承诺事项的公告》</w:t>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（公告编号：临</w:t>
            </w:r>
            <w:r>
              <w:rPr>
                <w:rFonts w:ascii="宋体" w:hAnsi="宋体" w:cs="宋体" w:eastAsia="宋体" w:hint="default"/>
                <w:spacing w:val="-59"/>
                <w:sz w:val="21"/>
                <w:szCs w:val="21"/>
              </w:rPr>
              <w:t> </w:t>
            </w:r>
            <w:r>
              <w:rPr>
                <w:rFonts w:ascii="宋体" w:hAnsi="宋体" w:cs="宋体" w:eastAsia="宋体" w:hint="default"/>
                <w:sz w:val="21"/>
                <w:szCs w:val="21"/>
              </w:rPr>
              <w:t>2016-017</w:t>
            </w:r>
            <w:r>
              <w:rPr>
                <w:rFonts w:ascii="宋体" w:hAnsi="宋体" w:cs="宋体" w:eastAsia="宋体" w:hint="default"/>
                <w:sz w:val="21"/>
                <w:szCs w:val="21"/>
              </w:rPr>
              <w:t>）。</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6"/>
                <w:sz w:val="21"/>
                <w:szCs w:val="21"/>
              </w:rPr>
              <w:t> </w:t>
            </w:r>
            <w:r>
              <w:rPr>
                <w:rFonts w:ascii="宋体" w:hAnsi="宋体" w:cs="宋体" w:eastAsia="宋体" w:hint="default"/>
                <w:sz w:val="21"/>
                <w:szCs w:val="21"/>
              </w:rPr>
              <w:t>2015</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25"/>
                <w:sz w:val="21"/>
                <w:szCs w:val="21"/>
              </w:rPr>
              <w:t> </w:t>
            </w:r>
            <w:r>
              <w:rPr>
                <w:rFonts w:ascii="宋体" w:hAnsi="宋体" w:cs="宋体" w:eastAsia="宋体" w:hint="default"/>
                <w:sz w:val="21"/>
                <w:szCs w:val="21"/>
              </w:rPr>
              <w:t>11</w:t>
            </w:r>
            <w:r>
              <w:rPr>
                <w:rFonts w:ascii="宋体" w:hAnsi="宋体" w:cs="宋体" w:eastAsia="宋体" w:hint="default"/>
                <w:spacing w:val="-25"/>
                <w:sz w:val="21"/>
                <w:szCs w:val="21"/>
              </w:rPr>
              <w:t> </w:t>
            </w:r>
            <w:r>
              <w:rPr>
                <w:rFonts w:ascii="宋体" w:hAnsi="宋体" w:cs="宋体" w:eastAsia="宋体" w:hint="default"/>
                <w:sz w:val="21"/>
                <w:szCs w:val="21"/>
              </w:rPr>
              <w:t>月</w:t>
            </w:r>
            <w:r>
              <w:rPr>
                <w:rFonts w:ascii="宋体" w:hAnsi="宋体" w:cs="宋体" w:eastAsia="宋体" w:hint="default"/>
                <w:spacing w:val="-25"/>
                <w:sz w:val="21"/>
                <w:szCs w:val="21"/>
              </w:rPr>
              <w:t> </w:t>
            </w:r>
            <w:r>
              <w:rPr>
                <w:rFonts w:ascii="宋体" w:hAnsi="宋体" w:cs="宋体" w:eastAsia="宋体" w:hint="default"/>
                <w:sz w:val="21"/>
                <w:szCs w:val="21"/>
              </w:rPr>
              <w:t>2</w:t>
            </w:r>
            <w:r>
              <w:rPr>
                <w:rFonts w:ascii="宋体" w:hAnsi="宋体" w:cs="宋体" w:eastAsia="宋体" w:hint="default"/>
                <w:spacing w:val="-25"/>
                <w:sz w:val="21"/>
                <w:szCs w:val="21"/>
              </w:rPr>
              <w:t> </w:t>
            </w:r>
            <w:r>
              <w:rPr>
                <w:rFonts w:ascii="宋体" w:hAnsi="宋体" w:cs="宋体" w:eastAsia="宋体" w:hint="default"/>
                <w:sz w:val="21"/>
                <w:szCs w:val="21"/>
              </w:rPr>
              <w:t>日</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16"/>
                <w:sz w:val="21"/>
                <w:szCs w:val="21"/>
              </w:rPr>
              <w:t>承诺有效期至</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2021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 </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1100" w:hRule="exact"/>
        </w:trPr>
        <w:tc>
          <w:tcPr>
            <w:tcW w:w="718" w:type="dxa"/>
            <w:vMerge/>
            <w:tcBorders>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胡健、宁波</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3"/>
                <w:sz w:val="21"/>
                <w:szCs w:val="21"/>
              </w:rPr>
              <w:t>杰宝、宁波</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3"/>
                <w:sz w:val="21"/>
                <w:szCs w:val="21"/>
              </w:rPr>
              <w:t>杰赢等十六</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位股东</w:t>
            </w:r>
            <w:r>
              <w:rPr>
                <w:rFonts w:ascii="宋体" w:hAnsi="宋体" w:cs="宋体" w:eastAsia="宋体" w:hint="default"/>
                <w:sz w:val="21"/>
                <w:szCs w:val="21"/>
              </w:rPr>
              <w:t> </w:t>
            </w:r>
          </w:p>
        </w:tc>
        <w:tc>
          <w:tcPr>
            <w:tcW w:w="5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96"/>
              <w:jc w:val="left"/>
              <w:rPr>
                <w:rFonts w:ascii="宋体" w:hAnsi="宋体" w:cs="宋体" w:eastAsia="宋体" w:hint="default"/>
                <w:sz w:val="21"/>
                <w:szCs w:val="21"/>
              </w:rPr>
            </w:pPr>
            <w:r>
              <w:rPr>
                <w:rFonts w:ascii="宋体" w:hAnsi="宋体" w:cs="宋体" w:eastAsia="宋体" w:hint="default"/>
                <w:sz w:val="21"/>
                <w:szCs w:val="21"/>
              </w:rPr>
              <w:t>已履行出资义务等的承诺，具体内容详见</w:t>
            </w:r>
            <w:r>
              <w:rPr>
                <w:rFonts w:ascii="宋体" w:hAnsi="宋体" w:cs="宋体" w:eastAsia="宋体" w:hint="default"/>
                <w:spacing w:val="-38"/>
                <w:sz w:val="21"/>
                <w:szCs w:val="21"/>
              </w:rPr>
              <w:t> </w:t>
            </w:r>
            <w:r>
              <w:rPr>
                <w:rFonts w:ascii="宋体" w:hAnsi="宋体" w:cs="宋体" w:eastAsia="宋体" w:hint="default"/>
                <w:sz w:val="21"/>
                <w:szCs w:val="21"/>
              </w:rPr>
              <w:t>2016</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2</w:t>
            </w:r>
            <w:r>
              <w:rPr>
                <w:rFonts w:ascii="宋体" w:hAnsi="宋体" w:cs="宋体" w:eastAsia="宋体" w:hint="default"/>
                <w:spacing w:val="-38"/>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27</w:t>
            </w:r>
            <w:r>
              <w:rPr>
                <w:rFonts w:ascii="宋体" w:hAnsi="宋体" w:cs="宋体" w:eastAsia="宋体" w:hint="default"/>
                <w:spacing w:val="-41"/>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披露的《公司关于发行股份购买资产相关承诺事项的公告》</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（公告编号：临</w:t>
            </w:r>
            <w:r>
              <w:rPr>
                <w:rFonts w:ascii="宋体" w:hAnsi="宋体" w:cs="宋体" w:eastAsia="宋体" w:hint="default"/>
                <w:spacing w:val="-59"/>
                <w:sz w:val="21"/>
                <w:szCs w:val="21"/>
              </w:rPr>
              <w:t> </w:t>
            </w:r>
            <w:r>
              <w:rPr>
                <w:rFonts w:ascii="宋体" w:hAnsi="宋体" w:cs="宋体" w:eastAsia="宋体" w:hint="default"/>
                <w:sz w:val="21"/>
                <w:szCs w:val="21"/>
              </w:rPr>
              <w:t>2016-017</w:t>
            </w:r>
            <w:r>
              <w:rPr>
                <w:rFonts w:ascii="宋体" w:hAnsi="宋体" w:cs="宋体" w:eastAsia="宋体" w:hint="default"/>
                <w:sz w:val="21"/>
                <w:szCs w:val="21"/>
              </w:rPr>
              <w:t>）。</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6"/>
                <w:sz w:val="21"/>
                <w:szCs w:val="21"/>
              </w:rPr>
              <w:t> </w:t>
            </w:r>
            <w:r>
              <w:rPr>
                <w:rFonts w:ascii="宋体" w:hAnsi="宋体" w:cs="宋体" w:eastAsia="宋体" w:hint="default"/>
                <w:sz w:val="21"/>
                <w:szCs w:val="21"/>
              </w:rPr>
              <w:t>2015</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25"/>
                <w:sz w:val="21"/>
                <w:szCs w:val="21"/>
              </w:rPr>
              <w:t> </w:t>
            </w:r>
            <w:r>
              <w:rPr>
                <w:rFonts w:ascii="宋体" w:hAnsi="宋体" w:cs="宋体" w:eastAsia="宋体" w:hint="default"/>
                <w:sz w:val="21"/>
                <w:szCs w:val="21"/>
              </w:rPr>
              <w:t>11</w:t>
            </w:r>
            <w:r>
              <w:rPr>
                <w:rFonts w:ascii="宋体" w:hAnsi="宋体" w:cs="宋体" w:eastAsia="宋体" w:hint="default"/>
                <w:spacing w:val="-25"/>
                <w:sz w:val="21"/>
                <w:szCs w:val="21"/>
              </w:rPr>
              <w:t> </w:t>
            </w:r>
            <w:r>
              <w:rPr>
                <w:rFonts w:ascii="宋体" w:hAnsi="宋体" w:cs="宋体" w:eastAsia="宋体" w:hint="default"/>
                <w:sz w:val="21"/>
                <w:szCs w:val="21"/>
              </w:rPr>
              <w:t>月</w:t>
            </w:r>
            <w:r>
              <w:rPr>
                <w:rFonts w:ascii="宋体" w:hAnsi="宋体" w:cs="宋体" w:eastAsia="宋体" w:hint="default"/>
                <w:spacing w:val="-25"/>
                <w:sz w:val="21"/>
                <w:szCs w:val="21"/>
              </w:rPr>
              <w:t> </w:t>
            </w:r>
            <w:r>
              <w:rPr>
                <w:rFonts w:ascii="宋体" w:hAnsi="宋体" w:cs="宋体" w:eastAsia="宋体" w:hint="default"/>
                <w:sz w:val="21"/>
                <w:szCs w:val="21"/>
              </w:rPr>
              <w:t>2</w:t>
            </w:r>
            <w:r>
              <w:rPr>
                <w:rFonts w:ascii="宋体" w:hAnsi="宋体" w:cs="宋体" w:eastAsia="宋体" w:hint="default"/>
                <w:spacing w:val="-25"/>
                <w:sz w:val="21"/>
                <w:szCs w:val="21"/>
              </w:rPr>
              <w:t> </w:t>
            </w:r>
            <w:r>
              <w:rPr>
                <w:rFonts w:ascii="宋体" w:hAnsi="宋体" w:cs="宋体" w:eastAsia="宋体" w:hint="default"/>
                <w:sz w:val="21"/>
                <w:szCs w:val="21"/>
              </w:rPr>
              <w:t>日</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16"/>
                <w:w w:val="100"/>
                <w:sz w:val="21"/>
                <w:szCs w:val="21"/>
              </w:rPr>
              <w:t>承诺期限：长期</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有效</w:t>
            </w:r>
            <w:r>
              <w:rPr>
                <w:rFonts w:ascii="宋体" w:hAnsi="宋体" w:cs="宋体" w:eastAsia="宋体" w:hint="default"/>
                <w:sz w:val="21"/>
                <w:szCs w:val="21"/>
              </w:rPr>
              <w:t> </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spacing w:after="0" w:line="240" w:lineRule="auto"/>
        <w:jc w:val="left"/>
        <w:rPr>
          <w:rFonts w:ascii="宋体" w:hAnsi="宋体" w:cs="宋体" w:eastAsia="宋体" w:hint="default"/>
          <w:sz w:val="21"/>
          <w:szCs w:val="21"/>
        </w:rPr>
        <w:sectPr>
          <w:footerReference w:type="default" r:id="rId20"/>
          <w:pgSz w:w="16840" w:h="11910" w:orient="landscape"/>
          <w:pgMar w:footer="1195" w:header="880" w:top="1120" w:bottom="1380" w:left="1300" w:right="1200"/>
          <w:pgNumType w:start="31"/>
        </w:sectPr>
      </w:pPr>
    </w:p>
    <w:p>
      <w:pPr>
        <w:spacing w:line="240" w:lineRule="auto" w:before="4"/>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718"/>
        <w:gridCol w:w="864"/>
        <w:gridCol w:w="1296"/>
        <w:gridCol w:w="5763"/>
        <w:gridCol w:w="1586"/>
        <w:gridCol w:w="721"/>
        <w:gridCol w:w="862"/>
        <w:gridCol w:w="1298"/>
        <w:gridCol w:w="996"/>
      </w:tblGrid>
      <w:tr>
        <w:trPr>
          <w:trHeight w:val="1100" w:hRule="exact"/>
        </w:trPr>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37" w:lineRule="auto"/>
              <w:ind w:left="103" w:right="77"/>
              <w:jc w:val="both"/>
              <w:rPr>
                <w:rFonts w:ascii="宋体" w:hAnsi="宋体" w:cs="宋体" w:eastAsia="宋体" w:hint="default"/>
                <w:sz w:val="21"/>
                <w:szCs w:val="21"/>
              </w:rPr>
            </w:pPr>
            <w:r>
              <w:rPr>
                <w:rFonts w:ascii="宋体" w:hAnsi="宋体" w:cs="宋体" w:eastAsia="宋体" w:hint="default"/>
                <w:sz w:val="21"/>
                <w:szCs w:val="21"/>
              </w:rPr>
              <w:t>与首</w:t>
            </w:r>
            <w:r>
              <w:rPr>
                <w:rFonts w:ascii="宋体" w:hAnsi="宋体" w:cs="宋体" w:eastAsia="宋体" w:hint="default"/>
                <w:spacing w:val="-103"/>
                <w:sz w:val="21"/>
                <w:szCs w:val="21"/>
              </w:rPr>
              <w:t> </w:t>
            </w:r>
            <w:r>
              <w:rPr>
                <w:rFonts w:ascii="宋体" w:hAnsi="宋体" w:cs="宋体" w:eastAsia="宋体" w:hint="default"/>
                <w:sz w:val="21"/>
                <w:szCs w:val="21"/>
              </w:rPr>
              <w:t>次公</w:t>
            </w:r>
            <w:r>
              <w:rPr>
                <w:rFonts w:ascii="宋体" w:hAnsi="宋体" w:cs="宋体" w:eastAsia="宋体" w:hint="default"/>
                <w:spacing w:val="-103"/>
                <w:sz w:val="21"/>
                <w:szCs w:val="21"/>
              </w:rPr>
              <w:t> </w:t>
            </w:r>
            <w:r>
              <w:rPr>
                <w:rFonts w:ascii="宋体" w:hAnsi="宋体" w:cs="宋体" w:eastAsia="宋体" w:hint="default"/>
                <w:sz w:val="21"/>
                <w:szCs w:val="21"/>
              </w:rPr>
              <w:t>开发</w:t>
            </w:r>
            <w:r>
              <w:rPr>
                <w:rFonts w:ascii="宋体" w:hAnsi="宋体" w:cs="宋体" w:eastAsia="宋体" w:hint="default"/>
                <w:spacing w:val="-103"/>
                <w:sz w:val="21"/>
                <w:szCs w:val="21"/>
              </w:rPr>
              <w:t> </w:t>
            </w:r>
            <w:r>
              <w:rPr>
                <w:rFonts w:ascii="宋体" w:hAnsi="宋体" w:cs="宋体" w:eastAsia="宋体" w:hint="default"/>
                <w:sz w:val="21"/>
                <w:szCs w:val="21"/>
              </w:rPr>
              <w:t>行相</w:t>
            </w:r>
            <w:r>
              <w:rPr>
                <w:rFonts w:ascii="宋体" w:hAnsi="宋体" w:cs="宋体" w:eastAsia="宋体" w:hint="default"/>
                <w:spacing w:val="-103"/>
                <w:sz w:val="21"/>
                <w:szCs w:val="21"/>
              </w:rPr>
              <w:t> </w:t>
            </w:r>
            <w:r>
              <w:rPr>
                <w:rFonts w:ascii="宋体" w:hAnsi="宋体" w:cs="宋体" w:eastAsia="宋体" w:hint="default"/>
                <w:sz w:val="21"/>
                <w:szCs w:val="21"/>
              </w:rPr>
              <w:t>关的</w:t>
            </w:r>
            <w:r>
              <w:rPr>
                <w:rFonts w:ascii="宋体" w:hAnsi="宋体" w:cs="宋体" w:eastAsia="宋体" w:hint="default"/>
                <w:spacing w:val="-103"/>
                <w:sz w:val="21"/>
                <w:szCs w:val="21"/>
              </w:rPr>
              <w:t> </w:t>
            </w:r>
            <w:r>
              <w:rPr>
                <w:rFonts w:ascii="宋体" w:hAnsi="宋体" w:cs="宋体" w:eastAsia="宋体" w:hint="default"/>
                <w:sz w:val="21"/>
                <w:szCs w:val="21"/>
              </w:rPr>
              <w:t>承诺</w:t>
            </w:r>
            <w:r>
              <w:rPr>
                <w:rFonts w:ascii="宋体" w:hAnsi="宋体" w:cs="宋体" w:eastAsia="宋体" w:hint="default"/>
                <w:sz w:val="21"/>
                <w:szCs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3" w:right="12"/>
              <w:jc w:val="left"/>
              <w:rPr>
                <w:rFonts w:ascii="宋体" w:hAnsi="宋体" w:cs="宋体" w:eastAsia="宋体" w:hint="default"/>
                <w:sz w:val="21"/>
                <w:szCs w:val="21"/>
              </w:rPr>
            </w:pPr>
            <w:r>
              <w:rPr>
                <w:rFonts w:ascii="宋体" w:hAnsi="宋体" w:cs="宋体" w:eastAsia="宋体" w:hint="default"/>
                <w:spacing w:val="4"/>
                <w:sz w:val="21"/>
                <w:szCs w:val="21"/>
              </w:rPr>
              <w:t>解决同</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业竞争</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同方股份</w:t>
            </w:r>
            <w:r>
              <w:rPr>
                <w:rFonts w:ascii="宋体" w:hAnsi="宋体" w:cs="宋体" w:eastAsia="宋体" w:hint="default"/>
                <w:sz w:val="21"/>
                <w:szCs w:val="21"/>
              </w:rPr>
              <w:t> </w:t>
            </w:r>
          </w:p>
        </w:tc>
        <w:tc>
          <w:tcPr>
            <w:tcW w:w="5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具体内容详见公司</w:t>
            </w:r>
            <w:r>
              <w:rPr>
                <w:rFonts w:ascii="宋体" w:hAnsi="宋体" w:cs="宋体" w:eastAsia="宋体" w:hint="default"/>
                <w:spacing w:val="-50"/>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pacing w:val="-51"/>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pacing w:val="-4"/>
                <w:sz w:val="21"/>
                <w:szCs w:val="21"/>
              </w:rPr>
              <w:t>日披露的《公司</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年非</w:t>
            </w:r>
            <w:r>
              <w:rPr>
                <w:rFonts w:ascii="宋体" w:hAnsi="宋体" w:cs="宋体" w:eastAsia="宋体" w:hint="default"/>
                <w:w w:val="100"/>
                <w:sz w:val="21"/>
                <w:szCs w:val="21"/>
              </w:rPr>
              <w:t> </w:t>
            </w:r>
            <w:r>
              <w:rPr>
                <w:rFonts w:ascii="宋体" w:hAnsi="宋体" w:cs="宋体" w:eastAsia="宋体" w:hint="default"/>
                <w:sz w:val="21"/>
                <w:szCs w:val="21"/>
              </w:rPr>
              <w:t>公开发行股票预案》。</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6"/>
                <w:sz w:val="21"/>
                <w:szCs w:val="21"/>
              </w:rPr>
              <w:t> </w:t>
            </w:r>
            <w:r>
              <w:rPr>
                <w:rFonts w:ascii="宋体" w:hAnsi="宋体" w:cs="宋体" w:eastAsia="宋体" w:hint="default"/>
                <w:sz w:val="21"/>
                <w:szCs w:val="21"/>
              </w:rPr>
              <w:t>2014</w:t>
            </w:r>
          </w:p>
          <w:p>
            <w:pPr>
              <w:pStyle w:val="TableParagraph"/>
              <w:spacing w:line="237" w:lineRule="auto"/>
              <w:ind w:left="103" w:right="-1"/>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pacing w:val="-16"/>
                <w:w w:val="100"/>
                <w:sz w:val="21"/>
                <w:szCs w:val="21"/>
              </w:rPr>
              <w:t>承诺期限：长期</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有效</w:t>
            </w:r>
            <w:r>
              <w:rPr>
                <w:rFonts w:ascii="宋体" w:hAnsi="宋体" w:cs="宋体" w:eastAsia="宋体" w:hint="default"/>
                <w:sz w:val="21"/>
                <w:szCs w:val="21"/>
              </w:rPr>
              <w:t> </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1099" w:hRule="exact"/>
        </w:trPr>
        <w:tc>
          <w:tcPr>
            <w:tcW w:w="718" w:type="dxa"/>
            <w:vMerge/>
            <w:tcBorders>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12"/>
              <w:jc w:val="left"/>
              <w:rPr>
                <w:rFonts w:ascii="宋体" w:hAnsi="宋体" w:cs="宋体" w:eastAsia="宋体" w:hint="default"/>
                <w:sz w:val="21"/>
                <w:szCs w:val="21"/>
              </w:rPr>
            </w:pPr>
            <w:r>
              <w:rPr>
                <w:rFonts w:ascii="宋体" w:hAnsi="宋体" w:cs="宋体" w:eastAsia="宋体" w:hint="default"/>
                <w:spacing w:val="4"/>
                <w:sz w:val="21"/>
                <w:szCs w:val="21"/>
              </w:rPr>
              <w:t>解决同</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业竞争</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泰豪集团</w:t>
            </w:r>
            <w:r>
              <w:rPr>
                <w:rFonts w:ascii="宋体" w:hAnsi="宋体" w:cs="宋体" w:eastAsia="宋体" w:hint="default"/>
                <w:sz w:val="21"/>
                <w:szCs w:val="21"/>
              </w:rPr>
              <w:t> </w:t>
            </w:r>
          </w:p>
        </w:tc>
        <w:tc>
          <w:tcPr>
            <w:tcW w:w="5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具体内容详见</w:t>
            </w:r>
            <w:r>
              <w:rPr>
                <w:rFonts w:ascii="宋体" w:hAnsi="宋体" w:cs="宋体" w:eastAsia="宋体" w:hint="default"/>
                <w:spacing w:val="-48"/>
                <w:sz w:val="21"/>
                <w:szCs w:val="21"/>
              </w:rPr>
              <w:t> </w:t>
            </w: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pacing w:val="-3"/>
                <w:sz w:val="21"/>
                <w:szCs w:val="21"/>
              </w:rPr>
              <w:t>日披露的《泰豪科技股份有限</w:t>
            </w:r>
            <w:r>
              <w:rPr>
                <w:rFonts w:ascii="宋体" w:hAnsi="宋体" w:cs="宋体" w:eastAsia="宋体" w:hint="default"/>
                <w:w w:val="100"/>
                <w:sz w:val="21"/>
                <w:szCs w:val="21"/>
              </w:rPr>
              <w:t> </w:t>
            </w:r>
            <w:r>
              <w:rPr>
                <w:rFonts w:ascii="宋体" w:hAnsi="宋体" w:cs="宋体" w:eastAsia="宋体" w:hint="default"/>
                <w:sz w:val="21"/>
                <w:szCs w:val="21"/>
              </w:rPr>
              <w:t>公司详式权益变动报告书》。</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6"/>
                <w:sz w:val="21"/>
                <w:szCs w:val="21"/>
              </w:rPr>
              <w:t> </w:t>
            </w:r>
            <w:r>
              <w:rPr>
                <w:rFonts w:ascii="宋体" w:hAnsi="宋体" w:cs="宋体" w:eastAsia="宋体" w:hint="default"/>
                <w:sz w:val="21"/>
                <w:szCs w:val="21"/>
              </w:rPr>
              <w:t>2014</w:t>
            </w:r>
          </w:p>
          <w:p>
            <w:pPr>
              <w:pStyle w:val="TableParagraph"/>
              <w:spacing w:line="237" w:lineRule="auto"/>
              <w:ind w:left="103" w:right="-1"/>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pacing w:val="-16"/>
                <w:w w:val="100"/>
                <w:sz w:val="21"/>
                <w:szCs w:val="21"/>
              </w:rPr>
              <w:t>承诺期限：长期</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有效</w:t>
            </w:r>
            <w:r>
              <w:rPr>
                <w:rFonts w:ascii="宋体" w:hAnsi="宋体" w:cs="宋体" w:eastAsia="宋体" w:hint="default"/>
                <w:sz w:val="21"/>
                <w:szCs w:val="21"/>
              </w:rPr>
              <w:t> </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189"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7"/>
              <w:ind w:left="103" w:right="77"/>
              <w:jc w:val="both"/>
              <w:rPr>
                <w:rFonts w:ascii="宋体" w:hAnsi="宋体" w:cs="宋体" w:eastAsia="宋体" w:hint="default"/>
                <w:sz w:val="21"/>
                <w:szCs w:val="21"/>
              </w:rPr>
            </w:pPr>
            <w:r>
              <w:rPr>
                <w:rFonts w:ascii="宋体" w:hAnsi="宋体" w:cs="宋体" w:eastAsia="宋体" w:hint="default"/>
                <w:sz w:val="21"/>
                <w:szCs w:val="21"/>
              </w:rPr>
              <w:t>与股</w:t>
            </w:r>
            <w:r>
              <w:rPr>
                <w:rFonts w:ascii="宋体" w:hAnsi="宋体" w:cs="宋体" w:eastAsia="宋体" w:hint="default"/>
                <w:spacing w:val="-103"/>
                <w:sz w:val="21"/>
                <w:szCs w:val="21"/>
              </w:rPr>
              <w:t> </w:t>
            </w:r>
            <w:r>
              <w:rPr>
                <w:rFonts w:ascii="宋体" w:hAnsi="宋体" w:cs="宋体" w:eastAsia="宋体" w:hint="default"/>
                <w:sz w:val="21"/>
                <w:szCs w:val="21"/>
              </w:rPr>
              <w:t>权激</w:t>
            </w:r>
            <w:r>
              <w:rPr>
                <w:rFonts w:ascii="宋体" w:hAnsi="宋体" w:cs="宋体" w:eastAsia="宋体" w:hint="default"/>
                <w:spacing w:val="-103"/>
                <w:sz w:val="21"/>
                <w:szCs w:val="21"/>
              </w:rPr>
              <w:t> </w:t>
            </w:r>
            <w:r>
              <w:rPr>
                <w:rFonts w:ascii="宋体" w:hAnsi="宋体" w:cs="宋体" w:eastAsia="宋体" w:hint="default"/>
                <w:sz w:val="21"/>
                <w:szCs w:val="21"/>
              </w:rPr>
              <w:t>励相</w:t>
            </w:r>
            <w:r>
              <w:rPr>
                <w:rFonts w:ascii="宋体" w:hAnsi="宋体" w:cs="宋体" w:eastAsia="宋体" w:hint="default"/>
                <w:spacing w:val="-103"/>
                <w:sz w:val="21"/>
                <w:szCs w:val="21"/>
              </w:rPr>
              <w:t> </w:t>
            </w:r>
            <w:r>
              <w:rPr>
                <w:rFonts w:ascii="宋体" w:hAnsi="宋体" w:cs="宋体" w:eastAsia="宋体" w:hint="default"/>
                <w:sz w:val="21"/>
                <w:szCs w:val="21"/>
              </w:rPr>
              <w:t>关的</w:t>
            </w:r>
            <w:r>
              <w:rPr>
                <w:rFonts w:ascii="宋体" w:hAnsi="宋体" w:cs="宋体" w:eastAsia="宋体" w:hint="default"/>
                <w:spacing w:val="-103"/>
                <w:sz w:val="21"/>
                <w:szCs w:val="21"/>
              </w:rPr>
              <w:t> </w:t>
            </w:r>
            <w:r>
              <w:rPr>
                <w:rFonts w:ascii="宋体" w:hAnsi="宋体" w:cs="宋体" w:eastAsia="宋体" w:hint="default"/>
                <w:sz w:val="21"/>
                <w:szCs w:val="21"/>
              </w:rPr>
              <w:t>承诺</w:t>
            </w:r>
            <w:r>
              <w:rPr>
                <w:rFonts w:ascii="宋体" w:hAnsi="宋体" w:cs="宋体" w:eastAsia="宋体" w:hint="default"/>
                <w:sz w:val="21"/>
                <w:szCs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3"/>
                <w:sz w:val="21"/>
                <w:szCs w:val="21"/>
              </w:rPr>
              <w:t>泰豪科技股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3"/>
                <w:sz w:val="21"/>
                <w:szCs w:val="21"/>
              </w:rPr>
              <w:t>份有限公司</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2017</w:t>
            </w:r>
            <w:r>
              <w:rPr>
                <w:rFonts w:ascii="宋体" w:hAnsi="宋体" w:cs="宋体" w:eastAsia="宋体" w:hint="default"/>
                <w:spacing w:val="-75"/>
                <w:sz w:val="21"/>
                <w:szCs w:val="21"/>
              </w:rPr>
              <w:t> </w:t>
            </w:r>
            <w:r>
              <w:rPr>
                <w:rFonts w:ascii="宋体" w:hAnsi="宋体" w:cs="宋体" w:eastAsia="宋体" w:hint="default"/>
                <w:sz w:val="21"/>
                <w:szCs w:val="21"/>
              </w:rPr>
              <w:t>年限制</w:t>
            </w:r>
            <w:r>
              <w:rPr>
                <w:rFonts w:ascii="宋体" w:hAnsi="宋体" w:cs="宋体" w:eastAsia="宋体" w:hint="default"/>
                <w:w w:val="100"/>
                <w:sz w:val="21"/>
                <w:szCs w:val="21"/>
              </w:rPr>
              <w:t> </w:t>
            </w:r>
            <w:r>
              <w:rPr>
                <w:rFonts w:ascii="宋体" w:hAnsi="宋体" w:cs="宋体" w:eastAsia="宋体" w:hint="default"/>
                <w:spacing w:val="3"/>
                <w:sz w:val="21"/>
                <w:szCs w:val="21"/>
              </w:rPr>
              <w:t>性股票激励</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3"/>
                <w:sz w:val="21"/>
                <w:szCs w:val="21"/>
              </w:rPr>
              <w:t>计划被激励</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对象</w:t>
            </w:r>
            <w:r>
              <w:rPr>
                <w:rFonts w:ascii="宋体" w:hAnsi="宋体" w:cs="宋体" w:eastAsia="宋体" w:hint="default"/>
                <w:sz w:val="21"/>
                <w:szCs w:val="21"/>
              </w:rPr>
              <w:t> </w:t>
            </w:r>
          </w:p>
        </w:tc>
        <w:tc>
          <w:tcPr>
            <w:tcW w:w="57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、本激励计划的有效期内，公司各年度归属于上市公司股东</w:t>
            </w:r>
          </w:p>
          <w:p>
            <w:pPr>
              <w:pStyle w:val="TableParagraph"/>
              <w:spacing w:line="237" w:lineRule="auto" w:before="1"/>
              <w:ind w:left="103" w:right="-5"/>
              <w:jc w:val="left"/>
              <w:rPr>
                <w:rFonts w:ascii="宋体" w:hAnsi="宋体" w:cs="宋体" w:eastAsia="宋体" w:hint="default"/>
                <w:sz w:val="21"/>
                <w:szCs w:val="21"/>
              </w:rPr>
            </w:pPr>
            <w:r>
              <w:rPr>
                <w:rFonts w:ascii="宋体" w:hAnsi="宋体" w:cs="宋体" w:eastAsia="宋体" w:hint="default"/>
                <w:sz w:val="21"/>
                <w:szCs w:val="21"/>
              </w:rPr>
              <w:t>的净利润及扣除非经常性损益后的归属于上市公司股东的净</w:t>
            </w:r>
            <w:r>
              <w:rPr>
                <w:rFonts w:ascii="宋体" w:hAnsi="宋体" w:cs="宋体" w:eastAsia="宋体" w:hint="default"/>
                <w:spacing w:val="-22"/>
                <w:sz w:val="21"/>
                <w:szCs w:val="21"/>
              </w:rPr>
              <w:t> </w:t>
            </w:r>
            <w:r>
              <w:rPr>
                <w:rFonts w:ascii="宋体" w:hAnsi="宋体" w:cs="宋体" w:eastAsia="宋体" w:hint="default"/>
                <w:sz w:val="21"/>
                <w:szCs w:val="21"/>
              </w:rPr>
              <w:t>利润均不得低于授予日前最近三个会计年度的平均水平且不</w:t>
            </w:r>
            <w:r>
              <w:rPr>
                <w:rFonts w:ascii="宋体" w:hAnsi="宋体" w:cs="宋体" w:eastAsia="宋体" w:hint="default"/>
                <w:spacing w:val="-22"/>
                <w:sz w:val="21"/>
                <w:szCs w:val="21"/>
              </w:rPr>
              <w:t> </w:t>
            </w:r>
            <w:r>
              <w:rPr>
                <w:rFonts w:ascii="宋体" w:hAnsi="宋体" w:cs="宋体" w:eastAsia="宋体" w:hint="default"/>
                <w:sz w:val="21"/>
                <w:szCs w:val="21"/>
              </w:rPr>
              <w:t>得为负。</w:t>
            </w:r>
            <w:r>
              <w:rPr>
                <w:rFonts w:ascii="宋体" w:hAnsi="宋体" w:cs="宋体" w:eastAsia="宋体" w:hint="default"/>
                <w:sz w:val="21"/>
                <w:szCs w:val="21"/>
              </w:rPr>
              <w:t>2</w:t>
            </w:r>
            <w:r>
              <w:rPr>
                <w:rFonts w:ascii="宋体" w:hAnsi="宋体" w:cs="宋体" w:eastAsia="宋体" w:hint="default"/>
                <w:sz w:val="21"/>
                <w:szCs w:val="21"/>
              </w:rPr>
              <w:t>、以公司 </w:t>
            </w:r>
            <w:r>
              <w:rPr>
                <w:rFonts w:ascii="宋体" w:hAnsi="宋体" w:cs="宋体" w:eastAsia="宋体" w:hint="default"/>
                <w:sz w:val="21"/>
                <w:szCs w:val="21"/>
              </w:rPr>
              <w:t>2014</w:t>
            </w:r>
            <w:r>
              <w:rPr>
                <w:rFonts w:ascii="宋体" w:hAnsi="宋体" w:cs="宋体" w:eastAsia="宋体" w:hint="default"/>
                <w:sz w:val="21"/>
                <w:szCs w:val="21"/>
              </w:rPr>
              <w:t>、</w:t>
            </w:r>
            <w:r>
              <w:rPr>
                <w:rFonts w:ascii="宋体" w:hAnsi="宋体" w:cs="宋体" w:eastAsia="宋体" w:hint="default"/>
                <w:sz w:val="21"/>
                <w:szCs w:val="21"/>
              </w:rPr>
              <w:t>2015</w:t>
            </w:r>
            <w:r>
              <w:rPr>
                <w:rFonts w:ascii="宋体" w:hAnsi="宋体" w:cs="宋体" w:eastAsia="宋体" w:hint="default"/>
                <w:sz w:val="21"/>
                <w:szCs w:val="21"/>
              </w:rPr>
              <w:t>、</w:t>
            </w:r>
            <w:r>
              <w:rPr>
                <w:rFonts w:ascii="宋体" w:hAnsi="宋体" w:cs="宋体" w:eastAsia="宋体" w:hint="default"/>
                <w:sz w:val="21"/>
                <w:szCs w:val="21"/>
              </w:rPr>
              <w:t>2016</w:t>
            </w:r>
            <w:r>
              <w:rPr>
                <w:rFonts w:ascii="宋体" w:hAnsi="宋体" w:cs="宋体" w:eastAsia="宋体" w:hint="default"/>
                <w:spacing w:val="-22"/>
                <w:sz w:val="21"/>
                <w:szCs w:val="21"/>
              </w:rPr>
              <w:t> </w:t>
            </w:r>
            <w:r>
              <w:rPr>
                <w:rFonts w:ascii="宋体" w:hAnsi="宋体" w:cs="宋体" w:eastAsia="宋体" w:hint="default"/>
                <w:sz w:val="21"/>
                <w:szCs w:val="21"/>
              </w:rPr>
              <w:t>年度平均净利润为基</w:t>
            </w:r>
            <w:r>
              <w:rPr>
                <w:rFonts w:ascii="宋体" w:hAnsi="宋体" w:cs="宋体" w:eastAsia="宋体" w:hint="default"/>
                <w:w w:val="100"/>
                <w:sz w:val="21"/>
                <w:szCs w:val="21"/>
              </w:rPr>
              <w:t> </w:t>
            </w:r>
            <w:r>
              <w:rPr>
                <w:rFonts w:ascii="宋体" w:hAnsi="宋体" w:cs="宋体" w:eastAsia="宋体" w:hint="default"/>
                <w:spacing w:val="-7"/>
                <w:sz w:val="21"/>
                <w:szCs w:val="21"/>
              </w:rPr>
              <w:t>数，</w:t>
            </w:r>
            <w:r>
              <w:rPr>
                <w:rFonts w:ascii="宋体" w:hAnsi="宋体" w:cs="宋体" w:eastAsia="宋体" w:hint="default"/>
                <w:spacing w:val="-7"/>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年公司净利润增长率不低于</w:t>
            </w:r>
            <w:r>
              <w:rPr>
                <w:rFonts w:ascii="宋体" w:hAnsi="宋体" w:cs="宋体" w:eastAsia="宋体" w:hint="default"/>
                <w:spacing w:val="-51"/>
                <w:sz w:val="21"/>
                <w:szCs w:val="21"/>
              </w:rPr>
              <w:t> </w:t>
            </w:r>
            <w:r>
              <w:rPr>
                <w:rFonts w:ascii="宋体" w:hAnsi="宋体" w:cs="宋体" w:eastAsia="宋体" w:hint="default"/>
                <w:spacing w:val="-5"/>
                <w:sz w:val="21"/>
                <w:szCs w:val="21"/>
              </w:rPr>
              <w:t>100%</w:t>
            </w:r>
            <w:r>
              <w:rPr>
                <w:rFonts w:ascii="宋体" w:hAnsi="宋体" w:cs="宋体" w:eastAsia="宋体" w:hint="default"/>
                <w:spacing w:val="-5"/>
                <w:sz w:val="21"/>
                <w:szCs w:val="21"/>
              </w:rPr>
              <w:t>、</w:t>
            </w:r>
            <w:r>
              <w:rPr>
                <w:rFonts w:ascii="宋体" w:hAnsi="宋体" w:cs="宋体" w:eastAsia="宋体" w:hint="default"/>
                <w:spacing w:val="-5"/>
                <w:sz w:val="21"/>
                <w:szCs w:val="21"/>
              </w:rPr>
              <w:t>2018</w:t>
            </w:r>
            <w:r>
              <w:rPr>
                <w:rFonts w:ascii="宋体" w:hAnsi="宋体" w:cs="宋体" w:eastAsia="宋体" w:hint="default"/>
                <w:spacing w:val="-50"/>
                <w:sz w:val="21"/>
                <w:szCs w:val="21"/>
              </w:rPr>
              <w:t> </w:t>
            </w:r>
            <w:r>
              <w:rPr>
                <w:rFonts w:ascii="宋体" w:hAnsi="宋体" w:cs="宋体" w:eastAsia="宋体" w:hint="default"/>
                <w:sz w:val="21"/>
                <w:szCs w:val="21"/>
              </w:rPr>
              <w:t>年公司净利</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w w:val="100"/>
                <w:sz w:val="21"/>
                <w:szCs w:val="21"/>
              </w:rPr>
              <w:t>润增长率不低于</w:t>
            </w:r>
            <w:r>
              <w:rPr>
                <w:rFonts w:ascii="宋体" w:hAnsi="宋体" w:cs="宋体" w:eastAsia="宋体" w:hint="default"/>
                <w:spacing w:val="-76"/>
                <w:w w:val="100"/>
                <w:sz w:val="21"/>
                <w:szCs w:val="21"/>
              </w:rPr>
              <w:t> </w:t>
            </w:r>
            <w:r>
              <w:rPr>
                <w:rFonts w:ascii="宋体" w:hAnsi="宋体" w:cs="宋体" w:eastAsia="宋体" w:hint="default"/>
                <w:spacing w:val="-13"/>
                <w:w w:val="100"/>
                <w:sz w:val="21"/>
                <w:szCs w:val="21"/>
              </w:rPr>
              <w:t>200%</w:t>
            </w:r>
            <w:r>
              <w:rPr>
                <w:rFonts w:ascii="宋体" w:hAnsi="宋体" w:cs="宋体" w:eastAsia="宋体" w:hint="default"/>
                <w:spacing w:val="-13"/>
                <w:w w:val="100"/>
                <w:sz w:val="21"/>
                <w:szCs w:val="21"/>
              </w:rPr>
              <w:t>、</w:t>
            </w:r>
            <w:r>
              <w:rPr>
                <w:rFonts w:ascii="宋体" w:hAnsi="宋体" w:cs="宋体" w:eastAsia="宋体" w:hint="default"/>
                <w:spacing w:val="-13"/>
                <w:w w:val="100"/>
                <w:sz w:val="21"/>
                <w:szCs w:val="21"/>
              </w:rPr>
              <w:t>2019</w:t>
            </w:r>
            <w:r>
              <w:rPr>
                <w:rFonts w:ascii="宋体" w:hAnsi="宋体" w:cs="宋体" w:eastAsia="宋体" w:hint="default"/>
                <w:spacing w:val="-74"/>
                <w:w w:val="100"/>
                <w:sz w:val="21"/>
                <w:szCs w:val="21"/>
              </w:rPr>
              <w:t> </w:t>
            </w:r>
            <w:r>
              <w:rPr>
                <w:rFonts w:ascii="宋体" w:hAnsi="宋体" w:cs="宋体" w:eastAsia="宋体" w:hint="default"/>
                <w:spacing w:val="-2"/>
                <w:w w:val="100"/>
                <w:sz w:val="21"/>
                <w:szCs w:val="21"/>
              </w:rPr>
              <w:t>年公司净利润增长率不低于</w:t>
            </w:r>
            <w:r>
              <w:rPr>
                <w:rFonts w:ascii="宋体" w:hAnsi="宋体" w:cs="宋体" w:eastAsia="宋体" w:hint="default"/>
                <w:spacing w:val="-74"/>
                <w:w w:val="100"/>
                <w:sz w:val="21"/>
                <w:szCs w:val="21"/>
              </w:rPr>
              <w:t> </w:t>
            </w:r>
            <w:r>
              <w:rPr>
                <w:rFonts w:ascii="宋体" w:hAnsi="宋体" w:cs="宋体" w:eastAsia="宋体" w:hint="default"/>
                <w:spacing w:val="-1"/>
                <w:w w:val="100"/>
                <w:sz w:val="21"/>
                <w:szCs w:val="21"/>
              </w:rPr>
              <w:t>300%</w:t>
            </w:r>
            <w:r>
              <w:rPr>
                <w:rFonts w:ascii="宋体" w:hAnsi="宋体" w:cs="宋体" w:eastAsia="宋体" w:hint="default"/>
                <w:spacing w:val="-1"/>
                <w:w w:val="100"/>
                <w:sz w:val="21"/>
                <w:szCs w:val="21"/>
              </w:rPr>
              <w:t>，</w:t>
            </w:r>
            <w:r>
              <w:rPr>
                <w:rFonts w:ascii="宋体" w:hAnsi="宋体" w:cs="宋体" w:eastAsia="宋体" w:hint="default"/>
                <w:spacing w:val="-103"/>
                <w:w w:val="100"/>
                <w:sz w:val="21"/>
                <w:szCs w:val="21"/>
              </w:rPr>
              <w:t> </w:t>
            </w:r>
            <w:r>
              <w:rPr>
                <w:rFonts w:ascii="宋体" w:hAnsi="宋体" w:cs="宋体" w:eastAsia="宋体" w:hint="default"/>
                <w:sz w:val="21"/>
                <w:szCs w:val="21"/>
              </w:rPr>
              <w:t>以上净利润均为扣除非经常性损益后的归属于上市公司股东</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的净利润。</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4"/>
              <w:ind w:left="103" w:right="0"/>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6"/>
                <w:sz w:val="21"/>
                <w:szCs w:val="21"/>
              </w:rPr>
              <w:t> </w:t>
            </w:r>
            <w:r>
              <w:rPr>
                <w:rFonts w:ascii="宋体" w:hAnsi="宋体" w:cs="宋体" w:eastAsia="宋体" w:hint="default"/>
                <w:sz w:val="21"/>
                <w:szCs w:val="21"/>
              </w:rPr>
              <w:t>2017</w:t>
            </w:r>
          </w:p>
          <w:p>
            <w:pPr>
              <w:pStyle w:val="TableParagraph"/>
              <w:spacing w:line="237" w:lineRule="auto" w:before="2"/>
              <w:ind w:left="103" w:right="19"/>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spacing w:val="-103"/>
                <w:sz w:val="21"/>
                <w:szCs w:val="21"/>
              </w:rPr>
              <w:t> </w:t>
            </w:r>
            <w:r>
              <w:rPr>
                <w:rFonts w:ascii="宋体" w:hAnsi="宋体" w:cs="宋体" w:eastAsia="宋体" w:hint="default"/>
                <w:spacing w:val="62"/>
                <w:sz w:val="21"/>
                <w:szCs w:val="21"/>
              </w:rPr>
              <w:t>承诺期限至</w:t>
            </w:r>
            <w:r>
              <w:rPr>
                <w:rFonts w:ascii="宋体" w:hAnsi="宋体" w:cs="宋体" w:eastAsia="宋体" w:hint="default"/>
                <w:spacing w:val="-94"/>
                <w:sz w:val="21"/>
                <w:szCs w:val="21"/>
              </w:rPr>
              <w:t> </w:t>
            </w:r>
            <w:r>
              <w:rPr>
                <w:rFonts w:ascii="宋体" w:hAnsi="宋体" w:cs="宋体" w:eastAsia="宋体" w:hint="default"/>
                <w:sz w:val="21"/>
                <w:szCs w:val="21"/>
              </w:rPr>
              <w:t>2019</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12</w:t>
            </w:r>
            <w:r>
              <w:rPr>
                <w:rFonts w:ascii="宋体" w:hAnsi="宋体" w:cs="宋体" w:eastAsia="宋体" w:hint="default"/>
                <w:spacing w:val="-78"/>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宋体" w:hAnsi="宋体" w:cs="宋体" w:eastAsia="宋体" w:hint="default"/>
                <w:sz w:val="21"/>
                <w:szCs w:val="21"/>
              </w:rPr>
              <w:t>31</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 </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1371"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77"/>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承诺</w:t>
            </w:r>
            <w:r>
              <w:rPr>
                <w:rFonts w:ascii="宋体" w:hAnsi="宋体" w:cs="宋体" w:eastAsia="宋体" w:hint="default"/>
                <w:sz w:val="21"/>
                <w:szCs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4"/>
                <w:sz w:val="21"/>
                <w:szCs w:val="21"/>
              </w:rPr>
              <w:t>盈利预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4"/>
                <w:sz w:val="21"/>
                <w:szCs w:val="21"/>
              </w:rPr>
              <w:t>测及补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偿</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99"/>
              <w:jc w:val="left"/>
              <w:rPr>
                <w:rFonts w:ascii="宋体" w:hAnsi="宋体" w:cs="宋体" w:eastAsia="宋体" w:hint="default"/>
                <w:sz w:val="21"/>
                <w:szCs w:val="21"/>
              </w:rPr>
            </w:pPr>
            <w:r>
              <w:rPr>
                <w:rFonts w:ascii="宋体" w:hAnsi="宋体" w:cs="宋体" w:eastAsia="宋体" w:hint="default"/>
                <w:spacing w:val="3"/>
                <w:sz w:val="21"/>
                <w:szCs w:val="21"/>
              </w:rPr>
              <w:t>赫甄合伙、</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潘红生</w:t>
            </w:r>
            <w:r>
              <w:rPr>
                <w:rFonts w:ascii="宋体" w:hAnsi="宋体" w:cs="宋体" w:eastAsia="宋体" w:hint="default"/>
                <w:sz w:val="21"/>
                <w:szCs w:val="21"/>
              </w:rPr>
              <w:t> </w:t>
            </w:r>
          </w:p>
        </w:tc>
        <w:tc>
          <w:tcPr>
            <w:tcW w:w="576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96"/>
              <w:jc w:val="left"/>
              <w:rPr>
                <w:rFonts w:ascii="宋体" w:hAnsi="宋体" w:cs="宋体" w:eastAsia="宋体" w:hint="default"/>
                <w:sz w:val="21"/>
                <w:szCs w:val="21"/>
              </w:rPr>
            </w:pPr>
            <w:r>
              <w:rPr>
                <w:rFonts w:ascii="宋体" w:hAnsi="宋体" w:cs="宋体" w:eastAsia="宋体" w:hint="default"/>
                <w:sz w:val="21"/>
                <w:szCs w:val="21"/>
              </w:rPr>
              <w:t>上海红生在盈利承诺期内各年度的净利润数如下：</w:t>
            </w:r>
            <w:r>
              <w:rPr>
                <w:rFonts w:ascii="宋体" w:hAnsi="宋体" w:cs="宋体" w:eastAsia="宋体" w:hint="default"/>
                <w:sz w:val="21"/>
                <w:szCs w:val="21"/>
              </w:rPr>
              <w:t>2017</w:t>
            </w:r>
            <w:r>
              <w:rPr>
                <w:rFonts w:ascii="宋体" w:hAnsi="宋体" w:cs="宋体" w:eastAsia="宋体" w:hint="default"/>
                <w:spacing w:val="-21"/>
                <w:sz w:val="21"/>
                <w:szCs w:val="21"/>
              </w:rPr>
              <w:t> </w:t>
            </w:r>
            <w:r>
              <w:rPr>
                <w:rFonts w:ascii="宋体" w:hAnsi="宋体" w:cs="宋体" w:eastAsia="宋体" w:hint="default"/>
                <w:sz w:val="21"/>
                <w:szCs w:val="21"/>
              </w:rPr>
              <w:t>年度</w:t>
            </w:r>
            <w:r>
              <w:rPr>
                <w:rFonts w:ascii="宋体" w:hAnsi="宋体" w:cs="宋体" w:eastAsia="宋体" w:hint="default"/>
                <w:w w:val="100"/>
                <w:sz w:val="21"/>
                <w:szCs w:val="21"/>
              </w:rPr>
              <w:t> </w:t>
            </w:r>
            <w:r>
              <w:rPr>
                <w:rFonts w:ascii="宋体" w:hAnsi="宋体" w:cs="宋体" w:eastAsia="宋体" w:hint="default"/>
                <w:sz w:val="21"/>
                <w:szCs w:val="21"/>
              </w:rPr>
              <w:t>4,000</w:t>
            </w:r>
            <w:r>
              <w:rPr>
                <w:rFonts w:ascii="宋体" w:hAnsi="宋体" w:cs="宋体" w:eastAsia="宋体" w:hint="default"/>
                <w:spacing w:val="-50"/>
                <w:sz w:val="21"/>
                <w:szCs w:val="21"/>
              </w:rPr>
              <w:t> </w:t>
            </w:r>
            <w:r>
              <w:rPr>
                <w:rFonts w:ascii="宋体" w:hAnsi="宋体" w:cs="宋体" w:eastAsia="宋体" w:hint="default"/>
                <w:sz w:val="21"/>
                <w:szCs w:val="21"/>
              </w:rPr>
              <w:t>万元；</w:t>
            </w:r>
            <w:r>
              <w:rPr>
                <w:rFonts w:ascii="宋体" w:hAnsi="宋体" w:cs="宋体" w:eastAsia="宋体" w:hint="default"/>
                <w:sz w:val="21"/>
                <w:szCs w:val="21"/>
              </w:rPr>
              <w:t>2018</w:t>
            </w:r>
            <w:r>
              <w:rPr>
                <w:rFonts w:ascii="宋体" w:hAnsi="宋体" w:cs="宋体" w:eastAsia="宋体" w:hint="default"/>
                <w:spacing w:val="-48"/>
                <w:sz w:val="21"/>
                <w:szCs w:val="21"/>
              </w:rPr>
              <w:t> </w:t>
            </w:r>
            <w:r>
              <w:rPr>
                <w:rFonts w:ascii="宋体" w:hAnsi="宋体" w:cs="宋体" w:eastAsia="宋体" w:hint="default"/>
                <w:sz w:val="21"/>
                <w:szCs w:val="21"/>
              </w:rPr>
              <w:t>年度</w:t>
            </w:r>
            <w:r>
              <w:rPr>
                <w:rFonts w:ascii="宋体" w:hAnsi="宋体" w:cs="宋体" w:eastAsia="宋体" w:hint="default"/>
                <w:spacing w:val="-48"/>
                <w:sz w:val="21"/>
                <w:szCs w:val="21"/>
              </w:rPr>
              <w:t> </w:t>
            </w:r>
            <w:r>
              <w:rPr>
                <w:rFonts w:ascii="宋体" w:hAnsi="宋体" w:cs="宋体" w:eastAsia="宋体" w:hint="default"/>
                <w:sz w:val="21"/>
                <w:szCs w:val="21"/>
              </w:rPr>
              <w:t>4,800</w:t>
            </w:r>
            <w:r>
              <w:rPr>
                <w:rFonts w:ascii="宋体" w:hAnsi="宋体" w:cs="宋体" w:eastAsia="宋体" w:hint="default"/>
                <w:spacing w:val="-48"/>
                <w:sz w:val="21"/>
                <w:szCs w:val="21"/>
              </w:rPr>
              <w:t> </w:t>
            </w:r>
            <w:r>
              <w:rPr>
                <w:rFonts w:ascii="宋体" w:hAnsi="宋体" w:cs="宋体" w:eastAsia="宋体" w:hint="default"/>
                <w:sz w:val="21"/>
                <w:szCs w:val="21"/>
              </w:rPr>
              <w:t>万元；</w:t>
            </w:r>
            <w:r>
              <w:rPr>
                <w:rFonts w:ascii="宋体" w:hAnsi="宋体" w:cs="宋体" w:eastAsia="宋体" w:hint="default"/>
                <w:sz w:val="21"/>
                <w:szCs w:val="21"/>
              </w:rPr>
              <w:t>2019</w:t>
            </w:r>
            <w:r>
              <w:rPr>
                <w:rFonts w:ascii="宋体" w:hAnsi="宋体" w:cs="宋体" w:eastAsia="宋体" w:hint="default"/>
                <w:spacing w:val="-50"/>
                <w:sz w:val="21"/>
                <w:szCs w:val="21"/>
              </w:rPr>
              <w:t> </w:t>
            </w:r>
            <w:r>
              <w:rPr>
                <w:rFonts w:ascii="宋体" w:hAnsi="宋体" w:cs="宋体" w:eastAsia="宋体" w:hint="default"/>
                <w:sz w:val="21"/>
                <w:szCs w:val="21"/>
              </w:rPr>
              <w:t>年度</w:t>
            </w:r>
            <w:r>
              <w:rPr>
                <w:rFonts w:ascii="宋体" w:hAnsi="宋体" w:cs="宋体" w:eastAsia="宋体" w:hint="default"/>
                <w:spacing w:val="-50"/>
                <w:sz w:val="21"/>
                <w:szCs w:val="21"/>
              </w:rPr>
              <w:t> </w:t>
            </w:r>
            <w:r>
              <w:rPr>
                <w:rFonts w:ascii="宋体" w:hAnsi="宋体" w:cs="宋体" w:eastAsia="宋体" w:hint="default"/>
                <w:sz w:val="21"/>
                <w:szCs w:val="21"/>
              </w:rPr>
              <w:t>6,000</w:t>
            </w:r>
            <w:r>
              <w:rPr>
                <w:rFonts w:ascii="宋体" w:hAnsi="宋体" w:cs="宋体" w:eastAsia="宋体" w:hint="default"/>
                <w:spacing w:val="-48"/>
                <w:sz w:val="21"/>
                <w:szCs w:val="21"/>
              </w:rPr>
              <w:t> </w:t>
            </w:r>
            <w:r>
              <w:rPr>
                <w:rFonts w:ascii="宋体" w:hAnsi="宋体" w:cs="宋体" w:eastAsia="宋体" w:hint="default"/>
                <w:sz w:val="21"/>
                <w:szCs w:val="21"/>
              </w:rPr>
              <w:t>万元；</w:t>
            </w:r>
          </w:p>
          <w:p>
            <w:pPr>
              <w:pStyle w:val="TableParagraph"/>
              <w:spacing w:line="272" w:lineRule="exact" w:before="2"/>
              <w:ind w:left="103" w:right="98"/>
              <w:jc w:val="left"/>
              <w:rPr>
                <w:rFonts w:ascii="宋体" w:hAnsi="宋体" w:cs="宋体" w:eastAsia="宋体" w:hint="default"/>
                <w:sz w:val="21"/>
                <w:szCs w:val="21"/>
              </w:rPr>
            </w:pPr>
            <w:r>
              <w:rPr>
                <w:rFonts w:ascii="宋体" w:hAnsi="宋体" w:cs="宋体" w:eastAsia="宋体" w:hint="default"/>
                <w:sz w:val="21"/>
                <w:szCs w:val="21"/>
              </w:rPr>
              <w:t>盈利补偿方法详见公司</w:t>
            </w:r>
            <w:r>
              <w:rPr>
                <w:rFonts w:ascii="宋体" w:hAnsi="宋体" w:cs="宋体" w:eastAsia="宋体" w:hint="default"/>
                <w:spacing w:val="-39"/>
                <w:sz w:val="21"/>
                <w:szCs w:val="21"/>
              </w:rPr>
              <w:t> </w:t>
            </w:r>
            <w:r>
              <w:rPr>
                <w:rFonts w:ascii="宋体" w:hAnsi="宋体" w:cs="宋体" w:eastAsia="宋体" w:hint="default"/>
                <w:sz w:val="21"/>
                <w:szCs w:val="21"/>
              </w:rPr>
              <w:t>2017</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6</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宋体" w:hAnsi="宋体" w:cs="宋体" w:eastAsia="宋体" w:hint="default"/>
                <w:sz w:val="21"/>
                <w:szCs w:val="21"/>
              </w:rPr>
              <w:t>16</w:t>
            </w:r>
            <w:r>
              <w:rPr>
                <w:rFonts w:ascii="宋体" w:hAnsi="宋体" w:cs="宋体" w:eastAsia="宋体" w:hint="default"/>
                <w:spacing w:val="-39"/>
                <w:sz w:val="21"/>
                <w:szCs w:val="21"/>
              </w:rPr>
              <w:t> </w:t>
            </w:r>
            <w:r>
              <w:rPr>
                <w:rFonts w:ascii="宋体" w:hAnsi="宋体" w:cs="宋体" w:eastAsia="宋体" w:hint="default"/>
                <w:sz w:val="21"/>
                <w:szCs w:val="21"/>
              </w:rPr>
              <w:t>日披露的《公司关于</w:t>
            </w:r>
            <w:r>
              <w:rPr>
                <w:rFonts w:ascii="宋体" w:hAnsi="宋体" w:cs="宋体" w:eastAsia="宋体" w:hint="default"/>
                <w:w w:val="100"/>
                <w:sz w:val="21"/>
                <w:szCs w:val="21"/>
              </w:rPr>
              <w:t> </w:t>
            </w:r>
            <w:r>
              <w:rPr>
                <w:rFonts w:ascii="宋体" w:hAnsi="宋体" w:cs="宋体" w:eastAsia="宋体" w:hint="default"/>
                <w:sz w:val="21"/>
                <w:szCs w:val="21"/>
              </w:rPr>
              <w:t>收购上海红生系统工程有限公司</w:t>
            </w:r>
            <w:r>
              <w:rPr>
                <w:rFonts w:ascii="宋体" w:hAnsi="宋体" w:cs="宋体" w:eastAsia="宋体" w:hint="default"/>
                <w:spacing w:val="-60"/>
                <w:sz w:val="21"/>
                <w:szCs w:val="21"/>
              </w:rPr>
              <w:t> </w:t>
            </w:r>
            <w:r>
              <w:rPr>
                <w:rFonts w:ascii="宋体" w:hAnsi="宋体" w:cs="宋体" w:eastAsia="宋体" w:hint="default"/>
                <w:sz w:val="21"/>
                <w:szCs w:val="21"/>
              </w:rPr>
              <w:t>100%</w:t>
            </w:r>
            <w:r>
              <w:rPr>
                <w:rFonts w:ascii="宋体" w:hAnsi="宋体" w:cs="宋体" w:eastAsia="宋体" w:hint="default"/>
                <w:sz w:val="21"/>
                <w:szCs w:val="21"/>
              </w:rPr>
              <w:t>股权的公告》。</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6"/>
                <w:sz w:val="21"/>
                <w:szCs w:val="21"/>
              </w:rPr>
              <w:t> </w:t>
            </w:r>
            <w:r>
              <w:rPr>
                <w:rFonts w:ascii="宋体" w:hAnsi="宋体" w:cs="宋体" w:eastAsia="宋体" w:hint="default"/>
                <w:sz w:val="21"/>
                <w:szCs w:val="21"/>
              </w:rPr>
              <w:t>2017</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pacing w:val="16"/>
                <w:sz w:val="21"/>
                <w:szCs w:val="21"/>
              </w:rPr>
              <w:t>承诺期限截至</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 </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r>
      <w:tr>
        <w:trPr>
          <w:trHeight w:val="1918"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77"/>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承诺</w:t>
            </w:r>
            <w:r>
              <w:rPr>
                <w:rFonts w:ascii="宋体" w:hAnsi="宋体" w:cs="宋体" w:eastAsia="宋体" w:hint="default"/>
                <w:sz w:val="21"/>
                <w:szCs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12"/>
              <w:jc w:val="left"/>
              <w:rPr>
                <w:rFonts w:ascii="宋体" w:hAnsi="宋体" w:cs="宋体" w:eastAsia="宋体" w:hint="default"/>
                <w:sz w:val="21"/>
                <w:szCs w:val="21"/>
              </w:rPr>
            </w:pPr>
            <w:r>
              <w:rPr>
                <w:rFonts w:ascii="宋体" w:hAnsi="宋体" w:cs="宋体" w:eastAsia="宋体" w:hint="default"/>
                <w:spacing w:val="4"/>
                <w:sz w:val="21"/>
                <w:szCs w:val="21"/>
              </w:rPr>
              <w:t>解决同</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业竞争</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3"/>
                <w:sz w:val="21"/>
                <w:szCs w:val="21"/>
              </w:rPr>
              <w:t>赫甄合伙、</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潘红生</w:t>
            </w:r>
            <w:r>
              <w:rPr>
                <w:rFonts w:ascii="宋体" w:hAnsi="宋体" w:cs="宋体" w:eastAsia="宋体" w:hint="default"/>
                <w:sz w:val="21"/>
                <w:szCs w:val="21"/>
              </w:rPr>
              <w:t> </w:t>
            </w:r>
          </w:p>
        </w:tc>
        <w:tc>
          <w:tcPr>
            <w:tcW w:w="5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具体内容详见公司</w:t>
            </w:r>
            <w:r>
              <w:rPr>
                <w:rFonts w:ascii="宋体" w:hAnsi="宋体" w:cs="宋体" w:eastAsia="宋体" w:hint="default"/>
                <w:spacing w:val="-38"/>
                <w:sz w:val="21"/>
                <w:szCs w:val="21"/>
              </w:rPr>
              <w:t> </w:t>
            </w:r>
            <w:r>
              <w:rPr>
                <w:rFonts w:ascii="宋体" w:hAnsi="宋体" w:cs="宋体" w:eastAsia="宋体" w:hint="default"/>
                <w:sz w:val="21"/>
                <w:szCs w:val="21"/>
              </w:rPr>
              <w:t>2017</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6</w:t>
            </w:r>
            <w:r>
              <w:rPr>
                <w:rFonts w:ascii="宋体" w:hAnsi="宋体" w:cs="宋体" w:eastAsia="宋体" w:hint="default"/>
                <w:spacing w:val="-38"/>
                <w:sz w:val="21"/>
                <w:szCs w:val="21"/>
              </w:rPr>
              <w:t> </w:t>
            </w:r>
            <w:r>
              <w:rPr>
                <w:rFonts w:ascii="宋体" w:hAnsi="宋体" w:cs="宋体" w:eastAsia="宋体" w:hint="default"/>
                <w:sz w:val="21"/>
                <w:szCs w:val="21"/>
              </w:rPr>
              <w:t>日</w:t>
            </w:r>
            <w:r>
              <w:rPr>
                <w:rFonts w:ascii="宋体" w:hAnsi="宋体" w:cs="宋体" w:eastAsia="宋体" w:hint="default"/>
                <w:spacing w:val="-41"/>
                <w:sz w:val="21"/>
                <w:szCs w:val="21"/>
              </w:rPr>
              <w:t> </w:t>
            </w:r>
            <w:r>
              <w:rPr>
                <w:rFonts w:ascii="宋体" w:hAnsi="宋体" w:cs="宋体" w:eastAsia="宋体" w:hint="default"/>
                <w:sz w:val="21"/>
                <w:szCs w:val="21"/>
              </w:rPr>
              <w:t>16</w:t>
            </w:r>
            <w:r>
              <w:rPr>
                <w:rFonts w:ascii="宋体" w:hAnsi="宋体" w:cs="宋体" w:eastAsia="宋体" w:hint="default"/>
                <w:spacing w:val="-41"/>
                <w:sz w:val="21"/>
                <w:szCs w:val="21"/>
              </w:rPr>
              <w:t> </w:t>
            </w:r>
            <w:r>
              <w:rPr>
                <w:rFonts w:ascii="宋体" w:hAnsi="宋体" w:cs="宋体" w:eastAsia="宋体" w:hint="default"/>
                <w:sz w:val="21"/>
                <w:szCs w:val="21"/>
              </w:rPr>
              <w:t>日披露的《公司关于收购</w:t>
            </w:r>
            <w:r>
              <w:rPr>
                <w:rFonts w:ascii="宋体" w:hAnsi="宋体" w:cs="宋体" w:eastAsia="宋体" w:hint="default"/>
                <w:w w:val="100"/>
                <w:sz w:val="21"/>
                <w:szCs w:val="21"/>
              </w:rPr>
              <w:t> </w:t>
            </w:r>
            <w:r>
              <w:rPr>
                <w:rFonts w:ascii="宋体" w:hAnsi="宋体" w:cs="宋体" w:eastAsia="宋体" w:hint="default"/>
                <w:sz w:val="21"/>
                <w:szCs w:val="21"/>
              </w:rPr>
              <w:t>上海红生系统工程有限公司</w:t>
            </w:r>
            <w:r>
              <w:rPr>
                <w:rFonts w:ascii="宋体" w:hAnsi="宋体" w:cs="宋体" w:eastAsia="宋体" w:hint="default"/>
                <w:spacing w:val="-58"/>
                <w:sz w:val="21"/>
                <w:szCs w:val="21"/>
              </w:rPr>
              <w:t> </w:t>
            </w:r>
            <w:r>
              <w:rPr>
                <w:rFonts w:ascii="宋体" w:hAnsi="宋体" w:cs="宋体" w:eastAsia="宋体" w:hint="default"/>
                <w:sz w:val="21"/>
                <w:szCs w:val="21"/>
              </w:rPr>
              <w:t>100%</w:t>
            </w:r>
            <w:r>
              <w:rPr>
                <w:rFonts w:ascii="宋体" w:hAnsi="宋体" w:cs="宋体" w:eastAsia="宋体" w:hint="default"/>
                <w:sz w:val="21"/>
                <w:szCs w:val="21"/>
              </w:rPr>
              <w:t>股权的公告》。</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6"/>
                <w:sz w:val="21"/>
                <w:szCs w:val="21"/>
              </w:rPr>
              <w:t> </w:t>
            </w:r>
            <w:r>
              <w:rPr>
                <w:rFonts w:ascii="宋体" w:hAnsi="宋体" w:cs="宋体" w:eastAsia="宋体" w:hint="default"/>
                <w:sz w:val="21"/>
                <w:szCs w:val="21"/>
              </w:rPr>
              <w:t>2017</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pacing w:val="16"/>
                <w:sz w:val="21"/>
                <w:szCs w:val="21"/>
              </w:rPr>
              <w:t>承诺期限截至</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6"/>
                <w:sz w:val="21"/>
                <w:szCs w:val="21"/>
              </w:rPr>
              <w:t>潘红生在上海</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6"/>
                <w:sz w:val="21"/>
                <w:szCs w:val="21"/>
              </w:rPr>
              <w:t>红生及其子公</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6"/>
                <w:sz w:val="21"/>
                <w:szCs w:val="21"/>
              </w:rPr>
              <w:t>司任职期间及</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离职后三年内</w:t>
            </w:r>
            <w:r>
              <w:rPr>
                <w:rFonts w:ascii="宋体" w:hAnsi="宋体" w:cs="宋体" w:eastAsia="宋体" w:hint="default"/>
                <w:sz w:val="21"/>
                <w:szCs w:val="21"/>
              </w:rPr>
              <w:t> </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r>
      <w:tr>
        <w:trPr>
          <w:trHeight w:val="1100"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3" w:right="77"/>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承诺</w:t>
            </w:r>
            <w:r>
              <w:rPr>
                <w:rFonts w:ascii="宋体" w:hAnsi="宋体" w:cs="宋体" w:eastAsia="宋体" w:hint="default"/>
                <w:sz w:val="21"/>
                <w:szCs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4"/>
                <w:sz w:val="21"/>
                <w:szCs w:val="21"/>
              </w:rPr>
              <w:t>股份限</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售</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3"/>
                <w:sz w:val="21"/>
                <w:szCs w:val="21"/>
              </w:rPr>
              <w:t>赫甄合伙、</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潘红生</w:t>
            </w:r>
            <w:r>
              <w:rPr>
                <w:rFonts w:ascii="宋体" w:hAnsi="宋体" w:cs="宋体" w:eastAsia="宋体" w:hint="default"/>
                <w:sz w:val="21"/>
                <w:szCs w:val="21"/>
              </w:rPr>
              <w:t> </w:t>
            </w:r>
          </w:p>
        </w:tc>
        <w:tc>
          <w:tcPr>
            <w:tcW w:w="57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赫甄合伙和潘红生购买的泰豪科技的其余股票应全部锁定，</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2"/>
                <w:sz w:val="21"/>
                <w:szCs w:val="21"/>
              </w:rPr>
              <w:t>并分两批解锁：（</w:t>
            </w:r>
            <w:r>
              <w:rPr>
                <w:rFonts w:ascii="宋体" w:hAnsi="宋体" w:cs="宋体" w:eastAsia="宋体" w:hint="default"/>
                <w:spacing w:val="-2"/>
                <w:sz w:val="21"/>
                <w:szCs w:val="21"/>
              </w:rPr>
              <w:t>1</w:t>
            </w:r>
            <w:r>
              <w:rPr>
                <w:rFonts w:ascii="宋体" w:hAnsi="宋体" w:cs="宋体" w:eastAsia="宋体" w:hint="default"/>
                <w:spacing w:val="-2"/>
                <w:sz w:val="21"/>
                <w:szCs w:val="21"/>
              </w:rPr>
              <w:t>）自泰豪科技在指定媒体披露上海红生公</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司</w:t>
            </w:r>
            <w:r>
              <w:rPr>
                <w:rFonts w:ascii="宋体" w:hAnsi="宋体" w:cs="宋体" w:eastAsia="宋体" w:hint="default"/>
                <w:spacing w:val="-32"/>
                <w:sz w:val="21"/>
                <w:szCs w:val="21"/>
              </w:rPr>
              <w:t> </w:t>
            </w:r>
            <w:r>
              <w:rPr>
                <w:rFonts w:ascii="宋体" w:hAnsi="宋体" w:cs="宋体" w:eastAsia="宋体" w:hint="default"/>
                <w:sz w:val="21"/>
                <w:szCs w:val="21"/>
              </w:rPr>
              <w:t>2018</w:t>
            </w:r>
            <w:r>
              <w:rPr>
                <w:rFonts w:ascii="宋体" w:hAnsi="宋体" w:cs="宋体" w:eastAsia="宋体" w:hint="default"/>
                <w:spacing w:val="-32"/>
                <w:sz w:val="21"/>
                <w:szCs w:val="21"/>
              </w:rPr>
              <w:t> </w:t>
            </w:r>
            <w:r>
              <w:rPr>
                <w:rFonts w:ascii="宋体" w:hAnsi="宋体" w:cs="宋体" w:eastAsia="宋体" w:hint="default"/>
                <w:sz w:val="21"/>
                <w:szCs w:val="21"/>
              </w:rPr>
              <w:t>年度《专项审核报告》且上海红生公司</w:t>
            </w:r>
            <w:r>
              <w:rPr>
                <w:rFonts w:ascii="宋体" w:hAnsi="宋体" w:cs="宋体" w:eastAsia="宋体" w:hint="default"/>
                <w:spacing w:val="-32"/>
                <w:sz w:val="21"/>
                <w:szCs w:val="21"/>
              </w:rPr>
              <w:t> </w:t>
            </w:r>
            <w:r>
              <w:rPr>
                <w:rFonts w:ascii="宋体" w:hAnsi="宋体" w:cs="宋体" w:eastAsia="宋体" w:hint="default"/>
                <w:sz w:val="21"/>
                <w:szCs w:val="21"/>
              </w:rPr>
              <w:t>2017</w:t>
            </w:r>
            <w:r>
              <w:rPr>
                <w:rFonts w:ascii="宋体" w:hAnsi="宋体" w:cs="宋体" w:eastAsia="宋体" w:hint="default"/>
                <w:spacing w:val="-32"/>
                <w:sz w:val="21"/>
                <w:szCs w:val="21"/>
              </w:rPr>
              <w:t> </w:t>
            </w:r>
            <w:r>
              <w:rPr>
                <w:rFonts w:ascii="宋体" w:hAnsi="宋体" w:cs="宋体" w:eastAsia="宋体" w:hint="default"/>
                <w:sz w:val="21"/>
                <w:szCs w:val="21"/>
              </w:rPr>
              <w:t>年度、</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21"/>
                <w:sz w:val="21"/>
                <w:szCs w:val="21"/>
              </w:rPr>
              <w:t> </w:t>
            </w:r>
            <w:r>
              <w:rPr>
                <w:rFonts w:ascii="宋体" w:hAnsi="宋体" w:cs="宋体" w:eastAsia="宋体" w:hint="default"/>
                <w:sz w:val="21"/>
                <w:szCs w:val="21"/>
              </w:rPr>
              <w:t>年度累计实现的净利润数达到截至该时点累计承诺净利</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6"/>
                <w:sz w:val="21"/>
                <w:szCs w:val="21"/>
              </w:rPr>
              <w:t> </w:t>
            </w:r>
            <w:r>
              <w:rPr>
                <w:rFonts w:ascii="宋体" w:hAnsi="宋体" w:cs="宋体" w:eastAsia="宋体" w:hint="default"/>
                <w:sz w:val="21"/>
                <w:szCs w:val="21"/>
              </w:rPr>
              <w:t>2017</w:t>
            </w:r>
          </w:p>
          <w:p>
            <w:pPr>
              <w:pStyle w:val="TableParagraph"/>
              <w:spacing w:line="237" w:lineRule="auto"/>
              <w:ind w:left="103" w:right="19"/>
              <w:jc w:val="left"/>
              <w:rPr>
                <w:rFonts w:ascii="宋体" w:hAnsi="宋体" w:cs="宋体" w:eastAsia="宋体" w:hint="default"/>
                <w:sz w:val="21"/>
                <w:szCs w:val="21"/>
              </w:rPr>
            </w:pP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宋体" w:hAnsi="宋体" w:cs="宋体" w:eastAsia="宋体" w:hint="default"/>
                <w:w w:val="100"/>
                <w:sz w:val="21"/>
                <w:szCs w:val="21"/>
              </w:rPr>
              <w:t>6</w:t>
            </w:r>
            <w:r>
              <w:rPr>
                <w:rFonts w:ascii="宋体" w:hAnsi="宋体" w:cs="宋体" w:eastAsia="宋体" w:hint="default"/>
                <w:spacing w:val="-56"/>
                <w:w w:val="100"/>
                <w:sz w:val="21"/>
                <w:szCs w:val="21"/>
              </w:rPr>
              <w:t> </w:t>
            </w:r>
            <w:r>
              <w:rPr>
                <w:rFonts w:ascii="宋体" w:hAnsi="宋体" w:cs="宋体" w:eastAsia="宋体" w:hint="default"/>
                <w:w w:val="100"/>
                <w:sz w:val="21"/>
                <w:szCs w:val="21"/>
              </w:rPr>
              <w:t>月</w:t>
            </w:r>
            <w:r>
              <w:rPr>
                <w:rFonts w:ascii="宋体" w:hAnsi="宋体" w:cs="宋体" w:eastAsia="宋体" w:hint="default"/>
                <w:spacing w:val="-54"/>
                <w:w w:val="100"/>
                <w:sz w:val="21"/>
                <w:szCs w:val="21"/>
              </w:rPr>
              <w:t> </w:t>
            </w:r>
            <w:r>
              <w:rPr>
                <w:rFonts w:ascii="宋体" w:hAnsi="宋体" w:cs="宋体" w:eastAsia="宋体" w:hint="default"/>
                <w:w w:val="100"/>
                <w:sz w:val="21"/>
                <w:szCs w:val="21"/>
              </w:rPr>
              <w:t>6</w:t>
            </w:r>
            <w:r>
              <w:rPr>
                <w:rFonts w:ascii="宋体" w:hAnsi="宋体" w:cs="宋体" w:eastAsia="宋体" w:hint="default"/>
                <w:spacing w:val="-54"/>
                <w:w w:val="100"/>
                <w:sz w:val="21"/>
                <w:szCs w:val="21"/>
              </w:rPr>
              <w:t> </w:t>
            </w:r>
            <w:r>
              <w:rPr>
                <w:rFonts w:ascii="宋体" w:hAnsi="宋体" w:cs="宋体" w:eastAsia="宋体" w:hint="default"/>
                <w:spacing w:val="-35"/>
                <w:w w:val="100"/>
                <w:sz w:val="21"/>
                <w:szCs w:val="21"/>
              </w:rPr>
              <w:t>日，承</w:t>
            </w:r>
            <w:r>
              <w:rPr>
                <w:rFonts w:ascii="宋体" w:hAnsi="宋体" w:cs="宋体" w:eastAsia="宋体" w:hint="default"/>
                <w:w w:val="100"/>
                <w:sz w:val="21"/>
                <w:szCs w:val="21"/>
              </w:rPr>
              <w:t> </w:t>
            </w:r>
            <w:r>
              <w:rPr>
                <w:rFonts w:ascii="宋体" w:hAnsi="宋体" w:cs="宋体" w:eastAsia="宋体" w:hint="default"/>
                <w:spacing w:val="62"/>
                <w:sz w:val="21"/>
                <w:szCs w:val="21"/>
              </w:rPr>
              <w:t>诺期限截至</w:t>
            </w:r>
            <w:r>
              <w:rPr>
                <w:rFonts w:ascii="宋体" w:hAnsi="宋体" w:cs="宋体" w:eastAsia="宋体" w:hint="default"/>
                <w:spacing w:val="-94"/>
                <w:sz w:val="21"/>
                <w:szCs w:val="21"/>
              </w:rPr>
              <w:t> </w:t>
            </w: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w w:val="100"/>
                <w:sz w:val="21"/>
              </w:rPr>
              <w:t> </w:t>
            </w:r>
          </w:p>
        </w:tc>
      </w:tr>
    </w:tbl>
    <w:p>
      <w:pPr>
        <w:spacing w:after="0" w:line="240" w:lineRule="auto"/>
        <w:jc w:val="left"/>
        <w:rPr>
          <w:rFonts w:ascii="宋体" w:hAnsi="宋体" w:cs="宋体" w:eastAsia="宋体" w:hint="default"/>
          <w:sz w:val="21"/>
          <w:szCs w:val="21"/>
        </w:rPr>
        <w:sectPr>
          <w:pgSz w:w="16840" w:h="11910" w:orient="landscape"/>
          <w:pgMar w:header="880" w:footer="1195" w:top="1120" w:bottom="1380" w:left="1300" w:right="1200"/>
        </w:sectPr>
      </w:pPr>
    </w:p>
    <w:p>
      <w:pPr>
        <w:spacing w:line="240" w:lineRule="auto" w:before="4"/>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718"/>
        <w:gridCol w:w="864"/>
        <w:gridCol w:w="1296"/>
        <w:gridCol w:w="5763"/>
        <w:gridCol w:w="1586"/>
        <w:gridCol w:w="721"/>
        <w:gridCol w:w="862"/>
        <w:gridCol w:w="1298"/>
        <w:gridCol w:w="996"/>
      </w:tblGrid>
      <w:tr>
        <w:trPr>
          <w:trHeight w:val="2735" w:hRule="exact"/>
        </w:trPr>
        <w:tc>
          <w:tcPr>
            <w:tcW w:w="71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57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润数时，共管账户购买的全部股票的</w:t>
            </w:r>
            <w:r>
              <w:rPr>
                <w:rFonts w:ascii="宋体" w:hAnsi="宋体" w:cs="宋体" w:eastAsia="宋体" w:hint="default"/>
                <w:spacing w:val="-32"/>
                <w:sz w:val="21"/>
                <w:szCs w:val="21"/>
              </w:rPr>
              <w:t> </w:t>
            </w:r>
            <w:r>
              <w:rPr>
                <w:rFonts w:ascii="宋体" w:hAnsi="宋体" w:cs="宋体" w:eastAsia="宋体" w:hint="default"/>
                <w:sz w:val="21"/>
                <w:szCs w:val="21"/>
              </w:rPr>
              <w:t>50%</w:t>
            </w:r>
            <w:r>
              <w:rPr>
                <w:rFonts w:ascii="宋体" w:hAnsi="宋体" w:cs="宋体" w:eastAsia="宋体" w:hint="default"/>
                <w:sz w:val="21"/>
                <w:szCs w:val="21"/>
              </w:rPr>
              <w:t>在扣减其截至该时点</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应补偿的股份数（如有）后解除锁定。（</w:t>
            </w:r>
            <w:r>
              <w:rPr>
                <w:rFonts w:ascii="宋体" w:hAnsi="宋体" w:cs="宋体" w:eastAsia="宋体" w:hint="default"/>
                <w:spacing w:val="-2"/>
                <w:sz w:val="21"/>
                <w:szCs w:val="21"/>
              </w:rPr>
              <w:t>2</w:t>
            </w:r>
            <w:r>
              <w:rPr>
                <w:rFonts w:ascii="宋体" w:hAnsi="宋体" w:cs="宋体" w:eastAsia="宋体" w:hint="default"/>
                <w:spacing w:val="-2"/>
                <w:sz w:val="21"/>
                <w:szCs w:val="21"/>
              </w:rPr>
              <w:t>）自泰豪科技在指</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定媒体披露上海红生公司</w:t>
            </w:r>
            <w:r>
              <w:rPr>
                <w:rFonts w:ascii="宋体" w:hAnsi="宋体" w:cs="宋体" w:eastAsia="宋体" w:hint="default"/>
                <w:spacing w:val="-48"/>
                <w:sz w:val="21"/>
                <w:szCs w:val="21"/>
              </w:rPr>
              <w:t> </w:t>
            </w:r>
            <w:r>
              <w:rPr>
                <w:rFonts w:ascii="宋体" w:hAnsi="宋体" w:cs="宋体" w:eastAsia="宋体" w:hint="default"/>
                <w:sz w:val="21"/>
                <w:szCs w:val="21"/>
              </w:rPr>
              <w:t>2019</w:t>
            </w:r>
            <w:r>
              <w:rPr>
                <w:rFonts w:ascii="宋体" w:hAnsi="宋体" w:cs="宋体" w:eastAsia="宋体" w:hint="default"/>
                <w:spacing w:val="-48"/>
                <w:sz w:val="21"/>
                <w:szCs w:val="21"/>
              </w:rPr>
              <w:t> </w:t>
            </w:r>
            <w:r>
              <w:rPr>
                <w:rFonts w:ascii="宋体" w:hAnsi="宋体" w:cs="宋体" w:eastAsia="宋体" w:hint="default"/>
                <w:spacing w:val="-3"/>
                <w:sz w:val="21"/>
                <w:szCs w:val="21"/>
              </w:rPr>
              <w:t>年度《专项审核报告》和《减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值测试报告》后，共管账户购买的全部股票的</w:t>
            </w:r>
            <w:r>
              <w:rPr>
                <w:rFonts w:ascii="宋体" w:hAnsi="宋体" w:cs="宋体" w:eastAsia="宋体" w:hint="default"/>
                <w:spacing w:val="-34"/>
                <w:sz w:val="21"/>
                <w:szCs w:val="21"/>
              </w:rPr>
              <w:t> </w:t>
            </w:r>
            <w:r>
              <w:rPr>
                <w:rFonts w:ascii="宋体" w:hAnsi="宋体" w:cs="宋体" w:eastAsia="宋体" w:hint="default"/>
                <w:sz w:val="21"/>
                <w:szCs w:val="21"/>
              </w:rPr>
              <w:t>50%</w:t>
            </w:r>
            <w:r>
              <w:rPr>
                <w:rFonts w:ascii="宋体" w:hAnsi="宋体" w:cs="宋体" w:eastAsia="宋体" w:hint="default"/>
                <w:sz w:val="21"/>
                <w:szCs w:val="21"/>
              </w:rPr>
              <w:t>在扣减其截</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至该时点应补偿的股份数（如有）后可解除锁定。若股份解</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除锁定条件未满足导致该等年度解除锁定股份数为 </w:t>
            </w:r>
            <w:r>
              <w:rPr>
                <w:rFonts w:ascii="宋体" w:hAnsi="宋体" w:cs="宋体" w:eastAsia="宋体" w:hint="default"/>
                <w:sz w:val="21"/>
                <w:szCs w:val="21"/>
              </w:rPr>
              <w:t>0</w:t>
            </w:r>
            <w:r>
              <w:rPr>
                <w:rFonts w:ascii="宋体" w:hAnsi="宋体" w:cs="宋体" w:eastAsia="宋体" w:hint="default"/>
                <w:spacing w:val="-21"/>
                <w:sz w:val="21"/>
                <w:szCs w:val="21"/>
              </w:rPr>
              <w:t> </w:t>
            </w:r>
            <w:r>
              <w:rPr>
                <w:rFonts w:ascii="宋体" w:hAnsi="宋体" w:cs="宋体" w:eastAsia="宋体" w:hint="default"/>
                <w:sz w:val="21"/>
                <w:szCs w:val="21"/>
              </w:rPr>
              <w:t>时，则</w:t>
            </w:r>
          </w:p>
          <w:p>
            <w:pPr>
              <w:pStyle w:val="TableParagraph"/>
              <w:spacing w:line="237" w:lineRule="auto" w:before="1"/>
              <w:ind w:left="103" w:right="96"/>
              <w:jc w:val="both"/>
              <w:rPr>
                <w:rFonts w:ascii="宋体" w:hAnsi="宋体" w:cs="宋体" w:eastAsia="宋体" w:hint="default"/>
                <w:sz w:val="21"/>
                <w:szCs w:val="21"/>
              </w:rPr>
            </w:pPr>
            <w:r>
              <w:rPr>
                <w:rFonts w:ascii="宋体" w:hAnsi="宋体" w:cs="宋体" w:eastAsia="宋体" w:hint="default"/>
                <w:sz w:val="21"/>
                <w:szCs w:val="21"/>
              </w:rPr>
              <w:t>本年度解除锁定的股份数应为管账户购买的全部股票的</w:t>
            </w:r>
            <w:r>
              <w:rPr>
                <w:rFonts w:ascii="宋体" w:hAnsi="宋体" w:cs="宋体" w:eastAsia="宋体" w:hint="default"/>
                <w:spacing w:val="-21"/>
                <w:sz w:val="21"/>
                <w:szCs w:val="21"/>
              </w:rPr>
              <w:t> </w:t>
            </w:r>
            <w:r>
              <w:rPr>
                <w:rFonts w:ascii="宋体" w:hAnsi="宋体" w:cs="宋体" w:eastAsia="宋体" w:hint="default"/>
                <w:sz w:val="21"/>
                <w:szCs w:val="21"/>
              </w:rPr>
              <w:t>100%</w:t>
            </w:r>
            <w:r>
              <w:rPr>
                <w:rFonts w:ascii="宋体" w:hAnsi="宋体" w:cs="宋体" w:eastAsia="宋体" w:hint="default"/>
                <w:w w:val="100"/>
                <w:sz w:val="21"/>
                <w:szCs w:val="21"/>
              </w:rPr>
              <w:t> </w:t>
            </w:r>
            <w:r>
              <w:rPr>
                <w:rFonts w:ascii="宋体" w:hAnsi="宋体" w:cs="宋体" w:eastAsia="宋体" w:hint="default"/>
                <w:sz w:val="21"/>
                <w:szCs w:val="21"/>
              </w:rPr>
              <w:t>扣减其截止该时点已补偿的股份数（如有）及应补偿的股份</w:t>
            </w:r>
            <w:r>
              <w:rPr>
                <w:rFonts w:ascii="宋体" w:hAnsi="宋体" w:cs="宋体" w:eastAsia="宋体" w:hint="default"/>
                <w:spacing w:val="-22"/>
                <w:sz w:val="21"/>
                <w:szCs w:val="21"/>
              </w:rPr>
              <w:t> </w:t>
            </w:r>
            <w:r>
              <w:rPr>
                <w:rFonts w:ascii="宋体" w:hAnsi="宋体" w:cs="宋体" w:eastAsia="宋体" w:hint="default"/>
                <w:sz w:val="21"/>
                <w:szCs w:val="21"/>
              </w:rPr>
              <w:t>数（如有）后的剩余股份（如有）。扣减后可解除锁定的股</w:t>
            </w:r>
            <w:r>
              <w:rPr>
                <w:rFonts w:ascii="宋体" w:hAnsi="宋体" w:cs="宋体" w:eastAsia="宋体" w:hint="default"/>
                <w:spacing w:val="-22"/>
                <w:sz w:val="21"/>
                <w:szCs w:val="21"/>
              </w:rPr>
              <w:t> </w:t>
            </w:r>
            <w:r>
              <w:rPr>
                <w:rFonts w:ascii="宋体" w:hAnsi="宋体" w:cs="宋体" w:eastAsia="宋体" w:hint="default"/>
                <w:sz w:val="21"/>
                <w:szCs w:val="21"/>
              </w:rPr>
              <w:t>份数量小于或等于</w:t>
            </w:r>
            <w:r>
              <w:rPr>
                <w:rFonts w:ascii="宋体" w:hAnsi="宋体" w:cs="宋体" w:eastAsia="宋体" w:hint="default"/>
                <w:spacing w:val="-51"/>
                <w:sz w:val="21"/>
                <w:szCs w:val="21"/>
              </w:rPr>
              <w:t> </w:t>
            </w:r>
            <w:r>
              <w:rPr>
                <w:rFonts w:ascii="宋体" w:hAnsi="宋体" w:cs="宋体" w:eastAsia="宋体" w:hint="default"/>
                <w:sz w:val="21"/>
                <w:szCs w:val="21"/>
              </w:rPr>
              <w:t>0</w:t>
            </w:r>
            <w:r>
              <w:rPr>
                <w:rFonts w:ascii="宋体" w:hAnsi="宋体" w:cs="宋体" w:eastAsia="宋体" w:hint="default"/>
                <w:spacing w:val="-54"/>
                <w:sz w:val="21"/>
                <w:szCs w:val="21"/>
              </w:rPr>
              <w:t> </w:t>
            </w:r>
            <w:r>
              <w:rPr>
                <w:rFonts w:ascii="宋体" w:hAnsi="宋体" w:cs="宋体" w:eastAsia="宋体" w:hint="default"/>
                <w:sz w:val="21"/>
                <w:szCs w:val="21"/>
              </w:rPr>
              <w:t>的，则共管账户解除锁定股份数为</w:t>
            </w:r>
            <w:r>
              <w:rPr>
                <w:rFonts w:ascii="宋体" w:hAnsi="宋体" w:cs="宋体" w:eastAsia="宋体" w:hint="default"/>
                <w:spacing w:val="-52"/>
                <w:sz w:val="21"/>
                <w:szCs w:val="21"/>
              </w:rPr>
              <w:t> </w:t>
            </w:r>
            <w:r>
              <w:rPr>
                <w:rFonts w:ascii="宋体" w:hAnsi="宋体" w:cs="宋体" w:eastAsia="宋体" w:hint="default"/>
                <w:spacing w:val="-3"/>
                <w:sz w:val="21"/>
                <w:szCs w:val="21"/>
              </w:rPr>
              <w:t>0</w:t>
            </w:r>
            <w:r>
              <w:rPr>
                <w:rFonts w:ascii="宋体" w:hAnsi="宋体" w:cs="宋体" w:eastAsia="宋体" w:hint="default"/>
                <w:spacing w:val="-3"/>
                <w:sz w:val="21"/>
                <w:szCs w:val="21"/>
              </w:rPr>
              <w:t>。</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 </w:t>
            </w:r>
          </w:p>
        </w:tc>
        <w:tc>
          <w:tcPr>
            <w:tcW w:w="72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1915"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03" w:right="77"/>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承诺</w:t>
            </w:r>
            <w:r>
              <w:rPr>
                <w:rFonts w:ascii="宋体" w:hAnsi="宋体" w:cs="宋体" w:eastAsia="宋体" w:hint="default"/>
                <w:sz w:val="21"/>
                <w:szCs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潘红生</w:t>
            </w:r>
            <w:r>
              <w:rPr>
                <w:rFonts w:ascii="宋体" w:hAnsi="宋体" w:cs="宋体" w:eastAsia="宋体" w:hint="default"/>
                <w:sz w:val="21"/>
                <w:szCs w:val="21"/>
              </w:rPr>
              <w:t> </w:t>
            </w:r>
          </w:p>
        </w:tc>
        <w:tc>
          <w:tcPr>
            <w:tcW w:w="5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任职期限承诺及竞业禁止承诺</w:t>
            </w:r>
            <w:r>
              <w:rPr>
                <w:rFonts w:ascii="宋体" w:hAnsi="宋体" w:cs="宋体" w:eastAsia="宋体" w:hint="default"/>
                <w:sz w:val="21"/>
                <w:szCs w:val="21"/>
              </w:rPr>
              <w:t>,</w:t>
            </w:r>
            <w:r>
              <w:rPr>
                <w:rFonts w:ascii="宋体" w:hAnsi="宋体" w:cs="宋体" w:eastAsia="宋体" w:hint="default"/>
                <w:sz w:val="21"/>
                <w:szCs w:val="21"/>
              </w:rPr>
              <w:t>具体内容详见公司 </w:t>
            </w: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21"/>
                <w:sz w:val="21"/>
                <w:szCs w:val="21"/>
              </w:rPr>
              <w:t> </w:t>
            </w:r>
            <w:r>
              <w:rPr>
                <w:rFonts w:ascii="宋体" w:hAnsi="宋体" w:cs="宋体" w:eastAsia="宋体" w:hint="default"/>
                <w:sz w:val="21"/>
                <w:szCs w:val="21"/>
              </w:rPr>
              <w:t>6</w:t>
            </w:r>
          </w:p>
          <w:p>
            <w:pPr>
              <w:pStyle w:val="TableParagraph"/>
              <w:spacing w:line="240" w:lineRule="auto"/>
              <w:ind w:left="103" w:right="97"/>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37"/>
                <w:sz w:val="21"/>
                <w:szCs w:val="21"/>
              </w:rPr>
              <w:t> </w:t>
            </w:r>
            <w:r>
              <w:rPr>
                <w:rFonts w:ascii="宋体" w:hAnsi="宋体" w:cs="宋体" w:eastAsia="宋体" w:hint="default"/>
                <w:sz w:val="21"/>
                <w:szCs w:val="21"/>
              </w:rPr>
              <w:t>16</w:t>
            </w:r>
            <w:r>
              <w:rPr>
                <w:rFonts w:ascii="宋体" w:hAnsi="宋体" w:cs="宋体" w:eastAsia="宋体" w:hint="default"/>
                <w:spacing w:val="37"/>
                <w:sz w:val="21"/>
                <w:szCs w:val="21"/>
              </w:rPr>
              <w:t> </w:t>
            </w:r>
            <w:r>
              <w:rPr>
                <w:rFonts w:ascii="宋体" w:hAnsi="宋体" w:cs="宋体" w:eastAsia="宋体" w:hint="default"/>
                <w:sz w:val="21"/>
                <w:szCs w:val="21"/>
              </w:rPr>
              <w:t>日披露的《公司关于收购上海红生系统工程有限公司</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100%</w:t>
            </w:r>
            <w:r>
              <w:rPr>
                <w:rFonts w:ascii="宋体" w:hAnsi="宋体" w:cs="宋体" w:eastAsia="宋体" w:hint="default"/>
                <w:sz w:val="21"/>
                <w:szCs w:val="21"/>
              </w:rPr>
              <w:t>股权的公告》（公告编号：临</w:t>
            </w:r>
            <w:r>
              <w:rPr>
                <w:rFonts w:ascii="宋体" w:hAnsi="宋体" w:cs="宋体" w:eastAsia="宋体" w:hint="default"/>
                <w:spacing w:val="-58"/>
                <w:sz w:val="21"/>
                <w:szCs w:val="21"/>
              </w:rPr>
              <w:t> </w:t>
            </w:r>
            <w:r>
              <w:rPr>
                <w:rFonts w:ascii="宋体" w:hAnsi="宋体" w:cs="宋体" w:eastAsia="宋体" w:hint="default"/>
                <w:sz w:val="21"/>
                <w:szCs w:val="21"/>
              </w:rPr>
              <w:t>2017-053</w:t>
            </w:r>
            <w:r>
              <w:rPr>
                <w:rFonts w:ascii="宋体" w:hAnsi="宋体" w:cs="宋体" w:eastAsia="宋体" w:hint="default"/>
                <w:sz w:val="21"/>
                <w:szCs w:val="21"/>
              </w:rPr>
              <w:t>）。</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6"/>
                <w:sz w:val="21"/>
                <w:szCs w:val="21"/>
              </w:rPr>
              <w:t> </w:t>
            </w:r>
            <w:r>
              <w:rPr>
                <w:rFonts w:ascii="宋体" w:hAnsi="宋体" w:cs="宋体" w:eastAsia="宋体" w:hint="default"/>
                <w:sz w:val="21"/>
                <w:szCs w:val="21"/>
              </w:rPr>
              <w:t>2017</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pacing w:val="16"/>
                <w:sz w:val="21"/>
                <w:szCs w:val="21"/>
              </w:rPr>
              <w:t>承诺期限截至</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6"/>
                <w:sz w:val="21"/>
                <w:szCs w:val="21"/>
              </w:rPr>
              <w:t>潘红生在上海</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6"/>
                <w:sz w:val="21"/>
                <w:szCs w:val="21"/>
              </w:rPr>
              <w:t>红生及其子公</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6"/>
                <w:sz w:val="21"/>
                <w:szCs w:val="21"/>
              </w:rPr>
              <w:t>司任职期间及</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离职后三年内</w:t>
            </w:r>
            <w:r>
              <w:rPr>
                <w:rFonts w:ascii="宋体" w:hAnsi="宋体" w:cs="宋体" w:eastAsia="宋体" w:hint="default"/>
                <w:sz w:val="21"/>
                <w:szCs w:val="21"/>
              </w:rPr>
              <w:t> </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r>
      <w:tr>
        <w:trPr>
          <w:trHeight w:val="1644"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77"/>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承诺</w:t>
            </w:r>
            <w:r>
              <w:rPr>
                <w:rFonts w:ascii="宋体" w:hAnsi="宋体" w:cs="宋体" w:eastAsia="宋体" w:hint="default"/>
                <w:sz w:val="21"/>
                <w:szCs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6"/>
              <w:ind w:left="103" w:right="99"/>
              <w:jc w:val="both"/>
              <w:rPr>
                <w:rFonts w:ascii="宋体" w:hAnsi="宋体" w:cs="宋体" w:eastAsia="宋体" w:hint="default"/>
                <w:sz w:val="21"/>
                <w:szCs w:val="21"/>
              </w:rPr>
            </w:pPr>
            <w:r>
              <w:rPr>
                <w:rFonts w:ascii="宋体" w:hAnsi="宋体" w:cs="宋体" w:eastAsia="宋体" w:hint="default"/>
                <w:spacing w:val="4"/>
                <w:sz w:val="21"/>
                <w:szCs w:val="21"/>
              </w:rPr>
              <w:t>盈利预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4"/>
                <w:sz w:val="21"/>
                <w:szCs w:val="21"/>
              </w:rPr>
              <w:t>测及补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偿</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泰豪集团</w:t>
            </w:r>
            <w:r>
              <w:rPr>
                <w:rFonts w:ascii="宋体" w:hAnsi="宋体" w:cs="宋体" w:eastAsia="宋体" w:hint="default"/>
                <w:sz w:val="21"/>
                <w:szCs w:val="21"/>
              </w:rPr>
              <w:t> </w:t>
            </w:r>
          </w:p>
        </w:tc>
        <w:tc>
          <w:tcPr>
            <w:tcW w:w="57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北京泰豪装备科技有限公司</w:t>
            </w:r>
            <w:r>
              <w:rPr>
                <w:rFonts w:ascii="宋体" w:hAnsi="宋体" w:cs="宋体" w:eastAsia="宋体" w:hint="default"/>
                <w:spacing w:val="-32"/>
                <w:sz w:val="21"/>
                <w:szCs w:val="21"/>
              </w:rPr>
              <w:t> </w:t>
            </w:r>
            <w:r>
              <w:rPr>
                <w:rFonts w:ascii="宋体" w:hAnsi="宋体" w:cs="宋体" w:eastAsia="宋体" w:hint="default"/>
                <w:sz w:val="21"/>
                <w:szCs w:val="21"/>
              </w:rPr>
              <w:t>2018</w:t>
            </w:r>
            <w:r>
              <w:rPr>
                <w:rFonts w:ascii="宋体" w:hAnsi="宋体" w:cs="宋体" w:eastAsia="宋体" w:hint="default"/>
                <w:spacing w:val="-32"/>
                <w:sz w:val="21"/>
                <w:szCs w:val="21"/>
              </w:rPr>
              <w:t> </w:t>
            </w:r>
            <w:r>
              <w:rPr>
                <w:rFonts w:ascii="宋体" w:hAnsi="宋体" w:cs="宋体" w:eastAsia="宋体" w:hint="default"/>
                <w:sz w:val="21"/>
                <w:szCs w:val="21"/>
              </w:rPr>
              <w:t>年至</w:t>
            </w:r>
            <w:r>
              <w:rPr>
                <w:rFonts w:ascii="宋体" w:hAnsi="宋体" w:cs="宋体" w:eastAsia="宋体" w:hint="default"/>
                <w:spacing w:val="-32"/>
                <w:sz w:val="21"/>
                <w:szCs w:val="21"/>
              </w:rPr>
              <w:t> </w:t>
            </w:r>
            <w:r>
              <w:rPr>
                <w:rFonts w:ascii="宋体" w:hAnsi="宋体" w:cs="宋体" w:eastAsia="宋体" w:hint="default"/>
                <w:sz w:val="21"/>
                <w:szCs w:val="21"/>
              </w:rPr>
              <w:t>2020</w:t>
            </w:r>
            <w:r>
              <w:rPr>
                <w:rFonts w:ascii="宋体" w:hAnsi="宋体" w:cs="宋体" w:eastAsia="宋体" w:hint="default"/>
                <w:spacing w:val="-32"/>
                <w:sz w:val="21"/>
                <w:szCs w:val="21"/>
              </w:rPr>
              <w:t> </w:t>
            </w:r>
            <w:r>
              <w:rPr>
                <w:rFonts w:ascii="宋体" w:hAnsi="宋体" w:cs="宋体" w:eastAsia="宋体" w:hint="default"/>
                <w:sz w:val="21"/>
                <w:szCs w:val="21"/>
              </w:rPr>
              <w:t>年须实现扣除非</w:t>
            </w: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经常性损益归属母公司股东的净利润分别为 </w:t>
            </w:r>
            <w:r>
              <w:rPr>
                <w:rFonts w:ascii="宋体" w:hAnsi="宋体" w:cs="宋体" w:eastAsia="宋体" w:hint="default"/>
                <w:sz w:val="21"/>
                <w:szCs w:val="21"/>
              </w:rPr>
              <w:t>1,100</w:t>
            </w:r>
            <w:r>
              <w:rPr>
                <w:rFonts w:ascii="宋体" w:hAnsi="宋体" w:cs="宋体" w:eastAsia="宋体" w:hint="default"/>
                <w:spacing w:val="66"/>
                <w:sz w:val="21"/>
                <w:szCs w:val="21"/>
              </w:rPr>
              <w:t> </w:t>
            </w:r>
            <w:r>
              <w:rPr>
                <w:rFonts w:ascii="宋体" w:hAnsi="宋体" w:cs="宋体" w:eastAsia="宋体" w:hint="default"/>
                <w:spacing w:val="4"/>
                <w:sz w:val="21"/>
                <w:szCs w:val="21"/>
              </w:rPr>
              <w:t>万元、</w:t>
            </w: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sz w:val="21"/>
                <w:szCs w:val="21"/>
              </w:rPr>
              <w:t>1,500 </w:t>
            </w:r>
            <w:r>
              <w:rPr>
                <w:rFonts w:ascii="宋体" w:hAnsi="宋体" w:cs="宋体" w:eastAsia="宋体" w:hint="default"/>
                <w:sz w:val="21"/>
                <w:szCs w:val="21"/>
              </w:rPr>
              <w:t>万元、</w:t>
            </w:r>
            <w:r>
              <w:rPr>
                <w:rFonts w:ascii="宋体" w:hAnsi="宋体" w:cs="宋体" w:eastAsia="宋体" w:hint="default"/>
                <w:sz w:val="21"/>
                <w:szCs w:val="21"/>
              </w:rPr>
              <w:t>2,000</w:t>
            </w:r>
            <w:r>
              <w:rPr>
                <w:rFonts w:ascii="宋体" w:hAnsi="宋体" w:cs="宋体" w:eastAsia="宋体" w:hint="default"/>
                <w:spacing w:val="-74"/>
                <w:sz w:val="21"/>
                <w:szCs w:val="21"/>
              </w:rPr>
              <w:t> </w:t>
            </w:r>
            <w:r>
              <w:rPr>
                <w:rFonts w:ascii="宋体" w:hAnsi="宋体" w:cs="宋体" w:eastAsia="宋体" w:hint="default"/>
                <w:spacing w:val="-3"/>
                <w:sz w:val="21"/>
                <w:szCs w:val="21"/>
              </w:rPr>
              <w:t>万元。否则，泰豪集团须按相关约定向公</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6"/>
                <w:sz w:val="21"/>
                <w:szCs w:val="21"/>
              </w:rPr>
              <w:t>司进行补偿。具体内容详见公司</w:t>
            </w:r>
            <w:r>
              <w:rPr>
                <w:rFonts w:ascii="宋体" w:hAnsi="宋体" w:cs="宋体" w:eastAsia="宋体" w:hint="default"/>
                <w:spacing w:val="-48"/>
                <w:sz w:val="21"/>
                <w:szCs w:val="21"/>
              </w:rPr>
              <w:t> </w:t>
            </w:r>
            <w:r>
              <w:rPr>
                <w:rFonts w:ascii="宋体" w:hAnsi="宋体" w:cs="宋体" w:eastAsia="宋体" w:hint="default"/>
                <w:sz w:val="21"/>
                <w:szCs w:val="21"/>
              </w:rPr>
              <w:t>2018</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48"/>
                <w:sz w:val="21"/>
                <w:szCs w:val="21"/>
              </w:rPr>
              <w:t> </w:t>
            </w:r>
            <w:r>
              <w:rPr>
                <w:rFonts w:ascii="宋体" w:hAnsi="宋体" w:cs="宋体" w:eastAsia="宋体" w:hint="default"/>
                <w:sz w:val="21"/>
                <w:szCs w:val="21"/>
              </w:rPr>
              <w:t>日</w:t>
            </w:r>
            <w:r>
              <w:rPr>
                <w:rFonts w:ascii="宋体" w:hAnsi="宋体" w:cs="宋体" w:eastAsia="宋体" w:hint="default"/>
                <w:spacing w:val="-50"/>
                <w:sz w:val="21"/>
                <w:szCs w:val="21"/>
              </w:rPr>
              <w:t> </w:t>
            </w:r>
            <w:r>
              <w:rPr>
                <w:rFonts w:ascii="宋体" w:hAnsi="宋体" w:cs="宋体" w:eastAsia="宋体" w:hint="default"/>
                <w:sz w:val="21"/>
                <w:szCs w:val="21"/>
              </w:rPr>
              <w:t>26</w:t>
            </w:r>
            <w:r>
              <w:rPr>
                <w:rFonts w:ascii="宋体" w:hAnsi="宋体" w:cs="宋体" w:eastAsia="宋体" w:hint="default"/>
                <w:spacing w:val="-48"/>
                <w:sz w:val="21"/>
                <w:szCs w:val="21"/>
              </w:rPr>
              <w:t> </w:t>
            </w:r>
            <w:r>
              <w:rPr>
                <w:rFonts w:ascii="宋体" w:hAnsi="宋体" w:cs="宋体" w:eastAsia="宋体" w:hint="default"/>
                <w:spacing w:val="-12"/>
                <w:sz w:val="21"/>
                <w:szCs w:val="21"/>
              </w:rPr>
              <w:t>日披露的《泰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豪科技股份有限公司关于拟收购北京泰豪装备科技有限公司</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2"/>
                <w:sz w:val="21"/>
                <w:szCs w:val="21"/>
              </w:rPr>
              <w:t>60%</w:t>
            </w:r>
            <w:r>
              <w:rPr>
                <w:rFonts w:ascii="宋体" w:hAnsi="宋体" w:cs="宋体" w:eastAsia="宋体" w:hint="default"/>
                <w:spacing w:val="-2"/>
                <w:sz w:val="21"/>
                <w:szCs w:val="21"/>
              </w:rPr>
              <w:t>股权暨关联交易的公告》（公告编号：临</w:t>
            </w:r>
            <w:r>
              <w:rPr>
                <w:rFonts w:ascii="宋体" w:hAnsi="宋体" w:cs="宋体" w:eastAsia="宋体" w:hint="default"/>
                <w:spacing w:val="-1"/>
                <w:sz w:val="21"/>
                <w:szCs w:val="21"/>
              </w:rPr>
              <w:t> </w:t>
            </w:r>
            <w:r>
              <w:rPr>
                <w:rFonts w:ascii="宋体" w:hAnsi="宋体" w:cs="宋体" w:eastAsia="宋体" w:hint="default"/>
                <w:spacing w:val="-2"/>
                <w:sz w:val="21"/>
                <w:szCs w:val="21"/>
              </w:rPr>
              <w:t>2018-035</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3" w:right="0"/>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6"/>
                <w:sz w:val="21"/>
                <w:szCs w:val="21"/>
              </w:rPr>
              <w:t> </w:t>
            </w:r>
            <w:r>
              <w:rPr>
                <w:rFonts w:ascii="宋体" w:hAnsi="宋体" w:cs="宋体" w:eastAsia="宋体" w:hint="default"/>
                <w:sz w:val="21"/>
                <w:szCs w:val="21"/>
              </w:rPr>
              <w:t>2018</w:t>
            </w:r>
          </w:p>
          <w:p>
            <w:pPr>
              <w:pStyle w:val="TableParagraph"/>
              <w:spacing w:line="237" w:lineRule="auto" w:before="1"/>
              <w:ind w:left="103" w:right="19"/>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spacing w:val="-103"/>
                <w:sz w:val="21"/>
                <w:szCs w:val="21"/>
              </w:rPr>
              <w:t> </w:t>
            </w:r>
            <w:r>
              <w:rPr>
                <w:rFonts w:ascii="宋体" w:hAnsi="宋体" w:cs="宋体" w:eastAsia="宋体" w:hint="default"/>
                <w:spacing w:val="62"/>
                <w:sz w:val="21"/>
                <w:szCs w:val="21"/>
              </w:rPr>
              <w:t>承诺期限至</w:t>
            </w:r>
            <w:r>
              <w:rPr>
                <w:rFonts w:ascii="宋体" w:hAnsi="宋体" w:cs="宋体" w:eastAsia="宋体" w:hint="default"/>
                <w:spacing w:val="-94"/>
                <w:sz w:val="21"/>
                <w:szCs w:val="21"/>
              </w:rPr>
              <w:t> </w:t>
            </w:r>
            <w:r>
              <w:rPr>
                <w:rFonts w:ascii="宋体" w:hAnsi="宋体" w:cs="宋体" w:eastAsia="宋体" w:hint="default"/>
                <w:sz w:val="21"/>
                <w:szCs w:val="21"/>
              </w:rPr>
              <w:t>2021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 </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r>
    </w:tbl>
    <w:p>
      <w:pPr>
        <w:spacing w:after="0" w:line="240" w:lineRule="auto"/>
        <w:jc w:val="left"/>
        <w:rPr>
          <w:rFonts w:ascii="宋体" w:hAnsi="宋体" w:cs="宋体" w:eastAsia="宋体" w:hint="default"/>
          <w:sz w:val="21"/>
          <w:szCs w:val="21"/>
        </w:rPr>
        <w:sectPr>
          <w:pgSz w:w="16840" w:h="11910" w:orient="landscape"/>
          <w:pgMar w:header="880" w:footer="1195" w:top="1120" w:bottom="1380" w:left="1300" w:right="1200"/>
        </w:sectPr>
      </w:pPr>
    </w:p>
    <w:p>
      <w:pPr>
        <w:spacing w:line="240" w:lineRule="auto" w:before="8"/>
        <w:rPr>
          <w:rFonts w:ascii="Times New Roman" w:hAnsi="Times New Roman" w:cs="Times New Roman" w:eastAsia="Times New Roman" w:hint="default"/>
          <w:sz w:val="26"/>
          <w:szCs w:val="26"/>
        </w:rPr>
      </w:pPr>
    </w:p>
    <w:p>
      <w:pPr>
        <w:pStyle w:val="Heading5"/>
        <w:tabs>
          <w:tab w:pos="703" w:val="left" w:leader="none"/>
        </w:tabs>
        <w:spacing w:line="240" w:lineRule="auto" w:before="36"/>
        <w:ind w:left="136" w:right="102"/>
        <w:jc w:val="left"/>
        <w:rPr>
          <w:b w:val="0"/>
          <w:bCs w:val="0"/>
        </w:rPr>
      </w:pPr>
      <w:r>
        <w:rPr>
          <w:rFonts w:ascii="Calibri" w:hAnsi="Calibri" w:cs="Calibri" w:eastAsia="Calibri" w:hint="default"/>
        </w:rPr>
        <w:t>(</w:t>
      </w:r>
      <w:r>
        <w:rPr/>
        <w:t>二</w:t>
      </w:r>
      <w:r>
        <w:rPr>
          <w:rFonts w:ascii="Calibri" w:hAnsi="Calibri" w:cs="Calibri" w:eastAsia="Calibri" w:hint="default"/>
        </w:rPr>
        <w:t>)</w:t>
        <w:tab/>
      </w:r>
      <w:r>
        <w:rPr/>
        <w:t>公司资产或项目存在盈利预测，且报告期仍处在盈利预测期间，公司就资产或项目</w:t>
      </w:r>
      <w:r>
        <w:rPr>
          <w:b w:val="0"/>
          <w:bCs w:val="0"/>
        </w:rPr>
      </w:r>
    </w:p>
    <w:p>
      <w:pPr>
        <w:pStyle w:val="Heading2"/>
        <w:spacing w:line="313" w:lineRule="exact" w:before="23"/>
        <w:ind w:right="102"/>
        <w:jc w:val="left"/>
        <w:rPr>
          <w:rFonts w:ascii="宋体" w:hAnsi="宋体" w:cs="宋体" w:eastAsia="宋体" w:hint="default"/>
          <w:b w:val="0"/>
          <w:bCs w:val="0"/>
        </w:rPr>
      </w:pPr>
      <w:r>
        <w:rPr/>
        <w:t>是否达到原盈利预测及其原因作出说明</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ind w:left="136" w:right="102"/>
        <w:jc w:val="left"/>
        <w:rPr>
          <w:rFonts w:ascii="宋体" w:hAnsi="宋体" w:cs="宋体" w:eastAsia="宋体" w:hint="default"/>
        </w:rPr>
      </w:pPr>
      <w:r>
        <w:rPr/>
        <w:t>□已达到 </w:t>
      </w:r>
      <w:r>
        <w:rPr>
          <w:rFonts w:ascii="宋体" w:hAnsi="宋体" w:cs="宋体" w:eastAsia="宋体" w:hint="default"/>
        </w:rPr>
      </w:r>
      <w:r>
        <w:rPr/>
        <w:t>√未达到</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37" w:lineRule="auto" w:before="6"/>
        <w:ind w:right="104" w:firstLine="480"/>
        <w:jc w:val="left"/>
        <w:rPr>
          <w:rFonts w:ascii="宋体" w:hAnsi="宋体" w:cs="宋体" w:eastAsia="宋体" w:hint="default"/>
        </w:rPr>
      </w:pPr>
      <w:r>
        <w:rPr>
          <w:rFonts w:ascii="宋体" w:hAnsi="宋体" w:cs="宋体" w:eastAsia="宋体" w:hint="default"/>
          <w:spacing w:val="-12"/>
        </w:rPr>
        <w:t>1</w:t>
      </w:r>
      <w:r>
        <w:rPr>
          <w:spacing w:val="-12"/>
        </w:rPr>
        <w:t>、</w:t>
      </w:r>
      <w:r>
        <w:rPr>
          <w:rFonts w:ascii="宋体" w:hAnsi="宋体" w:cs="宋体" w:eastAsia="宋体" w:hint="default"/>
          <w:spacing w:val="-12"/>
        </w:rPr>
        <w:t>2016</w:t>
      </w:r>
      <w:r>
        <w:rPr>
          <w:rFonts w:ascii="宋体" w:hAnsi="宋体" w:cs="宋体" w:eastAsia="宋体" w:hint="default"/>
          <w:spacing w:val="-48"/>
        </w:rPr>
        <w:t> </w:t>
      </w:r>
      <w:r>
        <w:rPr/>
        <w:t>年</w:t>
      </w:r>
      <w:r>
        <w:rPr>
          <w:spacing w:val="-51"/>
        </w:rPr>
        <w:t> </w:t>
      </w:r>
      <w:r>
        <w:rPr>
          <w:rFonts w:ascii="宋体" w:hAnsi="宋体" w:cs="宋体" w:eastAsia="宋体" w:hint="default"/>
        </w:rPr>
        <w:t>2</w:t>
      </w:r>
      <w:r>
        <w:rPr>
          <w:rFonts w:ascii="宋体" w:hAnsi="宋体" w:cs="宋体" w:eastAsia="宋体" w:hint="default"/>
          <w:spacing w:val="-48"/>
        </w:rPr>
        <w:t> </w:t>
      </w:r>
      <w:r>
        <w:rPr/>
        <w:t>月公司发行</w:t>
      </w:r>
      <w:r>
        <w:rPr>
          <w:spacing w:val="-47"/>
        </w:rPr>
        <w:t> </w:t>
      </w:r>
      <w:r>
        <w:rPr>
          <w:rFonts w:ascii="宋体" w:hAnsi="宋体" w:cs="宋体" w:eastAsia="宋体" w:hint="default"/>
        </w:rPr>
        <w:t>47,715,512</w:t>
      </w:r>
      <w:r>
        <w:rPr>
          <w:rFonts w:ascii="宋体" w:hAnsi="宋体" w:cs="宋体" w:eastAsia="宋体" w:hint="default"/>
          <w:spacing w:val="-51"/>
        </w:rPr>
        <w:t> </w:t>
      </w:r>
      <w:r>
        <w:rPr>
          <w:spacing w:val="-11"/>
        </w:rPr>
        <w:t>股股份购买胡健、宁波杰宝、余弓卜、宁波杰赢等</w:t>
      </w:r>
      <w:r>
        <w:rPr>
          <w:spacing w:val="-47"/>
        </w:rPr>
        <w:t> </w:t>
      </w:r>
      <w:r>
        <w:rPr>
          <w:rFonts w:ascii="宋体" w:hAnsi="宋体" w:cs="宋体" w:eastAsia="宋体" w:hint="default"/>
        </w:rPr>
        <w:t>16</w:t>
      </w:r>
      <w:r>
        <w:rPr>
          <w:rFonts w:ascii="宋体" w:hAnsi="宋体" w:cs="宋体" w:eastAsia="宋体" w:hint="default"/>
          <w:spacing w:val="7"/>
        </w:rPr>
        <w:t> </w:t>
      </w:r>
      <w:r>
        <w:rPr/>
        <w:t>位</w:t>
      </w:r>
      <w:r>
        <w:rPr>
          <w:w w:val="100"/>
        </w:rPr>
        <w:t> </w:t>
      </w:r>
      <w:r>
        <w:rPr/>
        <w:t>股东持有的博辕信息</w:t>
      </w:r>
      <w:r>
        <w:rPr>
          <w:spacing w:val="-37"/>
        </w:rPr>
        <w:t> </w:t>
      </w:r>
      <w:r>
        <w:rPr>
          <w:rFonts w:ascii="宋体" w:hAnsi="宋体" w:cs="宋体" w:eastAsia="宋体" w:hint="default"/>
          <w:spacing w:val="-3"/>
        </w:rPr>
        <w:t>95.22%</w:t>
      </w:r>
      <w:r>
        <w:rPr>
          <w:spacing w:val="-3"/>
        </w:rPr>
        <w:t>股权，根据公司与博辕信息利润承诺补偿责任人胡健、余弓卜、成海</w:t>
      </w:r>
      <w:r>
        <w:rPr>
          <w:spacing w:val="-65"/>
        </w:rPr>
        <w:t> </w:t>
      </w:r>
      <w:r>
        <w:rPr>
          <w:spacing w:val="-65"/>
        </w:rPr>
      </w:r>
      <w:r>
        <w:rPr/>
        <w:t>林、李爱明、郭兆滨、张磊、宁波杰赢、宁波杰宝签署的《利润承诺补偿协议书》，补偿责任人</w:t>
      </w:r>
      <w:r>
        <w:rPr>
          <w:spacing w:val="-97"/>
        </w:rPr>
        <w:t> </w:t>
      </w:r>
      <w:r>
        <w:rPr>
          <w:spacing w:val="-97"/>
        </w:rPr>
      </w:r>
      <w:r>
        <w:rPr/>
        <w:t>胡健、余弓卜、成海林、李爱明、郭兆滨、张磊、宁波杰赢、宁波杰宝承诺博辕信息</w:t>
      </w:r>
      <w:r>
        <w:rPr>
          <w:spacing w:val="-48"/>
        </w:rPr>
        <w:t> </w:t>
      </w:r>
      <w:r>
        <w:rPr>
          <w:rFonts w:ascii="宋体" w:hAnsi="宋体" w:cs="宋体" w:eastAsia="宋体" w:hint="default"/>
        </w:rPr>
        <w:t>2015</w:t>
      </w:r>
      <w:r>
        <w:rPr>
          <w:rFonts w:ascii="宋体" w:hAnsi="宋体" w:cs="宋体" w:eastAsia="宋体" w:hint="default"/>
          <w:spacing w:val="-47"/>
        </w:rPr>
        <w:t> </w:t>
      </w:r>
      <w:r>
        <w:rPr>
          <w:spacing w:val="-3"/>
        </w:rPr>
        <w:t>年度、</w:t>
      </w:r>
      <w:r>
        <w:rPr>
          <w:spacing w:val="-3"/>
          <w:w w:val="100"/>
        </w:rPr>
        <w:t> </w:t>
      </w:r>
      <w:r>
        <w:rPr>
          <w:rFonts w:ascii="宋体" w:hAnsi="宋体" w:cs="宋体" w:eastAsia="宋体" w:hint="default"/>
        </w:rPr>
        <w:t>2016</w:t>
      </w:r>
      <w:r>
        <w:rPr>
          <w:rFonts w:ascii="宋体" w:hAnsi="宋体" w:cs="宋体" w:eastAsia="宋体" w:hint="default"/>
          <w:spacing w:val="-35"/>
        </w:rPr>
        <w:t> </w:t>
      </w:r>
      <w:r>
        <w:rPr/>
        <w:t>年度、</w:t>
      </w:r>
      <w:r>
        <w:rPr>
          <w:rFonts w:ascii="宋体" w:hAnsi="宋体" w:cs="宋体" w:eastAsia="宋体" w:hint="default"/>
        </w:rPr>
        <w:t>2017</w:t>
      </w:r>
      <w:r>
        <w:rPr>
          <w:rFonts w:ascii="宋体" w:hAnsi="宋体" w:cs="宋体" w:eastAsia="宋体" w:hint="default"/>
          <w:spacing w:val="-33"/>
        </w:rPr>
        <w:t> </w:t>
      </w:r>
      <w:r>
        <w:rPr/>
        <w:t>年度、</w:t>
      </w:r>
      <w:r>
        <w:rPr>
          <w:rFonts w:ascii="宋体" w:hAnsi="宋体" w:cs="宋体" w:eastAsia="宋体" w:hint="default"/>
        </w:rPr>
        <w:t>2018</w:t>
      </w:r>
      <w:r>
        <w:rPr>
          <w:rFonts w:ascii="宋体" w:hAnsi="宋体" w:cs="宋体" w:eastAsia="宋体" w:hint="default"/>
          <w:spacing w:val="-33"/>
        </w:rPr>
        <w:t> </w:t>
      </w:r>
      <w:r>
        <w:rPr/>
        <w:t>年度实现的扣除非经常性损益后归属于母公司所有者的净利润数分</w:t>
      </w:r>
      <w:r>
        <w:rPr>
          <w:w w:val="100"/>
        </w:rPr>
        <w:t> </w:t>
      </w:r>
      <w:r>
        <w:rPr/>
        <w:t>别为人民币</w:t>
      </w:r>
      <w:r>
        <w:rPr>
          <w:spacing w:val="-55"/>
        </w:rPr>
        <w:t> </w:t>
      </w:r>
      <w:r>
        <w:rPr>
          <w:rFonts w:ascii="宋体" w:hAnsi="宋体" w:cs="宋体" w:eastAsia="宋体" w:hint="default"/>
        </w:rPr>
        <w:t>3,500</w:t>
      </w:r>
      <w:r>
        <w:rPr>
          <w:rFonts w:ascii="宋体" w:hAnsi="宋体" w:cs="宋体" w:eastAsia="宋体" w:hint="default"/>
          <w:spacing w:val="-56"/>
        </w:rPr>
        <w:t> </w:t>
      </w:r>
      <w:r>
        <w:rPr>
          <w:spacing w:val="-3"/>
        </w:rPr>
        <w:t>万元、</w:t>
      </w:r>
      <w:r>
        <w:rPr>
          <w:rFonts w:ascii="宋体" w:hAnsi="宋体" w:cs="宋体" w:eastAsia="宋体" w:hint="default"/>
          <w:spacing w:val="-3"/>
        </w:rPr>
        <w:t>5,500</w:t>
      </w:r>
      <w:r>
        <w:rPr>
          <w:rFonts w:ascii="宋体" w:hAnsi="宋体" w:cs="宋体" w:eastAsia="宋体" w:hint="default"/>
          <w:spacing w:val="-58"/>
        </w:rPr>
        <w:t> </w:t>
      </w:r>
      <w:r>
        <w:rPr/>
        <w:t>万元、</w:t>
      </w:r>
      <w:r>
        <w:rPr>
          <w:rFonts w:ascii="宋体" w:hAnsi="宋体" w:cs="宋体" w:eastAsia="宋体" w:hint="default"/>
        </w:rPr>
        <w:t>7,150</w:t>
      </w:r>
      <w:r>
        <w:rPr>
          <w:rFonts w:ascii="宋体" w:hAnsi="宋体" w:cs="宋体" w:eastAsia="宋体" w:hint="default"/>
          <w:spacing w:val="-58"/>
        </w:rPr>
        <w:t> </w:t>
      </w:r>
      <w:r>
        <w:rPr/>
        <w:t>万元、</w:t>
      </w:r>
      <w:r>
        <w:rPr>
          <w:rFonts w:ascii="宋体" w:hAnsi="宋体" w:cs="宋体" w:eastAsia="宋体" w:hint="default"/>
        </w:rPr>
        <w:t>9,295</w:t>
      </w:r>
      <w:r>
        <w:rPr>
          <w:rFonts w:ascii="宋体" w:hAnsi="宋体" w:cs="宋体" w:eastAsia="宋体" w:hint="default"/>
          <w:spacing w:val="-58"/>
        </w:rPr>
        <w:t> </w:t>
      </w:r>
      <w:r>
        <w:rPr/>
        <w:t>万元；如果实现扣非净利润指标低于上</w:t>
      </w:r>
      <w:r>
        <w:rPr>
          <w:w w:val="100"/>
        </w:rPr>
        <w:t> </w:t>
      </w:r>
      <w:r>
        <w:rPr/>
        <w:t>述承诺内容，则上述补偿责任人将按照签署的《利润承诺补偿协议书》的约定进行补偿。补偿责</w:t>
      </w:r>
      <w:r>
        <w:rPr>
          <w:spacing w:val="-97"/>
        </w:rPr>
        <w:t> </w:t>
      </w:r>
      <w:r>
        <w:rPr>
          <w:spacing w:val="-97"/>
        </w:rPr>
      </w:r>
      <w:r>
        <w:rPr/>
        <w:t>任人胡健、余弓卜、成海林承诺博辕信息</w:t>
      </w:r>
      <w:r>
        <w:rPr>
          <w:spacing w:val="-34"/>
        </w:rPr>
        <w:t> </w:t>
      </w:r>
      <w:r>
        <w:rPr>
          <w:rFonts w:ascii="宋体" w:hAnsi="宋体" w:cs="宋体" w:eastAsia="宋体" w:hint="default"/>
        </w:rPr>
        <w:t>2019</w:t>
      </w:r>
      <w:r>
        <w:rPr>
          <w:rFonts w:ascii="宋体" w:hAnsi="宋体" w:cs="宋体" w:eastAsia="宋体" w:hint="default"/>
          <w:spacing w:val="-34"/>
        </w:rPr>
        <w:t> </w:t>
      </w:r>
      <w:r>
        <w:rPr/>
        <w:t>年度、</w:t>
      </w:r>
      <w:r>
        <w:rPr>
          <w:rFonts w:ascii="宋体" w:hAnsi="宋体" w:cs="宋体" w:eastAsia="宋体" w:hint="default"/>
        </w:rPr>
        <w:t>2020</w:t>
      </w:r>
      <w:r>
        <w:rPr>
          <w:rFonts w:ascii="宋体" w:hAnsi="宋体" w:cs="宋体" w:eastAsia="宋体" w:hint="default"/>
          <w:spacing w:val="-32"/>
        </w:rPr>
        <w:t> </w:t>
      </w:r>
      <w:r>
        <w:rPr/>
        <w:t>年度实现的扣除非经常性损益后归属</w:t>
      </w:r>
      <w:r>
        <w:rPr>
          <w:w w:val="100"/>
        </w:rPr>
        <w:t> </w:t>
      </w:r>
      <w:r>
        <w:rPr/>
        <w:t>于母公司所有者的净利润数分别为人民币</w:t>
      </w:r>
      <w:r>
        <w:rPr>
          <w:spacing w:val="-34"/>
        </w:rPr>
        <w:t> </w:t>
      </w:r>
      <w:r>
        <w:rPr>
          <w:rFonts w:ascii="宋体" w:hAnsi="宋体" w:cs="宋体" w:eastAsia="宋体" w:hint="default"/>
        </w:rPr>
        <w:t>10,689.25</w:t>
      </w:r>
      <w:r>
        <w:rPr>
          <w:rFonts w:ascii="宋体" w:hAnsi="宋体" w:cs="宋体" w:eastAsia="宋体" w:hint="default"/>
          <w:spacing w:val="-32"/>
        </w:rPr>
        <w:t> </w:t>
      </w:r>
      <w:r>
        <w:rPr/>
        <w:t>万元、</w:t>
      </w:r>
      <w:r>
        <w:rPr>
          <w:rFonts w:ascii="宋体" w:hAnsi="宋体" w:cs="宋体" w:eastAsia="宋体" w:hint="default"/>
        </w:rPr>
        <w:t>12,292.64</w:t>
      </w:r>
      <w:r>
        <w:rPr>
          <w:rFonts w:ascii="宋体" w:hAnsi="宋体" w:cs="宋体" w:eastAsia="宋体" w:hint="default"/>
          <w:spacing w:val="-32"/>
        </w:rPr>
        <w:t> </w:t>
      </w:r>
      <w:r>
        <w:rPr/>
        <w:t>万元；如果实现扣非净利</w:t>
      </w:r>
      <w:r>
        <w:rPr>
          <w:w w:val="100"/>
        </w:rPr>
        <w:t> </w:t>
      </w:r>
      <w:r>
        <w:rPr/>
        <w:t>润指标低于上述承诺内容，则上述补偿责任人将按照签署的《利润承诺补偿协议书》的约定进行</w:t>
      </w:r>
      <w:r>
        <w:rPr>
          <w:spacing w:val="-97"/>
        </w:rPr>
        <w:t> </w:t>
      </w:r>
      <w:r>
        <w:rPr>
          <w:spacing w:val="-97"/>
        </w:rPr>
      </w:r>
      <w:r>
        <w:rPr/>
        <w:t>补偿。具体详见公司于</w:t>
      </w:r>
      <w:r>
        <w:rPr>
          <w:spacing w:val="-51"/>
        </w:rPr>
        <w:t> </w:t>
      </w:r>
      <w:r>
        <w:rPr>
          <w:rFonts w:ascii="宋体" w:hAnsi="宋体" w:cs="宋体" w:eastAsia="宋体" w:hint="default"/>
        </w:rPr>
        <w:t>2016</w:t>
      </w:r>
      <w:r>
        <w:rPr>
          <w:rFonts w:ascii="宋体" w:hAnsi="宋体" w:cs="宋体" w:eastAsia="宋体" w:hint="default"/>
          <w:spacing w:val="-51"/>
        </w:rPr>
        <w:t> </w:t>
      </w:r>
      <w:r>
        <w:rPr/>
        <w:t>年</w:t>
      </w:r>
      <w:r>
        <w:rPr>
          <w:spacing w:val="-54"/>
        </w:rPr>
        <w:t> </w:t>
      </w:r>
      <w:r>
        <w:rPr>
          <w:rFonts w:ascii="宋体" w:hAnsi="宋体" w:cs="宋体" w:eastAsia="宋体" w:hint="default"/>
        </w:rPr>
        <w:t>2</w:t>
      </w:r>
      <w:r>
        <w:rPr>
          <w:rFonts w:ascii="宋体" w:hAnsi="宋体" w:cs="宋体" w:eastAsia="宋体" w:hint="default"/>
          <w:spacing w:val="-54"/>
        </w:rPr>
        <w:t> </w:t>
      </w:r>
      <w:r>
        <w:rPr/>
        <w:t>月</w:t>
      </w:r>
      <w:r>
        <w:rPr>
          <w:spacing w:val="-51"/>
        </w:rPr>
        <w:t> </w:t>
      </w:r>
      <w:r>
        <w:rPr>
          <w:rFonts w:ascii="宋体" w:hAnsi="宋体" w:cs="宋体" w:eastAsia="宋体" w:hint="default"/>
        </w:rPr>
        <w:t>27</w:t>
      </w:r>
      <w:r>
        <w:rPr>
          <w:rFonts w:ascii="宋体" w:hAnsi="宋体" w:cs="宋体" w:eastAsia="宋体" w:hint="default"/>
          <w:spacing w:val="-54"/>
        </w:rPr>
        <w:t> </w:t>
      </w:r>
      <w:r>
        <w:rPr/>
        <w:t>日发布的《公司关于发行股份购买资产相关方承诺事项的</w:t>
      </w:r>
      <w:r>
        <w:rPr>
          <w:w w:val="100"/>
        </w:rPr>
        <w:t> </w:t>
      </w:r>
      <w:r>
        <w:rPr/>
        <w:t>公告》（公告编号：临</w:t>
      </w:r>
      <w:r>
        <w:rPr>
          <w:spacing w:val="-59"/>
        </w:rPr>
        <w:t> </w:t>
      </w:r>
      <w:r>
        <w:rPr>
          <w:rFonts w:ascii="宋体" w:hAnsi="宋体" w:cs="宋体" w:eastAsia="宋体" w:hint="default"/>
        </w:rPr>
        <w:t>2016-017</w:t>
      </w:r>
      <w:r>
        <w:rPr/>
        <w:t>）。</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557" w:right="102"/>
        <w:jc w:val="left"/>
        <w:rPr>
          <w:rFonts w:ascii="宋体" w:hAnsi="宋体" w:cs="宋体" w:eastAsia="宋体" w:hint="default"/>
        </w:rPr>
      </w:pPr>
      <w:r>
        <w:rPr>
          <w:rFonts w:ascii="宋体" w:hAnsi="宋体" w:cs="宋体" w:eastAsia="宋体" w:hint="default"/>
          <w:spacing w:val="8"/>
        </w:rPr>
        <w:t>2016</w:t>
      </w:r>
      <w:r>
        <w:rPr>
          <w:spacing w:val="8"/>
        </w:rPr>
        <w:t>年度，博辕</w:t>
      </w:r>
      <w:r>
        <w:rPr>
          <w:spacing w:val="25"/>
        </w:rPr>
        <w:t> </w:t>
      </w:r>
      <w:r>
        <w:rPr>
          <w:spacing w:val="14"/>
        </w:rPr>
        <w:t>信息经审计后实现的扣除非经常性损益后归属母公司所有者净利润为</w:t>
      </w:r>
      <w:r>
        <w:rPr>
          <w:rFonts w:ascii="宋体" w:hAnsi="宋体" w:cs="宋体" w:eastAsia="宋体" w:hint="default"/>
        </w:rPr>
        <w:t> </w:t>
      </w:r>
    </w:p>
    <w:p>
      <w:pPr>
        <w:pStyle w:val="BodyText"/>
        <w:spacing w:line="272" w:lineRule="exact"/>
        <w:ind w:right="102"/>
        <w:jc w:val="left"/>
        <w:rPr>
          <w:rFonts w:ascii="宋体" w:hAnsi="宋体" w:cs="宋体" w:eastAsia="宋体" w:hint="default"/>
        </w:rPr>
      </w:pPr>
      <w:r>
        <w:rPr>
          <w:rFonts w:ascii="宋体" w:hAnsi="宋体" w:cs="宋体" w:eastAsia="宋体" w:hint="default"/>
        </w:rPr>
        <w:t>5,706.66</w:t>
      </w:r>
      <w:r>
        <w:rPr/>
        <w:t>万元，完成业绩承诺的</w:t>
      </w:r>
      <w:r>
        <w:rPr>
          <w:rFonts w:ascii="宋体" w:hAnsi="宋体" w:cs="宋体" w:eastAsia="宋体" w:hint="default"/>
        </w:rPr>
        <w:t>103.76%</w:t>
      </w:r>
      <w:r>
        <w:rPr/>
        <w:t>，业绩承诺方无需履行补偿义务。</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557" w:right="102"/>
        <w:jc w:val="left"/>
        <w:rPr>
          <w:rFonts w:ascii="宋体" w:hAnsi="宋体" w:cs="宋体" w:eastAsia="宋体" w:hint="default"/>
        </w:rPr>
      </w:pPr>
      <w:r>
        <w:rPr>
          <w:rFonts w:ascii="宋体" w:hAnsi="宋体" w:cs="宋体" w:eastAsia="宋体" w:hint="default"/>
          <w:spacing w:val="8"/>
        </w:rPr>
        <w:t>2017</w:t>
      </w:r>
      <w:r>
        <w:rPr>
          <w:spacing w:val="8"/>
        </w:rPr>
        <w:t>年度，博辕</w:t>
      </w:r>
      <w:r>
        <w:rPr>
          <w:spacing w:val="25"/>
        </w:rPr>
        <w:t> </w:t>
      </w:r>
      <w:r>
        <w:rPr>
          <w:spacing w:val="14"/>
        </w:rPr>
        <w:t>信息经审计后实现的扣除非经常性损益后归属母公司所有者净利润为</w:t>
      </w:r>
      <w:r>
        <w:rPr>
          <w:rFonts w:ascii="宋体" w:hAnsi="宋体" w:cs="宋体" w:eastAsia="宋体" w:hint="default"/>
        </w:rPr>
        <w:t> </w:t>
      </w:r>
    </w:p>
    <w:p>
      <w:pPr>
        <w:pStyle w:val="BodyText"/>
        <w:spacing w:line="271" w:lineRule="exact"/>
        <w:ind w:right="102"/>
        <w:jc w:val="left"/>
        <w:rPr>
          <w:rFonts w:ascii="宋体" w:hAnsi="宋体" w:cs="宋体" w:eastAsia="宋体" w:hint="default"/>
        </w:rPr>
      </w:pPr>
      <w:r>
        <w:rPr>
          <w:rFonts w:ascii="宋体" w:hAnsi="宋体" w:cs="宋体" w:eastAsia="宋体" w:hint="default"/>
        </w:rPr>
        <w:t>7,439.04</w:t>
      </w:r>
      <w:r>
        <w:rPr/>
        <w:t>万元，完成业绩承诺数的</w:t>
      </w:r>
      <w:r>
        <w:rPr>
          <w:rFonts w:ascii="宋体" w:hAnsi="宋体" w:cs="宋体" w:eastAsia="宋体" w:hint="default"/>
        </w:rPr>
        <w:t>104.04%</w:t>
      </w:r>
      <w:r>
        <w:rPr/>
        <w:t>，业绩承诺方无需履行</w:t>
      </w:r>
      <w:r>
        <w:rPr>
          <w:spacing w:val="-11"/>
        </w:rPr>
        <w:t> </w:t>
      </w:r>
      <w:r>
        <w:rPr>
          <w:rFonts w:ascii="宋体" w:hAnsi="宋体" w:cs="宋体" w:eastAsia="宋体" w:hint="default"/>
          <w:spacing w:val="-11"/>
        </w:rPr>
      </w:r>
      <w:r>
        <w:rPr/>
        <w:t>补偿义务。</w:t>
      </w:r>
      <w:r>
        <w:rPr>
          <w:rFonts w:ascii="宋体" w:hAnsi="宋体" w:cs="宋体" w:eastAsia="宋体" w:hint="default"/>
        </w:rPr>
        <w:t>  </w:t>
      </w:r>
    </w:p>
    <w:p>
      <w:pPr>
        <w:pStyle w:val="BodyText"/>
        <w:spacing w:line="237" w:lineRule="auto"/>
        <w:ind w:right="211" w:firstLine="420"/>
        <w:jc w:val="right"/>
      </w:pPr>
      <w:r>
        <w:rPr>
          <w:rFonts w:ascii="宋体" w:hAnsi="宋体" w:cs="宋体" w:eastAsia="宋体" w:hint="default"/>
          <w:spacing w:val="-1"/>
        </w:rPr>
        <w:t>2018</w:t>
      </w:r>
      <w:r>
        <w:rPr>
          <w:spacing w:val="-1"/>
        </w:rPr>
        <w:t>年度，上海博辕信息技术服务有限公司经审计后实现的扣除非经常性损益后归属母公司</w:t>
      </w:r>
      <w:r>
        <w:rPr>
          <w:w w:val="100"/>
        </w:rPr>
        <w:t> </w:t>
      </w:r>
      <w:r>
        <w:rPr>
          <w:spacing w:val="-2"/>
        </w:rPr>
        <w:t>所有者净利润为</w:t>
      </w:r>
      <w:r>
        <w:rPr>
          <w:rFonts w:ascii="宋体" w:hAnsi="宋体" w:cs="宋体" w:eastAsia="宋体" w:hint="default"/>
          <w:spacing w:val="-2"/>
        </w:rPr>
        <w:t>10,495.14</w:t>
      </w:r>
      <w:r>
        <w:rPr>
          <w:spacing w:val="-2"/>
        </w:rPr>
        <w:t>万元，完成业绩承诺数的</w:t>
      </w:r>
      <w:r>
        <w:rPr>
          <w:rFonts w:ascii="宋体" w:hAnsi="宋体" w:cs="宋体" w:eastAsia="宋体" w:hint="default"/>
          <w:spacing w:val="-2"/>
        </w:rPr>
        <w:t>112.91%</w:t>
      </w:r>
      <w:r>
        <w:rPr>
          <w:spacing w:val="-2"/>
        </w:rPr>
        <w:t>，业绩承诺方无需履行补偿义务。</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1"/>
        </w:rPr>
        <w:t>2019</w:t>
      </w:r>
      <w:r>
        <w:rPr>
          <w:spacing w:val="-1"/>
        </w:rPr>
        <w:t>年度，上海博辕信息技术服务有限公司经审计后实现的扣除非经常性损益后归属母公司</w:t>
      </w:r>
    </w:p>
    <w:p>
      <w:pPr>
        <w:pStyle w:val="BodyText"/>
        <w:spacing w:line="272" w:lineRule="exact" w:before="26"/>
        <w:ind w:left="557" w:right="204" w:hanging="421"/>
        <w:jc w:val="left"/>
      </w:pPr>
      <w:r>
        <w:rPr/>
        <w:t>所有者净利润为</w:t>
      </w:r>
      <w:r>
        <w:rPr>
          <w:rFonts w:ascii="宋体" w:hAnsi="宋体" w:cs="宋体" w:eastAsia="宋体" w:hint="default"/>
        </w:rPr>
        <w:t>9,028.85</w:t>
      </w:r>
      <w:r>
        <w:rPr/>
        <w:t>万元，完成业绩承诺数的</w:t>
      </w:r>
      <w:r>
        <w:rPr>
          <w:rFonts w:ascii="宋体" w:hAnsi="宋体" w:cs="宋体" w:eastAsia="宋体" w:hint="default"/>
        </w:rPr>
        <w:t>84.47%</w:t>
      </w:r>
      <w:r>
        <w:rPr/>
        <w:t>，业绩承诺方需履行补偿义务。</w:t>
      </w:r>
      <w:r>
        <w:rPr>
          <w:rFonts w:ascii="宋体" w:hAnsi="宋体" w:cs="宋体" w:eastAsia="宋体" w:hint="default"/>
          <w:w w:val="100"/>
        </w:rPr>
        <w:t> </w:t>
      </w:r>
      <w:r>
        <w:rPr>
          <w:rFonts w:ascii="宋体" w:hAnsi="宋体" w:cs="宋体" w:eastAsia="宋体" w:hint="default"/>
          <w:spacing w:val="-4"/>
          <w:w w:val="100"/>
        </w:rPr>
        <w:t>2</w:t>
      </w:r>
      <w:r>
        <w:rPr>
          <w:spacing w:val="-4"/>
          <w:w w:val="100"/>
        </w:rPr>
        <w:t>、</w:t>
      </w:r>
      <w:r>
        <w:rPr>
          <w:rFonts w:ascii="宋体" w:hAnsi="宋体" w:cs="宋体" w:eastAsia="宋体" w:hint="default"/>
          <w:spacing w:val="-4"/>
          <w:w w:val="100"/>
        </w:rPr>
        <w:t>2017</w:t>
      </w:r>
      <w:r>
        <w:rPr>
          <w:spacing w:val="-4"/>
          <w:w w:val="100"/>
        </w:rPr>
        <w:t>年</w:t>
      </w:r>
      <w:r>
        <w:rPr>
          <w:rFonts w:ascii="宋体" w:hAnsi="宋体" w:cs="宋体" w:eastAsia="宋体" w:hint="default"/>
          <w:spacing w:val="-4"/>
          <w:w w:val="100"/>
        </w:rPr>
        <w:t>6</w:t>
      </w:r>
      <w:r>
        <w:rPr>
          <w:spacing w:val="-4"/>
          <w:w w:val="100"/>
        </w:rPr>
        <w:t>月公司以</w:t>
      </w:r>
      <w:r>
        <w:rPr>
          <w:rFonts w:ascii="宋体" w:hAnsi="宋体" w:cs="宋体" w:eastAsia="宋体" w:hint="default"/>
          <w:spacing w:val="-4"/>
          <w:w w:val="100"/>
        </w:rPr>
        <w:t>49,000</w:t>
      </w:r>
      <w:r>
        <w:rPr>
          <w:spacing w:val="-4"/>
          <w:w w:val="100"/>
        </w:rPr>
        <w:t>万元现金购买上海红生系统工程有限公司全体股东持有的</w:t>
      </w:r>
      <w:r>
        <w:rPr>
          <w:rFonts w:ascii="宋体" w:hAnsi="宋体" w:cs="宋体" w:eastAsia="宋体" w:hint="default"/>
          <w:spacing w:val="-4"/>
          <w:w w:val="100"/>
        </w:rPr>
        <w:t>100%</w:t>
      </w:r>
      <w:r>
        <w:rPr>
          <w:rFonts w:ascii="宋体" w:hAnsi="宋体" w:cs="宋体" w:eastAsia="宋体" w:hint="default"/>
          <w:spacing w:val="39"/>
          <w:w w:val="100"/>
        </w:rPr>
        <w:t> </w:t>
      </w:r>
      <w:r>
        <w:rPr>
          <w:w w:val="100"/>
        </w:rPr>
        <w:t>股</w:t>
      </w:r>
    </w:p>
    <w:p>
      <w:pPr>
        <w:pStyle w:val="BodyText"/>
        <w:spacing w:line="272" w:lineRule="exact" w:before="1"/>
        <w:ind w:right="104"/>
        <w:jc w:val="left"/>
      </w:pPr>
      <w:r>
        <w:rPr>
          <w:spacing w:val="-6"/>
          <w:w w:val="100"/>
        </w:rPr>
        <w:t>权。交易对方赫甄合伙和潘红生承诺标的公司在盈利承诺期内各年度的净利润数如下：</w:t>
      </w:r>
      <w:r>
        <w:rPr>
          <w:rFonts w:ascii="宋体" w:hAnsi="宋体" w:cs="宋体" w:eastAsia="宋体" w:hint="default"/>
          <w:spacing w:val="-6"/>
          <w:w w:val="100"/>
        </w:rPr>
        <w:t>2017</w:t>
      </w:r>
      <w:r>
        <w:rPr>
          <w:spacing w:val="-6"/>
          <w:w w:val="100"/>
        </w:rPr>
        <w:t>年</w:t>
      </w:r>
      <w:r>
        <w:rPr>
          <w:spacing w:val="3"/>
          <w:w w:val="100"/>
        </w:rPr>
        <w:t> </w:t>
      </w:r>
      <w:r>
        <w:rPr>
          <w:rFonts w:ascii="宋体" w:hAnsi="宋体" w:cs="宋体" w:eastAsia="宋体" w:hint="default"/>
          <w:spacing w:val="3"/>
          <w:w w:val="100"/>
        </w:rPr>
      </w:r>
      <w:r>
        <w:rPr>
          <w:spacing w:val="-3"/>
          <w:w w:val="100"/>
        </w:rPr>
        <w:t>度： </w:t>
      </w:r>
      <w:r>
        <w:rPr>
          <w:rFonts w:ascii="宋体" w:hAnsi="宋体" w:cs="宋体" w:eastAsia="宋体" w:hint="default"/>
          <w:spacing w:val="-7"/>
        </w:rPr>
        <w:t>4,000</w:t>
      </w:r>
      <w:r>
        <w:rPr>
          <w:spacing w:val="-7"/>
        </w:rPr>
        <w:t>万元；</w:t>
      </w:r>
      <w:r>
        <w:rPr>
          <w:rFonts w:ascii="宋体" w:hAnsi="宋体" w:cs="宋体" w:eastAsia="宋体" w:hint="default"/>
          <w:spacing w:val="-7"/>
        </w:rPr>
        <w:t>2018</w:t>
      </w:r>
      <w:r>
        <w:rPr>
          <w:spacing w:val="-7"/>
        </w:rPr>
        <w:t>年度：</w:t>
      </w:r>
      <w:r>
        <w:rPr>
          <w:rFonts w:ascii="宋体" w:hAnsi="宋体" w:cs="宋体" w:eastAsia="宋体" w:hint="default"/>
          <w:spacing w:val="-7"/>
        </w:rPr>
        <w:t>4,800</w:t>
      </w:r>
      <w:r>
        <w:rPr>
          <w:spacing w:val="-7"/>
        </w:rPr>
        <w:t>万元；</w:t>
      </w:r>
      <w:r>
        <w:rPr>
          <w:rFonts w:ascii="宋体" w:hAnsi="宋体" w:cs="宋体" w:eastAsia="宋体" w:hint="default"/>
          <w:spacing w:val="-7"/>
        </w:rPr>
        <w:t>2019</w:t>
      </w:r>
      <w:r>
        <w:rPr>
          <w:spacing w:val="-7"/>
        </w:rPr>
        <w:t>年度：</w:t>
      </w:r>
      <w:r>
        <w:rPr>
          <w:rFonts w:ascii="宋体" w:hAnsi="宋体" w:cs="宋体" w:eastAsia="宋体" w:hint="default"/>
          <w:spacing w:val="-7"/>
        </w:rPr>
        <w:t>6,000</w:t>
      </w:r>
      <w:r>
        <w:rPr>
          <w:spacing w:val="-7"/>
        </w:rPr>
        <w:t>万元。如果实现的净利润指标低于上述承诺，</w:t>
      </w:r>
    </w:p>
    <w:p>
      <w:pPr>
        <w:pStyle w:val="BodyText"/>
        <w:spacing w:line="272" w:lineRule="exact" w:before="2"/>
        <w:ind w:right="102"/>
        <w:jc w:val="left"/>
        <w:rPr>
          <w:rFonts w:ascii="宋体" w:hAnsi="宋体" w:cs="宋体" w:eastAsia="宋体" w:hint="default"/>
        </w:rPr>
      </w:pPr>
      <w:r>
        <w:rPr/>
        <w:t>则业绩承诺责任人将按照签署的《利润补偿协议》的约定，以现金或者共管账户中的泰豪科技股</w:t>
      </w:r>
      <w:r>
        <w:rPr>
          <w:spacing w:val="-97"/>
        </w:rPr>
        <w:t> </w:t>
      </w:r>
      <w:r>
        <w:rPr>
          <w:spacing w:val="-97"/>
        </w:rPr>
      </w:r>
      <w:r>
        <w:rPr>
          <w:spacing w:val="-6"/>
          <w:w w:val="100"/>
        </w:rPr>
        <w:t>份进行补偿。具体详见公司于</w:t>
      </w:r>
      <w:r>
        <w:rPr>
          <w:rFonts w:ascii="宋体" w:hAnsi="宋体" w:cs="宋体" w:eastAsia="宋体" w:hint="default"/>
          <w:spacing w:val="-6"/>
          <w:w w:val="100"/>
        </w:rPr>
        <w:t>2017</w:t>
      </w:r>
      <w:r>
        <w:rPr>
          <w:spacing w:val="-6"/>
          <w:w w:val="100"/>
        </w:rPr>
        <w:t>年</w:t>
      </w:r>
      <w:r>
        <w:rPr>
          <w:rFonts w:ascii="宋体" w:hAnsi="宋体" w:cs="宋体" w:eastAsia="宋体" w:hint="default"/>
          <w:spacing w:val="-6"/>
          <w:w w:val="100"/>
        </w:rPr>
        <w:t>6</w:t>
      </w:r>
      <w:r>
        <w:rPr>
          <w:spacing w:val="-6"/>
          <w:w w:val="100"/>
        </w:rPr>
        <w:t>月</w:t>
      </w:r>
      <w:r>
        <w:rPr>
          <w:rFonts w:ascii="宋体" w:hAnsi="宋体" w:cs="宋体" w:eastAsia="宋体" w:hint="default"/>
          <w:spacing w:val="-6"/>
          <w:w w:val="100"/>
        </w:rPr>
        <w:t>16</w:t>
      </w:r>
      <w:r>
        <w:rPr>
          <w:spacing w:val="-6"/>
          <w:w w:val="100"/>
        </w:rPr>
        <w:t>日发布的《公司关于收购上海红生系统工程有限公司</w:t>
      </w:r>
      <w:r>
        <w:rPr>
          <w:rFonts w:ascii="宋体" w:hAnsi="宋体" w:cs="宋体" w:eastAsia="宋体" w:hint="default"/>
          <w:spacing w:val="-6"/>
          <w:w w:val="100"/>
        </w:rPr>
        <w:t>100%</w:t>
      </w:r>
    </w:p>
    <w:p>
      <w:pPr>
        <w:pStyle w:val="BodyText"/>
        <w:spacing w:line="272" w:lineRule="exact" w:before="1"/>
        <w:ind w:left="557" w:right="102" w:hanging="421"/>
        <w:jc w:val="left"/>
      </w:pPr>
      <w:r>
        <w:rPr/>
        <w:t>股权的公告》（公告编号：临</w:t>
      </w:r>
      <w:r>
        <w:rPr>
          <w:rFonts w:ascii="宋体" w:hAnsi="宋体" w:cs="宋体" w:eastAsia="宋体" w:hint="default"/>
        </w:rPr>
        <w:t>2017-053</w:t>
      </w:r>
      <w:r>
        <w:rPr/>
        <w:t>）。</w:t>
      </w:r>
      <w:r>
        <w:rPr>
          <w:rFonts w:ascii="宋体" w:hAnsi="宋体" w:cs="宋体" w:eastAsia="宋体" w:hint="default"/>
          <w:w w:val="100"/>
        </w:rPr>
        <w:t> </w:t>
      </w:r>
      <w:r>
        <w:rPr>
          <w:rFonts w:ascii="宋体" w:hAnsi="宋体" w:cs="宋体" w:eastAsia="宋体" w:hint="default"/>
          <w:spacing w:val="-3"/>
        </w:rPr>
        <w:t>2017</w:t>
      </w:r>
      <w:r>
        <w:rPr>
          <w:spacing w:val="-3"/>
        </w:rPr>
        <w:t>年度，上海红生经审计后实现的净利润为</w:t>
      </w:r>
      <w:r>
        <w:rPr>
          <w:rFonts w:ascii="宋体" w:hAnsi="宋体" w:cs="宋体" w:eastAsia="宋体" w:hint="default"/>
          <w:spacing w:val="-3"/>
        </w:rPr>
        <w:t>4,155.71</w:t>
      </w:r>
      <w:r>
        <w:rPr>
          <w:spacing w:val="-3"/>
        </w:rPr>
        <w:t>万元，完成业绩承诺的</w:t>
      </w:r>
      <w:r>
        <w:rPr>
          <w:rFonts w:ascii="宋体" w:hAnsi="宋体" w:cs="宋体" w:eastAsia="宋体" w:hint="default"/>
          <w:spacing w:val="-3"/>
        </w:rPr>
        <w:t>103.89%</w:t>
      </w:r>
      <w:r>
        <w:rPr>
          <w:spacing w:val="-3"/>
        </w:rPr>
        <w:t>，业绩</w:t>
      </w:r>
    </w:p>
    <w:p>
      <w:pPr>
        <w:pStyle w:val="BodyText"/>
        <w:spacing w:line="272" w:lineRule="exact" w:before="1"/>
        <w:ind w:left="557" w:right="102" w:hanging="421"/>
        <w:jc w:val="left"/>
      </w:pPr>
      <w:r>
        <w:rPr/>
        <w:t>承诺方无需履行补偿义务。</w:t>
      </w:r>
      <w:r>
        <w:rPr>
          <w:rFonts w:ascii="宋体" w:hAnsi="宋体" w:cs="宋体" w:eastAsia="宋体" w:hint="default"/>
          <w:w w:val="100"/>
        </w:rPr>
        <w:t> </w:t>
      </w:r>
      <w:r>
        <w:rPr>
          <w:rFonts w:ascii="宋体" w:hAnsi="宋体" w:cs="宋体" w:eastAsia="宋体" w:hint="default"/>
          <w:spacing w:val="-4"/>
        </w:rPr>
        <w:t>2018</w:t>
      </w:r>
      <w:r>
        <w:rPr>
          <w:spacing w:val="-4"/>
        </w:rPr>
        <w:t>年度，上海红生经审计后实现的净利润为</w:t>
      </w:r>
      <w:r>
        <w:rPr>
          <w:rFonts w:ascii="宋体" w:hAnsi="宋体" w:cs="宋体" w:eastAsia="宋体" w:hint="default"/>
          <w:spacing w:val="-4"/>
        </w:rPr>
        <w:t>5,117.23</w:t>
      </w:r>
      <w:r>
        <w:rPr>
          <w:spacing w:val="-4"/>
        </w:rPr>
        <w:t>万元，完成业绩承诺数的</w:t>
      </w:r>
      <w:r>
        <w:rPr>
          <w:rFonts w:ascii="宋体" w:hAnsi="宋体" w:cs="宋体" w:eastAsia="宋体" w:hint="default"/>
          <w:spacing w:val="-4"/>
        </w:rPr>
        <w:t>106.61%</w:t>
      </w:r>
      <w:r>
        <w:rPr>
          <w:spacing w:val="-4"/>
        </w:rPr>
        <w:t>，业</w:t>
      </w:r>
      <w:r>
        <w:rPr/>
      </w:r>
    </w:p>
    <w:p>
      <w:pPr>
        <w:pStyle w:val="BodyText"/>
        <w:spacing w:line="272" w:lineRule="exact" w:before="1"/>
        <w:ind w:left="557" w:right="102" w:hanging="421"/>
        <w:jc w:val="left"/>
      </w:pPr>
      <w:r>
        <w:rPr/>
        <w:t>绩承诺方无需履行补偿义务。</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4"/>
        </w:rPr>
        <w:t>2019</w:t>
      </w:r>
      <w:r>
        <w:rPr>
          <w:spacing w:val="-4"/>
        </w:rPr>
        <w:t>年度，上海红生经审计后实现的净利润为</w:t>
      </w:r>
      <w:r>
        <w:rPr>
          <w:rFonts w:ascii="宋体" w:hAnsi="宋体" w:cs="宋体" w:eastAsia="宋体" w:hint="default"/>
          <w:spacing w:val="-4"/>
        </w:rPr>
        <w:t>6,005.34</w:t>
      </w:r>
      <w:r>
        <w:rPr>
          <w:spacing w:val="-4"/>
        </w:rPr>
        <w:t>万元，完成业绩承诺数的</w:t>
      </w:r>
      <w:r>
        <w:rPr>
          <w:rFonts w:ascii="宋体" w:hAnsi="宋体" w:cs="宋体" w:eastAsia="宋体" w:hint="default"/>
          <w:spacing w:val="-4"/>
        </w:rPr>
        <w:t>100.09%</w:t>
      </w:r>
      <w:r>
        <w:rPr>
          <w:spacing w:val="-4"/>
        </w:rPr>
        <w:t>，业</w:t>
      </w:r>
      <w:r>
        <w:rPr/>
      </w:r>
    </w:p>
    <w:p>
      <w:pPr>
        <w:pStyle w:val="BodyText"/>
        <w:spacing w:line="272" w:lineRule="exact" w:before="1"/>
        <w:ind w:left="557" w:right="102" w:hanging="421"/>
        <w:jc w:val="left"/>
      </w:pPr>
      <w:r>
        <w:rPr/>
        <w:t>绩承诺方无需履行补偿义务。</w:t>
      </w:r>
      <w:r>
        <w:rPr>
          <w:rFonts w:ascii="宋体" w:hAnsi="宋体" w:cs="宋体" w:eastAsia="宋体" w:hint="default"/>
          <w:w w:val="100"/>
        </w:rPr>
        <w:t> </w:t>
      </w:r>
      <w:r>
        <w:rPr>
          <w:rFonts w:ascii="宋体" w:hAnsi="宋体" w:cs="宋体" w:eastAsia="宋体" w:hint="default"/>
          <w:spacing w:val="-1"/>
        </w:rPr>
        <w:t>3</w:t>
      </w:r>
      <w:r>
        <w:rPr>
          <w:spacing w:val="-1"/>
        </w:rPr>
        <w:t>、</w:t>
      </w:r>
      <w:r>
        <w:rPr>
          <w:rFonts w:ascii="宋体" w:hAnsi="宋体" w:cs="宋体" w:eastAsia="宋体" w:hint="default"/>
          <w:spacing w:val="-1"/>
        </w:rPr>
        <w:t>2018</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23</w:t>
      </w:r>
      <w:r>
        <w:rPr>
          <w:spacing w:val="-1"/>
        </w:rPr>
        <w:t>日，公司第六届董事会第三十三次会议、第六届监事会第十八次审议通过了</w:t>
      </w:r>
    </w:p>
    <w:p>
      <w:pPr>
        <w:pStyle w:val="BodyText"/>
        <w:spacing w:line="272" w:lineRule="exact" w:before="1"/>
        <w:ind w:right="102"/>
        <w:jc w:val="left"/>
      </w:pPr>
      <w:r>
        <w:rPr/>
        <w:t>《关于公司拟收购北京泰豪装备科技有限公司</w:t>
      </w:r>
      <w:r>
        <w:rPr>
          <w:spacing w:val="23"/>
        </w:rPr>
        <w:t> </w:t>
      </w:r>
      <w:r>
        <w:rPr>
          <w:rFonts w:ascii="宋体" w:hAnsi="宋体" w:cs="宋体" w:eastAsia="宋体" w:hint="default"/>
          <w:spacing w:val="23"/>
        </w:rPr>
      </w:r>
      <w:r>
        <w:rPr>
          <w:rFonts w:ascii="宋体" w:hAnsi="宋体" w:cs="宋体" w:eastAsia="宋体" w:hint="default"/>
          <w:spacing w:val="-5"/>
        </w:rPr>
        <w:t>60%</w:t>
      </w:r>
      <w:r>
        <w:rPr>
          <w:spacing w:val="-5"/>
        </w:rPr>
        <w:t>股权暨关联交易的议案》，公司拟以</w:t>
      </w:r>
      <w:r>
        <w:rPr>
          <w:rFonts w:ascii="宋体" w:hAnsi="宋体" w:cs="宋体" w:eastAsia="宋体" w:hint="default"/>
          <w:spacing w:val="-5"/>
        </w:rPr>
        <w:t>7,000</w:t>
      </w:r>
      <w:r>
        <w:rPr>
          <w:spacing w:val="-5"/>
        </w:rPr>
        <w:t>万元</w:t>
      </w:r>
      <w:r>
        <w:rPr>
          <w:spacing w:val="-101"/>
        </w:rPr>
        <w:t> </w:t>
      </w:r>
      <w:r>
        <w:rPr>
          <w:spacing w:val="-4"/>
        </w:rPr>
        <w:t>现金购买泰豪集团持有的北京泰豪装备</w:t>
      </w:r>
      <w:r>
        <w:rPr>
          <w:rFonts w:ascii="宋体" w:hAnsi="宋体" w:cs="宋体" w:eastAsia="宋体" w:hint="default"/>
          <w:spacing w:val="-4"/>
        </w:rPr>
        <w:t>60%</w:t>
      </w:r>
      <w:r>
        <w:rPr>
          <w:spacing w:val="-4"/>
        </w:rPr>
        <w:t>股权。根据《泰豪科技股份有限公司与泰豪集团有限公</w:t>
      </w:r>
    </w:p>
    <w:p>
      <w:pPr>
        <w:pStyle w:val="BodyText"/>
        <w:spacing w:line="247" w:lineRule="exact"/>
        <w:ind w:right="102"/>
        <w:jc w:val="left"/>
      </w:pPr>
      <w:r>
        <w:rPr/>
        <w:t>司之利润补偿协议》，</w:t>
      </w:r>
      <w:r>
        <w:rPr>
          <w:rFonts w:ascii="宋体" w:hAnsi="宋体" w:cs="宋体" w:eastAsia="宋体" w:hint="default"/>
        </w:rPr>
        <w:t>2018</w:t>
      </w:r>
      <w:r>
        <w:rPr/>
        <w:t>年至</w:t>
      </w:r>
      <w:r>
        <w:rPr>
          <w:rFonts w:ascii="宋体" w:hAnsi="宋体" w:cs="宋体" w:eastAsia="宋体" w:hint="default"/>
        </w:rPr>
        <w:t>2020</w:t>
      </w:r>
      <w:r>
        <w:rPr/>
        <w:t>年北京泰豪装备科技有限公司实现扣除非经常性损益归属母</w:t>
      </w:r>
    </w:p>
    <w:p>
      <w:pPr>
        <w:pStyle w:val="BodyText"/>
        <w:spacing w:line="237" w:lineRule="auto" w:before="1"/>
        <w:ind w:right="211"/>
        <w:jc w:val="both"/>
        <w:rPr>
          <w:rFonts w:ascii="宋体" w:hAnsi="宋体" w:cs="宋体" w:eastAsia="宋体" w:hint="default"/>
        </w:rPr>
      </w:pPr>
      <w:r>
        <w:rPr>
          <w:spacing w:val="-4"/>
        </w:rPr>
        <w:t>公司股东的净利润分别为</w:t>
      </w:r>
      <w:r>
        <w:rPr>
          <w:rFonts w:ascii="宋体" w:hAnsi="宋体" w:cs="宋体" w:eastAsia="宋体" w:hint="default"/>
          <w:spacing w:val="-4"/>
        </w:rPr>
        <w:t>1,100</w:t>
      </w:r>
      <w:r>
        <w:rPr>
          <w:spacing w:val="-4"/>
        </w:rPr>
        <w:t>万元、</w:t>
      </w:r>
      <w:r>
        <w:rPr>
          <w:rFonts w:ascii="宋体" w:hAnsi="宋体" w:cs="宋体" w:eastAsia="宋体" w:hint="default"/>
          <w:spacing w:val="-4"/>
        </w:rPr>
        <w:t>1,500</w:t>
      </w:r>
      <w:r>
        <w:rPr>
          <w:spacing w:val="-4"/>
        </w:rPr>
        <w:t>万元、</w:t>
      </w:r>
      <w:r>
        <w:rPr>
          <w:rFonts w:ascii="宋体" w:hAnsi="宋体" w:cs="宋体" w:eastAsia="宋体" w:hint="default"/>
          <w:spacing w:val="-4"/>
        </w:rPr>
        <w:t>2,000</w:t>
      </w:r>
      <w:r>
        <w:rPr>
          <w:spacing w:val="-4"/>
        </w:rPr>
        <w:t>万元。否则，泰豪集团须按协议约定向公</w:t>
      </w:r>
      <w:r>
        <w:rPr>
          <w:spacing w:val="-11"/>
        </w:rPr>
        <w:t> </w:t>
      </w:r>
      <w:r>
        <w:rPr>
          <w:spacing w:val="-11"/>
        </w:rPr>
      </w:r>
      <w:r>
        <w:rPr>
          <w:spacing w:val="-4"/>
        </w:rPr>
        <w:t>司进行补偿。具体详见公司于</w:t>
      </w:r>
      <w:r>
        <w:rPr>
          <w:rFonts w:ascii="宋体" w:hAnsi="宋体" w:cs="宋体" w:eastAsia="宋体" w:hint="default"/>
          <w:spacing w:val="-4"/>
        </w:rPr>
        <w:t>2018</w:t>
      </w:r>
      <w:r>
        <w:rPr>
          <w:spacing w:val="-4"/>
        </w:rPr>
        <w:t>年</w:t>
      </w:r>
      <w:r>
        <w:rPr>
          <w:rFonts w:ascii="宋体" w:hAnsi="宋体" w:cs="宋体" w:eastAsia="宋体" w:hint="default"/>
          <w:spacing w:val="-4"/>
        </w:rPr>
        <w:t>6</w:t>
      </w:r>
      <w:r>
        <w:rPr>
          <w:spacing w:val="-4"/>
        </w:rPr>
        <w:t>月</w:t>
      </w:r>
      <w:r>
        <w:rPr>
          <w:rFonts w:ascii="宋体" w:hAnsi="宋体" w:cs="宋体" w:eastAsia="宋体" w:hint="default"/>
          <w:spacing w:val="-4"/>
        </w:rPr>
        <w:t>26</w:t>
      </w:r>
      <w:r>
        <w:rPr>
          <w:spacing w:val="-4"/>
        </w:rPr>
        <w:t>日发布的《公司关于拟收购北京泰豪装备科技有限公司</w:t>
      </w:r>
      <w:r>
        <w:rPr>
          <w:spacing w:val="-24"/>
        </w:rPr>
        <w:t> </w:t>
      </w:r>
      <w:r>
        <w:rPr>
          <w:spacing w:val="-24"/>
        </w:rPr>
      </w:r>
      <w:r>
        <w:rPr>
          <w:rFonts w:ascii="宋体" w:hAnsi="宋体" w:cs="宋体" w:eastAsia="宋体" w:hint="default"/>
        </w:rPr>
        <w:t>60%</w:t>
      </w:r>
      <w:r>
        <w:rPr/>
        <w:t>股权暨关联交易的公告》（公告编号：临</w:t>
      </w:r>
      <w:r>
        <w:rPr>
          <w:rFonts w:ascii="宋体" w:hAnsi="宋体" w:cs="宋体" w:eastAsia="宋体" w:hint="default"/>
        </w:rPr>
        <w:t>2018-035</w:t>
      </w:r>
      <w:r>
        <w:rPr/>
        <w:t>）。</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557" w:right="102"/>
        <w:jc w:val="left"/>
      </w:pPr>
      <w:r>
        <w:rPr>
          <w:rFonts w:ascii="宋体" w:hAnsi="宋体" w:cs="宋体" w:eastAsia="宋体" w:hint="default"/>
        </w:rPr>
        <w:t>2018</w:t>
      </w:r>
      <w:r>
        <w:rPr>
          <w:rFonts w:ascii="宋体" w:hAnsi="宋体" w:cs="宋体" w:eastAsia="宋体" w:hint="default"/>
          <w:spacing w:val="101"/>
        </w:rPr>
        <w:t> </w:t>
      </w:r>
      <w:r>
        <w:rPr>
          <w:spacing w:val="12"/>
        </w:rPr>
        <w:t>年，北京泰豪装备经审计后实现的扣除非经常性损益归属母公司股东的净利润为</w:t>
      </w:r>
    </w:p>
    <w:p>
      <w:pPr>
        <w:pStyle w:val="BodyText"/>
        <w:spacing w:line="272" w:lineRule="exact"/>
        <w:ind w:right="102"/>
        <w:jc w:val="left"/>
        <w:rPr>
          <w:rFonts w:ascii="宋体" w:hAnsi="宋体" w:cs="宋体" w:eastAsia="宋体" w:hint="default"/>
        </w:rPr>
      </w:pPr>
      <w:r>
        <w:rPr>
          <w:rFonts w:ascii="宋体" w:hAnsi="宋体" w:cs="宋体" w:eastAsia="宋体" w:hint="default"/>
        </w:rPr>
        <w:t>1,452.97</w:t>
      </w:r>
      <w:r>
        <w:rPr>
          <w:rFonts w:ascii="宋体" w:hAnsi="宋体" w:cs="宋体" w:eastAsia="宋体" w:hint="default"/>
          <w:spacing w:val="-59"/>
        </w:rPr>
        <w:t> </w:t>
      </w:r>
      <w:r>
        <w:rPr/>
        <w:t>万元，完成业绩承诺数的</w:t>
      </w:r>
      <w:r>
        <w:rPr>
          <w:spacing w:val="-56"/>
        </w:rPr>
        <w:t> </w:t>
      </w:r>
      <w:r>
        <w:rPr>
          <w:rFonts w:ascii="宋体" w:hAnsi="宋体" w:cs="宋体" w:eastAsia="宋体" w:hint="default"/>
        </w:rPr>
        <w:t>132.08%</w:t>
      </w:r>
      <w:r>
        <w:rPr/>
        <w:t>，业绩承诺方无需履行补偿义务。</w:t>
      </w:r>
      <w:r>
        <w:rPr>
          <w:rFonts w:ascii="宋体" w:hAnsi="宋体" w:cs="宋体" w:eastAsia="宋体" w:hint="default"/>
        </w:rPr>
        <w:t> </w:t>
      </w:r>
    </w:p>
    <w:p>
      <w:pPr>
        <w:pStyle w:val="BodyText"/>
        <w:spacing w:line="272" w:lineRule="exact"/>
        <w:ind w:left="557" w:right="102"/>
        <w:jc w:val="left"/>
      </w:pPr>
      <w:r>
        <w:rPr>
          <w:rFonts w:ascii="宋体" w:hAnsi="宋体" w:cs="宋体" w:eastAsia="宋体" w:hint="default"/>
        </w:rPr>
        <w:t>2019</w:t>
      </w:r>
      <w:r>
        <w:rPr>
          <w:rFonts w:ascii="宋体" w:hAnsi="宋体" w:cs="宋体" w:eastAsia="宋体" w:hint="default"/>
          <w:spacing w:val="101"/>
        </w:rPr>
        <w:t> </w:t>
      </w:r>
      <w:r>
        <w:rPr>
          <w:spacing w:val="12"/>
        </w:rPr>
        <w:t>年，北京泰豪装备经审计后实现的扣除非经常性损益归属母公司股东的净利润为</w:t>
      </w:r>
    </w:p>
    <w:p>
      <w:pPr>
        <w:pStyle w:val="BodyText"/>
        <w:spacing w:line="274" w:lineRule="exact"/>
        <w:ind w:right="102"/>
        <w:jc w:val="left"/>
        <w:rPr>
          <w:rFonts w:ascii="宋体" w:hAnsi="宋体" w:cs="宋体" w:eastAsia="宋体" w:hint="default"/>
          <w:sz w:val="24"/>
          <w:szCs w:val="24"/>
        </w:rPr>
      </w:pPr>
      <w:r>
        <w:rPr>
          <w:rFonts w:ascii="宋体" w:hAnsi="宋体" w:cs="宋体" w:eastAsia="宋体" w:hint="default"/>
        </w:rPr>
        <w:t>1,608.64</w:t>
      </w:r>
      <w:r>
        <w:rPr>
          <w:rFonts w:ascii="宋体" w:hAnsi="宋体" w:cs="宋体" w:eastAsia="宋体" w:hint="default"/>
          <w:spacing w:val="-59"/>
        </w:rPr>
        <w:t> </w:t>
      </w:r>
      <w:r>
        <w:rPr/>
        <w:t>万元，完成业绩承诺数的</w:t>
      </w:r>
      <w:r>
        <w:rPr>
          <w:spacing w:val="-56"/>
        </w:rPr>
        <w:t> </w:t>
      </w:r>
      <w:r>
        <w:rPr>
          <w:rFonts w:ascii="宋体" w:hAnsi="宋体" w:cs="宋体" w:eastAsia="宋体" w:hint="default"/>
        </w:rPr>
        <w:t>107.24%</w:t>
      </w:r>
      <w:r>
        <w:rPr/>
        <w:t>，业绩承诺方无需履行补偿义务。</w:t>
      </w:r>
      <w:r>
        <w:rPr>
          <w:rFonts w:ascii="宋体" w:hAnsi="宋体" w:cs="宋体" w:eastAsia="宋体" w:hint="default"/>
          <w:sz w:val="24"/>
          <w:szCs w:val="24"/>
        </w:rPr>
        <w:t> </w:t>
      </w:r>
    </w:p>
    <w:p>
      <w:pPr>
        <w:pStyle w:val="Heading5"/>
        <w:tabs>
          <w:tab w:pos="703" w:val="left" w:leader="none"/>
        </w:tabs>
        <w:spacing w:line="240" w:lineRule="auto" w:before="56"/>
        <w:ind w:left="136" w:right="102"/>
        <w:jc w:val="left"/>
        <w:rPr>
          <w:b w:val="0"/>
          <w:bCs w:val="0"/>
        </w:rPr>
      </w:pPr>
      <w:r>
        <w:rPr>
          <w:rFonts w:ascii="Calibri" w:hAnsi="Calibri" w:cs="Calibri" w:eastAsia="Calibri" w:hint="default"/>
        </w:rPr>
        <w:t>(</w:t>
      </w:r>
      <w:r>
        <w:rPr/>
        <w:t>三</w:t>
      </w:r>
      <w:r>
        <w:rPr>
          <w:rFonts w:ascii="Calibri" w:hAnsi="Calibri" w:cs="Calibri" w:eastAsia="Calibri" w:hint="default"/>
        </w:rPr>
        <w:t>)</w:t>
        <w:tab/>
      </w:r>
      <w:r>
        <w:rPr/>
        <w:t>业绩承诺的完成情况及其对商誉减值测试的影响</w:t>
      </w:r>
      <w:r>
        <w:rPr>
          <w:b w:val="0"/>
          <w:bCs w:val="0"/>
        </w:rPr>
      </w:r>
    </w:p>
    <w:p>
      <w:pPr>
        <w:pStyle w:val="Heading3"/>
        <w:spacing w:line="240" w:lineRule="auto" w:before="25"/>
        <w:ind w:left="136" w:right="10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headerReference w:type="default" r:id="rId21"/>
          <w:footerReference w:type="default" r:id="rId22"/>
          <w:pgSz w:w="11910" w:h="16840"/>
          <w:pgMar w:header="880" w:footer="1195" w:top="1120" w:bottom="1380" w:left="1140" w:right="1580"/>
          <w:pgNumType w:start="34"/>
        </w:sectPr>
      </w:pPr>
    </w:p>
    <w:p>
      <w:pPr>
        <w:spacing w:line="240" w:lineRule="auto" w:before="11"/>
        <w:rPr>
          <w:rFonts w:ascii="宋体" w:hAnsi="宋体" w:cs="宋体" w:eastAsia="宋体" w:hint="default"/>
          <w:b/>
          <w:bCs/>
          <w:sz w:val="18"/>
          <w:szCs w:val="18"/>
        </w:rPr>
      </w:pPr>
    </w:p>
    <w:p>
      <w:pPr>
        <w:pStyle w:val="BodyText"/>
        <w:spacing w:line="237" w:lineRule="auto" w:before="38"/>
        <w:ind w:right="208" w:firstLine="420"/>
        <w:jc w:val="both"/>
        <w:rPr>
          <w:rFonts w:ascii="宋体" w:hAnsi="宋体" w:cs="宋体" w:eastAsia="宋体" w:hint="default"/>
        </w:rPr>
      </w:pPr>
      <w:r>
        <w:rPr>
          <w:rFonts w:ascii="宋体" w:hAnsi="宋体" w:cs="宋体" w:eastAsia="宋体" w:hint="default"/>
          <w:spacing w:val="-4"/>
        </w:rPr>
        <w:t>1</w:t>
      </w:r>
      <w:r>
        <w:rPr>
          <w:spacing w:val="-4"/>
        </w:rPr>
        <w:t>、公司全资子公司博辕信息主要从事国家电网公司信息技术服务及新能源开发业务，由于国</w:t>
      </w:r>
      <w:r>
        <w:rPr>
          <w:w w:val="100"/>
        </w:rPr>
        <w:t> </w:t>
      </w:r>
      <w:r>
        <w:rPr>
          <w:spacing w:val="-1"/>
        </w:rPr>
        <w:t>家相关政策调整，受新能源业务补贴取消、信息技术服务业务回款较慢等影响，报告期内公司对</w:t>
      </w:r>
      <w:r>
        <w:rPr>
          <w:spacing w:val="-55"/>
        </w:rPr>
        <w:t> </w:t>
      </w:r>
      <w:r>
        <w:rPr>
          <w:spacing w:val="-55"/>
        </w:rPr>
      </w:r>
      <w:r>
        <w:rPr>
          <w:spacing w:val="-1"/>
        </w:rPr>
        <w:t>博辕信息所从事的新能源电站开发、信息技术服务相关业务进行了收缩及调整，业务逐步向综合</w:t>
      </w:r>
      <w:r>
        <w:rPr>
          <w:spacing w:val="-55"/>
        </w:rPr>
        <w:t> </w:t>
      </w:r>
      <w:r>
        <w:rPr>
          <w:spacing w:val="-55"/>
        </w:rPr>
      </w:r>
      <w:r>
        <w:rPr>
          <w:spacing w:val="-1"/>
        </w:rPr>
        <w:t>能源服务转型。转型过程中导致博辕信息原有业务收入下滑，实现利润不及预期，博辕信息商誉</w:t>
      </w:r>
      <w:r>
        <w:rPr>
          <w:spacing w:val="-55"/>
        </w:rPr>
        <w:t> </w:t>
      </w:r>
      <w:r>
        <w:rPr>
          <w:spacing w:val="-55"/>
        </w:rPr>
      </w:r>
      <w:r>
        <w:rPr>
          <w:spacing w:val="2"/>
        </w:rPr>
        <w:t>出现了减值迹象，公司聘请专业机构对其商誉进行了减值测试，测试结果博辕信息商誉需计提</w:t>
      </w:r>
      <w:r>
        <w:rPr>
          <w:spacing w:val="14"/>
        </w:rPr>
        <w:t> </w:t>
      </w:r>
      <w:r>
        <w:rPr>
          <w:spacing w:val="14"/>
        </w:rPr>
      </w:r>
      <w:r>
        <w:rPr>
          <w:rFonts w:ascii="宋体" w:hAnsi="宋体" w:cs="宋体" w:eastAsia="宋体" w:hint="default"/>
        </w:rPr>
        <w:t>16,132.04</w:t>
      </w:r>
      <w:r>
        <w:rPr>
          <w:rFonts w:ascii="宋体" w:hAnsi="宋体" w:cs="宋体" w:eastAsia="宋体" w:hint="default"/>
          <w:spacing w:val="-55"/>
        </w:rPr>
        <w:t> </w:t>
      </w:r>
      <w:r>
        <w:rPr/>
        <w:t>万元减值准备。</w:t>
      </w:r>
      <w:r>
        <w:rPr>
          <w:rFonts w:ascii="宋体" w:hAnsi="宋体" w:cs="宋体" w:eastAsia="宋体" w:hint="default"/>
        </w:rPr>
        <w:t> </w:t>
      </w:r>
    </w:p>
    <w:p>
      <w:pPr>
        <w:pStyle w:val="Heading3"/>
        <w:spacing w:line="307" w:lineRule="exact"/>
        <w:ind w:left="136" w:right="0"/>
        <w:jc w:val="left"/>
        <w:rPr>
          <w:rFonts w:ascii="宋体" w:hAnsi="宋体" w:cs="宋体" w:eastAsia="宋体" w:hint="default"/>
        </w:rPr>
      </w:pPr>
      <w:r>
        <w:rPr>
          <w:rFonts w:ascii="宋体"/>
        </w:rPr>
        <w:t> </w:t>
      </w:r>
    </w:p>
    <w:p>
      <w:pPr>
        <w:pStyle w:val="Heading5"/>
        <w:spacing w:line="240" w:lineRule="auto"/>
        <w:ind w:left="136" w:right="102"/>
        <w:jc w:val="left"/>
        <w:rPr>
          <w:b w:val="0"/>
          <w:bCs w:val="0"/>
        </w:rPr>
      </w:pPr>
      <w:r>
        <w:rPr/>
        <w:t>三、报告期内资金被占用情况及清欠进展情况</w:t>
      </w:r>
      <w:r>
        <w:rPr>
          <w:b w:val="0"/>
          <w:bCs w:val="0"/>
        </w:rPr>
      </w:r>
    </w:p>
    <w:p>
      <w:pPr>
        <w:spacing w:line="276" w:lineRule="auto" w:before="56"/>
        <w:ind w:left="136" w:right="308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pStyle w:val="Heading3"/>
        <w:spacing w:line="313" w:lineRule="exact" w:before="18"/>
        <w:ind w:left="136" w:right="10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136" w:right="0"/>
        <w:jc w:val="left"/>
        <w:rPr>
          <w:rFonts w:ascii="宋体" w:hAnsi="宋体" w:cs="宋体" w:eastAsia="宋体" w:hint="default"/>
        </w:rPr>
      </w:pPr>
      <w:r>
        <w:rPr>
          <w:rFonts w:ascii="宋体"/>
        </w:rPr>
        <w:t> </w:t>
      </w:r>
    </w:p>
    <w:p>
      <w:pPr>
        <w:pStyle w:val="Heading5"/>
        <w:spacing w:line="240" w:lineRule="auto" w:before="62"/>
        <w:ind w:left="136" w:right="102"/>
        <w:jc w:val="left"/>
        <w:rPr>
          <w:b w:val="0"/>
          <w:bCs w:val="0"/>
        </w:rPr>
      </w:pPr>
      <w:r>
        <w:rPr/>
        <w:t>五、公司对会计政策、会计估计变更或重大会计差错更正原因和影响的分析说明</w:t>
      </w:r>
      <w:r>
        <w:rPr>
          <w:b w:val="0"/>
          <w:bCs w:val="0"/>
        </w:rPr>
      </w:r>
    </w:p>
    <w:p>
      <w:pPr>
        <w:pStyle w:val="Heading5"/>
        <w:spacing w:line="240" w:lineRule="auto" w:before="58"/>
        <w:ind w:left="136" w:right="102"/>
        <w:jc w:val="left"/>
        <w:rPr>
          <w:b w:val="0"/>
          <w:bCs w:val="0"/>
        </w:rPr>
      </w:pPr>
      <w:r>
        <w:rPr/>
        <w:t>（一）公司对会计政策、会计估计变更原因及影响的分析说明</w:t>
      </w:r>
      <w:r>
        <w:rPr>
          <w:b w:val="0"/>
          <w:bCs w:val="0"/>
        </w:rPr>
      </w:r>
    </w:p>
    <w:p>
      <w:pPr>
        <w:pStyle w:val="BodyText"/>
        <w:tabs>
          <w:tab w:pos="979" w:val="left" w:leader="none"/>
        </w:tabs>
        <w:spacing w:line="271" w:lineRule="exact" w:before="56"/>
        <w:ind w:right="102"/>
        <w:jc w:val="left"/>
      </w:pPr>
      <w:r>
        <w:rPr/>
        <w:t>□适用</w:t>
        <w:tab/>
        <w:t>√不适用</w:t>
      </w:r>
    </w:p>
    <w:p>
      <w:pPr>
        <w:pStyle w:val="Heading3"/>
        <w:spacing w:line="310" w:lineRule="exact"/>
        <w:ind w:left="136" w:right="0"/>
        <w:jc w:val="left"/>
        <w:rPr>
          <w:rFonts w:ascii="宋体" w:hAnsi="宋体" w:cs="宋体" w:eastAsia="宋体" w:hint="default"/>
        </w:rPr>
      </w:pPr>
      <w:r>
        <w:rPr>
          <w:rFonts w:ascii="宋体"/>
        </w:rPr>
        <w:t> </w:t>
      </w:r>
    </w:p>
    <w:p>
      <w:pPr>
        <w:pStyle w:val="Heading5"/>
        <w:spacing w:line="240" w:lineRule="auto" w:before="61"/>
        <w:ind w:left="136" w:right="102"/>
        <w:jc w:val="left"/>
        <w:rPr>
          <w:b w:val="0"/>
          <w:bCs w:val="0"/>
        </w:rPr>
      </w:pPr>
      <w:r>
        <w:rPr/>
        <w:t>（二）公司对重大会计差错更正原因及影响的分析说明</w:t>
      </w:r>
      <w:r>
        <w:rPr>
          <w:b w:val="0"/>
          <w:bCs w:val="0"/>
        </w:rPr>
      </w:r>
    </w:p>
    <w:p>
      <w:pPr>
        <w:pStyle w:val="BodyText"/>
        <w:tabs>
          <w:tab w:pos="1082" w:val="left" w:leader="none"/>
        </w:tabs>
        <w:spacing w:line="240" w:lineRule="auto" w:before="58"/>
        <w:ind w:right="102"/>
        <w:jc w:val="left"/>
      </w:pPr>
      <w:r>
        <w:rPr/>
        <w:t>□适用</w:t>
        <w:tab/>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140" w:right="1580"/>
        </w:sectPr>
      </w:pPr>
    </w:p>
    <w:p>
      <w:pPr>
        <w:pStyle w:val="Heading5"/>
        <w:spacing w:line="240" w:lineRule="auto" w:before="36"/>
        <w:ind w:left="136" w:right="0"/>
        <w:jc w:val="left"/>
        <w:rPr>
          <w:b w:val="0"/>
          <w:bCs w:val="0"/>
        </w:rPr>
      </w:pPr>
      <w:r>
        <w:rPr>
          <w:spacing w:val="-1"/>
        </w:rPr>
        <w:t>（三）与前任会计师事务所进行的沟通情况</w:t>
      </w:r>
      <w:r>
        <w:rPr>
          <w:b w:val="0"/>
          <w:bCs w:val="0"/>
          <w:spacing w:val="-1"/>
        </w:rPr>
      </w:r>
    </w:p>
    <w:p>
      <w:pPr>
        <w:pStyle w:val="Heading3"/>
        <w:spacing w:line="312" w:lineRule="exact" w:before="52"/>
        <w:ind w:left="136" w:right="0"/>
        <w:jc w:val="left"/>
        <w:rPr>
          <w:rFonts w:ascii="宋体" w:hAnsi="宋体" w:cs="宋体" w:eastAsia="宋体" w:hint="default"/>
        </w:rPr>
      </w:pPr>
      <w:r>
        <w:rPr/>
        <w:t>□适用 </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2" w:lineRule="exact"/>
        <w:ind w:left="136" w:right="0"/>
        <w:jc w:val="left"/>
        <w:rPr>
          <w:rFonts w:ascii="宋体" w:hAnsi="宋体" w:cs="宋体" w:eastAsia="宋体" w:hint="default"/>
        </w:rPr>
      </w:pPr>
      <w:r>
        <w:rPr>
          <w:rFonts w:ascii="宋体"/>
        </w:rPr>
        <w:t> </w:t>
      </w:r>
    </w:p>
    <w:p>
      <w:pPr>
        <w:pStyle w:val="Heading5"/>
        <w:spacing w:line="240" w:lineRule="auto"/>
        <w:ind w:left="136" w:right="0"/>
        <w:jc w:val="left"/>
        <w:rPr>
          <w:b w:val="0"/>
          <w:bCs w:val="0"/>
        </w:rPr>
      </w:pPr>
      <w:r>
        <w:rPr/>
        <w:t>（四）其他说明</w:t>
      </w:r>
      <w:r>
        <w:rPr>
          <w:b w:val="0"/>
          <w:bCs w:val="0"/>
        </w:rPr>
      </w:r>
    </w:p>
    <w:p>
      <w:pPr>
        <w:pStyle w:val="Heading3"/>
        <w:spacing w:line="313" w:lineRule="exact" w:before="50"/>
        <w:ind w:left="136" w:right="0"/>
        <w:jc w:val="left"/>
        <w:rPr>
          <w:rFonts w:ascii="宋体" w:hAnsi="宋体" w:cs="宋体" w:eastAsia="宋体" w:hint="default"/>
        </w:rPr>
      </w:pPr>
      <w:r>
        <w:rPr/>
        <w:t>□适用 </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136" w:right="0"/>
        <w:jc w:val="left"/>
        <w:rPr>
          <w:rFonts w:ascii="宋体" w:hAnsi="宋体" w:cs="宋体" w:eastAsia="宋体" w:hint="default"/>
        </w:rPr>
      </w:pPr>
      <w:r>
        <w:rPr>
          <w:rFonts w:ascii="宋体"/>
        </w:rPr>
        <w:t> </w:t>
      </w:r>
    </w:p>
    <w:p>
      <w:pPr>
        <w:pStyle w:val="Heading5"/>
        <w:spacing w:line="240" w:lineRule="auto"/>
        <w:ind w:left="136" w:right="0"/>
        <w:jc w:val="left"/>
        <w:rPr>
          <w:b w:val="0"/>
          <w:bCs w:val="0"/>
        </w:rPr>
      </w:pPr>
      <w:r>
        <w:rPr/>
        <w:t>六、聘任、解聘会计师事务所情况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3"/>
          <w:szCs w:val="23"/>
        </w:rPr>
      </w:pPr>
    </w:p>
    <w:p>
      <w:pPr>
        <w:pStyle w:val="BodyText"/>
        <w:spacing w:line="240" w:lineRule="auto"/>
        <w:ind w:right="0"/>
        <w:jc w:val="lef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580"/>
          <w:cols w:num="2" w:equalWidth="0">
            <w:col w:w="4146" w:space="2165"/>
            <w:col w:w="2879"/>
          </w:cols>
        </w:sectPr>
      </w:pPr>
    </w:p>
    <w:p>
      <w:pPr>
        <w:spacing w:line="240" w:lineRule="auto" w:before="7"/>
        <w:rPr>
          <w:rFonts w:ascii="宋体" w:hAnsi="宋体" w:cs="宋体" w:eastAsia="宋体" w:hint="default"/>
          <w:sz w:val="2"/>
          <w:szCs w:val="2"/>
        </w:rPr>
      </w:pPr>
    </w:p>
    <w:tbl>
      <w:tblPr>
        <w:tblW w:w="0" w:type="auto"/>
        <w:jc w:val="left"/>
        <w:tblInd w:w="136" w:type="dxa"/>
        <w:tblLayout w:type="fixed"/>
        <w:tblCellMar>
          <w:top w:w="0" w:type="dxa"/>
          <w:left w:w="0" w:type="dxa"/>
          <w:bottom w:w="0" w:type="dxa"/>
          <w:right w:w="0" w:type="dxa"/>
        </w:tblCellMar>
        <w:tblLook w:val="01E0"/>
      </w:tblPr>
      <w:tblGrid>
        <w:gridCol w:w="4412"/>
        <w:gridCol w:w="4412"/>
      </w:tblGrid>
      <w:tr>
        <w:trPr>
          <w:trHeight w:val="281"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现聘任</w:t>
            </w:r>
            <w:r>
              <w:rPr>
                <w:rFonts w:ascii="宋体" w:hAnsi="宋体" w:cs="宋体" w:eastAsia="宋体" w:hint="default"/>
                <w:sz w:val="21"/>
                <w:szCs w:val="21"/>
              </w:rPr>
              <w:t> </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r>
              <w:rPr>
                <w:rFonts w:ascii="宋体" w:hAnsi="宋体" w:cs="宋体" w:eastAsia="宋体" w:hint="default"/>
                <w:sz w:val="21"/>
                <w:szCs w:val="21"/>
              </w:rPr>
              <w:t> </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大信会计师事务所（特殊普通合伙）</w:t>
            </w:r>
            <w:r>
              <w:rPr>
                <w:rFonts w:ascii="宋体" w:hAnsi="宋体" w:cs="宋体" w:eastAsia="宋体" w:hint="default"/>
                <w:sz w:val="21"/>
                <w:szCs w:val="21"/>
              </w:rPr>
              <w:t> </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r>
              <w:rPr>
                <w:rFonts w:ascii="宋体" w:hAnsi="宋体" w:cs="宋体" w:eastAsia="宋体" w:hint="default"/>
                <w:sz w:val="21"/>
                <w:szCs w:val="21"/>
              </w:rPr>
              <w:t> </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100</w:t>
            </w:r>
          </w:p>
        </w:tc>
      </w:tr>
      <w:tr>
        <w:trPr>
          <w:trHeight w:val="281"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r>
              <w:rPr>
                <w:rFonts w:ascii="宋体" w:hAnsi="宋体" w:cs="宋体" w:eastAsia="宋体" w:hint="default"/>
                <w:sz w:val="21"/>
                <w:szCs w:val="21"/>
              </w:rPr>
              <w:t> </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7</w:t>
            </w:r>
          </w:p>
        </w:tc>
      </w:tr>
    </w:tbl>
    <w:p>
      <w:pPr>
        <w:spacing w:line="240" w:lineRule="auto" w:before="12"/>
        <w:rPr>
          <w:rFonts w:ascii="宋体" w:hAnsi="宋体" w:cs="宋体" w:eastAsia="宋体" w:hint="default"/>
          <w:sz w:val="20"/>
          <w:szCs w:val="20"/>
        </w:rPr>
      </w:pPr>
    </w:p>
    <w:tbl>
      <w:tblPr>
        <w:tblW w:w="0" w:type="auto"/>
        <w:jc w:val="left"/>
        <w:tblInd w:w="136" w:type="dxa"/>
        <w:tblLayout w:type="fixed"/>
        <w:tblCellMar>
          <w:top w:w="0" w:type="dxa"/>
          <w:left w:w="0" w:type="dxa"/>
          <w:bottom w:w="0" w:type="dxa"/>
          <w:right w:w="0" w:type="dxa"/>
        </w:tblCellMar>
        <w:tblLook w:val="01E0"/>
      </w:tblPr>
      <w:tblGrid>
        <w:gridCol w:w="2831"/>
        <w:gridCol w:w="4397"/>
        <w:gridCol w:w="1597"/>
      </w:tblGrid>
      <w:tr>
        <w:trPr>
          <w:trHeight w:val="283"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4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1" w:right="0"/>
              <w:jc w:val="left"/>
              <w:rPr>
                <w:rFonts w:ascii="宋体" w:hAnsi="宋体" w:cs="宋体" w:eastAsia="宋体" w:hint="default"/>
                <w:sz w:val="21"/>
                <w:szCs w:val="21"/>
              </w:rPr>
            </w:pPr>
            <w:r>
              <w:rPr>
                <w:rFonts w:ascii="宋体" w:hAnsi="宋体" w:cs="宋体" w:eastAsia="宋体" w:hint="default"/>
                <w:sz w:val="21"/>
                <w:szCs w:val="21"/>
              </w:rPr>
              <w:t>报酬</w:t>
            </w:r>
            <w:r>
              <w:rPr>
                <w:rFonts w:ascii="宋体" w:hAnsi="宋体" w:cs="宋体" w:eastAsia="宋体" w:hint="default"/>
                <w:sz w:val="21"/>
                <w:szCs w:val="21"/>
              </w:rPr>
              <w:t> </w:t>
            </w:r>
          </w:p>
        </w:tc>
      </w:tr>
      <w:tr>
        <w:trPr>
          <w:trHeight w:val="281"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r>
              <w:rPr>
                <w:rFonts w:ascii="宋体" w:hAnsi="宋体" w:cs="宋体" w:eastAsia="宋体" w:hint="default"/>
                <w:sz w:val="21"/>
                <w:szCs w:val="21"/>
              </w:rPr>
              <w:t> </w:t>
            </w:r>
          </w:p>
        </w:tc>
        <w:tc>
          <w:tcPr>
            <w:tcW w:w="4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大信会计师事务所（特殊普通合伙）</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40 </w:t>
            </w:r>
          </w:p>
        </w:tc>
      </w:tr>
    </w:tbl>
    <w:p>
      <w:pPr>
        <w:pStyle w:val="Heading3"/>
        <w:spacing w:line="274" w:lineRule="exact"/>
        <w:ind w:left="136" w:right="0"/>
        <w:jc w:val="left"/>
        <w:rPr>
          <w:rFonts w:ascii="宋体" w:hAnsi="宋体" w:cs="宋体" w:eastAsia="宋体" w:hint="default"/>
        </w:rPr>
      </w:pPr>
      <w:r>
        <w:rPr>
          <w:rFonts w:ascii="宋体"/>
        </w:rPr>
        <w:t> </w:t>
      </w:r>
    </w:p>
    <w:p>
      <w:pPr>
        <w:pStyle w:val="BodyText"/>
        <w:spacing w:line="271" w:lineRule="exact" w:before="4"/>
        <w:ind w:right="102"/>
        <w:jc w:val="left"/>
        <w:rPr>
          <w:rFonts w:ascii="宋体" w:hAnsi="宋体" w:cs="宋体" w:eastAsia="宋体" w:hint="default"/>
        </w:rPr>
      </w:pPr>
      <w:r>
        <w:rPr/>
        <w:t>聘任、解聘会计师事务所的情况说明</w:t>
      </w:r>
      <w:r>
        <w:rPr>
          <w:rFonts w:ascii="宋体" w:hAnsi="宋体" w:cs="宋体" w:eastAsia="宋体" w:hint="default"/>
        </w:rPr>
        <w:t> </w:t>
      </w:r>
    </w:p>
    <w:p>
      <w:pPr>
        <w:pStyle w:val="Heading3"/>
        <w:spacing w:line="310" w:lineRule="exact"/>
        <w:ind w:left="136" w:right="10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4" w:lineRule="exact" w:before="1"/>
        <w:ind w:left="617" w:right="102"/>
        <w:jc w:val="left"/>
      </w:pPr>
      <w:r>
        <w:rPr/>
        <w:t>经公司</w:t>
      </w:r>
      <w:r>
        <w:rPr>
          <w:spacing w:val="-47"/>
        </w:rPr>
        <w:t> </w:t>
      </w:r>
      <w:r>
        <w:rPr>
          <w:rFonts w:ascii="宋体" w:hAnsi="宋体" w:cs="宋体" w:eastAsia="宋体" w:hint="default"/>
        </w:rPr>
        <w:t>2019</w:t>
      </w:r>
      <w:r>
        <w:rPr>
          <w:rFonts w:ascii="宋体" w:hAnsi="宋体" w:cs="宋体" w:eastAsia="宋体" w:hint="default"/>
          <w:spacing w:val="-46"/>
        </w:rPr>
        <w:t> </w:t>
      </w:r>
      <w:r>
        <w:rPr/>
        <w:t>年</w:t>
      </w:r>
      <w:r>
        <w:rPr>
          <w:spacing w:val="-49"/>
        </w:rPr>
        <w:t> </w:t>
      </w:r>
      <w:r>
        <w:rPr>
          <w:rFonts w:ascii="宋体" w:hAnsi="宋体" w:cs="宋体" w:eastAsia="宋体" w:hint="default"/>
        </w:rPr>
        <w:t>5</w:t>
      </w:r>
      <w:r>
        <w:rPr>
          <w:rFonts w:ascii="宋体" w:hAnsi="宋体" w:cs="宋体" w:eastAsia="宋体" w:hint="default"/>
          <w:spacing w:val="-46"/>
        </w:rPr>
        <w:t> </w:t>
      </w:r>
      <w:r>
        <w:rPr/>
        <w:t>月</w:t>
      </w:r>
      <w:r>
        <w:rPr>
          <w:spacing w:val="-46"/>
        </w:rPr>
        <w:t> </w:t>
      </w:r>
      <w:r>
        <w:rPr>
          <w:rFonts w:ascii="宋体" w:hAnsi="宋体" w:cs="宋体" w:eastAsia="宋体" w:hint="default"/>
        </w:rPr>
        <w:t>10</w:t>
      </w:r>
      <w:r>
        <w:rPr>
          <w:rFonts w:ascii="宋体" w:hAnsi="宋体" w:cs="宋体" w:eastAsia="宋体" w:hint="default"/>
          <w:spacing w:val="-46"/>
        </w:rPr>
        <w:t> </w:t>
      </w:r>
      <w:r>
        <w:rPr/>
        <w:t>日召开的公司</w:t>
      </w:r>
      <w:r>
        <w:rPr>
          <w:spacing w:val="-47"/>
        </w:rPr>
        <w:t> </w:t>
      </w:r>
      <w:r>
        <w:rPr>
          <w:rFonts w:ascii="宋体" w:hAnsi="宋体" w:cs="宋体" w:eastAsia="宋体" w:hint="default"/>
        </w:rPr>
        <w:t>2018</w:t>
      </w:r>
      <w:r>
        <w:rPr>
          <w:rFonts w:ascii="宋体" w:hAnsi="宋体" w:cs="宋体" w:eastAsia="宋体" w:hint="default"/>
          <w:spacing w:val="-47"/>
        </w:rPr>
        <w:t> </w:t>
      </w:r>
      <w:r>
        <w:rPr/>
        <w:t>年年度股东大会审议，同意续聘大信会计师事务</w:t>
      </w:r>
    </w:p>
    <w:p>
      <w:pPr>
        <w:pStyle w:val="BodyText"/>
        <w:spacing w:line="269" w:lineRule="exact"/>
        <w:ind w:right="102"/>
        <w:jc w:val="left"/>
        <w:rPr>
          <w:rFonts w:ascii="宋体" w:hAnsi="宋体" w:cs="宋体" w:eastAsia="宋体" w:hint="default"/>
        </w:rPr>
      </w:pPr>
      <w:r>
        <w:rPr/>
        <w:t>所（特殊普通合伙）为公司</w:t>
      </w:r>
      <w:r>
        <w:rPr>
          <w:spacing w:val="-58"/>
        </w:rPr>
        <w:t> </w:t>
      </w:r>
      <w:r>
        <w:rPr>
          <w:rFonts w:ascii="宋体" w:hAnsi="宋体" w:cs="宋体" w:eastAsia="宋体" w:hint="default"/>
        </w:rPr>
        <w:t>2019</w:t>
      </w:r>
      <w:r>
        <w:rPr>
          <w:rFonts w:ascii="宋体" w:hAnsi="宋体" w:cs="宋体" w:eastAsia="宋体" w:hint="default"/>
          <w:spacing w:val="-57"/>
        </w:rPr>
        <w:t> </w:t>
      </w:r>
      <w:r>
        <w:rPr/>
        <w:t>年度审计机构及内控审计机构。</w:t>
      </w:r>
      <w:r>
        <w:rPr>
          <w:rFonts w:ascii="宋体" w:hAnsi="宋体" w:cs="宋体" w:eastAsia="宋体" w:hint="default"/>
        </w:rPr>
        <w:t> </w:t>
      </w:r>
    </w:p>
    <w:p>
      <w:pPr>
        <w:pStyle w:val="Heading3"/>
        <w:spacing w:line="309" w:lineRule="exact"/>
        <w:ind w:left="136" w:right="0"/>
        <w:jc w:val="left"/>
        <w:rPr>
          <w:rFonts w:ascii="宋体" w:hAnsi="宋体" w:cs="宋体" w:eastAsia="宋体" w:hint="default"/>
        </w:rPr>
      </w:pPr>
      <w:r>
        <w:rPr>
          <w:rFonts w:ascii="宋体"/>
        </w:rPr>
        <w:t> </w:t>
      </w:r>
    </w:p>
    <w:p>
      <w:pPr>
        <w:pStyle w:val="BodyText"/>
        <w:spacing w:line="270" w:lineRule="exact" w:before="4"/>
        <w:ind w:right="102"/>
        <w:jc w:val="left"/>
        <w:rPr>
          <w:rFonts w:ascii="宋体" w:hAnsi="宋体" w:cs="宋体" w:eastAsia="宋体" w:hint="default"/>
        </w:rPr>
      </w:pPr>
      <w:r>
        <w:rPr/>
        <w:t>审计期间改聘会计师事务所的情况说明</w:t>
      </w:r>
      <w:r>
        <w:rPr>
          <w:rFonts w:ascii="宋体" w:hAnsi="宋体" w:cs="宋体" w:eastAsia="宋体" w:hint="default"/>
        </w:rPr>
        <w:t> </w:t>
      </w:r>
    </w:p>
    <w:p>
      <w:pPr>
        <w:pStyle w:val="Heading3"/>
        <w:spacing w:line="309" w:lineRule="exact"/>
        <w:ind w:left="136" w:right="102"/>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after="0" w:line="309" w:lineRule="exact"/>
        <w:jc w:val="left"/>
        <w:rPr>
          <w:rFonts w:ascii="宋体" w:hAnsi="宋体" w:cs="宋体" w:eastAsia="宋体" w:hint="default"/>
        </w:rPr>
        <w:sectPr>
          <w:type w:val="continuous"/>
          <w:pgSz w:w="11910" w:h="16840"/>
          <w:pgMar w:top="1120" w:bottom="1380" w:left="1140" w:right="1580"/>
        </w:sectPr>
      </w:pPr>
    </w:p>
    <w:p>
      <w:pPr>
        <w:spacing w:line="240" w:lineRule="auto" w:before="11"/>
        <w:rPr>
          <w:rFonts w:ascii="宋体" w:hAnsi="宋体" w:cs="宋体" w:eastAsia="宋体" w:hint="default"/>
          <w:sz w:val="18"/>
          <w:szCs w:val="18"/>
        </w:rPr>
      </w:pPr>
    </w:p>
    <w:p>
      <w:pPr>
        <w:pStyle w:val="Heading5"/>
        <w:spacing w:line="290" w:lineRule="auto" w:before="36"/>
        <w:ind w:left="176" w:right="6269"/>
        <w:jc w:val="left"/>
        <w:rPr>
          <w:b w:val="0"/>
          <w:bCs w:val="0"/>
        </w:rPr>
      </w:pPr>
      <w:r>
        <w:rPr/>
        <w:t>七、面临暂停上市风险的情况</w:t>
      </w:r>
      <w:r>
        <w:rPr>
          <w:w w:val="100"/>
        </w:rPr>
        <w:t> </w:t>
      </w:r>
      <w:r>
        <w:rPr>
          <w:rFonts w:ascii="宋体" w:hAnsi="宋体" w:cs="宋体" w:eastAsia="宋体" w:hint="default"/>
        </w:rPr>
        <w:t>(</w:t>
      </w:r>
      <w:r>
        <w:rPr/>
        <w:t>一</w:t>
      </w:r>
      <w:r>
        <w:rPr>
          <w:rFonts w:ascii="宋体" w:hAnsi="宋体" w:cs="宋体" w:eastAsia="宋体" w:hint="default"/>
        </w:rPr>
        <w:t>)</w:t>
      </w:r>
      <w:r>
        <w:rPr/>
        <w:t>导致暂停上市的原因</w:t>
      </w:r>
      <w:r>
        <w:rPr>
          <w:b w:val="0"/>
          <w:bCs w:val="0"/>
        </w:rPr>
      </w:r>
    </w:p>
    <w:p>
      <w:pPr>
        <w:pStyle w:val="Heading3"/>
        <w:spacing w:line="313" w:lineRule="exact" w:before="8"/>
        <w:ind w:left="176" w:right="6269"/>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176" w:right="0"/>
        <w:jc w:val="left"/>
        <w:rPr>
          <w:rFonts w:ascii="宋体" w:hAnsi="宋体" w:cs="宋体" w:eastAsia="宋体" w:hint="default"/>
        </w:rPr>
      </w:pPr>
      <w:r>
        <w:rPr>
          <w:rFonts w:ascii="宋体"/>
        </w:rPr>
        <w:t> </w:t>
      </w:r>
    </w:p>
    <w:p>
      <w:pPr>
        <w:pStyle w:val="Heading5"/>
        <w:spacing w:line="240" w:lineRule="auto" w:before="61"/>
        <w:ind w:left="176" w:right="6269"/>
        <w:jc w:val="left"/>
        <w:rPr>
          <w:b w:val="0"/>
          <w:bCs w:val="0"/>
        </w:rPr>
      </w:pPr>
      <w:r>
        <w:rPr>
          <w:rFonts w:ascii="宋体" w:hAnsi="宋体" w:cs="宋体" w:eastAsia="宋体" w:hint="default"/>
        </w:rPr>
        <w:t>(</w:t>
      </w:r>
      <w:r>
        <w:rPr/>
        <w:t>二</w:t>
      </w:r>
      <w:r>
        <w:rPr>
          <w:rFonts w:ascii="宋体" w:hAnsi="宋体" w:cs="宋体" w:eastAsia="宋体" w:hint="default"/>
        </w:rPr>
        <w:t>)</w:t>
      </w:r>
      <w:r>
        <w:rPr/>
        <w:t>公司拟采取的应对措施</w:t>
      </w:r>
      <w:r>
        <w:rPr>
          <w:b w:val="0"/>
          <w:bCs w:val="0"/>
        </w:rPr>
      </w:r>
    </w:p>
    <w:p>
      <w:pPr>
        <w:pStyle w:val="Heading3"/>
        <w:spacing w:line="312" w:lineRule="exact" w:before="52"/>
        <w:ind w:left="176" w:right="626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left="176" w:right="0"/>
        <w:jc w:val="left"/>
        <w:rPr>
          <w:rFonts w:ascii="宋体" w:hAnsi="宋体" w:cs="宋体" w:eastAsia="宋体" w:hint="default"/>
        </w:rPr>
      </w:pPr>
      <w:r>
        <w:rPr>
          <w:rFonts w:ascii="宋体"/>
        </w:rPr>
        <w:t> </w:t>
      </w:r>
    </w:p>
    <w:p>
      <w:pPr>
        <w:pStyle w:val="Heading5"/>
        <w:spacing w:line="240" w:lineRule="auto"/>
        <w:ind w:left="176" w:right="0"/>
        <w:jc w:val="left"/>
        <w:rPr>
          <w:b w:val="0"/>
          <w:bCs w:val="0"/>
        </w:rPr>
      </w:pPr>
      <w:r>
        <w:rPr/>
        <w:t>八、面临终止上市的情况和原因</w:t>
      </w:r>
      <w:r>
        <w:rPr>
          <w:b w:val="0"/>
          <w:bCs w:val="0"/>
        </w:rPr>
      </w:r>
    </w:p>
    <w:p>
      <w:pPr>
        <w:pStyle w:val="Heading3"/>
        <w:spacing w:line="312" w:lineRule="exact" w:before="52"/>
        <w:ind w:left="176" w:right="6269"/>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2" w:lineRule="exact"/>
        <w:ind w:left="176" w:right="0"/>
        <w:jc w:val="left"/>
        <w:rPr>
          <w:rFonts w:ascii="宋体" w:hAnsi="宋体" w:cs="宋体" w:eastAsia="宋体" w:hint="default"/>
        </w:rPr>
      </w:pPr>
      <w:r>
        <w:rPr>
          <w:rFonts w:ascii="宋体"/>
        </w:rPr>
        <w:t> </w:t>
      </w:r>
    </w:p>
    <w:p>
      <w:pPr>
        <w:pStyle w:val="Heading5"/>
        <w:spacing w:line="240" w:lineRule="auto"/>
        <w:ind w:left="176" w:right="6269"/>
        <w:jc w:val="left"/>
        <w:rPr>
          <w:b w:val="0"/>
          <w:bCs w:val="0"/>
        </w:rPr>
      </w:pPr>
      <w:r>
        <w:rPr/>
        <w:t>九、破产重整相关事项</w:t>
      </w:r>
      <w:r>
        <w:rPr>
          <w:b w:val="0"/>
          <w:bCs w:val="0"/>
        </w:rPr>
      </w:r>
    </w:p>
    <w:p>
      <w:pPr>
        <w:pStyle w:val="Heading3"/>
        <w:spacing w:line="312" w:lineRule="exact" w:before="53"/>
        <w:ind w:left="176" w:right="626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left="176" w:right="0"/>
        <w:jc w:val="left"/>
        <w:rPr>
          <w:rFonts w:ascii="宋体" w:hAnsi="宋体" w:cs="宋体" w:eastAsia="宋体" w:hint="default"/>
        </w:rPr>
      </w:pPr>
      <w:r>
        <w:rPr>
          <w:rFonts w:ascii="宋体"/>
        </w:rPr>
        <w:t> </w:t>
      </w:r>
    </w:p>
    <w:p>
      <w:pPr>
        <w:pStyle w:val="Heading5"/>
        <w:spacing w:line="240" w:lineRule="auto"/>
        <w:ind w:left="176" w:right="6269"/>
        <w:jc w:val="left"/>
        <w:rPr>
          <w:b w:val="0"/>
          <w:bCs w:val="0"/>
        </w:rPr>
      </w:pPr>
      <w:r>
        <w:rPr/>
        <w:t>十、重大诉讼、仲裁事项</w:t>
      </w:r>
      <w:r>
        <w:rPr>
          <w:b w:val="0"/>
          <w:bCs w:val="0"/>
        </w:rPr>
      </w:r>
    </w:p>
    <w:p>
      <w:pPr>
        <w:pStyle w:val="Heading3"/>
        <w:spacing w:line="313" w:lineRule="exact" w:before="50"/>
        <w:ind w:left="176" w:right="0"/>
        <w:jc w:val="left"/>
        <w:rPr>
          <w:rFonts w:ascii="宋体" w:hAnsi="宋体" w:cs="宋体" w:eastAsia="宋体" w:hint="default"/>
        </w:rPr>
      </w:pPr>
      <w:r>
        <w:rPr/>
        <w:t>□本年度公司有重大诉讼、仲裁事项</w:t>
      </w:r>
      <w:r>
        <w:rPr>
          <w:spacing w:val="1"/>
        </w:rPr>
        <w:t> </w:t>
      </w:r>
      <w:r>
        <w:rPr>
          <w:rFonts w:ascii="宋体" w:hAnsi="宋体" w:cs="宋体" w:eastAsia="宋体" w:hint="default"/>
          <w:spacing w:val="1"/>
        </w:rPr>
      </w:r>
      <w:r>
        <w:rPr/>
        <w:t>√本年度公司无重大诉讼、仲裁事项</w:t>
      </w:r>
      <w:r>
        <w:rPr>
          <w:rFonts w:ascii="宋体" w:hAnsi="宋体" w:cs="宋体" w:eastAsia="宋体" w:hint="default"/>
        </w:rPr>
        <w:t>  </w:t>
      </w:r>
    </w:p>
    <w:p>
      <w:pPr>
        <w:pStyle w:val="Heading3"/>
        <w:spacing w:line="313" w:lineRule="exact"/>
        <w:ind w:left="176" w:right="0"/>
        <w:jc w:val="left"/>
        <w:rPr>
          <w:rFonts w:ascii="宋体" w:hAnsi="宋体" w:cs="宋体" w:eastAsia="宋体" w:hint="default"/>
        </w:rPr>
      </w:pPr>
      <w:r>
        <w:rPr>
          <w:rFonts w:ascii="宋体"/>
        </w:rPr>
        <w:t> </w:t>
      </w:r>
    </w:p>
    <w:p>
      <w:pPr>
        <w:pStyle w:val="Heading5"/>
        <w:spacing w:line="272" w:lineRule="exact" w:before="92"/>
        <w:ind w:left="597" w:right="128" w:hanging="421"/>
        <w:jc w:val="left"/>
        <w:rPr>
          <w:b w:val="0"/>
          <w:bCs w:val="0"/>
        </w:rPr>
      </w:pPr>
      <w:r>
        <w:rPr>
          <w:spacing w:val="-1"/>
        </w:rPr>
        <w:t>十一、上市公司及其董事、监事、高级管理人员、控股股东、实际控制人、收购人处罚及整改情</w:t>
      </w:r>
      <w:r>
        <w:rPr>
          <w:spacing w:val="-82"/>
        </w:rPr>
        <w:t> </w:t>
      </w:r>
      <w:r>
        <w:rPr>
          <w:spacing w:val="-82"/>
        </w:rPr>
      </w:r>
      <w:r>
        <w:rPr/>
        <w:t>况</w:t>
      </w:r>
      <w:r>
        <w:rPr>
          <w:b w:val="0"/>
          <w:bCs w:val="0"/>
        </w:rPr>
      </w:r>
    </w:p>
    <w:p>
      <w:pPr>
        <w:pStyle w:val="Heading3"/>
        <w:spacing w:line="312" w:lineRule="exact" w:before="27"/>
        <w:ind w:left="176" w:right="626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left="176" w:right="0"/>
        <w:jc w:val="left"/>
        <w:rPr>
          <w:rFonts w:ascii="宋体" w:hAnsi="宋体" w:cs="宋体" w:eastAsia="宋体" w:hint="default"/>
        </w:rPr>
      </w:pPr>
      <w:r>
        <w:rPr>
          <w:rFonts w:ascii="宋体"/>
        </w:rPr>
        <w:t> </w:t>
      </w:r>
    </w:p>
    <w:p>
      <w:pPr>
        <w:pStyle w:val="Heading5"/>
        <w:spacing w:line="240" w:lineRule="auto"/>
        <w:ind w:left="176" w:right="0"/>
        <w:jc w:val="left"/>
        <w:rPr>
          <w:b w:val="0"/>
          <w:bCs w:val="0"/>
        </w:rPr>
      </w:pPr>
      <w:r>
        <w:rPr/>
        <w:t>十二、报告期内公司及其控股股东、实际控制人诚信状况的说明</w:t>
      </w:r>
      <w:r>
        <w:rPr>
          <w:b w:val="0"/>
          <w:bCs w:val="0"/>
        </w:rPr>
      </w:r>
    </w:p>
    <w:p>
      <w:pPr>
        <w:pStyle w:val="Heading3"/>
        <w:spacing w:line="240" w:lineRule="auto" w:before="52"/>
        <w:ind w:left="176" w:right="6269"/>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2"/>
        <w:ind w:left="176" w:right="0" w:firstLine="480"/>
        <w:jc w:val="left"/>
        <w:rPr>
          <w:rFonts w:ascii="宋体" w:hAnsi="宋体" w:cs="宋体" w:eastAsia="宋体" w:hint="default"/>
          <w:sz w:val="24"/>
          <w:szCs w:val="24"/>
        </w:rPr>
      </w:pPr>
      <w:r>
        <w:rPr>
          <w:spacing w:val="-3"/>
        </w:rPr>
        <w:t>报告期内公司诚信状况良好，不存在未履行法院生效判决及所负数额较大的债务到期未清偿</w:t>
      </w:r>
      <w:r>
        <w:rPr>
          <w:w w:val="100"/>
        </w:rPr>
        <w:t> </w:t>
      </w:r>
      <w:r>
        <w:rPr/>
        <w:t>等情况。</w:t>
      </w:r>
      <w:r>
        <w:rPr>
          <w:rFonts w:ascii="宋体" w:hAnsi="宋体" w:cs="宋体" w:eastAsia="宋体" w:hint="default"/>
          <w:sz w:val="24"/>
          <w:szCs w:val="24"/>
        </w:rPr>
        <w:t> </w:t>
      </w:r>
    </w:p>
    <w:p>
      <w:pPr>
        <w:pStyle w:val="Heading5"/>
        <w:spacing w:line="288" w:lineRule="auto" w:before="0"/>
        <w:ind w:left="176" w:right="1841"/>
        <w:jc w:val="left"/>
        <w:rPr>
          <w:b w:val="0"/>
          <w:bCs w:val="0"/>
        </w:rPr>
      </w:pPr>
      <w:r>
        <w:rPr>
          <w:rFonts w:ascii="宋体" w:hAnsi="宋体" w:cs="宋体" w:eastAsia="宋体" w:hint="default"/>
          <w:b w:val="0"/>
          <w:bCs w:val="0"/>
          <w:sz w:val="24"/>
          <w:szCs w:val="24"/>
        </w:rPr>
        <w:t> </w:t>
      </w:r>
      <w:r>
        <w:rPr>
          <w:w w:val="100"/>
        </w:rPr>
        <w:t>十三、公司股权激励计划</w:t>
      </w:r>
      <w:r>
        <w:rPr>
          <w:spacing w:val="-3"/>
          <w:w w:val="100"/>
        </w:rPr>
        <w:t>、</w:t>
      </w:r>
      <w:r>
        <w:rPr>
          <w:w w:val="100"/>
        </w:rPr>
        <w:t>员</w:t>
      </w:r>
      <w:r>
        <w:rPr>
          <w:spacing w:val="-3"/>
          <w:w w:val="100"/>
        </w:rPr>
        <w:t>工</w:t>
      </w:r>
      <w:r>
        <w:rPr>
          <w:w w:val="100"/>
        </w:rPr>
        <w:t>持股计划或其他员</w:t>
      </w:r>
      <w:r>
        <w:rPr>
          <w:spacing w:val="-3"/>
          <w:w w:val="100"/>
        </w:rPr>
        <w:t>工</w:t>
      </w:r>
      <w:r>
        <w:rPr>
          <w:w w:val="100"/>
        </w:rPr>
        <w:t>激</w:t>
      </w:r>
      <w:r>
        <w:rPr>
          <w:spacing w:val="-3"/>
          <w:w w:val="100"/>
        </w:rPr>
        <w:t>励</w:t>
      </w:r>
      <w:r>
        <w:rPr>
          <w:w w:val="100"/>
        </w:rPr>
        <w:t>措施的情况及其影响</w:t>
      </w:r>
      <w:r>
        <w:rPr>
          <w:w w:val="100"/>
        </w:rPr>
        <w:t> </w:t>
      </w:r>
      <w:r>
        <w:rPr>
          <w:rFonts w:ascii="宋体" w:hAnsi="宋体" w:cs="宋体" w:eastAsia="宋体" w:hint="default"/>
          <w:w w:val="99"/>
        </w:rPr>
        <w:t>(</w:t>
      </w:r>
      <w:r>
        <w:rPr>
          <w:w w:val="100"/>
        </w:rPr>
        <w:t>一</w:t>
      </w:r>
      <w:r>
        <w:rPr>
          <w:rFonts w:ascii="宋体" w:hAnsi="宋体" w:cs="宋体" w:eastAsia="宋体" w:hint="default"/>
          <w:w w:val="99"/>
        </w:rPr>
        <w:t>)</w:t>
      </w:r>
      <w:r>
        <w:rPr>
          <w:rFonts w:ascii="宋体" w:hAnsi="宋体" w:cs="宋体" w:eastAsia="宋体" w:hint="default"/>
          <w:spacing w:val="38"/>
        </w:rPr>
        <w:t> </w:t>
      </w:r>
      <w:r>
        <w:rPr>
          <w:w w:val="100"/>
        </w:rPr>
        <w:t>相关激励事项已在</w:t>
      </w:r>
      <w:r>
        <w:rPr>
          <w:spacing w:val="-3"/>
          <w:w w:val="100"/>
        </w:rPr>
        <w:t>临</w:t>
      </w:r>
      <w:r>
        <w:rPr>
          <w:w w:val="100"/>
        </w:rPr>
        <w:t>时</w:t>
      </w:r>
      <w:r>
        <w:rPr>
          <w:spacing w:val="-3"/>
          <w:w w:val="100"/>
        </w:rPr>
        <w:t>公</w:t>
      </w:r>
      <w:r>
        <w:rPr>
          <w:w w:val="100"/>
        </w:rPr>
        <w:t>告披露且后续实施</w:t>
      </w:r>
      <w:r>
        <w:rPr>
          <w:spacing w:val="-3"/>
          <w:w w:val="100"/>
        </w:rPr>
        <w:t>无</w:t>
      </w:r>
      <w:r>
        <w:rPr>
          <w:w w:val="100"/>
        </w:rPr>
        <w:t>进</w:t>
      </w:r>
      <w:r>
        <w:rPr>
          <w:spacing w:val="-3"/>
          <w:w w:val="100"/>
        </w:rPr>
        <w:t>展</w:t>
      </w:r>
      <w:r>
        <w:rPr>
          <w:w w:val="100"/>
        </w:rPr>
        <w:t>或变化的</w:t>
      </w:r>
      <w:r>
        <w:rPr>
          <w:b w:val="0"/>
          <w:bCs w:val="0"/>
          <w:w w:val="100"/>
        </w:rPr>
      </w:r>
    </w:p>
    <w:p>
      <w:pPr>
        <w:pStyle w:val="Heading3"/>
        <w:spacing w:line="240" w:lineRule="auto" w:before="10"/>
        <w:ind w:left="176" w:right="626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903"/>
        <w:gridCol w:w="6068"/>
      </w:tblGrid>
      <w:tr>
        <w:trPr>
          <w:trHeight w:val="281"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2" w:right="0"/>
              <w:jc w:val="left"/>
              <w:rPr>
                <w:rFonts w:ascii="宋体" w:hAnsi="宋体" w:cs="宋体" w:eastAsia="宋体" w:hint="default"/>
                <w:sz w:val="21"/>
                <w:szCs w:val="21"/>
              </w:rPr>
            </w:pPr>
            <w:r>
              <w:rPr>
                <w:rFonts w:ascii="宋体" w:hAnsi="宋体" w:cs="宋体" w:eastAsia="宋体" w:hint="default"/>
                <w:sz w:val="21"/>
                <w:szCs w:val="21"/>
              </w:rPr>
              <w:t>事项概述</w:t>
            </w:r>
            <w:r>
              <w:rPr>
                <w:rFonts w:ascii="宋体" w:hAnsi="宋体" w:cs="宋体" w:eastAsia="宋体" w:hint="default"/>
                <w:sz w:val="21"/>
                <w:szCs w:val="21"/>
              </w:rPr>
              <w:t> </w:t>
            </w:r>
          </w:p>
        </w:tc>
        <w:tc>
          <w:tcPr>
            <w:tcW w:w="6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r>
      <w:tr>
        <w:trPr>
          <w:trHeight w:val="554"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1"/>
                <w:sz w:val="21"/>
                <w:szCs w:val="21"/>
              </w:rPr>
              <w:t>员工持股计划股票出售完毕</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暨终止事项</w:t>
            </w:r>
            <w:r>
              <w:rPr>
                <w:rFonts w:ascii="宋体" w:hAnsi="宋体" w:cs="宋体" w:eastAsia="宋体" w:hint="default"/>
                <w:sz w:val="21"/>
                <w:szCs w:val="21"/>
              </w:rPr>
              <w:t> </w:t>
            </w:r>
          </w:p>
        </w:tc>
        <w:tc>
          <w:tcPr>
            <w:tcW w:w="60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《关于第一期员工持股计划股票出售完毕暨终止的公告》（公告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编号：临</w:t>
            </w:r>
            <w:r>
              <w:rPr>
                <w:rFonts w:ascii="宋体" w:hAnsi="宋体" w:cs="宋体" w:eastAsia="宋体" w:hint="default"/>
                <w:spacing w:val="-58"/>
                <w:sz w:val="21"/>
                <w:szCs w:val="21"/>
              </w:rPr>
              <w:t> </w:t>
            </w:r>
            <w:r>
              <w:rPr>
                <w:rFonts w:ascii="宋体" w:hAnsi="宋体" w:cs="宋体" w:eastAsia="宋体" w:hint="default"/>
                <w:sz w:val="21"/>
                <w:szCs w:val="21"/>
              </w:rPr>
              <w:t>2019-038</w:t>
            </w:r>
            <w:r>
              <w:rPr>
                <w:rFonts w:ascii="宋体" w:hAnsi="宋体" w:cs="宋体" w:eastAsia="宋体" w:hint="default"/>
                <w:sz w:val="21"/>
                <w:szCs w:val="21"/>
              </w:rPr>
              <w:t>）</w:t>
            </w:r>
            <w:r>
              <w:rPr>
                <w:rFonts w:ascii="宋体" w:hAnsi="宋体" w:cs="宋体" w:eastAsia="宋体" w:hint="default"/>
                <w:sz w:val="21"/>
                <w:szCs w:val="21"/>
              </w:rPr>
              <w:t> </w:t>
            </w:r>
          </w:p>
        </w:tc>
      </w:tr>
      <w:tr>
        <w:trPr>
          <w:trHeight w:val="1100"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1" w:right="100"/>
              <w:jc w:val="both"/>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23"/>
                <w:sz w:val="21"/>
                <w:szCs w:val="21"/>
              </w:rPr>
              <w:t> </w:t>
            </w:r>
            <w:r>
              <w:rPr>
                <w:rFonts w:ascii="宋体" w:hAnsi="宋体" w:cs="宋体" w:eastAsia="宋体" w:hint="default"/>
                <w:spacing w:val="3"/>
                <w:sz w:val="21"/>
                <w:szCs w:val="21"/>
              </w:rPr>
              <w:t>年限制性股票激励计划</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1"/>
                <w:sz w:val="21"/>
                <w:szCs w:val="21"/>
              </w:rPr>
              <w:t>预留部分限制性股票第一次</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解锁上市</w:t>
            </w:r>
            <w:r>
              <w:rPr>
                <w:rFonts w:ascii="宋体" w:hAnsi="宋体" w:cs="宋体" w:eastAsia="宋体" w:hint="default"/>
                <w:sz w:val="21"/>
                <w:szCs w:val="21"/>
              </w:rPr>
              <w:t> </w:t>
            </w:r>
          </w:p>
        </w:tc>
        <w:tc>
          <w:tcPr>
            <w:tcW w:w="60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3"/>
              <w:jc w:val="left"/>
              <w:rPr>
                <w:rFonts w:ascii="宋体" w:hAnsi="宋体" w:cs="宋体" w:eastAsia="宋体" w:hint="default"/>
                <w:sz w:val="21"/>
                <w:szCs w:val="21"/>
              </w:rPr>
            </w:pPr>
            <w:r>
              <w:rPr>
                <w:rFonts w:ascii="宋体" w:hAnsi="宋体" w:cs="宋体" w:eastAsia="宋体" w:hint="default"/>
                <w:spacing w:val="21"/>
                <w:sz w:val="21"/>
                <w:szCs w:val="21"/>
              </w:rPr>
              <w:t>《第七届董事会第十一次会议决议公告》（公告编号：临</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37" w:lineRule="auto" w:before="2"/>
              <w:ind w:left="100" w:right="-3"/>
              <w:jc w:val="left"/>
              <w:rPr>
                <w:rFonts w:ascii="宋体" w:hAnsi="宋体" w:cs="宋体" w:eastAsia="宋体" w:hint="default"/>
                <w:sz w:val="21"/>
                <w:szCs w:val="21"/>
              </w:rPr>
            </w:pPr>
            <w:r>
              <w:rPr>
                <w:rFonts w:ascii="宋体" w:hAnsi="宋体" w:cs="宋体" w:eastAsia="宋体" w:hint="default"/>
                <w:spacing w:val="-6"/>
                <w:sz w:val="21"/>
                <w:szCs w:val="21"/>
              </w:rPr>
              <w:t>2019-050</w:t>
            </w:r>
            <w:r>
              <w:rPr>
                <w:rFonts w:ascii="宋体" w:hAnsi="宋体" w:cs="宋体" w:eastAsia="宋体" w:hint="default"/>
                <w:spacing w:val="-6"/>
                <w:sz w:val="21"/>
                <w:szCs w:val="21"/>
              </w:rPr>
              <w:t>）、《第七届监事会第九次会议决议公告》（公告编号：</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临</w:t>
            </w:r>
            <w:r>
              <w:rPr>
                <w:rFonts w:ascii="宋体" w:hAnsi="宋体" w:cs="宋体" w:eastAsia="宋体" w:hint="default"/>
                <w:sz w:val="21"/>
                <w:szCs w:val="21"/>
              </w:rPr>
              <w:t>2019-051</w:t>
            </w:r>
            <w:r>
              <w:rPr>
                <w:rFonts w:ascii="宋体" w:hAnsi="宋体" w:cs="宋体" w:eastAsia="宋体" w:hint="default"/>
                <w:sz w:val="21"/>
                <w:szCs w:val="21"/>
              </w:rPr>
              <w:t>）、《关于</w:t>
            </w:r>
            <w:r>
              <w:rPr>
                <w:rFonts w:ascii="宋体" w:hAnsi="宋体" w:cs="宋体" w:eastAsia="宋体" w:hint="default"/>
                <w:sz w:val="21"/>
                <w:szCs w:val="21"/>
              </w:rPr>
              <w:t>2017</w:t>
            </w:r>
            <w:r>
              <w:rPr>
                <w:rFonts w:ascii="宋体" w:hAnsi="宋体" w:cs="宋体" w:eastAsia="宋体" w:hint="default"/>
                <w:sz w:val="21"/>
                <w:szCs w:val="21"/>
              </w:rPr>
              <w:t>年限制性股票激励计划预留部分限制</w:t>
            </w:r>
            <w:r>
              <w:rPr>
                <w:rFonts w:ascii="宋体" w:hAnsi="宋体" w:cs="宋体" w:eastAsia="宋体" w:hint="default"/>
                <w:w w:val="100"/>
                <w:sz w:val="21"/>
                <w:szCs w:val="21"/>
              </w:rPr>
              <w:t> </w:t>
            </w:r>
            <w:r>
              <w:rPr>
                <w:rFonts w:ascii="宋体" w:hAnsi="宋体" w:cs="宋体" w:eastAsia="宋体" w:hint="default"/>
                <w:sz w:val="21"/>
                <w:szCs w:val="21"/>
              </w:rPr>
              <w:t>性股票第一次解锁暨上市公告》（公告编号：临</w:t>
            </w:r>
            <w:r>
              <w:rPr>
                <w:rFonts w:ascii="宋体" w:hAnsi="宋体" w:cs="宋体" w:eastAsia="宋体" w:hint="default"/>
                <w:sz w:val="21"/>
                <w:szCs w:val="21"/>
              </w:rPr>
              <w:t>2019-052</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 </w:t>
            </w:r>
          </w:p>
        </w:tc>
      </w:tr>
      <w:tr>
        <w:trPr>
          <w:trHeight w:val="828"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27"/>
                <w:sz w:val="21"/>
                <w:szCs w:val="21"/>
              </w:rPr>
              <w:t> </w:t>
            </w:r>
            <w:r>
              <w:rPr>
                <w:rFonts w:ascii="宋体" w:hAnsi="宋体" w:cs="宋体" w:eastAsia="宋体" w:hint="default"/>
                <w:spacing w:val="3"/>
                <w:sz w:val="21"/>
                <w:szCs w:val="21"/>
              </w:rPr>
              <w:t>年限制性股票激励计划</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pacing w:val="11"/>
                <w:sz w:val="21"/>
                <w:szCs w:val="21"/>
              </w:rPr>
              <w:t>首次授予的限制性股票第二</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次解锁上市</w:t>
            </w:r>
            <w:r>
              <w:rPr>
                <w:rFonts w:ascii="宋体" w:hAnsi="宋体" w:cs="宋体" w:eastAsia="宋体" w:hint="default"/>
                <w:sz w:val="21"/>
                <w:szCs w:val="21"/>
              </w:rPr>
              <w:t> </w:t>
            </w:r>
          </w:p>
        </w:tc>
        <w:tc>
          <w:tcPr>
            <w:tcW w:w="6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21"/>
                <w:sz w:val="21"/>
                <w:szCs w:val="21"/>
              </w:rPr>
              <w:t>《第七届监事会第十二次会议决议公告》（公告编号：临</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2" w:lineRule="exact" w:before="26"/>
              <w:ind w:left="100" w:right="101"/>
              <w:jc w:val="left"/>
              <w:rPr>
                <w:rFonts w:ascii="宋体" w:hAnsi="宋体" w:cs="宋体" w:eastAsia="宋体" w:hint="default"/>
                <w:sz w:val="21"/>
                <w:szCs w:val="21"/>
              </w:rPr>
            </w:pPr>
            <w:r>
              <w:rPr>
                <w:rFonts w:ascii="宋体" w:hAnsi="宋体" w:cs="宋体" w:eastAsia="宋体" w:hint="default"/>
                <w:spacing w:val="-3"/>
                <w:sz w:val="21"/>
                <w:szCs w:val="21"/>
              </w:rPr>
              <w:t>2019-074</w:t>
            </w:r>
            <w:r>
              <w:rPr>
                <w:rFonts w:ascii="宋体" w:hAnsi="宋体" w:cs="宋体" w:eastAsia="宋体" w:hint="default"/>
                <w:spacing w:val="-3"/>
                <w:sz w:val="21"/>
                <w:szCs w:val="21"/>
              </w:rPr>
              <w:t>）、《关于</w:t>
            </w:r>
            <w:r>
              <w:rPr>
                <w:rFonts w:ascii="宋体" w:hAnsi="宋体" w:cs="宋体" w:eastAsia="宋体" w:hint="default"/>
                <w:spacing w:val="-3"/>
                <w:sz w:val="21"/>
                <w:szCs w:val="21"/>
              </w:rPr>
              <w:t>2017</w:t>
            </w:r>
            <w:r>
              <w:rPr>
                <w:rFonts w:ascii="宋体" w:hAnsi="宋体" w:cs="宋体" w:eastAsia="宋体" w:hint="default"/>
                <w:spacing w:val="-3"/>
                <w:sz w:val="21"/>
                <w:szCs w:val="21"/>
              </w:rPr>
              <w:t>年限制性股票激励计划首次授予的限制</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性股票第二次解锁暨上市公告》（公告编号：临</w:t>
            </w:r>
            <w:r>
              <w:rPr>
                <w:rFonts w:ascii="宋体" w:hAnsi="宋体" w:cs="宋体" w:eastAsia="宋体" w:hint="default"/>
                <w:sz w:val="21"/>
                <w:szCs w:val="21"/>
              </w:rPr>
              <w:t>2019-075</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 </w:t>
            </w:r>
          </w:p>
        </w:tc>
      </w:tr>
    </w:tbl>
    <w:p>
      <w:pPr>
        <w:pStyle w:val="Heading3"/>
        <w:spacing w:line="273" w:lineRule="exact"/>
        <w:ind w:left="176" w:right="0"/>
        <w:jc w:val="left"/>
        <w:rPr>
          <w:rFonts w:ascii="宋体" w:hAnsi="宋体" w:cs="宋体" w:eastAsia="宋体" w:hint="default"/>
        </w:rPr>
      </w:pPr>
      <w:r>
        <w:rPr>
          <w:rFonts w:ascii="宋体"/>
        </w:rPr>
        <w:t> </w:t>
      </w:r>
    </w:p>
    <w:p>
      <w:pPr>
        <w:pStyle w:val="Heading3"/>
        <w:spacing w:line="313" w:lineRule="exact"/>
        <w:ind w:left="176" w:right="0"/>
        <w:jc w:val="left"/>
        <w:rPr>
          <w:rFonts w:ascii="宋体" w:hAnsi="宋体" w:cs="宋体" w:eastAsia="宋体" w:hint="default"/>
        </w:rPr>
      </w:pPr>
      <w:r>
        <w:rPr>
          <w:rFonts w:ascii="宋体"/>
        </w:rPr>
        <w:t> </w:t>
      </w:r>
    </w:p>
    <w:p>
      <w:pPr>
        <w:pStyle w:val="Heading5"/>
        <w:spacing w:line="240" w:lineRule="auto" w:before="61"/>
        <w:ind w:left="176" w:right="0"/>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8"/>
        </w:rPr>
        <w:t> </w:t>
      </w:r>
      <w:r>
        <w:rPr/>
        <w:t>临时公告未披露或有后续进展的激励情况</w:t>
      </w:r>
      <w:r>
        <w:rPr>
          <w:b w:val="0"/>
          <w:bCs w:val="0"/>
        </w:rPr>
      </w:r>
    </w:p>
    <w:p>
      <w:pPr>
        <w:pStyle w:val="Heading3"/>
        <w:spacing w:line="313" w:lineRule="exact" w:before="52"/>
        <w:ind w:left="176" w:right="6269"/>
        <w:jc w:val="left"/>
        <w:rPr>
          <w:rFonts w:ascii="宋体" w:hAnsi="宋体" w:cs="宋体" w:eastAsia="宋体" w:hint="default"/>
        </w:rPr>
      </w:pPr>
      <w:r>
        <w:rPr/>
        <w:t>股权激励情况</w:t>
      </w:r>
      <w:r>
        <w:rPr>
          <w:rFonts w:ascii="宋体" w:hAnsi="宋体" w:cs="宋体" w:eastAsia="宋体" w:hint="default"/>
        </w:rPr>
        <w:t> </w:t>
      </w:r>
    </w:p>
    <w:p>
      <w:pPr>
        <w:pStyle w:val="Heading3"/>
        <w:spacing w:line="313" w:lineRule="exact"/>
        <w:ind w:left="176" w:right="626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313" w:lineRule="exact"/>
        <w:jc w:val="left"/>
        <w:rPr>
          <w:rFonts w:ascii="宋体" w:hAnsi="宋体" w:cs="宋体" w:eastAsia="宋体" w:hint="default"/>
        </w:rPr>
        <w:sectPr>
          <w:pgSz w:w="11910" w:h="16840"/>
          <w:pgMar w:header="880" w:footer="1195" w:top="1120" w:bottom="1380" w:left="1100" w:right="1600"/>
        </w:sectPr>
      </w:pPr>
    </w:p>
    <w:p>
      <w:pPr>
        <w:spacing w:line="240" w:lineRule="auto" w:before="11"/>
        <w:rPr>
          <w:rFonts w:ascii="宋体" w:hAnsi="宋体" w:cs="宋体" w:eastAsia="宋体" w:hint="default"/>
          <w:sz w:val="18"/>
          <w:szCs w:val="18"/>
        </w:rPr>
      </w:pPr>
    </w:p>
    <w:p>
      <w:pPr>
        <w:pStyle w:val="BodyText"/>
        <w:spacing w:line="237" w:lineRule="auto" w:before="38"/>
        <w:ind w:left="216" w:right="5634"/>
        <w:jc w:val="left"/>
        <w:rPr>
          <w:rFonts w:ascii="宋体" w:hAnsi="宋体" w:cs="宋体" w:eastAsia="宋体" w:hint="default"/>
        </w:rPr>
      </w:pPr>
      <w:r>
        <w:rPr>
          <w:rFonts w:ascii="宋体" w:hAnsi="宋体" w:cs="宋体" w:eastAsia="宋体" w:hint="default"/>
        </w:rPr>
        <w:t>2017</w:t>
      </w:r>
      <w:r>
        <w:rPr>
          <w:rFonts w:ascii="宋体" w:hAnsi="宋体" w:cs="宋体" w:eastAsia="宋体" w:hint="default"/>
          <w:spacing w:val="-56"/>
        </w:rPr>
        <w:t> </w:t>
      </w:r>
      <w:r>
        <w:rPr/>
        <w:t>年限制性股权激励计划</w:t>
      </w:r>
      <w:r>
        <w:rPr>
          <w:rFonts w:ascii="宋体" w:hAnsi="宋体" w:cs="宋体" w:eastAsia="宋体" w:hint="default"/>
          <w:w w:val="100"/>
        </w:rPr>
        <w:t> </w:t>
      </w:r>
      <w:r>
        <w:rPr/>
        <w:t>激励方式</w:t>
      </w:r>
      <w:r>
        <w:rPr>
          <w:rFonts w:ascii="宋体" w:hAnsi="宋体" w:cs="宋体" w:eastAsia="宋体" w:hint="default"/>
        </w:rPr>
        <w:t>:</w:t>
      </w:r>
      <w:r>
        <w:rPr/>
        <w:t>限制性股票</w:t>
      </w:r>
      <w:r>
        <w:rPr>
          <w:rFonts w:ascii="宋体" w:hAnsi="宋体" w:cs="宋体" w:eastAsia="宋体" w:hint="default"/>
          <w:w w:val="100"/>
        </w:rPr>
        <w:t> </w:t>
      </w:r>
      <w:r>
        <w:rPr/>
        <w:t>标的股票来源</w:t>
      </w:r>
      <w:r>
        <w:rPr>
          <w:rFonts w:ascii="宋体" w:hAnsi="宋体" w:cs="宋体" w:eastAsia="宋体" w:hint="default"/>
        </w:rPr>
        <w:t>:</w:t>
      </w:r>
      <w:r>
        <w:rPr/>
        <w:t>公司回购股份</w:t>
      </w:r>
      <w:r>
        <w:rPr>
          <w:rFonts w:ascii="宋体" w:hAnsi="宋体" w:cs="宋体" w:eastAsia="宋体" w:hint="default"/>
        </w:rPr>
        <w:t> </w:t>
      </w:r>
    </w:p>
    <w:p>
      <w:pPr>
        <w:pStyle w:val="BodyText"/>
        <w:spacing w:line="271" w:lineRule="exact"/>
        <w:ind w:left="216" w:right="0"/>
        <w:jc w:val="left"/>
        <w:rPr>
          <w:rFonts w:ascii="宋体" w:hAnsi="宋体" w:cs="宋体" w:eastAsia="宋体" w:hint="default"/>
        </w:rPr>
      </w:pPr>
      <w:r>
        <w:rPr/>
        <w:t>权益工具公允价值的计量方法、参数的选取标准及结果</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176"/>
        <w:gridCol w:w="5874"/>
      </w:tblGrid>
      <w:tr>
        <w:trPr>
          <w:trHeight w:val="554"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计量方法</w:t>
            </w:r>
            <w:r>
              <w:rPr>
                <w:rFonts w:ascii="宋体" w:hAnsi="宋体" w:cs="宋体" w:eastAsia="宋体" w:hint="default"/>
                <w:sz w:val="21"/>
                <w:szCs w:val="21"/>
              </w:rPr>
              <w:t> </w:t>
            </w:r>
          </w:p>
        </w:tc>
        <w:tc>
          <w:tcPr>
            <w:tcW w:w="58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授予日的无限售条件流通股市场价值减去授予价值</w:t>
            </w:r>
          </w:p>
          <w:p>
            <w:pPr>
              <w:pStyle w:val="TableParagraph"/>
              <w:spacing w:line="274" w:lineRule="exact"/>
              <w:ind w:left="100" w:right="0"/>
              <w:jc w:val="left"/>
              <w:rPr>
                <w:rFonts w:ascii="宋体" w:hAnsi="宋体" w:cs="宋体" w:eastAsia="宋体" w:hint="default"/>
                <w:sz w:val="21"/>
                <w:szCs w:val="21"/>
              </w:rPr>
            </w:pPr>
            <w:r>
              <w:rPr>
                <w:rFonts w:ascii="宋体"/>
                <w:w w:val="100"/>
                <w:sz w:val="21"/>
              </w:rPr>
              <w:t> </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参数名称</w:t>
            </w:r>
            <w:r>
              <w:rPr>
                <w:rFonts w:ascii="宋体" w:hAnsi="宋体" w:cs="宋体" w:eastAsia="宋体" w:hint="default"/>
                <w:sz w:val="21"/>
                <w:szCs w:val="21"/>
              </w:rPr>
              <w:t> </w:t>
            </w:r>
          </w:p>
        </w:tc>
        <w:tc>
          <w:tcPr>
            <w:tcW w:w="5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授予日当天收盘价授予价格</w:t>
            </w:r>
          </w:p>
        </w:tc>
      </w:tr>
      <w:tr>
        <w:trPr>
          <w:trHeight w:val="28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计量结果</w:t>
            </w:r>
            <w:r>
              <w:rPr>
                <w:rFonts w:ascii="宋体" w:hAnsi="宋体" w:cs="宋体" w:eastAsia="宋体" w:hint="default"/>
                <w:sz w:val="21"/>
                <w:szCs w:val="21"/>
              </w:rPr>
              <w:t> </w:t>
            </w:r>
          </w:p>
        </w:tc>
        <w:tc>
          <w:tcPr>
            <w:tcW w:w="587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4,188,531.58</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元</w:t>
            </w:r>
          </w:p>
        </w:tc>
      </w:tr>
    </w:tbl>
    <w:p>
      <w:pPr>
        <w:pStyle w:val="Heading3"/>
        <w:spacing w:line="273" w:lineRule="exact"/>
        <w:ind w:right="0"/>
        <w:jc w:val="left"/>
        <w:rPr>
          <w:rFonts w:ascii="宋体" w:hAnsi="宋体" w:cs="宋体" w:eastAsia="宋体" w:hint="default"/>
        </w:rPr>
      </w:pPr>
      <w:r>
        <w:rPr>
          <w:rFonts w:ascii="宋体"/>
        </w:rPr>
        <w:t> </w:t>
      </w:r>
    </w:p>
    <w:p>
      <w:pPr>
        <w:pStyle w:val="Heading3"/>
        <w:spacing w:line="312" w:lineRule="exact"/>
        <w:ind w:right="0"/>
        <w:jc w:val="left"/>
        <w:rPr>
          <w:rFonts w:ascii="宋体" w:hAnsi="宋体" w:cs="宋体" w:eastAsia="宋体" w:hint="default"/>
        </w:rPr>
      </w:pPr>
      <w:r>
        <w:rPr/>
        <w:t>其他说明</w:t>
      </w:r>
      <w:r>
        <w:rPr>
          <w:rFonts w:ascii="宋体" w:hAnsi="宋体" w:cs="宋体" w:eastAsia="宋体" w:hint="default"/>
        </w:rPr>
        <w:t> </w:t>
      </w:r>
    </w:p>
    <w:p>
      <w:pPr>
        <w:pStyle w:val="Heading3"/>
        <w:spacing w:line="312" w:lineRule="exact"/>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0" w:lineRule="exact" w:before="31"/>
        <w:ind w:right="0"/>
        <w:jc w:val="left"/>
        <w:rPr>
          <w:rFonts w:ascii="宋体" w:hAnsi="宋体" w:cs="宋体" w:eastAsia="宋体" w:hint="default"/>
        </w:rPr>
      </w:pPr>
      <w:r>
        <w:rPr>
          <w:rFonts w:ascii="宋体" w:hAnsi="宋体" w:cs="宋体" w:eastAsia="宋体" w:hint="default"/>
        </w:rPr>
        <w:t>  </w:t>
      </w:r>
      <w:r>
        <w:rPr/>
        <w:t>员工持股计划情况</w:t>
      </w:r>
      <w:r>
        <w:rPr>
          <w:rFonts w:ascii="宋体" w:hAnsi="宋体" w:cs="宋体" w:eastAsia="宋体" w:hint="default"/>
        </w:rPr>
        <w:t> </w:t>
      </w:r>
    </w:p>
    <w:p>
      <w:pPr>
        <w:pStyle w:val="Heading3"/>
        <w:spacing w:line="284" w:lineRule="exact"/>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72" w:lineRule="exact" w:before="32"/>
        <w:ind w:left="216" w:right="226" w:firstLine="480"/>
        <w:jc w:val="left"/>
        <w:rPr>
          <w:rFonts w:ascii="宋体" w:hAnsi="宋体" w:cs="宋体" w:eastAsia="宋体" w:hint="default"/>
        </w:rPr>
      </w:pPr>
      <w:r>
        <w:rPr/>
        <w:t>截至</w:t>
      </w:r>
      <w:r>
        <w:rPr>
          <w:spacing w:val="-46"/>
        </w:rPr>
        <w:t> </w:t>
      </w:r>
      <w:r>
        <w:rPr>
          <w:rFonts w:ascii="宋体" w:hAnsi="宋体" w:cs="宋体" w:eastAsia="宋体" w:hint="default"/>
        </w:rPr>
        <w:t>2019</w:t>
      </w:r>
      <w:r>
        <w:rPr>
          <w:rFonts w:ascii="宋体" w:hAnsi="宋体" w:cs="宋体" w:eastAsia="宋体" w:hint="default"/>
          <w:spacing w:val="-48"/>
        </w:rPr>
        <w:t> </w:t>
      </w:r>
      <w:r>
        <w:rPr/>
        <w:t>年</w:t>
      </w:r>
      <w:r>
        <w:rPr>
          <w:spacing w:val="-45"/>
        </w:rPr>
        <w:t> </w:t>
      </w:r>
      <w:r>
        <w:rPr>
          <w:rFonts w:ascii="宋体" w:hAnsi="宋体" w:cs="宋体" w:eastAsia="宋体" w:hint="default"/>
        </w:rPr>
        <w:t>6</w:t>
      </w:r>
      <w:r>
        <w:rPr>
          <w:rFonts w:ascii="宋体" w:hAnsi="宋体" w:cs="宋体" w:eastAsia="宋体" w:hint="default"/>
          <w:spacing w:val="-48"/>
        </w:rPr>
        <w:t> </w:t>
      </w:r>
      <w:r>
        <w:rPr/>
        <w:t>月</w:t>
      </w:r>
      <w:r>
        <w:rPr>
          <w:spacing w:val="-45"/>
        </w:rPr>
        <w:t> </w:t>
      </w:r>
      <w:r>
        <w:rPr>
          <w:rFonts w:ascii="宋体" w:hAnsi="宋体" w:cs="宋体" w:eastAsia="宋体" w:hint="default"/>
        </w:rPr>
        <w:t>22</w:t>
      </w:r>
      <w:r>
        <w:rPr>
          <w:rFonts w:ascii="宋体" w:hAnsi="宋体" w:cs="宋体" w:eastAsia="宋体" w:hint="default"/>
          <w:spacing w:val="-48"/>
        </w:rPr>
        <w:t> </w:t>
      </w:r>
      <w:r>
        <w:rPr/>
        <w:t>日，公司第一期员工持股计划持有的公司股票</w:t>
      </w:r>
      <w:r>
        <w:rPr>
          <w:spacing w:val="-46"/>
        </w:rPr>
        <w:t> </w:t>
      </w:r>
      <w:r>
        <w:rPr>
          <w:rFonts w:ascii="宋体" w:hAnsi="宋体" w:cs="宋体" w:eastAsia="宋体" w:hint="default"/>
        </w:rPr>
        <w:t>15,660,293</w:t>
      </w:r>
      <w:r>
        <w:rPr>
          <w:rFonts w:ascii="宋体" w:hAnsi="宋体" w:cs="宋体" w:eastAsia="宋体" w:hint="default"/>
          <w:spacing w:val="-45"/>
        </w:rPr>
        <w:t> </w:t>
      </w:r>
      <w:r>
        <w:rPr/>
        <w:t>股已全部出</w:t>
      </w:r>
      <w:r>
        <w:rPr>
          <w:w w:val="100"/>
        </w:rPr>
        <w:t> </w:t>
      </w:r>
      <w:r>
        <w:rPr>
          <w:spacing w:val="-2"/>
        </w:rPr>
        <w:t>售完毕，占公司总股本的</w:t>
      </w:r>
      <w:r>
        <w:rPr>
          <w:spacing w:val="16"/>
        </w:rPr>
        <w:t> </w:t>
      </w:r>
      <w:r>
        <w:rPr>
          <w:rFonts w:ascii="宋体" w:hAnsi="宋体" w:cs="宋体" w:eastAsia="宋体" w:hint="default"/>
          <w:spacing w:val="-2"/>
        </w:rPr>
        <w:t>1.81%</w:t>
      </w:r>
      <w:r>
        <w:rPr>
          <w:spacing w:val="-2"/>
        </w:rPr>
        <w:t>。根据相关规定，公司已完成资产清算和分配工作。</w:t>
      </w:r>
      <w:r>
        <w:rPr>
          <w:rFonts w:ascii="宋体" w:hAnsi="宋体" w:cs="宋体" w:eastAsia="宋体" w:hint="default"/>
        </w:rPr>
        <w:t> </w:t>
      </w:r>
    </w:p>
    <w:p>
      <w:pPr>
        <w:pStyle w:val="Heading3"/>
        <w:spacing w:line="282" w:lineRule="exact"/>
        <w:ind w:right="0"/>
        <w:jc w:val="left"/>
        <w:rPr>
          <w:rFonts w:ascii="宋体" w:hAnsi="宋体" w:cs="宋体" w:eastAsia="宋体" w:hint="default"/>
        </w:rPr>
      </w:pPr>
      <w:r>
        <w:rPr>
          <w:rFonts w:ascii="宋体"/>
        </w:rPr>
        <w:t> </w:t>
      </w:r>
    </w:p>
    <w:p>
      <w:pPr>
        <w:pStyle w:val="BodyText"/>
        <w:spacing w:line="271" w:lineRule="exact" w:before="1"/>
        <w:ind w:left="216" w:right="0"/>
        <w:jc w:val="left"/>
        <w:rPr>
          <w:rFonts w:ascii="宋体" w:hAnsi="宋体" w:cs="宋体" w:eastAsia="宋体" w:hint="default"/>
        </w:rPr>
      </w:pPr>
      <w:r>
        <w:rPr/>
        <w:t>其他激励措施</w:t>
      </w:r>
      <w:r>
        <w:rPr>
          <w:rFonts w:ascii="宋体" w:hAnsi="宋体" w:cs="宋体" w:eastAsia="宋体" w:hint="default"/>
        </w:rPr>
        <w:t> </w:t>
      </w:r>
    </w:p>
    <w:p>
      <w:pPr>
        <w:pStyle w:val="Heading3"/>
        <w:spacing w:line="310"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40" w:lineRule="auto" w:before="61"/>
        <w:ind w:right="0"/>
        <w:jc w:val="left"/>
        <w:rPr>
          <w:b w:val="0"/>
          <w:bCs w:val="0"/>
        </w:rPr>
      </w:pPr>
      <w:r>
        <w:rPr/>
        <w:t>十四、重大关联交易</w:t>
      </w:r>
      <w:r>
        <w:rPr>
          <w:b w:val="0"/>
          <w:bCs w:val="0"/>
        </w:rPr>
      </w:r>
    </w:p>
    <w:p>
      <w:pPr>
        <w:pStyle w:val="Heading5"/>
        <w:spacing w:line="240" w:lineRule="auto" w:before="58"/>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5"/>
        <w:spacing w:line="240" w:lineRule="auto" w:before="29"/>
        <w:ind w:right="0"/>
        <w:jc w:val="left"/>
        <w:rPr>
          <w:rFonts w:ascii="宋体" w:hAnsi="宋体" w:cs="宋体" w:eastAsia="宋体" w:hint="default"/>
          <w:b w:val="0"/>
          <w:bCs w:val="0"/>
        </w:rPr>
      </w:pPr>
      <w:r>
        <w:rPr>
          <w:rFonts w:ascii="宋体" w:hAnsi="宋体" w:cs="宋体" w:eastAsia="宋体" w:hint="default"/>
        </w:rPr>
        <w:t>1</w:t>
      </w:r>
      <w:r>
        <w:rPr/>
        <w:t>、</w:t>
      </w:r>
      <w:r>
        <w:rPr>
          <w:spacing w:val="-7"/>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spacing w:line="240" w:lineRule="auto" w:before="10"/>
        <w:rPr>
          <w:rFonts w:ascii="宋体" w:hAnsi="宋体" w:cs="宋体" w:eastAsia="宋体" w:hint="default"/>
          <w:sz w:val="2"/>
          <w:szCs w:val="2"/>
        </w:rPr>
      </w:pPr>
    </w:p>
    <w:tbl>
      <w:tblPr>
        <w:tblW w:w="0" w:type="auto"/>
        <w:jc w:val="left"/>
        <w:tblInd w:w="216" w:type="dxa"/>
        <w:tblLayout w:type="fixed"/>
        <w:tblCellMar>
          <w:top w:w="0" w:type="dxa"/>
          <w:left w:w="0" w:type="dxa"/>
          <w:bottom w:w="0" w:type="dxa"/>
          <w:right w:w="0" w:type="dxa"/>
        </w:tblCellMar>
        <w:tblLook w:val="01E0"/>
      </w:tblPr>
      <w:tblGrid>
        <w:gridCol w:w="687"/>
        <w:gridCol w:w="2554"/>
        <w:gridCol w:w="986"/>
        <w:gridCol w:w="847"/>
        <w:gridCol w:w="989"/>
        <w:gridCol w:w="1594"/>
        <w:gridCol w:w="1167"/>
      </w:tblGrid>
      <w:tr>
        <w:trPr>
          <w:trHeight w:val="710"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关联</w:t>
            </w:r>
          </w:p>
          <w:p>
            <w:pPr>
              <w:pStyle w:val="TableParagraph"/>
              <w:spacing w:line="232" w:lineRule="exact" w:before="23"/>
              <w:ind w:left="103" w:right="121"/>
              <w:jc w:val="left"/>
              <w:rPr>
                <w:rFonts w:ascii="宋体" w:hAnsi="宋体" w:cs="宋体" w:eastAsia="宋体" w:hint="default"/>
                <w:sz w:val="18"/>
                <w:szCs w:val="18"/>
              </w:rPr>
            </w:pPr>
            <w:r>
              <w:rPr>
                <w:rFonts w:ascii="宋体" w:hAnsi="宋体" w:cs="宋体" w:eastAsia="宋体" w:hint="default"/>
                <w:sz w:val="18"/>
                <w:szCs w:val="18"/>
              </w:rPr>
              <w:t>交易 类型</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交易关联方</w:t>
            </w:r>
            <w:r>
              <w:rPr>
                <w:rFonts w:ascii="宋体" w:hAnsi="宋体" w:cs="宋体" w:eastAsia="宋体" w:hint="default"/>
                <w:sz w:val="18"/>
                <w:szCs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 w:right="0"/>
              <w:jc w:val="center"/>
              <w:rPr>
                <w:rFonts w:ascii="宋体" w:hAnsi="宋体" w:cs="宋体" w:eastAsia="宋体" w:hint="default"/>
                <w:sz w:val="18"/>
                <w:szCs w:val="18"/>
              </w:rPr>
            </w:pPr>
            <w:r>
              <w:rPr>
                <w:rFonts w:ascii="宋体" w:hAnsi="宋体" w:cs="宋体" w:eastAsia="宋体" w:hint="default"/>
                <w:sz w:val="18"/>
                <w:szCs w:val="18"/>
              </w:rPr>
              <w:t>关联关系</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02"/>
              <w:jc w:val="left"/>
              <w:rPr>
                <w:rFonts w:ascii="宋体" w:hAnsi="宋体" w:cs="宋体" w:eastAsia="宋体" w:hint="default"/>
                <w:sz w:val="18"/>
                <w:szCs w:val="18"/>
              </w:rPr>
            </w:pPr>
            <w:r>
              <w:rPr>
                <w:rFonts w:ascii="宋体" w:hAnsi="宋体" w:cs="宋体" w:eastAsia="宋体" w:hint="default"/>
                <w:sz w:val="18"/>
                <w:szCs w:val="18"/>
              </w:rPr>
              <w:t>关联交 易内容</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0" w:right="66"/>
              <w:jc w:val="left"/>
              <w:rPr>
                <w:rFonts w:ascii="宋体" w:hAnsi="宋体" w:cs="宋体" w:eastAsia="宋体" w:hint="default"/>
                <w:sz w:val="18"/>
                <w:szCs w:val="18"/>
              </w:rPr>
            </w:pPr>
            <w:r>
              <w:rPr>
                <w:rFonts w:ascii="宋体" w:hAnsi="宋体" w:cs="宋体" w:eastAsia="宋体" w:hint="default"/>
                <w:sz w:val="18"/>
                <w:szCs w:val="18"/>
              </w:rPr>
              <w:t>关联交易 定价原则</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2"/>
              <w:jc w:val="right"/>
              <w:rPr>
                <w:rFonts w:ascii="宋体" w:hAnsi="宋体" w:cs="宋体" w:eastAsia="宋体" w:hint="default"/>
                <w:sz w:val="18"/>
                <w:szCs w:val="18"/>
              </w:rPr>
            </w:pPr>
            <w:r>
              <w:rPr>
                <w:rFonts w:ascii="宋体" w:hAnsi="宋体" w:cs="宋体" w:eastAsia="宋体" w:hint="default"/>
                <w:sz w:val="18"/>
                <w:szCs w:val="18"/>
              </w:rPr>
              <w:t>关联交易金额</w:t>
            </w:r>
            <w:r>
              <w:rPr>
                <w:rFonts w:ascii="宋体" w:hAnsi="宋体" w:cs="宋体" w:eastAsia="宋体" w:hint="default"/>
                <w:sz w:val="18"/>
                <w:szCs w:val="18"/>
              </w:rPr>
              <w:t> </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占同类交易</w:t>
            </w:r>
          </w:p>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金额的比例</w:t>
            </w:r>
          </w:p>
          <w:p>
            <w:pPr>
              <w:pStyle w:val="TableParagraph"/>
              <w:spacing w:line="234" w:lineRule="exact"/>
              <w:ind w:left="90"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r>
      <w:tr>
        <w:trPr>
          <w:trHeight w:val="478" w:hRule="exact"/>
        </w:trPr>
        <w:tc>
          <w:tcPr>
            <w:tcW w:w="6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32" w:lineRule="exact"/>
              <w:ind w:left="103" w:right="121"/>
              <w:jc w:val="left"/>
              <w:rPr>
                <w:rFonts w:ascii="宋体" w:hAnsi="宋体" w:cs="宋体" w:eastAsia="宋体" w:hint="default"/>
                <w:sz w:val="18"/>
                <w:szCs w:val="18"/>
              </w:rPr>
            </w:pPr>
            <w:r>
              <w:rPr>
                <w:rFonts w:ascii="宋体" w:hAnsi="宋体" w:cs="宋体" w:eastAsia="宋体" w:hint="default"/>
                <w:sz w:val="18"/>
                <w:szCs w:val="18"/>
              </w:rPr>
              <w:t>采购 商品</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同方赛威讯信息技术有限公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18"/>
                <w:szCs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9" w:right="0"/>
              <w:jc w:val="center"/>
              <w:rPr>
                <w:rFonts w:ascii="宋体" w:hAnsi="宋体" w:cs="宋体" w:eastAsia="宋体" w:hint="default"/>
                <w:sz w:val="18"/>
                <w:szCs w:val="18"/>
              </w:rPr>
            </w:pPr>
            <w:r>
              <w:rPr>
                <w:rFonts w:ascii="宋体" w:hAnsi="宋体" w:cs="宋体" w:eastAsia="宋体" w:hint="default"/>
                <w:sz w:val="18"/>
                <w:szCs w:val="18"/>
              </w:rPr>
              <w:t>同一股东</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智能电</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力产品</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按市场价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格执行</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20"/>
                <w:szCs w:val="20"/>
              </w:rPr>
            </w:pPr>
            <w:r>
              <w:rPr>
                <w:rFonts w:ascii="Times New Roman"/>
                <w:w w:val="95"/>
                <w:sz w:val="20"/>
              </w:rPr>
              <w:t>1,203,185.84</w:t>
            </w:r>
            <w:r>
              <w:rPr>
                <w:rFonts w:ascii="Times New Roman"/>
                <w:sz w:val="20"/>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20"/>
                <w:szCs w:val="20"/>
              </w:rPr>
            </w:pPr>
            <w:r>
              <w:rPr>
                <w:rFonts w:ascii="Times New Roman"/>
                <w:sz w:val="20"/>
              </w:rPr>
              <w:t>0.03</w:t>
            </w:r>
          </w:p>
        </w:tc>
      </w:tr>
      <w:tr>
        <w:trPr>
          <w:trHeight w:val="478" w:hRule="exact"/>
        </w:trPr>
        <w:tc>
          <w:tcPr>
            <w:tcW w:w="687" w:type="dxa"/>
            <w:vMerge/>
            <w:tcBorders>
              <w:left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同方工业信息技术有限公司</w:t>
            </w:r>
            <w:r>
              <w:rPr>
                <w:rFonts w:ascii="宋体" w:hAnsi="宋体" w:cs="宋体" w:eastAsia="宋体" w:hint="default"/>
                <w:sz w:val="18"/>
                <w:szCs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9" w:right="0"/>
              <w:jc w:val="center"/>
              <w:rPr>
                <w:rFonts w:ascii="宋体" w:hAnsi="宋体" w:cs="宋体" w:eastAsia="宋体" w:hint="default"/>
                <w:sz w:val="18"/>
                <w:szCs w:val="18"/>
              </w:rPr>
            </w:pPr>
            <w:r>
              <w:rPr>
                <w:rFonts w:ascii="宋体" w:hAnsi="宋体" w:cs="宋体" w:eastAsia="宋体" w:hint="default"/>
                <w:sz w:val="18"/>
                <w:szCs w:val="18"/>
              </w:rPr>
              <w:t>同一股东</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智能电</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力产品</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按市场价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格执行</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20"/>
                <w:szCs w:val="20"/>
              </w:rPr>
            </w:pPr>
            <w:r>
              <w:rPr>
                <w:rFonts w:ascii="Times New Roman"/>
                <w:w w:val="95"/>
                <w:sz w:val="20"/>
              </w:rPr>
              <w:t>174,808.85</w:t>
            </w:r>
            <w:r>
              <w:rPr>
                <w:rFonts w:ascii="Times New Roman"/>
                <w:sz w:val="20"/>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20"/>
                <w:szCs w:val="20"/>
              </w:rPr>
            </w:pPr>
            <w:r>
              <w:rPr>
                <w:rFonts w:ascii="Times New Roman"/>
                <w:sz w:val="20"/>
              </w:rPr>
              <w:t>0.004</w:t>
            </w:r>
          </w:p>
        </w:tc>
      </w:tr>
      <w:tr>
        <w:trPr>
          <w:trHeight w:val="475" w:hRule="exact"/>
        </w:trPr>
        <w:tc>
          <w:tcPr>
            <w:tcW w:w="687" w:type="dxa"/>
            <w:vMerge/>
            <w:tcBorders>
              <w:left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泰豪集团有限公司</w:t>
            </w:r>
            <w:r>
              <w:rPr>
                <w:rFonts w:ascii="宋体" w:hAnsi="宋体" w:cs="宋体" w:eastAsia="宋体" w:hint="default"/>
                <w:sz w:val="18"/>
                <w:szCs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9" w:right="0"/>
              <w:jc w:val="center"/>
              <w:rPr>
                <w:rFonts w:ascii="宋体" w:hAnsi="宋体" w:cs="宋体" w:eastAsia="宋体" w:hint="default"/>
                <w:sz w:val="18"/>
                <w:szCs w:val="18"/>
              </w:rPr>
            </w:pPr>
            <w:r>
              <w:rPr>
                <w:rFonts w:ascii="宋体" w:hAnsi="宋体" w:cs="宋体" w:eastAsia="宋体" w:hint="default"/>
                <w:sz w:val="18"/>
                <w:szCs w:val="18"/>
              </w:rPr>
              <w:t>公司股东</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智能电</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力产品</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按市场价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格执行</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0"/>
                <w:szCs w:val="20"/>
              </w:rPr>
            </w:pPr>
            <w:r>
              <w:rPr>
                <w:rFonts w:ascii="Times New Roman"/>
                <w:w w:val="95"/>
                <w:sz w:val="20"/>
              </w:rPr>
              <w:t>424,778.74</w:t>
            </w:r>
            <w:r>
              <w:rPr>
                <w:rFonts w:ascii="Times New Roman"/>
                <w:sz w:val="20"/>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0"/>
                <w:szCs w:val="20"/>
              </w:rPr>
            </w:pPr>
            <w:r>
              <w:rPr>
                <w:rFonts w:ascii="Times New Roman"/>
                <w:sz w:val="20"/>
              </w:rPr>
              <w:t>0.01</w:t>
            </w:r>
          </w:p>
        </w:tc>
      </w:tr>
      <w:tr>
        <w:trPr>
          <w:trHeight w:val="478" w:hRule="exact"/>
        </w:trPr>
        <w:tc>
          <w:tcPr>
            <w:tcW w:w="687" w:type="dxa"/>
            <w:vMerge/>
            <w:tcBorders>
              <w:left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贵州泰豪电力科技有限公司</w:t>
            </w:r>
            <w:r>
              <w:rPr>
                <w:rFonts w:ascii="宋体" w:hAnsi="宋体" w:cs="宋体" w:eastAsia="宋体" w:hint="default"/>
                <w:sz w:val="18"/>
                <w:szCs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9" w:right="0"/>
              <w:jc w:val="center"/>
              <w:rPr>
                <w:rFonts w:ascii="宋体" w:hAnsi="宋体" w:cs="宋体" w:eastAsia="宋体" w:hint="default"/>
                <w:sz w:val="18"/>
                <w:szCs w:val="18"/>
              </w:rPr>
            </w:pPr>
            <w:r>
              <w:rPr>
                <w:rFonts w:ascii="宋体" w:hAnsi="宋体" w:cs="宋体" w:eastAsia="宋体" w:hint="default"/>
                <w:sz w:val="18"/>
                <w:szCs w:val="18"/>
              </w:rPr>
              <w:t>同一股东</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智能电</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力产品</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按市场价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格执行</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20"/>
                <w:szCs w:val="20"/>
              </w:rPr>
            </w:pPr>
            <w:r>
              <w:rPr>
                <w:rFonts w:ascii="Times New Roman"/>
                <w:w w:val="95"/>
                <w:sz w:val="20"/>
              </w:rPr>
              <w:t>23,367,324.50</w:t>
            </w:r>
            <w:r>
              <w:rPr>
                <w:rFonts w:ascii="Times New Roman"/>
                <w:sz w:val="20"/>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20"/>
                <w:szCs w:val="20"/>
              </w:rPr>
            </w:pPr>
            <w:r>
              <w:rPr>
                <w:rFonts w:ascii="Times New Roman"/>
                <w:sz w:val="20"/>
              </w:rPr>
              <w:t>0.58</w:t>
            </w:r>
          </w:p>
        </w:tc>
      </w:tr>
      <w:tr>
        <w:trPr>
          <w:trHeight w:val="478" w:hRule="exact"/>
        </w:trPr>
        <w:tc>
          <w:tcPr>
            <w:tcW w:w="687" w:type="dxa"/>
            <w:vMerge/>
            <w:tcBorders>
              <w:left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康富科技有限公司</w:t>
            </w:r>
            <w:r>
              <w:rPr>
                <w:rFonts w:ascii="宋体" w:hAnsi="宋体" w:cs="宋体" w:eastAsia="宋体" w:hint="default"/>
                <w:sz w:val="18"/>
                <w:szCs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9" w:right="0"/>
              <w:jc w:val="center"/>
              <w:rPr>
                <w:rFonts w:ascii="宋体" w:hAnsi="宋体" w:cs="宋体" w:eastAsia="宋体" w:hint="default"/>
                <w:sz w:val="18"/>
                <w:szCs w:val="18"/>
              </w:rPr>
            </w:pPr>
            <w:r>
              <w:rPr>
                <w:rFonts w:ascii="宋体" w:hAnsi="宋体" w:cs="宋体" w:eastAsia="宋体" w:hint="default"/>
                <w:sz w:val="18"/>
                <w:szCs w:val="18"/>
              </w:rPr>
              <w:t>同一股东</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智能电</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力产品</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按市场价</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格执行</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1"/>
              <w:jc w:val="right"/>
              <w:rPr>
                <w:rFonts w:ascii="Times New Roman" w:hAnsi="Times New Roman" w:cs="Times New Roman" w:eastAsia="Times New Roman" w:hint="default"/>
                <w:sz w:val="20"/>
                <w:szCs w:val="20"/>
              </w:rPr>
            </w:pPr>
            <w:r>
              <w:rPr>
                <w:rFonts w:ascii="Times New Roman"/>
                <w:w w:val="95"/>
                <w:sz w:val="20"/>
              </w:rPr>
              <w:t>20,902,407.86</w:t>
            </w:r>
            <w:r>
              <w:rPr>
                <w:rFonts w:ascii="Times New Roman"/>
                <w:sz w:val="20"/>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00"/>
              <w:jc w:val="right"/>
              <w:rPr>
                <w:rFonts w:ascii="Times New Roman" w:hAnsi="Times New Roman" w:cs="Times New Roman" w:eastAsia="Times New Roman" w:hint="default"/>
                <w:sz w:val="20"/>
                <w:szCs w:val="20"/>
              </w:rPr>
            </w:pPr>
            <w:r>
              <w:rPr>
                <w:rFonts w:ascii="Times New Roman"/>
                <w:sz w:val="20"/>
              </w:rPr>
              <w:t>0.52</w:t>
            </w:r>
          </w:p>
        </w:tc>
      </w:tr>
      <w:tr>
        <w:trPr>
          <w:trHeight w:val="478" w:hRule="exact"/>
        </w:trPr>
        <w:tc>
          <w:tcPr>
            <w:tcW w:w="687" w:type="dxa"/>
            <w:vMerge/>
            <w:tcBorders>
              <w:left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江西泰达空调电器有限公司</w:t>
            </w:r>
            <w:r>
              <w:rPr>
                <w:rFonts w:ascii="宋体" w:hAnsi="宋体" w:cs="宋体" w:eastAsia="宋体" w:hint="default"/>
                <w:sz w:val="18"/>
                <w:szCs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9" w:right="0"/>
              <w:jc w:val="center"/>
              <w:rPr>
                <w:rFonts w:ascii="宋体" w:hAnsi="宋体" w:cs="宋体" w:eastAsia="宋体" w:hint="default"/>
                <w:sz w:val="18"/>
                <w:szCs w:val="18"/>
              </w:rPr>
            </w:pPr>
            <w:r>
              <w:rPr>
                <w:rFonts w:ascii="宋体" w:hAnsi="宋体" w:cs="宋体" w:eastAsia="宋体" w:hint="default"/>
                <w:sz w:val="18"/>
                <w:szCs w:val="18"/>
              </w:rPr>
              <w:t>同一股东</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智能电</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力产品</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按市场价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格执行</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0"/>
                <w:szCs w:val="20"/>
              </w:rPr>
            </w:pPr>
            <w:r>
              <w:rPr>
                <w:rFonts w:ascii="Times New Roman"/>
                <w:w w:val="95"/>
                <w:sz w:val="20"/>
              </w:rPr>
              <w:t>703,650.44</w:t>
            </w:r>
            <w:r>
              <w:rPr>
                <w:rFonts w:ascii="Times New Roman"/>
                <w:sz w:val="20"/>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0"/>
                <w:szCs w:val="20"/>
              </w:rPr>
            </w:pPr>
            <w:r>
              <w:rPr>
                <w:rFonts w:ascii="Times New Roman"/>
                <w:sz w:val="20"/>
              </w:rPr>
              <w:t>0.02</w:t>
            </w:r>
          </w:p>
        </w:tc>
      </w:tr>
      <w:tr>
        <w:trPr>
          <w:trHeight w:val="475" w:hRule="exact"/>
        </w:trPr>
        <w:tc>
          <w:tcPr>
            <w:tcW w:w="687" w:type="dxa"/>
            <w:vMerge/>
            <w:tcBorders>
              <w:left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北京泰豪智能科技有限公司</w:t>
            </w:r>
            <w:r>
              <w:rPr>
                <w:rFonts w:ascii="宋体" w:hAnsi="宋体" w:cs="宋体" w:eastAsia="宋体" w:hint="default"/>
                <w:sz w:val="18"/>
                <w:szCs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9" w:right="0"/>
              <w:jc w:val="center"/>
              <w:rPr>
                <w:rFonts w:ascii="宋体" w:hAnsi="宋体" w:cs="宋体" w:eastAsia="宋体" w:hint="default"/>
                <w:sz w:val="18"/>
                <w:szCs w:val="18"/>
              </w:rPr>
            </w:pPr>
            <w:r>
              <w:rPr>
                <w:rFonts w:ascii="宋体" w:hAnsi="宋体" w:cs="宋体" w:eastAsia="宋体" w:hint="default"/>
                <w:sz w:val="18"/>
                <w:szCs w:val="18"/>
              </w:rPr>
              <w:t>同一股东</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智能电</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力产品</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按市场价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格执行</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0"/>
                <w:szCs w:val="20"/>
              </w:rPr>
            </w:pPr>
            <w:r>
              <w:rPr>
                <w:rFonts w:ascii="Times New Roman"/>
                <w:w w:val="95"/>
                <w:sz w:val="20"/>
              </w:rPr>
              <w:t>365,923.93</w:t>
            </w:r>
            <w:r>
              <w:rPr>
                <w:rFonts w:ascii="Times New Roman"/>
                <w:sz w:val="20"/>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0"/>
                <w:szCs w:val="20"/>
              </w:rPr>
            </w:pPr>
            <w:r>
              <w:rPr>
                <w:rFonts w:ascii="Times New Roman"/>
                <w:sz w:val="20"/>
              </w:rPr>
              <w:t>0.01</w:t>
            </w:r>
          </w:p>
        </w:tc>
      </w:tr>
      <w:tr>
        <w:trPr>
          <w:trHeight w:val="478" w:hRule="exact"/>
        </w:trPr>
        <w:tc>
          <w:tcPr>
            <w:tcW w:w="687" w:type="dxa"/>
            <w:vMerge/>
            <w:tcBorders>
              <w:left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泰豪信息技术有限公司</w:t>
            </w:r>
            <w:r>
              <w:rPr>
                <w:rFonts w:ascii="宋体" w:hAnsi="宋体" w:cs="宋体" w:eastAsia="宋体" w:hint="default"/>
                <w:sz w:val="18"/>
                <w:szCs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9" w:right="0"/>
              <w:jc w:val="center"/>
              <w:rPr>
                <w:rFonts w:ascii="宋体" w:hAnsi="宋体" w:cs="宋体" w:eastAsia="宋体" w:hint="default"/>
                <w:sz w:val="18"/>
                <w:szCs w:val="18"/>
              </w:rPr>
            </w:pPr>
            <w:r>
              <w:rPr>
                <w:rFonts w:ascii="宋体" w:hAnsi="宋体" w:cs="宋体" w:eastAsia="宋体" w:hint="default"/>
                <w:sz w:val="18"/>
                <w:szCs w:val="18"/>
              </w:rPr>
              <w:t>同一股东</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智能电</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力产品</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按市场价</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格执行</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20"/>
                <w:szCs w:val="20"/>
              </w:rPr>
            </w:pPr>
            <w:r>
              <w:rPr>
                <w:rFonts w:ascii="Times New Roman"/>
                <w:w w:val="95"/>
                <w:sz w:val="20"/>
              </w:rPr>
              <w:t>308,297.73</w:t>
            </w:r>
            <w:r>
              <w:rPr>
                <w:rFonts w:ascii="Times New Roman"/>
                <w:sz w:val="20"/>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20"/>
                <w:szCs w:val="20"/>
              </w:rPr>
            </w:pPr>
            <w:r>
              <w:rPr>
                <w:rFonts w:ascii="Times New Roman"/>
                <w:sz w:val="20"/>
              </w:rPr>
              <w:t>0.01</w:t>
            </w:r>
          </w:p>
        </w:tc>
      </w:tr>
      <w:tr>
        <w:trPr>
          <w:trHeight w:val="478" w:hRule="exact"/>
        </w:trPr>
        <w:tc>
          <w:tcPr>
            <w:tcW w:w="687" w:type="dxa"/>
            <w:vMerge/>
            <w:tcBorders>
              <w:left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泰豪沈阳电机有限公司</w:t>
            </w:r>
            <w:r>
              <w:rPr>
                <w:rFonts w:ascii="宋体" w:hAnsi="宋体" w:cs="宋体" w:eastAsia="宋体" w:hint="default"/>
                <w:sz w:val="18"/>
                <w:szCs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9" w:right="0"/>
              <w:jc w:val="center"/>
              <w:rPr>
                <w:rFonts w:ascii="宋体" w:hAnsi="宋体" w:cs="宋体" w:eastAsia="宋体" w:hint="default"/>
                <w:sz w:val="18"/>
                <w:szCs w:val="18"/>
              </w:rPr>
            </w:pPr>
            <w:r>
              <w:rPr>
                <w:rFonts w:ascii="宋体" w:hAnsi="宋体" w:cs="宋体" w:eastAsia="宋体" w:hint="default"/>
                <w:sz w:val="18"/>
                <w:szCs w:val="18"/>
              </w:rPr>
              <w:t>同一股东</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智能电</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力产品</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按市场价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格执行</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0"/>
                <w:szCs w:val="20"/>
              </w:rPr>
            </w:pPr>
            <w:r>
              <w:rPr>
                <w:rFonts w:ascii="Times New Roman"/>
                <w:w w:val="95"/>
                <w:sz w:val="20"/>
              </w:rPr>
              <w:t>239,115.05</w:t>
            </w:r>
            <w:r>
              <w:rPr>
                <w:rFonts w:ascii="Times New Roman"/>
                <w:sz w:val="20"/>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0"/>
                <w:szCs w:val="20"/>
              </w:rPr>
            </w:pPr>
            <w:r>
              <w:rPr>
                <w:rFonts w:ascii="Times New Roman"/>
                <w:sz w:val="20"/>
              </w:rPr>
              <w:t>0.01</w:t>
            </w:r>
          </w:p>
        </w:tc>
      </w:tr>
      <w:tr>
        <w:trPr>
          <w:trHeight w:val="475" w:hRule="exact"/>
        </w:trPr>
        <w:tc>
          <w:tcPr>
            <w:tcW w:w="687" w:type="dxa"/>
            <w:vMerge/>
            <w:tcBorders>
              <w:left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江西瑞悦装饰设计工程有限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9" w:right="0"/>
              <w:jc w:val="center"/>
              <w:rPr>
                <w:rFonts w:ascii="宋体" w:hAnsi="宋体" w:cs="宋体" w:eastAsia="宋体" w:hint="default"/>
                <w:sz w:val="18"/>
                <w:szCs w:val="18"/>
              </w:rPr>
            </w:pPr>
            <w:r>
              <w:rPr>
                <w:rFonts w:ascii="宋体" w:hAnsi="宋体" w:cs="宋体" w:eastAsia="宋体" w:hint="default"/>
                <w:sz w:val="18"/>
                <w:szCs w:val="18"/>
              </w:rPr>
              <w:t>同一股东</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智能电</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力产品</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按市场价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格执行</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0"/>
                <w:szCs w:val="20"/>
              </w:rPr>
            </w:pPr>
            <w:r>
              <w:rPr>
                <w:rFonts w:ascii="Times New Roman"/>
                <w:w w:val="95"/>
                <w:sz w:val="20"/>
              </w:rPr>
              <w:t>182,947.58</w:t>
            </w:r>
            <w:r>
              <w:rPr>
                <w:rFonts w:ascii="Times New Roman"/>
                <w:sz w:val="20"/>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0"/>
                <w:szCs w:val="20"/>
              </w:rPr>
            </w:pPr>
            <w:r>
              <w:rPr>
                <w:rFonts w:ascii="Times New Roman"/>
                <w:sz w:val="20"/>
              </w:rPr>
              <w:t>0.005</w:t>
            </w:r>
          </w:p>
        </w:tc>
      </w:tr>
      <w:tr>
        <w:trPr>
          <w:trHeight w:val="283" w:hRule="exact"/>
        </w:trPr>
        <w:tc>
          <w:tcPr>
            <w:tcW w:w="687" w:type="dxa"/>
            <w:vMerge/>
            <w:tcBorders>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南昌</w:t>
            </w:r>
            <w:r>
              <w:rPr>
                <w:rFonts w:ascii="宋体" w:hAnsi="宋体" w:cs="宋体" w:eastAsia="宋体" w:hint="default"/>
                <w:spacing w:val="-47"/>
                <w:sz w:val="18"/>
                <w:szCs w:val="18"/>
              </w:rPr>
              <w:t> </w:t>
            </w:r>
            <w:r>
              <w:rPr>
                <w:rFonts w:ascii="宋体" w:hAnsi="宋体" w:cs="宋体" w:eastAsia="宋体" w:hint="default"/>
                <w:sz w:val="18"/>
                <w:szCs w:val="18"/>
              </w:rPr>
              <w:t>ABB</w:t>
            </w:r>
            <w:r>
              <w:rPr>
                <w:rFonts w:ascii="宋体" w:hAnsi="宋体" w:cs="宋体" w:eastAsia="宋体" w:hint="default"/>
                <w:spacing w:val="-46"/>
                <w:sz w:val="18"/>
                <w:szCs w:val="18"/>
              </w:rPr>
              <w:t> </w:t>
            </w:r>
            <w:r>
              <w:rPr>
                <w:rFonts w:ascii="宋体" w:hAnsi="宋体" w:cs="宋体" w:eastAsia="宋体" w:hint="default"/>
                <w:sz w:val="18"/>
                <w:szCs w:val="18"/>
              </w:rPr>
              <w:t>发电机有限公司</w:t>
            </w:r>
            <w:r>
              <w:rPr>
                <w:rFonts w:ascii="宋体" w:hAnsi="宋体" w:cs="宋体" w:eastAsia="宋体" w:hint="default"/>
                <w:sz w:val="18"/>
                <w:szCs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48"/>
              <w:jc w:val="center"/>
              <w:rPr>
                <w:rFonts w:ascii="宋体" w:hAnsi="宋体" w:cs="宋体" w:eastAsia="宋体" w:hint="default"/>
                <w:sz w:val="18"/>
                <w:szCs w:val="18"/>
              </w:rPr>
            </w:pPr>
            <w:r>
              <w:rPr>
                <w:rFonts w:ascii="宋体" w:hAnsi="宋体" w:cs="宋体" w:eastAsia="宋体" w:hint="default"/>
                <w:sz w:val="18"/>
                <w:szCs w:val="18"/>
              </w:rPr>
              <w:t>其他关联</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智能电</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按市场价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103,448.28</w:t>
            </w:r>
            <w:r>
              <w:rPr>
                <w:rFonts w:ascii="Times New Roman"/>
                <w:sz w:val="20"/>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sz w:val="20"/>
              </w:rPr>
              <w:t>0.003</w:t>
            </w:r>
          </w:p>
        </w:tc>
      </w:tr>
    </w:tbl>
    <w:p>
      <w:pPr>
        <w:spacing w:after="0" w:line="240" w:lineRule="auto"/>
        <w:jc w:val="right"/>
        <w:rPr>
          <w:rFonts w:ascii="Times New Roman" w:hAnsi="Times New Roman" w:cs="Times New Roman" w:eastAsia="Times New Roman" w:hint="default"/>
          <w:sz w:val="20"/>
          <w:szCs w:val="20"/>
        </w:rPr>
        <w:sectPr>
          <w:pgSz w:w="11910" w:h="16840"/>
          <w:pgMar w:header="880" w:footer="1195" w:top="1120" w:bottom="1380" w:left="1060" w:right="1560"/>
        </w:sectPr>
      </w:pPr>
    </w:p>
    <w:p>
      <w:pPr>
        <w:spacing w:line="240" w:lineRule="auto" w:before="3"/>
        <w:rPr>
          <w:rFonts w:ascii="宋体" w:hAnsi="宋体" w:cs="宋体" w:eastAsia="宋体" w:hint="default"/>
          <w:sz w:val="24"/>
          <w:szCs w:val="24"/>
        </w:rPr>
      </w:pPr>
    </w:p>
    <w:tbl>
      <w:tblPr>
        <w:tblW w:w="0" w:type="auto"/>
        <w:jc w:val="left"/>
        <w:tblInd w:w="216" w:type="dxa"/>
        <w:tblLayout w:type="fixed"/>
        <w:tblCellMar>
          <w:top w:w="0" w:type="dxa"/>
          <w:left w:w="0" w:type="dxa"/>
          <w:bottom w:w="0" w:type="dxa"/>
          <w:right w:w="0" w:type="dxa"/>
        </w:tblCellMar>
        <w:tblLook w:val="01E0"/>
      </w:tblPr>
      <w:tblGrid>
        <w:gridCol w:w="687"/>
        <w:gridCol w:w="2554"/>
        <w:gridCol w:w="986"/>
        <w:gridCol w:w="847"/>
        <w:gridCol w:w="989"/>
        <w:gridCol w:w="1594"/>
        <w:gridCol w:w="1167"/>
      </w:tblGrid>
      <w:tr>
        <w:trPr>
          <w:trHeight w:val="281" w:hRule="exact"/>
        </w:trPr>
        <w:tc>
          <w:tcPr>
            <w:tcW w:w="687" w:type="dxa"/>
            <w:tcBorders>
              <w:top w:val="single" w:sz="4" w:space="0" w:color="000000"/>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人</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力产品</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格执行</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6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32" w:lineRule="exact"/>
              <w:ind w:left="103" w:right="121"/>
              <w:jc w:val="left"/>
              <w:rPr>
                <w:rFonts w:ascii="宋体" w:hAnsi="宋体" w:cs="宋体" w:eastAsia="宋体" w:hint="default"/>
                <w:sz w:val="18"/>
                <w:szCs w:val="18"/>
              </w:rPr>
            </w:pPr>
            <w:r>
              <w:rPr>
                <w:rFonts w:ascii="宋体" w:hAnsi="宋体" w:cs="宋体" w:eastAsia="宋体" w:hint="default"/>
                <w:sz w:val="18"/>
                <w:szCs w:val="18"/>
              </w:rPr>
              <w:t>接受 劳务</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泰豪集团有限公司</w:t>
            </w:r>
            <w:r>
              <w:rPr>
                <w:rFonts w:ascii="宋体" w:hAnsi="宋体" w:cs="宋体" w:eastAsia="宋体" w:hint="default"/>
                <w:sz w:val="18"/>
                <w:szCs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公司股东</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技术服</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务</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按市场价</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格执行</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20"/>
                <w:szCs w:val="20"/>
              </w:rPr>
            </w:pPr>
            <w:r>
              <w:rPr>
                <w:rFonts w:ascii="Times New Roman"/>
                <w:w w:val="95"/>
                <w:sz w:val="20"/>
              </w:rPr>
              <w:t>6,758,616.40</w:t>
            </w:r>
            <w:r>
              <w:rPr>
                <w:rFonts w:ascii="Times New Roman"/>
                <w:sz w:val="20"/>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20"/>
                <w:szCs w:val="20"/>
              </w:rPr>
            </w:pPr>
            <w:r>
              <w:rPr>
                <w:rFonts w:ascii="Times New Roman"/>
                <w:sz w:val="20"/>
              </w:rPr>
              <w:t>0.17</w:t>
            </w:r>
          </w:p>
        </w:tc>
      </w:tr>
      <w:tr>
        <w:trPr>
          <w:trHeight w:val="475" w:hRule="exact"/>
        </w:trPr>
        <w:tc>
          <w:tcPr>
            <w:tcW w:w="687" w:type="dxa"/>
            <w:vMerge/>
            <w:tcBorders>
              <w:left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江西泰豪职业技能培训学院</w:t>
            </w:r>
            <w:r>
              <w:rPr>
                <w:rFonts w:ascii="宋体" w:hAnsi="宋体" w:cs="宋体" w:eastAsia="宋体" w:hint="default"/>
                <w:sz w:val="18"/>
                <w:szCs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同一股东</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培训</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按市场价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格执行</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0"/>
                <w:szCs w:val="20"/>
              </w:rPr>
            </w:pPr>
            <w:r>
              <w:rPr>
                <w:rFonts w:ascii="Times New Roman"/>
                <w:w w:val="95"/>
                <w:sz w:val="20"/>
              </w:rPr>
              <w:t>1,134,253.99</w:t>
            </w:r>
            <w:r>
              <w:rPr>
                <w:rFonts w:ascii="Times New Roman"/>
                <w:sz w:val="20"/>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0"/>
                <w:szCs w:val="20"/>
              </w:rPr>
            </w:pPr>
            <w:r>
              <w:rPr>
                <w:rFonts w:ascii="Times New Roman"/>
                <w:sz w:val="20"/>
              </w:rPr>
              <w:t>0.03</w:t>
            </w:r>
          </w:p>
        </w:tc>
      </w:tr>
      <w:tr>
        <w:trPr>
          <w:trHeight w:val="478" w:hRule="exact"/>
        </w:trPr>
        <w:tc>
          <w:tcPr>
            <w:tcW w:w="687" w:type="dxa"/>
            <w:vMerge/>
            <w:tcBorders>
              <w:left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泰豪产城集团股份有限公司</w:t>
            </w:r>
            <w:r>
              <w:rPr>
                <w:rFonts w:ascii="宋体" w:hAnsi="宋体" w:cs="宋体" w:eastAsia="宋体" w:hint="default"/>
                <w:sz w:val="18"/>
                <w:szCs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同一股东</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技术服</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务</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按市场价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格执行</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20"/>
                <w:szCs w:val="20"/>
              </w:rPr>
            </w:pPr>
            <w:r>
              <w:rPr>
                <w:rFonts w:ascii="Times New Roman"/>
                <w:w w:val="95"/>
                <w:sz w:val="20"/>
              </w:rPr>
              <w:t>946,436.89</w:t>
            </w:r>
            <w:r>
              <w:rPr>
                <w:rFonts w:ascii="Times New Roman"/>
                <w:sz w:val="20"/>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20"/>
                <w:szCs w:val="20"/>
              </w:rPr>
            </w:pPr>
            <w:r>
              <w:rPr>
                <w:rFonts w:ascii="Times New Roman"/>
                <w:sz w:val="20"/>
              </w:rPr>
              <w:t>0.02</w:t>
            </w:r>
          </w:p>
        </w:tc>
      </w:tr>
      <w:tr>
        <w:trPr>
          <w:trHeight w:val="478" w:hRule="exact"/>
        </w:trPr>
        <w:tc>
          <w:tcPr>
            <w:tcW w:w="687" w:type="dxa"/>
            <w:vMerge/>
            <w:tcBorders>
              <w:left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北京同方物业管理有限公司</w:t>
            </w:r>
            <w:r>
              <w:rPr>
                <w:rFonts w:ascii="宋体" w:hAnsi="宋体" w:cs="宋体" w:eastAsia="宋体" w:hint="default"/>
                <w:sz w:val="18"/>
                <w:szCs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同一股东</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物业管</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理</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按市场价</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格执行</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20"/>
                <w:szCs w:val="20"/>
              </w:rPr>
            </w:pPr>
            <w:r>
              <w:rPr>
                <w:rFonts w:ascii="Times New Roman"/>
                <w:w w:val="95"/>
                <w:sz w:val="20"/>
              </w:rPr>
              <w:t>408,866.08</w:t>
            </w:r>
            <w:r>
              <w:rPr>
                <w:rFonts w:ascii="Times New Roman"/>
                <w:sz w:val="20"/>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20"/>
                <w:szCs w:val="20"/>
              </w:rPr>
            </w:pPr>
            <w:r>
              <w:rPr>
                <w:rFonts w:ascii="Times New Roman"/>
                <w:sz w:val="20"/>
              </w:rPr>
              <w:t>0.01</w:t>
            </w:r>
          </w:p>
        </w:tc>
      </w:tr>
      <w:tr>
        <w:trPr>
          <w:trHeight w:val="478" w:hRule="exact"/>
        </w:trPr>
        <w:tc>
          <w:tcPr>
            <w:tcW w:w="687" w:type="dxa"/>
            <w:vMerge/>
            <w:tcBorders>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北京泰豪智能科技有限公司</w:t>
            </w:r>
            <w:r>
              <w:rPr>
                <w:rFonts w:ascii="宋体" w:hAnsi="宋体" w:cs="宋体" w:eastAsia="宋体" w:hint="default"/>
                <w:sz w:val="18"/>
                <w:szCs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同一股东</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物业管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按市场价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格执行</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0"/>
                <w:szCs w:val="20"/>
              </w:rPr>
            </w:pPr>
            <w:r>
              <w:rPr>
                <w:rFonts w:ascii="Times New Roman"/>
                <w:w w:val="95"/>
                <w:sz w:val="20"/>
              </w:rPr>
              <w:t>238,754.53</w:t>
            </w:r>
            <w:r>
              <w:rPr>
                <w:rFonts w:ascii="Times New Roman"/>
                <w:sz w:val="20"/>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0"/>
                <w:szCs w:val="20"/>
              </w:rPr>
            </w:pPr>
            <w:r>
              <w:rPr>
                <w:rFonts w:ascii="Times New Roman"/>
                <w:sz w:val="20"/>
              </w:rPr>
              <w:t>0.01</w:t>
            </w:r>
          </w:p>
        </w:tc>
      </w:tr>
      <w:tr>
        <w:trPr>
          <w:trHeight w:val="475"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流出</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北京泰豪智能科技有限公司</w:t>
            </w:r>
            <w:r>
              <w:rPr>
                <w:rFonts w:ascii="宋体" w:hAnsi="宋体" w:cs="宋体" w:eastAsia="宋体" w:hint="default"/>
                <w:sz w:val="18"/>
                <w:szCs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同一股东</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房租水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电</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按市场价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格执行</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0"/>
                <w:szCs w:val="20"/>
              </w:rPr>
            </w:pPr>
            <w:r>
              <w:rPr>
                <w:rFonts w:ascii="Times New Roman"/>
                <w:w w:val="95"/>
                <w:sz w:val="20"/>
              </w:rPr>
              <w:t>2,643,120.06</w:t>
            </w:r>
            <w:r>
              <w:rPr>
                <w:rFonts w:ascii="Times New Roman"/>
                <w:sz w:val="20"/>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0"/>
                <w:szCs w:val="20"/>
              </w:rPr>
            </w:pPr>
            <w:r>
              <w:rPr>
                <w:rFonts w:ascii="Times New Roman"/>
                <w:sz w:val="20"/>
              </w:rPr>
              <w:t>0.07</w:t>
            </w:r>
          </w:p>
        </w:tc>
      </w:tr>
      <w:tr>
        <w:trPr>
          <w:trHeight w:val="478" w:hRule="exact"/>
        </w:trPr>
        <w:tc>
          <w:tcPr>
            <w:tcW w:w="6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32" w:lineRule="exact"/>
              <w:ind w:left="103" w:right="121"/>
              <w:jc w:val="left"/>
              <w:rPr>
                <w:rFonts w:ascii="宋体" w:hAnsi="宋体" w:cs="宋体" w:eastAsia="宋体" w:hint="default"/>
                <w:sz w:val="18"/>
                <w:szCs w:val="18"/>
              </w:rPr>
            </w:pPr>
            <w:r>
              <w:rPr>
                <w:rFonts w:ascii="宋体" w:hAnsi="宋体" w:cs="宋体" w:eastAsia="宋体" w:hint="default"/>
                <w:sz w:val="18"/>
                <w:szCs w:val="18"/>
              </w:rPr>
              <w:t>销售 商品</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同方江新造船有限公司</w:t>
            </w:r>
            <w:r>
              <w:rPr>
                <w:rFonts w:ascii="宋体" w:hAnsi="宋体" w:cs="宋体" w:eastAsia="宋体" w:hint="default"/>
                <w:sz w:val="18"/>
                <w:szCs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同一股东</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军工装</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备产品</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按市场价</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格执行</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20"/>
                <w:szCs w:val="20"/>
              </w:rPr>
            </w:pPr>
            <w:r>
              <w:rPr>
                <w:rFonts w:ascii="Times New Roman"/>
                <w:w w:val="95"/>
                <w:sz w:val="20"/>
              </w:rPr>
              <w:t>1,132,700.00</w:t>
            </w:r>
            <w:r>
              <w:rPr>
                <w:rFonts w:ascii="Times New Roman"/>
                <w:sz w:val="20"/>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20"/>
                <w:szCs w:val="20"/>
              </w:rPr>
            </w:pPr>
            <w:r>
              <w:rPr>
                <w:rFonts w:ascii="Times New Roman"/>
                <w:sz w:val="20"/>
              </w:rPr>
              <w:t>0.02</w:t>
            </w:r>
          </w:p>
        </w:tc>
      </w:tr>
      <w:tr>
        <w:trPr>
          <w:trHeight w:val="478" w:hRule="exact"/>
        </w:trPr>
        <w:tc>
          <w:tcPr>
            <w:tcW w:w="687" w:type="dxa"/>
            <w:vMerge/>
            <w:tcBorders>
              <w:left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r>
              <w:rPr>
                <w:rFonts w:ascii="宋体" w:hAnsi="宋体" w:cs="宋体" w:eastAsia="宋体" w:hint="default"/>
                <w:sz w:val="18"/>
                <w:szCs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同一股东</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智能电</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力产品</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按市场价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格执行</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0"/>
                <w:szCs w:val="20"/>
              </w:rPr>
            </w:pPr>
            <w:r>
              <w:rPr>
                <w:rFonts w:ascii="Times New Roman"/>
                <w:w w:val="95"/>
                <w:sz w:val="20"/>
              </w:rPr>
              <w:t>8,284.02</w:t>
            </w:r>
            <w:r>
              <w:rPr>
                <w:rFonts w:ascii="Times New Roman"/>
                <w:sz w:val="20"/>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0"/>
                <w:szCs w:val="20"/>
              </w:rPr>
            </w:pPr>
            <w:r>
              <w:rPr>
                <w:rFonts w:ascii="Times New Roman"/>
                <w:w w:val="95"/>
                <w:sz w:val="20"/>
              </w:rPr>
              <w:t>0.0002</w:t>
            </w:r>
            <w:r>
              <w:rPr>
                <w:rFonts w:ascii="Times New Roman"/>
                <w:sz w:val="20"/>
              </w:rPr>
            </w:r>
          </w:p>
        </w:tc>
      </w:tr>
      <w:tr>
        <w:trPr>
          <w:trHeight w:val="475" w:hRule="exact"/>
        </w:trPr>
        <w:tc>
          <w:tcPr>
            <w:tcW w:w="687" w:type="dxa"/>
            <w:vMerge/>
            <w:tcBorders>
              <w:left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江西泰豪动漫职业学院</w:t>
            </w:r>
            <w:r>
              <w:rPr>
                <w:rFonts w:ascii="宋体" w:hAnsi="宋体" w:cs="宋体" w:eastAsia="宋体" w:hint="default"/>
                <w:sz w:val="18"/>
                <w:szCs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同一股东</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智能电</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力产品</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按市场价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格执行</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0"/>
                <w:szCs w:val="20"/>
              </w:rPr>
            </w:pPr>
            <w:r>
              <w:rPr>
                <w:rFonts w:ascii="Times New Roman"/>
                <w:w w:val="95"/>
                <w:sz w:val="20"/>
              </w:rPr>
              <w:t>1,533,207.96</w:t>
            </w:r>
            <w:r>
              <w:rPr>
                <w:rFonts w:ascii="Times New Roman"/>
                <w:sz w:val="20"/>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0"/>
                <w:szCs w:val="20"/>
              </w:rPr>
            </w:pPr>
            <w:r>
              <w:rPr>
                <w:rFonts w:ascii="Times New Roman"/>
                <w:sz w:val="20"/>
              </w:rPr>
              <w:t>0.03</w:t>
            </w:r>
          </w:p>
        </w:tc>
      </w:tr>
      <w:tr>
        <w:trPr>
          <w:trHeight w:val="478" w:hRule="exact"/>
        </w:trPr>
        <w:tc>
          <w:tcPr>
            <w:tcW w:w="687" w:type="dxa"/>
            <w:vMerge/>
            <w:tcBorders>
              <w:left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贵州泰豪电力科技有限公司</w:t>
            </w:r>
            <w:r>
              <w:rPr>
                <w:rFonts w:ascii="宋体" w:hAnsi="宋体" w:cs="宋体" w:eastAsia="宋体" w:hint="default"/>
                <w:sz w:val="18"/>
                <w:szCs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同一股东</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智能电</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力产品</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按市场价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格执行</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20"/>
                <w:szCs w:val="20"/>
              </w:rPr>
            </w:pPr>
            <w:r>
              <w:rPr>
                <w:rFonts w:ascii="Times New Roman"/>
                <w:w w:val="95"/>
                <w:sz w:val="20"/>
              </w:rPr>
              <w:t>965,660.42</w:t>
            </w:r>
            <w:r>
              <w:rPr>
                <w:rFonts w:ascii="Times New Roman"/>
                <w:sz w:val="20"/>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20"/>
                <w:szCs w:val="20"/>
              </w:rPr>
            </w:pPr>
            <w:r>
              <w:rPr>
                <w:rFonts w:ascii="Times New Roman"/>
                <w:sz w:val="20"/>
              </w:rPr>
              <w:t>0.02</w:t>
            </w:r>
          </w:p>
        </w:tc>
      </w:tr>
      <w:tr>
        <w:trPr>
          <w:trHeight w:val="478" w:hRule="exact"/>
        </w:trPr>
        <w:tc>
          <w:tcPr>
            <w:tcW w:w="687" w:type="dxa"/>
            <w:vMerge/>
            <w:tcBorders>
              <w:left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康富科技有限公司</w:t>
            </w:r>
            <w:r>
              <w:rPr>
                <w:rFonts w:ascii="宋体" w:hAnsi="宋体" w:cs="宋体" w:eastAsia="宋体" w:hint="default"/>
                <w:sz w:val="18"/>
                <w:szCs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同一股东</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智能电</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力产品</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按市场价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格执行</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20"/>
                <w:szCs w:val="20"/>
              </w:rPr>
            </w:pPr>
            <w:r>
              <w:rPr>
                <w:rFonts w:ascii="Times New Roman"/>
                <w:w w:val="95"/>
                <w:sz w:val="20"/>
              </w:rPr>
              <w:t>72,264.15</w:t>
            </w:r>
            <w:r>
              <w:rPr>
                <w:rFonts w:ascii="Times New Roman"/>
                <w:sz w:val="20"/>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20"/>
                <w:szCs w:val="20"/>
              </w:rPr>
            </w:pPr>
            <w:r>
              <w:rPr>
                <w:rFonts w:ascii="Times New Roman"/>
                <w:sz w:val="20"/>
              </w:rPr>
              <w:t>0.001</w:t>
            </w:r>
          </w:p>
        </w:tc>
      </w:tr>
      <w:tr>
        <w:trPr>
          <w:trHeight w:val="475" w:hRule="exact"/>
        </w:trPr>
        <w:tc>
          <w:tcPr>
            <w:tcW w:w="687" w:type="dxa"/>
            <w:vMerge/>
            <w:tcBorders>
              <w:left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江西泰豪科技进出口有限公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18"/>
                <w:szCs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同一股东</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军工装</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备产品</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按市场价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格执行</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0"/>
                <w:szCs w:val="20"/>
              </w:rPr>
            </w:pPr>
            <w:r>
              <w:rPr>
                <w:rFonts w:ascii="Times New Roman"/>
                <w:w w:val="95"/>
                <w:sz w:val="20"/>
              </w:rPr>
              <w:t>16,814.16</w:t>
            </w:r>
            <w:r>
              <w:rPr>
                <w:rFonts w:ascii="Times New Roman"/>
                <w:sz w:val="20"/>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0"/>
                <w:szCs w:val="20"/>
              </w:rPr>
            </w:pPr>
            <w:r>
              <w:rPr>
                <w:rFonts w:ascii="Times New Roman"/>
                <w:w w:val="95"/>
                <w:sz w:val="20"/>
              </w:rPr>
              <w:t>0.0003</w:t>
            </w:r>
            <w:r>
              <w:rPr>
                <w:rFonts w:ascii="Times New Roman"/>
                <w:sz w:val="20"/>
              </w:rPr>
            </w:r>
          </w:p>
        </w:tc>
      </w:tr>
      <w:tr>
        <w:trPr>
          <w:trHeight w:val="478" w:hRule="exact"/>
        </w:trPr>
        <w:tc>
          <w:tcPr>
            <w:tcW w:w="687" w:type="dxa"/>
            <w:vMerge/>
            <w:tcBorders>
              <w:left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济南吉美乐电源技术有限公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18"/>
                <w:szCs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同一股东</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军工装</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备产品</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按市场价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格执行</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20"/>
                <w:szCs w:val="20"/>
              </w:rPr>
            </w:pPr>
            <w:r>
              <w:rPr>
                <w:rFonts w:ascii="Times New Roman"/>
                <w:w w:val="95"/>
                <w:sz w:val="20"/>
              </w:rPr>
              <w:t>201,448.28</w:t>
            </w:r>
            <w:r>
              <w:rPr>
                <w:rFonts w:ascii="Times New Roman"/>
                <w:sz w:val="20"/>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20"/>
                <w:szCs w:val="20"/>
              </w:rPr>
            </w:pPr>
            <w:r>
              <w:rPr>
                <w:rFonts w:ascii="Times New Roman"/>
                <w:sz w:val="20"/>
              </w:rPr>
              <w:t>0.004</w:t>
            </w:r>
          </w:p>
        </w:tc>
      </w:tr>
      <w:tr>
        <w:trPr>
          <w:trHeight w:val="478" w:hRule="exact"/>
        </w:trPr>
        <w:tc>
          <w:tcPr>
            <w:tcW w:w="687" w:type="dxa"/>
            <w:vMerge/>
            <w:tcBorders>
              <w:left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泰豪集团有限公司</w:t>
            </w:r>
            <w:r>
              <w:rPr>
                <w:rFonts w:ascii="宋体" w:hAnsi="宋体" w:cs="宋体" w:eastAsia="宋体" w:hint="default"/>
                <w:sz w:val="18"/>
                <w:szCs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公司股东</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房租水</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按市场价</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格执行</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20"/>
                <w:szCs w:val="20"/>
              </w:rPr>
            </w:pPr>
            <w:r>
              <w:rPr>
                <w:rFonts w:ascii="Times New Roman"/>
                <w:w w:val="95"/>
                <w:sz w:val="20"/>
              </w:rPr>
              <w:t>34,631.77</w:t>
            </w:r>
            <w:r>
              <w:rPr>
                <w:rFonts w:ascii="Times New Roman"/>
                <w:sz w:val="20"/>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20"/>
                <w:szCs w:val="20"/>
              </w:rPr>
            </w:pPr>
            <w:r>
              <w:rPr>
                <w:rFonts w:ascii="Times New Roman"/>
                <w:sz w:val="20"/>
              </w:rPr>
              <w:t>0.05</w:t>
            </w:r>
          </w:p>
        </w:tc>
      </w:tr>
      <w:tr>
        <w:trPr>
          <w:trHeight w:val="478" w:hRule="exact"/>
        </w:trPr>
        <w:tc>
          <w:tcPr>
            <w:tcW w:w="687" w:type="dxa"/>
            <w:vMerge/>
            <w:tcBorders>
              <w:left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江西泰达空调电器有限公司</w:t>
            </w:r>
            <w:r>
              <w:rPr>
                <w:rFonts w:ascii="宋体" w:hAnsi="宋体" w:cs="宋体" w:eastAsia="宋体" w:hint="default"/>
                <w:sz w:val="18"/>
                <w:szCs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同一股东</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房租水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电</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按市场价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格执行</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0"/>
                <w:szCs w:val="20"/>
              </w:rPr>
            </w:pPr>
            <w:r>
              <w:rPr>
                <w:rFonts w:ascii="Times New Roman"/>
                <w:w w:val="95"/>
                <w:sz w:val="20"/>
              </w:rPr>
              <w:t>301,769.10</w:t>
            </w:r>
            <w:r>
              <w:rPr>
                <w:rFonts w:ascii="Times New Roman"/>
                <w:sz w:val="20"/>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0"/>
                <w:szCs w:val="20"/>
              </w:rPr>
            </w:pPr>
            <w:r>
              <w:rPr>
                <w:rFonts w:ascii="Times New Roman"/>
                <w:sz w:val="20"/>
              </w:rPr>
              <w:t>0.40</w:t>
            </w:r>
          </w:p>
        </w:tc>
      </w:tr>
      <w:tr>
        <w:trPr>
          <w:trHeight w:val="475" w:hRule="exact"/>
        </w:trPr>
        <w:tc>
          <w:tcPr>
            <w:tcW w:w="687" w:type="dxa"/>
            <w:vMerge/>
            <w:tcBorders>
              <w:left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泰豪慧水（北京）科技有限公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18"/>
                <w:szCs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同一股东</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房租水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电</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按市场价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格执行</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0"/>
                <w:szCs w:val="20"/>
              </w:rPr>
            </w:pPr>
            <w:r>
              <w:rPr>
                <w:rFonts w:ascii="Times New Roman"/>
                <w:w w:val="95"/>
                <w:sz w:val="20"/>
              </w:rPr>
              <w:t>104,200.29</w:t>
            </w:r>
            <w:r>
              <w:rPr>
                <w:rFonts w:ascii="Times New Roman"/>
                <w:sz w:val="20"/>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0"/>
                <w:szCs w:val="20"/>
              </w:rPr>
            </w:pPr>
            <w:r>
              <w:rPr>
                <w:rFonts w:ascii="Times New Roman"/>
                <w:sz w:val="20"/>
              </w:rPr>
              <w:t>0.14</w:t>
            </w:r>
          </w:p>
        </w:tc>
      </w:tr>
      <w:tr>
        <w:trPr>
          <w:trHeight w:val="478" w:hRule="exact"/>
        </w:trPr>
        <w:tc>
          <w:tcPr>
            <w:tcW w:w="687" w:type="dxa"/>
            <w:vMerge/>
            <w:tcBorders>
              <w:left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泰豪信息技术有限公司</w:t>
            </w:r>
            <w:r>
              <w:rPr>
                <w:rFonts w:ascii="宋体" w:hAnsi="宋体" w:cs="宋体" w:eastAsia="宋体" w:hint="default"/>
                <w:sz w:val="18"/>
                <w:szCs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同一股东</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房租水</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按市场价</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格执行</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20"/>
                <w:szCs w:val="20"/>
              </w:rPr>
            </w:pPr>
            <w:r>
              <w:rPr>
                <w:rFonts w:ascii="Times New Roman"/>
                <w:w w:val="95"/>
                <w:sz w:val="20"/>
              </w:rPr>
              <w:t>53,027.20</w:t>
            </w:r>
            <w:r>
              <w:rPr>
                <w:rFonts w:ascii="Times New Roman"/>
                <w:sz w:val="20"/>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20"/>
                <w:szCs w:val="20"/>
              </w:rPr>
            </w:pPr>
            <w:r>
              <w:rPr>
                <w:rFonts w:ascii="Times New Roman"/>
                <w:sz w:val="20"/>
              </w:rPr>
              <w:t>0.07</w:t>
            </w:r>
          </w:p>
        </w:tc>
      </w:tr>
      <w:tr>
        <w:trPr>
          <w:trHeight w:val="478" w:hRule="exact"/>
        </w:trPr>
        <w:tc>
          <w:tcPr>
            <w:tcW w:w="687" w:type="dxa"/>
            <w:vMerge/>
            <w:tcBorders>
              <w:left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江西泰豪乐动漫文化有限公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18"/>
                <w:szCs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同一股东</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房租水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电</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按市场价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格执行</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0"/>
                <w:szCs w:val="20"/>
              </w:rPr>
            </w:pPr>
            <w:r>
              <w:rPr>
                <w:rFonts w:ascii="Times New Roman"/>
                <w:w w:val="95"/>
                <w:sz w:val="20"/>
              </w:rPr>
              <w:t>37,953.96</w:t>
            </w:r>
            <w:r>
              <w:rPr>
                <w:rFonts w:ascii="Times New Roman"/>
                <w:sz w:val="20"/>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0"/>
                <w:szCs w:val="20"/>
              </w:rPr>
            </w:pPr>
            <w:r>
              <w:rPr>
                <w:rFonts w:ascii="Times New Roman"/>
                <w:sz w:val="20"/>
              </w:rPr>
              <w:t>0.05</w:t>
            </w:r>
          </w:p>
        </w:tc>
      </w:tr>
      <w:tr>
        <w:trPr>
          <w:trHeight w:val="475" w:hRule="exact"/>
        </w:trPr>
        <w:tc>
          <w:tcPr>
            <w:tcW w:w="687" w:type="dxa"/>
            <w:vMerge/>
            <w:tcBorders>
              <w:left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江西泰豪动漫职业学院</w:t>
            </w:r>
            <w:r>
              <w:rPr>
                <w:rFonts w:ascii="宋体" w:hAnsi="宋体" w:cs="宋体" w:eastAsia="宋体" w:hint="default"/>
                <w:sz w:val="18"/>
                <w:szCs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同一股东</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房租水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电</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按市场价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格执行</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0"/>
                <w:szCs w:val="20"/>
              </w:rPr>
            </w:pPr>
            <w:r>
              <w:rPr>
                <w:rFonts w:ascii="Times New Roman"/>
                <w:w w:val="95"/>
                <w:sz w:val="20"/>
              </w:rPr>
              <w:t>8,962.26</w:t>
            </w:r>
            <w:r>
              <w:rPr>
                <w:rFonts w:ascii="Times New Roman"/>
                <w:sz w:val="20"/>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0"/>
                <w:szCs w:val="20"/>
              </w:rPr>
            </w:pPr>
            <w:r>
              <w:rPr>
                <w:rFonts w:ascii="Times New Roman"/>
                <w:sz w:val="20"/>
              </w:rPr>
              <w:t>0.01</w:t>
            </w:r>
          </w:p>
        </w:tc>
      </w:tr>
      <w:tr>
        <w:trPr>
          <w:trHeight w:val="478" w:hRule="exact"/>
        </w:trPr>
        <w:tc>
          <w:tcPr>
            <w:tcW w:w="687" w:type="dxa"/>
            <w:vMerge/>
            <w:tcBorders>
              <w:left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南昌小蓝创新创业基地管理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联营公司</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房租水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电</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按市场价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格执行</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20"/>
                <w:szCs w:val="20"/>
              </w:rPr>
            </w:pPr>
            <w:r>
              <w:rPr>
                <w:rFonts w:ascii="Times New Roman"/>
                <w:w w:val="95"/>
                <w:sz w:val="20"/>
              </w:rPr>
              <w:t>3,635,548.58</w:t>
            </w:r>
            <w:r>
              <w:rPr>
                <w:rFonts w:ascii="Times New Roman"/>
                <w:sz w:val="20"/>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20"/>
                <w:szCs w:val="20"/>
              </w:rPr>
            </w:pPr>
            <w:r>
              <w:rPr>
                <w:rFonts w:ascii="Times New Roman"/>
                <w:sz w:val="20"/>
              </w:rPr>
              <w:t>4.83</w:t>
            </w:r>
          </w:p>
        </w:tc>
      </w:tr>
      <w:tr>
        <w:trPr>
          <w:trHeight w:val="478" w:hRule="exact"/>
        </w:trPr>
        <w:tc>
          <w:tcPr>
            <w:tcW w:w="687" w:type="dxa"/>
            <w:vMerge/>
            <w:tcBorders>
              <w:left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江西国科军工集团有限公司</w:t>
            </w:r>
            <w:r>
              <w:rPr>
                <w:rFonts w:ascii="宋体" w:hAnsi="宋体" w:cs="宋体" w:eastAsia="宋体" w:hint="default"/>
                <w:sz w:val="18"/>
                <w:szCs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联营公司</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房租水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电</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按市场价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格执行</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20"/>
                <w:szCs w:val="20"/>
              </w:rPr>
            </w:pPr>
            <w:r>
              <w:rPr>
                <w:rFonts w:ascii="Times New Roman"/>
                <w:w w:val="95"/>
                <w:sz w:val="20"/>
              </w:rPr>
              <w:t>543,112.57</w:t>
            </w:r>
            <w:r>
              <w:rPr>
                <w:rFonts w:ascii="Times New Roman"/>
                <w:sz w:val="20"/>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0"/>
              <w:jc w:val="right"/>
              <w:rPr>
                <w:rFonts w:ascii="Times New Roman" w:hAnsi="Times New Roman" w:cs="Times New Roman" w:eastAsia="Times New Roman" w:hint="default"/>
                <w:sz w:val="20"/>
                <w:szCs w:val="20"/>
              </w:rPr>
            </w:pPr>
            <w:r>
              <w:rPr>
                <w:rFonts w:ascii="Times New Roman"/>
                <w:sz w:val="20"/>
              </w:rPr>
              <w:t>0.72</w:t>
            </w:r>
          </w:p>
        </w:tc>
      </w:tr>
      <w:tr>
        <w:trPr>
          <w:trHeight w:val="478" w:hRule="exact"/>
        </w:trPr>
        <w:tc>
          <w:tcPr>
            <w:tcW w:w="687" w:type="dxa"/>
            <w:vMerge/>
            <w:tcBorders>
              <w:left w:val="single" w:sz="4" w:space="0" w:color="000000"/>
              <w:bottom w:val="single" w:sz="4" w:space="0" w:color="000000"/>
              <w:right w:val="single" w:sz="4" w:space="0" w:color="000000"/>
            </w:tcBorders>
          </w:tcPr>
          <w:p>
            <w:pP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南昌创业投资有限公司</w:t>
            </w:r>
            <w:r>
              <w:rPr>
                <w:rFonts w:ascii="宋体" w:hAnsi="宋体" w:cs="宋体" w:eastAsia="宋体" w:hint="default"/>
                <w:sz w:val="18"/>
                <w:szCs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联营公司</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房租水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电</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按市场价</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格执行</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0"/>
                <w:szCs w:val="20"/>
              </w:rPr>
            </w:pPr>
            <w:r>
              <w:rPr>
                <w:rFonts w:ascii="Times New Roman"/>
                <w:w w:val="95"/>
                <w:sz w:val="20"/>
              </w:rPr>
              <w:t>5,053.73</w:t>
            </w:r>
            <w:r>
              <w:rPr>
                <w:rFonts w:ascii="Times New Roman"/>
                <w:sz w:val="20"/>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0"/>
                <w:szCs w:val="20"/>
              </w:rPr>
            </w:pPr>
            <w:r>
              <w:rPr>
                <w:rFonts w:ascii="Times New Roman"/>
                <w:sz w:val="20"/>
              </w:rPr>
              <w:t>0.01</w:t>
            </w:r>
          </w:p>
        </w:tc>
      </w:tr>
    </w:tbl>
    <w:p>
      <w:pPr>
        <w:pStyle w:val="Heading3"/>
        <w:spacing w:line="274" w:lineRule="exact"/>
        <w:ind w:right="0"/>
        <w:jc w:val="left"/>
        <w:rPr>
          <w:rFonts w:ascii="宋体" w:hAnsi="宋体" w:cs="宋体" w:eastAsia="宋体" w:hint="default"/>
        </w:rPr>
      </w:pPr>
      <w:r>
        <w:rPr>
          <w:rFonts w:ascii="宋体"/>
        </w:rPr>
        <w:t> </w:t>
      </w:r>
    </w:p>
    <w:p>
      <w:pPr>
        <w:pStyle w:val="Heading5"/>
        <w:spacing w:line="240" w:lineRule="auto" w:before="61"/>
        <w:ind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40" w:lineRule="auto" w:before="61"/>
        <w:ind w:right="0"/>
        <w:jc w:val="left"/>
        <w:rPr>
          <w:rFonts w:ascii="宋体" w:hAnsi="宋体" w:cs="宋体" w:eastAsia="宋体" w:hint="default"/>
          <w:b w:val="0"/>
          <w:bCs w:val="0"/>
        </w:rPr>
      </w:pPr>
      <w:r>
        <w:rPr>
          <w:rFonts w:ascii="宋体" w:hAnsi="宋体" w:cs="宋体" w:eastAsia="宋体" w:hint="default"/>
        </w:rPr>
        <w:t>(</w:t>
      </w:r>
      <w:r>
        <w:rPr/>
        <w:t>二</w:t>
      </w:r>
      <w:r>
        <w:rPr>
          <w:rFonts w:ascii="宋体" w:hAnsi="宋体" w:cs="宋体" w:eastAsia="宋体" w:hint="default"/>
        </w:rPr>
        <w:t>)</w:t>
      </w:r>
      <w:r>
        <w:rPr/>
        <w:t>资产或股权收购、出售发生的关联交易</w:t>
      </w:r>
      <w:r>
        <w:rPr>
          <w:rFonts w:ascii="宋体" w:hAnsi="宋体" w:cs="宋体" w:eastAsia="宋体" w:hint="default"/>
          <w:w w:val="99"/>
        </w:rPr>
        <w:t> </w:t>
      </w:r>
      <w:r>
        <w:rPr>
          <w:rFonts w:ascii="宋体" w:hAnsi="宋体" w:cs="宋体" w:eastAsia="宋体" w:hint="default"/>
          <w:b w:val="0"/>
          <w:bCs w:val="0"/>
        </w:rPr>
      </w:r>
    </w:p>
    <w:p>
      <w:pPr>
        <w:pStyle w:val="Heading5"/>
        <w:spacing w:line="240" w:lineRule="auto" w:before="58"/>
        <w:ind w:right="0"/>
        <w:jc w:val="left"/>
        <w:rPr>
          <w:rFonts w:ascii="宋体" w:hAnsi="宋体" w:cs="宋体" w:eastAsia="宋体" w:hint="default"/>
          <w:b w:val="0"/>
          <w:bCs w:val="0"/>
        </w:rPr>
      </w:pPr>
      <w:r>
        <w:rPr>
          <w:rFonts w:ascii="宋体" w:hAnsi="宋体" w:cs="宋体" w:eastAsia="宋体" w:hint="default"/>
        </w:rPr>
        <w:t>1</w:t>
      </w:r>
      <w:r>
        <w:rPr/>
        <w:t>、</w:t>
      </w:r>
      <w:r>
        <w:rPr>
          <w:spacing w:val="-7"/>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6393"/>
        <w:gridCol w:w="2657"/>
      </w:tblGrid>
      <w:tr>
        <w:trPr>
          <w:trHeight w:val="322" w:hRule="exact"/>
        </w:trPr>
        <w:tc>
          <w:tcPr>
            <w:tcW w:w="63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8" w:right="0"/>
              <w:jc w:val="center"/>
              <w:rPr>
                <w:rFonts w:ascii="宋体" w:hAnsi="宋体" w:cs="宋体" w:eastAsia="宋体" w:hint="default"/>
                <w:sz w:val="24"/>
                <w:szCs w:val="24"/>
              </w:rPr>
            </w:pPr>
            <w:r>
              <w:rPr>
                <w:rFonts w:ascii="宋体" w:hAnsi="宋体" w:cs="宋体" w:eastAsia="宋体" w:hint="default"/>
                <w:sz w:val="24"/>
                <w:szCs w:val="24"/>
              </w:rPr>
              <w:t>事项概述</w:t>
            </w:r>
            <w:r>
              <w:rPr>
                <w:rFonts w:ascii="宋体" w:hAnsi="宋体" w:cs="宋体" w:eastAsia="宋体" w:hint="default"/>
                <w:sz w:val="24"/>
                <w:szCs w:val="24"/>
              </w:rPr>
              <w:t> </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42" w:right="0"/>
              <w:jc w:val="left"/>
              <w:rPr>
                <w:rFonts w:ascii="宋体" w:hAnsi="宋体" w:cs="宋体" w:eastAsia="宋体" w:hint="default"/>
                <w:sz w:val="24"/>
                <w:szCs w:val="24"/>
              </w:rPr>
            </w:pPr>
            <w:r>
              <w:rPr>
                <w:rFonts w:ascii="宋体" w:hAnsi="宋体" w:cs="宋体" w:eastAsia="宋体" w:hint="default"/>
                <w:sz w:val="24"/>
                <w:szCs w:val="24"/>
              </w:rPr>
              <w:t>查询索引</w:t>
            </w:r>
            <w:r>
              <w:rPr>
                <w:rFonts w:ascii="宋体" w:hAnsi="宋体" w:cs="宋体" w:eastAsia="宋体" w:hint="default"/>
                <w:sz w:val="24"/>
                <w:szCs w:val="24"/>
              </w:rPr>
              <w:t> </w:t>
            </w:r>
          </w:p>
        </w:tc>
      </w:tr>
      <w:tr>
        <w:trPr>
          <w:trHeight w:val="554" w:hRule="exact"/>
        </w:trPr>
        <w:tc>
          <w:tcPr>
            <w:tcW w:w="6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10</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28</w:t>
            </w:r>
            <w:r>
              <w:rPr>
                <w:rFonts w:ascii="宋体" w:hAnsi="宋体" w:cs="宋体" w:eastAsia="宋体" w:hint="default"/>
                <w:spacing w:val="-46"/>
                <w:sz w:val="21"/>
                <w:szCs w:val="21"/>
              </w:rPr>
              <w:t> </w:t>
            </w:r>
            <w:r>
              <w:rPr>
                <w:rFonts w:ascii="宋体" w:hAnsi="宋体" w:cs="宋体" w:eastAsia="宋体" w:hint="default"/>
                <w:sz w:val="21"/>
                <w:szCs w:val="21"/>
              </w:rPr>
              <w:t>日，公司第七届董事会第十二次会议审议通过《关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于公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拟</w:t>
            </w:r>
            <w:r>
              <w:rPr>
                <w:rFonts w:ascii="宋体" w:hAnsi="宋体" w:cs="宋体" w:eastAsia="宋体" w:hint="default"/>
                <w:spacing w:val="-3"/>
                <w:w w:val="100"/>
                <w:sz w:val="21"/>
                <w:szCs w:val="21"/>
              </w:rPr>
              <w:t>回</w:t>
            </w:r>
            <w:r>
              <w:rPr>
                <w:rFonts w:ascii="宋体" w:hAnsi="宋体" w:cs="宋体" w:eastAsia="宋体" w:hint="default"/>
                <w:w w:val="100"/>
                <w:sz w:val="21"/>
                <w:szCs w:val="21"/>
              </w:rPr>
              <w:t>购</w:t>
            </w:r>
            <w:r>
              <w:rPr>
                <w:rFonts w:ascii="宋体" w:hAnsi="宋体" w:cs="宋体" w:eastAsia="宋体" w:hint="default"/>
                <w:spacing w:val="-3"/>
                <w:w w:val="100"/>
                <w:sz w:val="21"/>
                <w:szCs w:val="21"/>
              </w:rPr>
              <w:t>泰</w:t>
            </w:r>
            <w:r>
              <w:rPr>
                <w:rFonts w:ascii="宋体" w:hAnsi="宋体" w:cs="宋体" w:eastAsia="宋体" w:hint="default"/>
                <w:w w:val="100"/>
                <w:sz w:val="21"/>
                <w:szCs w:val="21"/>
              </w:rPr>
              <w:t>豪</w:t>
            </w:r>
            <w:r>
              <w:rPr>
                <w:rFonts w:ascii="宋体" w:hAnsi="宋体" w:cs="宋体" w:eastAsia="宋体" w:hint="default"/>
                <w:spacing w:val="-3"/>
                <w:w w:val="100"/>
                <w:sz w:val="21"/>
                <w:szCs w:val="21"/>
              </w:rPr>
              <w:t>软</w:t>
            </w:r>
            <w:r>
              <w:rPr>
                <w:rFonts w:ascii="宋体" w:hAnsi="宋体" w:cs="宋体" w:eastAsia="宋体" w:hint="default"/>
                <w:w w:val="100"/>
                <w:sz w:val="21"/>
                <w:szCs w:val="21"/>
              </w:rPr>
              <w:t>件</w:t>
            </w:r>
            <w:r>
              <w:rPr>
                <w:rFonts w:ascii="宋体" w:hAnsi="宋体" w:cs="宋体" w:eastAsia="宋体" w:hint="default"/>
                <w:spacing w:val="-3"/>
                <w:w w:val="100"/>
                <w:sz w:val="21"/>
                <w:szCs w:val="21"/>
              </w:rPr>
              <w:t>股</w:t>
            </w:r>
            <w:r>
              <w:rPr>
                <w:rFonts w:ascii="宋体" w:hAnsi="宋体" w:cs="宋体" w:eastAsia="宋体" w:hint="default"/>
                <w:w w:val="100"/>
                <w:sz w:val="21"/>
                <w:szCs w:val="21"/>
              </w:rPr>
              <w:t>份有</w:t>
            </w:r>
            <w:r>
              <w:rPr>
                <w:rFonts w:ascii="宋体" w:hAnsi="宋体" w:cs="宋体" w:eastAsia="宋体" w:hint="default"/>
                <w:spacing w:val="-3"/>
                <w:w w:val="100"/>
                <w:sz w:val="21"/>
                <w:szCs w:val="21"/>
              </w:rPr>
              <w:t>限公</w:t>
            </w:r>
            <w:r>
              <w:rPr>
                <w:rFonts w:ascii="宋体" w:hAnsi="宋体" w:cs="宋体" w:eastAsia="宋体" w:hint="default"/>
                <w:w w:val="100"/>
                <w:sz w:val="21"/>
                <w:szCs w:val="21"/>
              </w:rPr>
              <w:t>司</w:t>
            </w:r>
            <w:r>
              <w:rPr>
                <w:rFonts w:ascii="宋体" w:hAnsi="宋体" w:cs="宋体" w:eastAsia="宋体" w:hint="default"/>
                <w:spacing w:val="-19"/>
                <w:sz w:val="21"/>
                <w:szCs w:val="21"/>
              </w:rPr>
              <w:t> </w:t>
            </w:r>
            <w:r>
              <w:rPr>
                <w:rFonts w:ascii="宋体" w:hAnsi="宋体" w:cs="宋体" w:eastAsia="宋体" w:hint="default"/>
                <w:w w:val="100"/>
                <w:sz w:val="21"/>
                <w:szCs w:val="21"/>
              </w:rPr>
              <w:t>15</w:t>
            </w:r>
            <w:r>
              <w:rPr>
                <w:rFonts w:ascii="宋体" w:hAnsi="宋体" w:cs="宋体" w:eastAsia="宋体" w:hint="default"/>
                <w:spacing w:val="-3"/>
                <w:w w:val="100"/>
                <w:sz w:val="21"/>
                <w:szCs w:val="21"/>
              </w:rPr>
              <w:t>%</w:t>
            </w:r>
            <w:r>
              <w:rPr>
                <w:rFonts w:ascii="宋体" w:hAnsi="宋体" w:cs="宋体" w:eastAsia="宋体" w:hint="default"/>
                <w:w w:val="100"/>
                <w:sz w:val="21"/>
                <w:szCs w:val="21"/>
              </w:rPr>
              <w:t>股</w:t>
            </w:r>
            <w:r>
              <w:rPr>
                <w:rFonts w:ascii="宋体" w:hAnsi="宋体" w:cs="宋体" w:eastAsia="宋体" w:hint="default"/>
                <w:spacing w:val="-3"/>
                <w:w w:val="100"/>
                <w:sz w:val="21"/>
                <w:szCs w:val="21"/>
              </w:rPr>
              <w:t>权</w:t>
            </w:r>
            <w:r>
              <w:rPr>
                <w:rFonts w:ascii="宋体" w:hAnsi="宋体" w:cs="宋体" w:eastAsia="宋体" w:hint="default"/>
                <w:w w:val="100"/>
                <w:sz w:val="21"/>
                <w:szCs w:val="21"/>
              </w:rPr>
              <w:t>暨</w:t>
            </w:r>
            <w:r>
              <w:rPr>
                <w:rFonts w:ascii="宋体" w:hAnsi="宋体" w:cs="宋体" w:eastAsia="宋体" w:hint="default"/>
                <w:spacing w:val="-3"/>
                <w:w w:val="100"/>
                <w:sz w:val="21"/>
                <w:szCs w:val="21"/>
              </w:rPr>
              <w:t>关</w:t>
            </w:r>
            <w:r>
              <w:rPr>
                <w:rFonts w:ascii="宋体" w:hAnsi="宋体" w:cs="宋体" w:eastAsia="宋体" w:hint="default"/>
                <w:w w:val="100"/>
                <w:sz w:val="21"/>
                <w:szCs w:val="21"/>
              </w:rPr>
              <w:t>联交</w:t>
            </w:r>
            <w:r>
              <w:rPr>
                <w:rFonts w:ascii="宋体" w:hAnsi="宋体" w:cs="宋体" w:eastAsia="宋体" w:hint="default"/>
                <w:spacing w:val="-3"/>
                <w:w w:val="100"/>
                <w:sz w:val="21"/>
                <w:szCs w:val="21"/>
              </w:rPr>
              <w:t>易</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具体详见《关于回购泰豪软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件股份有限公司</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6"/>
                <w:sz w:val="21"/>
                <w:szCs w:val="21"/>
              </w:rPr>
              <w:t>15%</w:t>
            </w:r>
            <w:r>
              <w:rPr>
                <w:rFonts w:ascii="宋体" w:hAnsi="宋体" w:cs="宋体" w:eastAsia="宋体" w:hint="default"/>
                <w:spacing w:val="6"/>
                <w:sz w:val="21"/>
                <w:szCs w:val="21"/>
              </w:rPr>
              <w:t>股权</w:t>
            </w:r>
            <w:r>
              <w:rPr>
                <w:rFonts w:ascii="宋体" w:hAnsi="宋体" w:cs="宋体" w:eastAsia="宋体" w:hint="default"/>
                <w:sz w:val="21"/>
                <w:szCs w:val="21"/>
              </w:rPr>
            </w:r>
          </w:p>
        </w:tc>
      </w:tr>
    </w:tbl>
    <w:p>
      <w:pPr>
        <w:spacing w:after="0" w:line="274" w:lineRule="exact"/>
        <w:jc w:val="left"/>
        <w:rPr>
          <w:rFonts w:ascii="宋体" w:hAnsi="宋体" w:cs="宋体" w:eastAsia="宋体" w:hint="default"/>
          <w:sz w:val="21"/>
          <w:szCs w:val="21"/>
        </w:rPr>
        <w:sectPr>
          <w:pgSz w:w="11910" w:h="16840"/>
          <w:pgMar w:header="880" w:footer="1195" w:top="1120" w:bottom="1380" w:left="1060" w:right="1560"/>
        </w:sectPr>
      </w:pPr>
    </w:p>
    <w:p>
      <w:pPr>
        <w:spacing w:line="240" w:lineRule="auto" w:before="3"/>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6393"/>
        <w:gridCol w:w="2657"/>
      </w:tblGrid>
      <w:tr>
        <w:trPr>
          <w:trHeight w:val="828" w:hRule="exact"/>
        </w:trPr>
        <w:tc>
          <w:tcPr>
            <w:tcW w:w="6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为更好地整合公司智能电力产业，同意公司以 </w:t>
            </w:r>
            <w:r>
              <w:rPr>
                <w:rFonts w:ascii="宋体" w:hAnsi="宋体" w:cs="宋体" w:eastAsia="宋体" w:hint="default"/>
                <w:sz w:val="21"/>
                <w:szCs w:val="21"/>
              </w:rPr>
              <w:t>8,735.265</w:t>
            </w:r>
            <w:r>
              <w:rPr>
                <w:rFonts w:ascii="宋体" w:hAnsi="宋体" w:cs="宋体" w:eastAsia="宋体" w:hint="default"/>
                <w:spacing w:val="-22"/>
                <w:sz w:val="21"/>
                <w:szCs w:val="21"/>
              </w:rPr>
              <w:t> </w:t>
            </w:r>
            <w:r>
              <w:rPr>
                <w:rFonts w:ascii="宋体" w:hAnsi="宋体" w:cs="宋体" w:eastAsia="宋体" w:hint="default"/>
                <w:sz w:val="21"/>
                <w:szCs w:val="21"/>
              </w:rPr>
              <w:t>万元现金</w:t>
            </w:r>
          </w:p>
          <w:p>
            <w:pPr>
              <w:pStyle w:val="TableParagraph"/>
              <w:spacing w:line="272" w:lineRule="exact" w:before="27"/>
              <w:ind w:left="103" w:right="104"/>
              <w:jc w:val="left"/>
              <w:rPr>
                <w:rFonts w:ascii="宋体" w:hAnsi="宋体" w:cs="宋体" w:eastAsia="宋体" w:hint="default"/>
                <w:sz w:val="21"/>
                <w:szCs w:val="21"/>
              </w:rPr>
            </w:pPr>
            <w:r>
              <w:rPr>
                <w:rFonts w:ascii="宋体" w:hAnsi="宋体" w:cs="宋体" w:eastAsia="宋体" w:hint="default"/>
                <w:sz w:val="21"/>
                <w:szCs w:val="21"/>
              </w:rPr>
              <w:t>回购共青城以琳管理合伙企业（有限合伙）持有的泰豪软件股份有</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限公司</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15%</w:t>
            </w:r>
            <w:r>
              <w:rPr>
                <w:rFonts w:ascii="宋体" w:hAnsi="宋体" w:cs="宋体" w:eastAsia="宋体" w:hint="default"/>
                <w:sz w:val="21"/>
                <w:szCs w:val="21"/>
              </w:rPr>
              <w:t>股权。</w:t>
            </w:r>
            <w:r>
              <w:rPr>
                <w:rFonts w:ascii="宋体" w:hAnsi="宋体" w:cs="宋体" w:eastAsia="宋体" w:hint="default"/>
                <w:sz w:val="21"/>
                <w:szCs w:val="21"/>
              </w:rPr>
              <w:t> </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w w:val="100"/>
                <w:sz w:val="21"/>
                <w:szCs w:val="21"/>
              </w:rPr>
              <w:t>暨</w:t>
            </w:r>
            <w:r>
              <w:rPr>
                <w:rFonts w:ascii="宋体" w:hAnsi="宋体" w:cs="宋体" w:eastAsia="宋体" w:hint="default"/>
                <w:w w:val="100"/>
                <w:sz w:val="21"/>
                <w:szCs w:val="21"/>
              </w:rPr>
              <w:t>关</w:t>
            </w:r>
            <w:r>
              <w:rPr>
                <w:rFonts w:ascii="宋体" w:hAnsi="宋体" w:cs="宋体" w:eastAsia="宋体" w:hint="default"/>
                <w:spacing w:val="2"/>
                <w:w w:val="100"/>
                <w:sz w:val="21"/>
                <w:szCs w:val="21"/>
              </w:rPr>
              <w:t>联</w:t>
            </w:r>
            <w:r>
              <w:rPr>
                <w:rFonts w:ascii="宋体" w:hAnsi="宋体" w:cs="宋体" w:eastAsia="宋体" w:hint="default"/>
                <w:w w:val="100"/>
                <w:sz w:val="21"/>
                <w:szCs w:val="21"/>
              </w:rPr>
              <w:t>交</w:t>
            </w:r>
            <w:r>
              <w:rPr>
                <w:rFonts w:ascii="宋体" w:hAnsi="宋体" w:cs="宋体" w:eastAsia="宋体" w:hint="default"/>
                <w:spacing w:val="2"/>
                <w:w w:val="100"/>
                <w:sz w:val="21"/>
                <w:szCs w:val="21"/>
              </w:rPr>
              <w:t>易</w:t>
            </w:r>
            <w:r>
              <w:rPr>
                <w:rFonts w:ascii="宋体" w:hAnsi="宋体" w:cs="宋体" w:eastAsia="宋体" w:hint="default"/>
                <w:w w:val="100"/>
                <w:sz w:val="21"/>
                <w:szCs w:val="21"/>
              </w:rPr>
              <w:t>的</w:t>
            </w:r>
            <w:r>
              <w:rPr>
                <w:rFonts w:ascii="宋体" w:hAnsi="宋体" w:cs="宋体" w:eastAsia="宋体" w:hint="default"/>
                <w:spacing w:val="2"/>
                <w:w w:val="100"/>
                <w:sz w:val="21"/>
                <w:szCs w:val="21"/>
              </w:rPr>
              <w:t>公告</w:t>
            </w:r>
            <w:r>
              <w:rPr>
                <w:rFonts w:ascii="宋体" w:hAnsi="宋体" w:cs="宋体" w:eastAsia="宋体" w:hint="default"/>
                <w:spacing w:val="-106"/>
                <w:w w:val="100"/>
                <w:sz w:val="21"/>
                <w:szCs w:val="21"/>
              </w:rPr>
              <w:t>》</w:t>
            </w:r>
            <w:r>
              <w:rPr>
                <w:rFonts w:ascii="宋体" w:hAnsi="宋体" w:cs="宋体" w:eastAsia="宋体" w:hint="default"/>
                <w:spacing w:val="2"/>
                <w:w w:val="100"/>
                <w:sz w:val="21"/>
                <w:szCs w:val="21"/>
              </w:rPr>
              <w:t>（</w:t>
            </w:r>
            <w:r>
              <w:rPr>
                <w:rFonts w:ascii="宋体" w:hAnsi="宋体" w:cs="宋体" w:eastAsia="宋体" w:hint="default"/>
                <w:w w:val="100"/>
                <w:sz w:val="21"/>
                <w:szCs w:val="21"/>
              </w:rPr>
              <w:t>公告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编号： </w:t>
            </w:r>
            <w:r>
              <w:rPr>
                <w:rFonts w:ascii="宋体" w:hAnsi="宋体" w:cs="宋体" w:eastAsia="宋体" w:hint="default"/>
                <w:sz w:val="21"/>
                <w:szCs w:val="21"/>
              </w:rPr>
            </w:r>
            <w:r>
              <w:rPr>
                <w:rFonts w:ascii="宋体" w:hAnsi="宋体" w:cs="宋体" w:eastAsia="宋体" w:hint="default"/>
                <w:sz w:val="21"/>
                <w:szCs w:val="21"/>
              </w:rPr>
              <w:t>临</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2019-061</w:t>
            </w:r>
            <w:r>
              <w:rPr>
                <w:rFonts w:ascii="宋体" w:hAnsi="宋体" w:cs="宋体" w:eastAsia="宋体" w:hint="default"/>
                <w:sz w:val="21"/>
                <w:szCs w:val="21"/>
              </w:rPr>
              <w:t>）</w:t>
            </w:r>
            <w:r>
              <w:rPr>
                <w:rFonts w:ascii="宋体" w:hAnsi="宋体" w:cs="宋体" w:eastAsia="宋体" w:hint="default"/>
                <w:sz w:val="21"/>
                <w:szCs w:val="21"/>
              </w:rPr>
              <w:t> </w:t>
            </w:r>
          </w:p>
        </w:tc>
      </w:tr>
      <w:tr>
        <w:trPr>
          <w:trHeight w:val="1915" w:hRule="exact"/>
        </w:trPr>
        <w:tc>
          <w:tcPr>
            <w:tcW w:w="63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8"/>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11</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30</w:t>
            </w:r>
            <w:r>
              <w:rPr>
                <w:rFonts w:ascii="宋体" w:hAnsi="宋体" w:cs="宋体" w:eastAsia="宋体" w:hint="default"/>
                <w:spacing w:val="-46"/>
                <w:sz w:val="21"/>
                <w:szCs w:val="21"/>
              </w:rPr>
              <w:t> </w:t>
            </w:r>
            <w:r>
              <w:rPr>
                <w:rFonts w:ascii="宋体" w:hAnsi="宋体" w:cs="宋体" w:eastAsia="宋体" w:hint="default"/>
                <w:sz w:val="21"/>
                <w:szCs w:val="21"/>
              </w:rPr>
              <w:t>日，公司第七届董事会第十三次会议审议通过《关</w:t>
            </w:r>
          </w:p>
          <w:p>
            <w:pPr>
              <w:pStyle w:val="TableParagraph"/>
              <w:spacing w:line="237" w:lineRule="auto"/>
              <w:ind w:left="103" w:right="-8"/>
              <w:jc w:val="left"/>
              <w:rPr>
                <w:rFonts w:ascii="宋体" w:hAnsi="宋体" w:cs="宋体" w:eastAsia="宋体" w:hint="default"/>
                <w:sz w:val="21"/>
                <w:szCs w:val="21"/>
              </w:rPr>
            </w:pPr>
            <w:r>
              <w:rPr>
                <w:rFonts w:ascii="宋体" w:hAnsi="宋体" w:cs="宋体" w:eastAsia="宋体" w:hint="default"/>
                <w:spacing w:val="-3"/>
                <w:sz w:val="21"/>
                <w:szCs w:val="21"/>
              </w:rPr>
              <w:t>于开展应收账款资产证券化暨关联交易的议案》</w:t>
            </w:r>
            <w:r>
              <w:rPr>
                <w:rFonts w:ascii="宋体" w:hAnsi="宋体" w:cs="宋体" w:eastAsia="宋体" w:hint="default"/>
                <w:spacing w:val="-3"/>
                <w:sz w:val="21"/>
                <w:szCs w:val="21"/>
              </w:rPr>
              <w:t>,</w:t>
            </w:r>
            <w:r>
              <w:rPr>
                <w:rFonts w:ascii="宋体" w:hAnsi="宋体" w:cs="宋体" w:eastAsia="宋体" w:hint="default"/>
                <w:spacing w:val="36"/>
                <w:sz w:val="21"/>
                <w:szCs w:val="21"/>
              </w:rPr>
              <w:t> </w:t>
            </w:r>
            <w:r>
              <w:rPr>
                <w:rFonts w:ascii="宋体" w:hAnsi="宋体" w:cs="宋体" w:eastAsia="宋体" w:hint="default"/>
                <w:sz w:val="21"/>
                <w:szCs w:val="21"/>
              </w:rPr>
              <w:t>为盘活存量资产，</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提升资产质量，拓宽融资渠道，同意公司及控股子公司将相关应收</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账款债权作为信托财产委托给信托计划，并通过该信托计划发行资</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产支持票据。该计划总规模不超过 </w:t>
            </w:r>
            <w:r>
              <w:rPr>
                <w:rFonts w:ascii="宋体" w:hAnsi="宋体" w:cs="宋体" w:eastAsia="宋体" w:hint="default"/>
                <w:sz w:val="21"/>
                <w:szCs w:val="21"/>
              </w:rPr>
              <w:t>6</w:t>
            </w:r>
            <w:r>
              <w:rPr>
                <w:rFonts w:ascii="宋体" w:hAnsi="宋体" w:cs="宋体" w:eastAsia="宋体" w:hint="default"/>
                <w:spacing w:val="-21"/>
                <w:sz w:val="21"/>
                <w:szCs w:val="21"/>
              </w:rPr>
              <w:t> </w:t>
            </w:r>
            <w:r>
              <w:rPr>
                <w:rFonts w:ascii="宋体" w:hAnsi="宋体" w:cs="宋体" w:eastAsia="宋体" w:hint="default"/>
                <w:sz w:val="21"/>
                <w:szCs w:val="21"/>
              </w:rPr>
              <w:t>亿元，公司第二大股东泰豪集</w:t>
            </w:r>
            <w:r>
              <w:rPr>
                <w:rFonts w:ascii="宋体" w:hAnsi="宋体" w:cs="宋体" w:eastAsia="宋体" w:hint="default"/>
                <w:w w:val="100"/>
                <w:sz w:val="21"/>
                <w:szCs w:val="21"/>
              </w:rPr>
              <w:t> </w:t>
            </w:r>
            <w:r>
              <w:rPr>
                <w:rFonts w:ascii="宋体" w:hAnsi="宋体" w:cs="宋体" w:eastAsia="宋体" w:hint="default"/>
                <w:spacing w:val="12"/>
                <w:sz w:val="21"/>
                <w:szCs w:val="21"/>
              </w:rPr>
              <w:t>团有限公司拟认购次级 </w:t>
            </w:r>
            <w:r>
              <w:rPr>
                <w:rFonts w:ascii="宋体" w:hAnsi="宋体" w:cs="宋体" w:eastAsia="宋体" w:hint="default"/>
                <w:spacing w:val="12"/>
                <w:sz w:val="21"/>
                <w:szCs w:val="21"/>
              </w:rPr>
            </w:r>
            <w:r>
              <w:rPr>
                <w:rFonts w:ascii="宋体" w:hAnsi="宋体" w:cs="宋体" w:eastAsia="宋体" w:hint="default"/>
                <w:spacing w:val="11"/>
                <w:sz w:val="21"/>
                <w:szCs w:val="21"/>
              </w:rPr>
              <w:t>资产支持票据，认购规模不超过人民币</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5,000 </w:t>
            </w:r>
            <w:r>
              <w:rPr>
                <w:rFonts w:ascii="宋体" w:hAnsi="宋体" w:cs="宋体" w:eastAsia="宋体" w:hint="default"/>
                <w:sz w:val="21"/>
                <w:szCs w:val="21"/>
              </w:rPr>
              <w:t>万元</w:t>
            </w:r>
            <w:r>
              <w:rPr>
                <w:rFonts w:ascii="宋体" w:hAnsi="宋体" w:cs="宋体" w:eastAsia="宋体" w:hint="default"/>
                <w:sz w:val="21"/>
                <w:szCs w:val="21"/>
              </w:rPr>
              <w:t>,</w:t>
            </w:r>
            <w:r>
              <w:rPr>
                <w:rFonts w:ascii="宋体" w:hAnsi="宋体" w:cs="宋体" w:eastAsia="宋体" w:hint="default"/>
                <w:spacing w:val="-57"/>
                <w:sz w:val="21"/>
                <w:szCs w:val="21"/>
              </w:rPr>
              <w:t> </w:t>
            </w:r>
            <w:r>
              <w:rPr>
                <w:rFonts w:ascii="宋体" w:hAnsi="宋体" w:cs="宋体" w:eastAsia="宋体" w:hint="default"/>
                <w:sz w:val="21"/>
                <w:szCs w:val="21"/>
              </w:rPr>
              <w:t>具体以信托计划实际成立时的规模为准。</w:t>
            </w:r>
            <w:r>
              <w:rPr>
                <w:rFonts w:ascii="宋体" w:hAnsi="宋体" w:cs="宋体" w:eastAsia="宋体" w:hint="default"/>
                <w:sz w:val="21"/>
                <w:szCs w:val="21"/>
              </w:rPr>
              <w:t> </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3" w:right="-3"/>
              <w:jc w:val="left"/>
              <w:rPr>
                <w:rFonts w:ascii="宋体" w:hAnsi="宋体" w:cs="宋体" w:eastAsia="宋体" w:hint="default"/>
                <w:sz w:val="21"/>
                <w:szCs w:val="21"/>
              </w:rPr>
            </w:pPr>
            <w:r>
              <w:rPr>
                <w:rFonts w:ascii="宋体" w:hAnsi="宋体" w:cs="宋体" w:eastAsia="宋体" w:hint="default"/>
                <w:spacing w:val="11"/>
                <w:sz w:val="21"/>
                <w:szCs w:val="21"/>
              </w:rPr>
              <w:t>《关于开展应收账款资产</w:t>
            </w:r>
            <w:r>
              <w:rPr>
                <w:rFonts w:ascii="宋体" w:hAnsi="宋体" w:cs="宋体" w:eastAsia="宋体" w:hint="default"/>
                <w:spacing w:val="-81"/>
                <w:sz w:val="21"/>
                <w:szCs w:val="21"/>
              </w:rPr>
              <w:t> </w:t>
            </w:r>
            <w:r>
              <w:rPr>
                <w:rFonts w:ascii="宋体" w:hAnsi="宋体" w:cs="宋体" w:eastAsia="宋体" w:hint="default"/>
                <w:sz w:val="21"/>
                <w:szCs w:val="21"/>
              </w:rPr>
              <w:t>证券化暨关联交易的公告》</w:t>
            </w:r>
          </w:p>
          <w:p>
            <w:pPr>
              <w:pStyle w:val="TableParagraph"/>
              <w:spacing w:line="249"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（公</w:t>
            </w:r>
            <w:r>
              <w:rPr>
                <w:rFonts w:ascii="宋体" w:hAnsi="宋体" w:cs="宋体" w:eastAsia="宋体" w:hint="default"/>
                <w:spacing w:val="-3"/>
                <w:w w:val="100"/>
                <w:sz w:val="21"/>
                <w:szCs w:val="21"/>
              </w:rPr>
              <w:t>告</w:t>
            </w:r>
            <w:r>
              <w:rPr>
                <w:rFonts w:ascii="宋体" w:hAnsi="宋体" w:cs="宋体" w:eastAsia="宋体" w:hint="default"/>
                <w:w w:val="100"/>
                <w:sz w:val="21"/>
                <w:szCs w:val="21"/>
              </w:rPr>
              <w:t>编</w:t>
            </w:r>
            <w:r>
              <w:rPr>
                <w:rFonts w:ascii="宋体" w:hAnsi="宋体" w:cs="宋体" w:eastAsia="宋体" w:hint="default"/>
                <w:spacing w:val="-3"/>
                <w:w w:val="100"/>
                <w:sz w:val="21"/>
                <w:szCs w:val="21"/>
              </w:rPr>
              <w:t>号</w:t>
            </w:r>
            <w:r>
              <w:rPr>
                <w:rFonts w:ascii="宋体" w:hAnsi="宋体" w:cs="宋体" w:eastAsia="宋体" w:hint="default"/>
                <w:spacing w:val="-80"/>
                <w:w w:val="100"/>
                <w:sz w:val="21"/>
                <w:szCs w:val="21"/>
              </w:rPr>
              <w:t>：</w:t>
            </w:r>
            <w:r>
              <w:rPr>
                <w:rFonts w:ascii="宋体" w:hAnsi="宋体" w:cs="宋体" w:eastAsia="宋体" w:hint="default"/>
                <w:spacing w:val="-2"/>
                <w:w w:val="100"/>
                <w:sz w:val="21"/>
                <w:szCs w:val="21"/>
              </w:rPr>
              <w:t>临</w:t>
            </w:r>
            <w:r>
              <w:rPr>
                <w:rFonts w:ascii="宋体" w:hAnsi="宋体" w:cs="宋体" w:eastAsia="宋体" w:hint="default"/>
                <w:w w:val="100"/>
                <w:sz w:val="21"/>
                <w:szCs w:val="21"/>
              </w:rPr>
              <w:t> 20</w:t>
            </w:r>
            <w:r>
              <w:rPr>
                <w:rFonts w:ascii="宋体" w:hAnsi="宋体" w:cs="宋体" w:eastAsia="宋体" w:hint="default"/>
                <w:spacing w:val="-3"/>
                <w:w w:val="100"/>
                <w:sz w:val="21"/>
                <w:szCs w:val="21"/>
              </w:rPr>
              <w:t>1</w:t>
            </w:r>
            <w:r>
              <w:rPr>
                <w:rFonts w:ascii="宋体" w:hAnsi="宋体" w:cs="宋体" w:eastAsia="宋体" w:hint="default"/>
                <w:spacing w:val="-1"/>
                <w:w w:val="100"/>
                <w:sz w:val="21"/>
                <w:szCs w:val="21"/>
              </w:rPr>
              <w:t>9</w:t>
            </w:r>
            <w:r>
              <w:rPr>
                <w:rFonts w:ascii="宋体" w:hAnsi="宋体" w:cs="宋体" w:eastAsia="宋体" w:hint="default"/>
                <w:w w:val="100"/>
                <w:sz w:val="21"/>
                <w:szCs w:val="21"/>
              </w:rPr>
              <w:t>-0</w:t>
            </w:r>
            <w:r>
              <w:rPr>
                <w:rFonts w:ascii="宋体" w:hAnsi="宋体" w:cs="宋体" w:eastAsia="宋体" w:hint="default"/>
                <w:spacing w:val="-3"/>
                <w:w w:val="100"/>
                <w:sz w:val="21"/>
                <w:szCs w:val="21"/>
              </w:rPr>
              <w:t>7</w:t>
            </w:r>
            <w:r>
              <w:rPr>
                <w:rFonts w:ascii="宋体" w:hAnsi="宋体" w:cs="宋体" w:eastAsia="宋体" w:hint="default"/>
                <w:spacing w:val="-1"/>
                <w:w w:val="100"/>
                <w:sz w:val="21"/>
                <w:szCs w:val="21"/>
              </w:rPr>
              <w:t>2</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r>
    </w:tbl>
    <w:p>
      <w:pPr>
        <w:pStyle w:val="Heading3"/>
        <w:spacing w:line="274" w:lineRule="exact"/>
        <w:ind w:right="0"/>
        <w:jc w:val="left"/>
        <w:rPr>
          <w:rFonts w:ascii="宋体" w:hAnsi="宋体" w:cs="宋体" w:eastAsia="宋体" w:hint="default"/>
        </w:rPr>
      </w:pPr>
      <w:r>
        <w:rPr>
          <w:rFonts w:ascii="宋体"/>
        </w:rPr>
        <w:t> </w:t>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4"/>
        <w:ind w:left="697" w:right="0"/>
        <w:jc w:val="left"/>
        <w:rPr>
          <w:rFonts w:ascii="宋体" w:hAnsi="宋体" w:cs="宋体" w:eastAsia="宋体" w:hint="default"/>
        </w:rPr>
      </w:pPr>
      <w:r>
        <w:rPr>
          <w:rFonts w:ascii="宋体"/>
          <w:w w:val="100"/>
        </w:rPr>
        <w:t> </w:t>
      </w:r>
    </w:p>
    <w:p>
      <w:pPr>
        <w:pStyle w:val="Heading5"/>
        <w:spacing w:line="240" w:lineRule="auto" w:before="58"/>
        <w:ind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40" w:lineRule="auto" w:before="61"/>
        <w:ind w:right="0"/>
        <w:jc w:val="left"/>
        <w:rPr>
          <w:rFonts w:ascii="宋体" w:hAnsi="宋体" w:cs="宋体" w:eastAsia="宋体" w:hint="default"/>
          <w:b w:val="0"/>
          <w:bCs w:val="0"/>
        </w:rPr>
      </w:pPr>
      <w:r>
        <w:rPr>
          <w:rFonts w:ascii="宋体" w:hAnsi="宋体" w:cs="宋体" w:eastAsia="宋体" w:hint="default"/>
        </w:rPr>
        <w:t>4</w:t>
      </w:r>
      <w:r>
        <w:rPr/>
        <w:t>、</w:t>
      </w:r>
      <w:r>
        <w:rPr>
          <w:spacing w:val="-7"/>
        </w:rPr>
        <w:t> </w:t>
      </w:r>
      <w:r>
        <w:rPr/>
        <w:t>涉及业绩约定的，应当披露报告期内的业绩实现情况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73" w:lineRule="exact" w:before="4"/>
        <w:ind w:left="697" w:right="0"/>
        <w:jc w:val="left"/>
      </w:pPr>
      <w:r>
        <w:rPr>
          <w:rFonts w:ascii="宋体" w:hAnsi="宋体" w:cs="宋体" w:eastAsia="宋体" w:hint="default"/>
        </w:rPr>
        <w:t>2019</w:t>
      </w:r>
      <w:r>
        <w:rPr>
          <w:rFonts w:ascii="宋体" w:hAnsi="宋体" w:cs="宋体" w:eastAsia="宋体" w:hint="default"/>
          <w:spacing w:val="101"/>
        </w:rPr>
        <w:t> </w:t>
      </w:r>
      <w:r>
        <w:rPr>
          <w:spacing w:val="10"/>
        </w:rPr>
        <w:t>年，北京泰豪装备经审计后实现的扣除非经常性损益归属母公司股东的净利润为</w:t>
      </w:r>
    </w:p>
    <w:p>
      <w:pPr>
        <w:pStyle w:val="BodyText"/>
        <w:spacing w:line="269" w:lineRule="exact"/>
        <w:ind w:left="216" w:right="0"/>
        <w:jc w:val="left"/>
        <w:rPr>
          <w:rFonts w:ascii="宋体" w:hAnsi="宋体" w:cs="宋体" w:eastAsia="宋体" w:hint="default"/>
          <w:sz w:val="24"/>
          <w:szCs w:val="24"/>
        </w:rPr>
      </w:pPr>
      <w:r>
        <w:rPr>
          <w:rFonts w:ascii="宋体" w:hAnsi="宋体" w:cs="宋体" w:eastAsia="宋体" w:hint="default"/>
        </w:rPr>
        <w:t>1,608.64</w:t>
      </w:r>
      <w:r>
        <w:rPr>
          <w:rFonts w:ascii="宋体" w:hAnsi="宋体" w:cs="宋体" w:eastAsia="宋体" w:hint="default"/>
          <w:spacing w:val="-59"/>
        </w:rPr>
        <w:t> </w:t>
      </w:r>
      <w:r>
        <w:rPr/>
        <w:t>万元，完成业绩承诺数的</w:t>
      </w:r>
      <w:r>
        <w:rPr>
          <w:spacing w:val="-56"/>
        </w:rPr>
        <w:t> </w:t>
      </w:r>
      <w:r>
        <w:rPr>
          <w:rFonts w:ascii="宋体" w:hAnsi="宋体" w:cs="宋体" w:eastAsia="宋体" w:hint="default"/>
        </w:rPr>
        <w:t>107.24%</w:t>
      </w:r>
      <w:r>
        <w:rPr/>
        <w:t>，业绩承诺方无需履行补偿义务。</w:t>
      </w:r>
      <w:r>
        <w:rPr>
          <w:rFonts w:ascii="宋体" w:hAnsi="宋体" w:cs="宋体" w:eastAsia="宋体" w:hint="default"/>
          <w:sz w:val="24"/>
          <w:szCs w:val="24"/>
        </w:rPr>
        <w:t> </w:t>
      </w:r>
    </w:p>
    <w:p>
      <w:pPr>
        <w:pStyle w:val="Heading3"/>
        <w:spacing w:line="310" w:lineRule="exact"/>
        <w:ind w:right="0"/>
        <w:jc w:val="left"/>
        <w:rPr>
          <w:rFonts w:ascii="宋体" w:hAnsi="宋体" w:cs="宋体" w:eastAsia="宋体" w:hint="default"/>
        </w:rPr>
      </w:pPr>
      <w:r>
        <w:rPr>
          <w:rFonts w:ascii="宋体"/>
        </w:rPr>
        <w:t> </w:t>
      </w:r>
    </w:p>
    <w:p>
      <w:pPr>
        <w:pStyle w:val="Heading5"/>
        <w:spacing w:line="240" w:lineRule="auto" w:before="61"/>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5"/>
        <w:spacing w:line="240" w:lineRule="auto" w:before="32"/>
        <w:ind w:right="0"/>
        <w:jc w:val="left"/>
        <w:rPr>
          <w:rFonts w:ascii="宋体" w:hAnsi="宋体" w:cs="宋体" w:eastAsia="宋体" w:hint="default"/>
          <w:b w:val="0"/>
          <w:bCs w:val="0"/>
        </w:rPr>
      </w:pPr>
      <w:r>
        <w:rPr>
          <w:rFonts w:ascii="宋体" w:hAnsi="宋体" w:cs="宋体" w:eastAsia="宋体" w:hint="default"/>
        </w:rPr>
        <w:t>1</w:t>
      </w:r>
      <w:r>
        <w:rPr/>
        <w:t>、</w:t>
      </w:r>
      <w:r>
        <w:rPr>
          <w:spacing w:val="-7"/>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Heading3"/>
        <w:spacing w:line="312" w:lineRule="exact"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1" w:lineRule="exact"/>
        <w:ind w:right="0"/>
        <w:jc w:val="left"/>
        <w:rPr>
          <w:rFonts w:ascii="宋体" w:hAnsi="宋体" w:cs="宋体" w:eastAsia="宋体" w:hint="default"/>
        </w:rPr>
      </w:pPr>
      <w:r>
        <w:rPr>
          <w:rFonts w:ascii="宋体"/>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40" w:lineRule="auto"/>
        <w:ind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5"/>
        <w:spacing w:line="240" w:lineRule="auto" w:before="29"/>
        <w:ind w:right="0"/>
        <w:jc w:val="left"/>
        <w:rPr>
          <w:rFonts w:ascii="宋体" w:hAnsi="宋体" w:cs="宋体" w:eastAsia="宋体" w:hint="default"/>
          <w:b w:val="0"/>
          <w:bCs w:val="0"/>
        </w:rPr>
      </w:pPr>
      <w:r>
        <w:rPr>
          <w:rFonts w:ascii="宋体" w:hAnsi="宋体" w:cs="宋体" w:eastAsia="宋体" w:hint="default"/>
        </w:rPr>
        <w:t>1</w:t>
      </w:r>
      <w:r>
        <w:rPr/>
        <w:t>、</w:t>
      </w:r>
      <w:r>
        <w:rPr>
          <w:spacing w:val="-7"/>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40" w:lineRule="auto" w:before="62"/>
        <w:ind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060" w:right="1560"/>
        </w:sectPr>
      </w:pPr>
    </w:p>
    <w:p>
      <w:pPr>
        <w:spacing w:line="240" w:lineRule="auto" w:before="13"/>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headerReference w:type="default" r:id="rId23"/>
          <w:footerReference w:type="default" r:id="rId24"/>
          <w:pgSz w:w="16840" w:h="11910" w:orient="landscape"/>
          <w:pgMar w:header="880" w:footer="1195" w:top="1120" w:bottom="1380" w:left="940" w:right="860"/>
          <w:pgNumType w:start="40"/>
        </w:sectPr>
      </w:pPr>
    </w:p>
    <w:p>
      <w:pPr>
        <w:pStyle w:val="Heading5"/>
        <w:spacing w:line="240" w:lineRule="auto" w:before="36"/>
        <w:ind w:left="584"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58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2"/>
        <w:rPr>
          <w:rFonts w:ascii="宋体" w:hAnsi="宋体" w:cs="宋体" w:eastAsia="宋体" w:hint="default"/>
          <w:sz w:val="27"/>
          <w:szCs w:val="27"/>
        </w:rPr>
      </w:pPr>
    </w:p>
    <w:p>
      <w:pPr>
        <w:pStyle w:val="BodyText"/>
        <w:spacing w:line="240" w:lineRule="auto"/>
        <w:ind w:left="584" w:right="0"/>
        <w:jc w:val="left"/>
        <w:rPr>
          <w:rFonts w:ascii="宋体" w:hAnsi="宋体" w:cs="宋体" w:eastAsia="宋体" w:hint="default"/>
          <w:sz w:val="24"/>
          <w:szCs w:val="24"/>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6840" w:h="11910" w:orient="landscape"/>
          <w:pgMar w:top="1120" w:bottom="1380" w:left="940" w:right="860"/>
          <w:cols w:num="2" w:equalWidth="0">
            <w:col w:w="3218" w:space="8345"/>
            <w:col w:w="3477"/>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126"/>
        <w:gridCol w:w="1287"/>
        <w:gridCol w:w="1421"/>
        <w:gridCol w:w="1568"/>
        <w:gridCol w:w="1567"/>
        <w:gridCol w:w="1426"/>
        <w:gridCol w:w="1709"/>
        <w:gridCol w:w="1709"/>
      </w:tblGrid>
      <w:tr>
        <w:trPr>
          <w:trHeight w:val="581" w:hRule="exact"/>
        </w:trPr>
        <w:tc>
          <w:tcPr>
            <w:tcW w:w="412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10" w:right="0"/>
              <w:jc w:val="center"/>
              <w:rPr>
                <w:rFonts w:ascii="宋体" w:hAnsi="宋体" w:cs="宋体" w:eastAsia="宋体" w:hint="default"/>
                <w:sz w:val="22"/>
                <w:szCs w:val="22"/>
              </w:rPr>
            </w:pPr>
            <w:r>
              <w:rPr>
                <w:rFonts w:ascii="宋体" w:hAnsi="宋体" w:cs="宋体" w:eastAsia="宋体" w:hint="default"/>
                <w:sz w:val="22"/>
                <w:szCs w:val="22"/>
              </w:rPr>
              <w:t>关联方</w:t>
            </w:r>
            <w:r>
              <w:rPr>
                <w:rFonts w:ascii="宋体" w:hAnsi="宋体" w:cs="宋体" w:eastAsia="宋体" w:hint="default"/>
                <w:sz w:val="22"/>
                <w:szCs w:val="22"/>
              </w:rPr>
              <w:t> </w:t>
            </w:r>
          </w:p>
        </w:tc>
        <w:tc>
          <w:tcPr>
            <w:tcW w:w="1287"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99" w:right="0"/>
              <w:jc w:val="left"/>
              <w:rPr>
                <w:rFonts w:ascii="宋体" w:hAnsi="宋体" w:cs="宋体" w:eastAsia="宋体" w:hint="default"/>
                <w:sz w:val="22"/>
                <w:szCs w:val="22"/>
              </w:rPr>
            </w:pPr>
            <w:r>
              <w:rPr>
                <w:rFonts w:ascii="宋体" w:hAnsi="宋体" w:cs="宋体" w:eastAsia="宋体" w:hint="default"/>
                <w:sz w:val="22"/>
                <w:szCs w:val="22"/>
              </w:rPr>
              <w:t>关联关系</w:t>
            </w:r>
            <w:r>
              <w:rPr>
                <w:rFonts w:ascii="宋体" w:hAnsi="宋体" w:cs="宋体" w:eastAsia="宋体" w:hint="default"/>
                <w:sz w:val="22"/>
                <w:szCs w:val="22"/>
              </w:rPr>
              <w:t> </w:t>
            </w:r>
          </w:p>
        </w:tc>
        <w:tc>
          <w:tcPr>
            <w:tcW w:w="45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392" w:right="0"/>
              <w:jc w:val="left"/>
              <w:rPr>
                <w:rFonts w:ascii="宋体" w:hAnsi="宋体" w:cs="宋体" w:eastAsia="宋体" w:hint="default"/>
                <w:sz w:val="22"/>
                <w:szCs w:val="22"/>
              </w:rPr>
            </w:pPr>
            <w:r>
              <w:rPr>
                <w:rFonts w:ascii="宋体" w:hAnsi="宋体" w:cs="宋体" w:eastAsia="宋体" w:hint="default"/>
                <w:sz w:val="22"/>
                <w:szCs w:val="22"/>
              </w:rPr>
              <w:t>向关联方提供资金</w:t>
            </w:r>
            <w:r>
              <w:rPr>
                <w:rFonts w:ascii="宋体" w:hAnsi="宋体" w:cs="宋体" w:eastAsia="宋体" w:hint="default"/>
                <w:sz w:val="22"/>
                <w:szCs w:val="22"/>
              </w:rPr>
              <w:t> </w:t>
            </w:r>
          </w:p>
        </w:tc>
        <w:tc>
          <w:tcPr>
            <w:tcW w:w="48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3" w:right="0"/>
              <w:jc w:val="center"/>
              <w:rPr>
                <w:rFonts w:ascii="宋体" w:hAnsi="宋体" w:cs="宋体" w:eastAsia="宋体" w:hint="default"/>
                <w:sz w:val="22"/>
                <w:szCs w:val="22"/>
              </w:rPr>
            </w:pPr>
            <w:r>
              <w:rPr>
                <w:rFonts w:ascii="宋体" w:hAnsi="宋体" w:cs="宋体" w:eastAsia="宋体" w:hint="default"/>
                <w:sz w:val="22"/>
                <w:szCs w:val="22"/>
              </w:rPr>
              <w:t>关联方向上市公司</w:t>
            </w:r>
            <w:r>
              <w:rPr>
                <w:rFonts w:ascii="宋体" w:hAnsi="宋体" w:cs="宋体" w:eastAsia="宋体" w:hint="default"/>
                <w:sz w:val="22"/>
                <w:szCs w:val="22"/>
              </w:rPr>
              <w:t> </w:t>
            </w:r>
          </w:p>
          <w:p>
            <w:pPr>
              <w:pStyle w:val="TableParagraph"/>
              <w:spacing w:line="287" w:lineRule="exact"/>
              <w:ind w:left="113" w:right="0"/>
              <w:jc w:val="center"/>
              <w:rPr>
                <w:rFonts w:ascii="宋体" w:hAnsi="宋体" w:cs="宋体" w:eastAsia="宋体" w:hint="default"/>
                <w:sz w:val="22"/>
                <w:szCs w:val="22"/>
              </w:rPr>
            </w:pPr>
            <w:r>
              <w:rPr>
                <w:rFonts w:ascii="宋体" w:hAnsi="宋体" w:cs="宋体" w:eastAsia="宋体" w:hint="default"/>
                <w:sz w:val="22"/>
                <w:szCs w:val="22"/>
              </w:rPr>
              <w:t>提供资金</w:t>
            </w:r>
            <w:r>
              <w:rPr>
                <w:rFonts w:ascii="宋体" w:hAnsi="宋体" w:cs="宋体" w:eastAsia="宋体" w:hint="default"/>
                <w:sz w:val="22"/>
                <w:szCs w:val="22"/>
              </w:rPr>
              <w:t> </w:t>
            </w:r>
          </w:p>
        </w:tc>
      </w:tr>
      <w:tr>
        <w:trPr>
          <w:trHeight w:val="295" w:hRule="exact"/>
        </w:trPr>
        <w:tc>
          <w:tcPr>
            <w:tcW w:w="4126" w:type="dxa"/>
            <w:vMerge/>
            <w:tcBorders>
              <w:left w:val="single" w:sz="4" w:space="0" w:color="000000"/>
              <w:bottom w:val="single" w:sz="4" w:space="0" w:color="000000"/>
              <w:right w:val="single" w:sz="4" w:space="0" w:color="000000"/>
            </w:tcBorders>
          </w:tcPr>
          <w:p>
            <w:pPr/>
          </w:p>
        </w:tc>
        <w:tc>
          <w:tcPr>
            <w:tcW w:w="1287" w:type="dxa"/>
            <w:vMerge/>
            <w:tcBorders>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55"/>
              <w:jc w:val="right"/>
              <w:rPr>
                <w:rFonts w:ascii="宋体" w:hAnsi="宋体" w:cs="宋体" w:eastAsia="宋体" w:hint="default"/>
                <w:sz w:val="22"/>
                <w:szCs w:val="22"/>
              </w:rPr>
            </w:pPr>
            <w:r>
              <w:rPr>
                <w:rFonts w:ascii="宋体" w:hAnsi="宋体" w:cs="宋体" w:eastAsia="宋体" w:hint="default"/>
                <w:spacing w:val="-1"/>
                <w:sz w:val="22"/>
                <w:szCs w:val="22"/>
              </w:rPr>
              <w:t>期初余额</w:t>
            </w:r>
            <w:r>
              <w:rPr>
                <w:rFonts w:ascii="宋体" w:hAnsi="宋体" w:cs="宋体" w:eastAsia="宋体" w:hint="default"/>
                <w:sz w:val="22"/>
                <w:szCs w:val="22"/>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48" w:right="0"/>
              <w:jc w:val="left"/>
              <w:rPr>
                <w:rFonts w:ascii="宋体" w:hAnsi="宋体" w:cs="宋体" w:eastAsia="宋体" w:hint="default"/>
                <w:sz w:val="22"/>
                <w:szCs w:val="22"/>
              </w:rPr>
            </w:pPr>
            <w:r>
              <w:rPr>
                <w:rFonts w:ascii="宋体" w:hAnsi="宋体" w:cs="宋体" w:eastAsia="宋体" w:hint="default"/>
                <w:sz w:val="22"/>
                <w:szCs w:val="22"/>
              </w:rPr>
              <w:t>发生额</w:t>
            </w:r>
            <w:r>
              <w:rPr>
                <w:rFonts w:ascii="宋体" w:hAnsi="宋体" w:cs="宋体" w:eastAsia="宋体" w:hint="default"/>
                <w:sz w:val="22"/>
                <w:szCs w:val="22"/>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338" w:right="0"/>
              <w:jc w:val="left"/>
              <w:rPr>
                <w:rFonts w:ascii="宋体" w:hAnsi="宋体" w:cs="宋体" w:eastAsia="宋体" w:hint="default"/>
                <w:sz w:val="22"/>
                <w:szCs w:val="22"/>
              </w:rPr>
            </w:pPr>
            <w:r>
              <w:rPr>
                <w:rFonts w:ascii="宋体" w:hAnsi="宋体" w:cs="宋体" w:eastAsia="宋体" w:hint="default"/>
                <w:sz w:val="22"/>
                <w:szCs w:val="22"/>
              </w:rPr>
              <w:t>期末余额</w:t>
            </w:r>
            <w:r>
              <w:rPr>
                <w:rFonts w:ascii="宋体" w:hAnsi="宋体" w:cs="宋体" w:eastAsia="宋体" w:hint="default"/>
                <w:sz w:val="22"/>
                <w:szCs w:val="22"/>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54"/>
              <w:jc w:val="right"/>
              <w:rPr>
                <w:rFonts w:ascii="宋体" w:hAnsi="宋体" w:cs="宋体" w:eastAsia="宋体" w:hint="default"/>
                <w:sz w:val="22"/>
                <w:szCs w:val="22"/>
              </w:rPr>
            </w:pPr>
            <w:r>
              <w:rPr>
                <w:rFonts w:ascii="宋体" w:hAnsi="宋体" w:cs="宋体" w:eastAsia="宋体" w:hint="default"/>
                <w:spacing w:val="-1"/>
                <w:sz w:val="22"/>
                <w:szCs w:val="22"/>
              </w:rPr>
              <w:t>期初余额</w:t>
            </w:r>
            <w:r>
              <w:rPr>
                <w:rFonts w:ascii="宋体" w:hAnsi="宋体" w:cs="宋体" w:eastAsia="宋体" w:hint="default"/>
                <w:sz w:val="22"/>
                <w:szCs w:val="22"/>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20" w:right="0"/>
              <w:jc w:val="left"/>
              <w:rPr>
                <w:rFonts w:ascii="宋体" w:hAnsi="宋体" w:cs="宋体" w:eastAsia="宋体" w:hint="default"/>
                <w:sz w:val="22"/>
                <w:szCs w:val="22"/>
              </w:rPr>
            </w:pPr>
            <w:r>
              <w:rPr>
                <w:rFonts w:ascii="宋体" w:hAnsi="宋体" w:cs="宋体" w:eastAsia="宋体" w:hint="default"/>
                <w:sz w:val="22"/>
                <w:szCs w:val="22"/>
              </w:rPr>
              <w:t>发生额</w:t>
            </w:r>
            <w:r>
              <w:rPr>
                <w:rFonts w:ascii="宋体" w:hAnsi="宋体" w:cs="宋体" w:eastAsia="宋体" w:hint="default"/>
                <w:sz w:val="22"/>
                <w:szCs w:val="22"/>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10" w:right="0"/>
              <w:jc w:val="left"/>
              <w:rPr>
                <w:rFonts w:ascii="宋体" w:hAnsi="宋体" w:cs="宋体" w:eastAsia="宋体" w:hint="default"/>
                <w:sz w:val="22"/>
                <w:szCs w:val="22"/>
              </w:rPr>
            </w:pPr>
            <w:r>
              <w:rPr>
                <w:rFonts w:ascii="宋体" w:hAnsi="宋体" w:cs="宋体" w:eastAsia="宋体" w:hint="default"/>
                <w:sz w:val="22"/>
                <w:szCs w:val="22"/>
              </w:rPr>
              <w:t>期末余额</w:t>
            </w:r>
            <w:r>
              <w:rPr>
                <w:rFonts w:ascii="宋体" w:hAnsi="宋体" w:cs="宋体" w:eastAsia="宋体" w:hint="default"/>
                <w:sz w:val="22"/>
                <w:szCs w:val="22"/>
              </w:rPr>
              <w:t> </w:t>
            </w:r>
          </w:p>
        </w:tc>
      </w:tr>
      <w:tr>
        <w:trPr>
          <w:trHeight w:val="295"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同方股份有限公司</w:t>
            </w:r>
            <w:r>
              <w:rPr>
                <w:rFonts w:ascii="宋体" w:hAnsi="宋体" w:cs="宋体" w:eastAsia="宋体" w:hint="default"/>
                <w:sz w:val="22"/>
                <w:szCs w:val="22"/>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公司股东</w:t>
            </w:r>
            <w:r>
              <w:rPr>
                <w:rFonts w:ascii="宋体" w:hAnsi="宋体" w:cs="宋体" w:eastAsia="宋体" w:hint="default"/>
                <w:sz w:val="22"/>
                <w:szCs w:val="22"/>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19"/>
              <w:jc w:val="right"/>
              <w:rPr>
                <w:rFonts w:ascii="Times New Roman" w:hAnsi="Times New Roman" w:cs="Times New Roman" w:eastAsia="Times New Roman" w:hint="default"/>
                <w:sz w:val="24"/>
                <w:szCs w:val="24"/>
              </w:rPr>
            </w:pPr>
            <w:r>
              <w:rPr>
                <w:rFonts w:ascii="Times New Roman"/>
                <w:sz w:val="24"/>
              </w:rPr>
              <w:t>3,248,199.00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18"/>
              <w:jc w:val="right"/>
              <w:rPr>
                <w:rFonts w:ascii="Times New Roman" w:hAnsi="Times New Roman" w:cs="Times New Roman" w:eastAsia="Times New Roman" w:hint="default"/>
                <w:sz w:val="24"/>
                <w:szCs w:val="24"/>
              </w:rPr>
            </w:pPr>
            <w:r>
              <w:rPr>
                <w:rFonts w:ascii="Times New Roman"/>
                <w:spacing w:val="-1"/>
                <w:sz w:val="24"/>
              </w:rPr>
              <w:t>-3,248,199.00</w:t>
            </w:r>
          </w:p>
        </w:tc>
        <w:tc>
          <w:tcPr>
            <w:tcW w:w="156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同方（哈尔滨）水务有限公司</w:t>
            </w:r>
            <w:r>
              <w:rPr>
                <w:rFonts w:ascii="宋体" w:hAnsi="宋体" w:cs="宋体" w:eastAsia="宋体" w:hint="default"/>
                <w:sz w:val="22"/>
                <w:szCs w:val="22"/>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同一股东</w:t>
            </w:r>
            <w:r>
              <w:rPr>
                <w:rFonts w:ascii="宋体" w:hAnsi="宋体" w:cs="宋体" w:eastAsia="宋体" w:hint="default"/>
                <w:sz w:val="22"/>
                <w:szCs w:val="22"/>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19"/>
              <w:jc w:val="right"/>
              <w:rPr>
                <w:rFonts w:ascii="Times New Roman" w:hAnsi="Times New Roman" w:cs="Times New Roman" w:eastAsia="Times New Roman" w:hint="default"/>
                <w:sz w:val="24"/>
                <w:szCs w:val="24"/>
              </w:rPr>
            </w:pPr>
            <w:r>
              <w:rPr>
                <w:rFonts w:ascii="Times New Roman"/>
                <w:sz w:val="24"/>
              </w:rPr>
              <w:t>1,347,660.00</w:t>
            </w:r>
          </w:p>
        </w:tc>
        <w:tc>
          <w:tcPr>
            <w:tcW w:w="156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19"/>
              <w:jc w:val="right"/>
              <w:rPr>
                <w:rFonts w:ascii="Times New Roman" w:hAnsi="Times New Roman" w:cs="Times New Roman" w:eastAsia="Times New Roman" w:hint="default"/>
                <w:sz w:val="24"/>
                <w:szCs w:val="24"/>
              </w:rPr>
            </w:pPr>
            <w:r>
              <w:rPr>
                <w:rFonts w:ascii="Times New Roman"/>
                <w:sz w:val="24"/>
              </w:rPr>
              <w:t>1,347,660.00</w:t>
            </w:r>
          </w:p>
        </w:tc>
        <w:tc>
          <w:tcPr>
            <w:tcW w:w="142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同方江新造船有限公司</w:t>
            </w:r>
            <w:r>
              <w:rPr>
                <w:rFonts w:ascii="宋体" w:hAnsi="宋体" w:cs="宋体" w:eastAsia="宋体" w:hint="default"/>
                <w:sz w:val="22"/>
                <w:szCs w:val="22"/>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同一股东</w:t>
            </w:r>
            <w:r>
              <w:rPr>
                <w:rFonts w:ascii="宋体" w:hAnsi="宋体" w:cs="宋体" w:eastAsia="宋体" w:hint="default"/>
                <w:sz w:val="22"/>
                <w:szCs w:val="22"/>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19"/>
              <w:jc w:val="right"/>
              <w:rPr>
                <w:rFonts w:ascii="Times New Roman" w:hAnsi="Times New Roman" w:cs="Times New Roman" w:eastAsia="Times New Roman" w:hint="default"/>
                <w:sz w:val="24"/>
                <w:szCs w:val="24"/>
              </w:rPr>
            </w:pPr>
            <w:r>
              <w:rPr>
                <w:rFonts w:ascii="Times New Roman"/>
                <w:sz w:val="24"/>
              </w:rPr>
              <w:t>1,988,500.00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18"/>
              <w:jc w:val="right"/>
              <w:rPr>
                <w:rFonts w:ascii="Times New Roman" w:hAnsi="Times New Roman" w:cs="Times New Roman" w:eastAsia="Times New Roman" w:hint="default"/>
                <w:sz w:val="24"/>
                <w:szCs w:val="24"/>
              </w:rPr>
            </w:pPr>
            <w:r>
              <w:rPr>
                <w:rFonts w:ascii="Times New Roman"/>
                <w:spacing w:val="-1"/>
                <w:sz w:val="24"/>
              </w:rPr>
              <w:t>-1,606,500.00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19"/>
              <w:jc w:val="right"/>
              <w:rPr>
                <w:rFonts w:ascii="Times New Roman" w:hAnsi="Times New Roman" w:cs="Times New Roman" w:eastAsia="Times New Roman" w:hint="default"/>
                <w:sz w:val="24"/>
                <w:szCs w:val="24"/>
              </w:rPr>
            </w:pPr>
            <w:r>
              <w:rPr>
                <w:rFonts w:ascii="Times New Roman"/>
                <w:sz w:val="24"/>
              </w:rPr>
              <w:t>382,000.00</w:t>
            </w:r>
          </w:p>
        </w:tc>
        <w:tc>
          <w:tcPr>
            <w:tcW w:w="142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景德镇同方科技建设有限公司</w:t>
            </w:r>
            <w:r>
              <w:rPr>
                <w:rFonts w:ascii="宋体" w:hAnsi="宋体" w:cs="宋体" w:eastAsia="宋体" w:hint="default"/>
                <w:sz w:val="22"/>
                <w:szCs w:val="22"/>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同一股东</w:t>
            </w:r>
            <w:r>
              <w:rPr>
                <w:rFonts w:ascii="宋体" w:hAnsi="宋体" w:cs="宋体" w:eastAsia="宋体" w:hint="default"/>
                <w:sz w:val="22"/>
                <w:szCs w:val="22"/>
              </w:rPr>
              <w:t> </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18"/>
              <w:jc w:val="right"/>
              <w:rPr>
                <w:rFonts w:ascii="Times New Roman" w:hAnsi="Times New Roman" w:cs="Times New Roman" w:eastAsia="Times New Roman" w:hint="default"/>
                <w:sz w:val="24"/>
                <w:szCs w:val="24"/>
              </w:rPr>
            </w:pPr>
            <w:r>
              <w:rPr>
                <w:rFonts w:ascii="Times New Roman"/>
                <w:sz w:val="24"/>
              </w:rPr>
              <w:t>10,500.00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19"/>
              <w:jc w:val="right"/>
              <w:rPr>
                <w:rFonts w:ascii="Times New Roman" w:hAnsi="Times New Roman" w:cs="Times New Roman" w:eastAsia="Times New Roman" w:hint="default"/>
                <w:sz w:val="24"/>
                <w:szCs w:val="24"/>
              </w:rPr>
            </w:pPr>
            <w:r>
              <w:rPr>
                <w:rFonts w:ascii="Times New Roman"/>
                <w:sz w:val="24"/>
              </w:rPr>
              <w:t>10,500.00</w:t>
            </w:r>
          </w:p>
        </w:tc>
        <w:tc>
          <w:tcPr>
            <w:tcW w:w="142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564"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 w:right="0"/>
              <w:jc w:val="left"/>
              <w:rPr>
                <w:rFonts w:ascii="宋体" w:hAnsi="宋体" w:cs="宋体" w:eastAsia="宋体" w:hint="default"/>
                <w:sz w:val="22"/>
                <w:szCs w:val="22"/>
              </w:rPr>
            </w:pPr>
            <w:r>
              <w:rPr>
                <w:rFonts w:ascii="宋体" w:hAnsi="宋体" w:cs="宋体" w:eastAsia="宋体" w:hint="default"/>
                <w:sz w:val="22"/>
                <w:szCs w:val="22"/>
              </w:rPr>
              <w:t>贵州大学明德学院</w:t>
            </w:r>
            <w:r>
              <w:rPr>
                <w:rFonts w:ascii="宋体" w:hAnsi="宋体" w:cs="宋体" w:eastAsia="宋体" w:hint="default"/>
                <w:sz w:val="22"/>
                <w:szCs w:val="22"/>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 w:right="0"/>
              <w:jc w:val="left"/>
              <w:rPr>
                <w:rFonts w:ascii="宋体" w:hAnsi="宋体" w:cs="宋体" w:eastAsia="宋体" w:hint="default"/>
                <w:sz w:val="22"/>
                <w:szCs w:val="22"/>
              </w:rPr>
            </w:pPr>
            <w:r>
              <w:rPr>
                <w:rFonts w:ascii="宋体" w:hAnsi="宋体" w:cs="宋体" w:eastAsia="宋体" w:hint="default"/>
                <w:sz w:val="22"/>
                <w:szCs w:val="22"/>
              </w:rPr>
              <w:t>同一股东</w:t>
            </w:r>
            <w:r>
              <w:rPr>
                <w:rFonts w:ascii="宋体" w:hAnsi="宋体" w:cs="宋体" w:eastAsia="宋体" w:hint="default"/>
                <w:sz w:val="22"/>
                <w:szCs w:val="22"/>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19"/>
              <w:jc w:val="right"/>
              <w:rPr>
                <w:rFonts w:ascii="Times New Roman" w:hAnsi="Times New Roman" w:cs="Times New Roman" w:eastAsia="Times New Roman" w:hint="default"/>
                <w:sz w:val="24"/>
                <w:szCs w:val="24"/>
              </w:rPr>
            </w:pPr>
            <w:r>
              <w:rPr>
                <w:rFonts w:ascii="Times New Roman"/>
                <w:sz w:val="24"/>
              </w:rPr>
              <w:t>200,000,000.</w:t>
            </w:r>
          </w:p>
          <w:p>
            <w:pPr>
              <w:pStyle w:val="TableParagraph"/>
              <w:spacing w:line="240" w:lineRule="auto"/>
              <w:ind w:right="119"/>
              <w:jc w:val="right"/>
              <w:rPr>
                <w:rFonts w:ascii="Times New Roman" w:hAnsi="Times New Roman" w:cs="Times New Roman" w:eastAsia="Times New Roman" w:hint="default"/>
                <w:sz w:val="24"/>
                <w:szCs w:val="24"/>
              </w:rPr>
            </w:pPr>
            <w:r>
              <w:rPr>
                <w:rFonts w:ascii="Times New Roman"/>
                <w:sz w:val="24"/>
              </w:rPr>
              <w:t>00</w:t>
            </w:r>
          </w:p>
        </w:tc>
        <w:tc>
          <w:tcPr>
            <w:tcW w:w="156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19"/>
              <w:jc w:val="right"/>
              <w:rPr>
                <w:rFonts w:ascii="Times New Roman" w:hAnsi="Times New Roman" w:cs="Times New Roman" w:eastAsia="Times New Roman" w:hint="default"/>
                <w:sz w:val="24"/>
                <w:szCs w:val="24"/>
              </w:rPr>
            </w:pPr>
            <w:r>
              <w:rPr>
                <w:rFonts w:ascii="Times New Roman"/>
                <w:sz w:val="24"/>
              </w:rPr>
              <w:t>200,000,000.0</w:t>
            </w:r>
          </w:p>
          <w:p>
            <w:pPr>
              <w:pStyle w:val="TableParagraph"/>
              <w:spacing w:line="240" w:lineRule="auto"/>
              <w:ind w:right="119"/>
              <w:jc w:val="right"/>
              <w:rPr>
                <w:rFonts w:ascii="Times New Roman" w:hAnsi="Times New Roman" w:cs="Times New Roman" w:eastAsia="Times New Roman" w:hint="default"/>
                <w:sz w:val="24"/>
                <w:szCs w:val="24"/>
              </w:rPr>
            </w:pPr>
            <w:r>
              <w:rPr>
                <w:rFonts w:ascii="Times New Roman"/>
                <w:sz w:val="24"/>
              </w:rPr>
              <w:t>0</w:t>
            </w:r>
          </w:p>
        </w:tc>
        <w:tc>
          <w:tcPr>
            <w:tcW w:w="142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江西泰豪动漫职业学院</w:t>
            </w:r>
            <w:r>
              <w:rPr>
                <w:rFonts w:ascii="宋体" w:hAnsi="宋体" w:cs="宋体" w:eastAsia="宋体" w:hint="default"/>
                <w:sz w:val="22"/>
                <w:szCs w:val="22"/>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同一股东</w:t>
            </w:r>
            <w:r>
              <w:rPr>
                <w:rFonts w:ascii="宋体" w:hAnsi="宋体" w:cs="宋体" w:eastAsia="宋体" w:hint="default"/>
                <w:sz w:val="22"/>
                <w:szCs w:val="22"/>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19"/>
              <w:jc w:val="right"/>
              <w:rPr>
                <w:rFonts w:ascii="Times New Roman" w:hAnsi="Times New Roman" w:cs="Times New Roman" w:eastAsia="Times New Roman" w:hint="default"/>
                <w:sz w:val="24"/>
                <w:szCs w:val="24"/>
              </w:rPr>
            </w:pPr>
            <w:r>
              <w:rPr>
                <w:rFonts w:ascii="Times New Roman"/>
                <w:sz w:val="24"/>
              </w:rPr>
              <w:t>5,211,246.00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18"/>
              <w:jc w:val="right"/>
              <w:rPr>
                <w:rFonts w:ascii="Times New Roman" w:hAnsi="Times New Roman" w:cs="Times New Roman" w:eastAsia="Times New Roman" w:hint="default"/>
                <w:sz w:val="24"/>
                <w:szCs w:val="24"/>
              </w:rPr>
            </w:pPr>
            <w:r>
              <w:rPr>
                <w:rFonts w:ascii="Times New Roman"/>
                <w:sz w:val="24"/>
              </w:rPr>
              <w:t>5,244,979.00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19"/>
              <w:jc w:val="right"/>
              <w:rPr>
                <w:rFonts w:ascii="Times New Roman" w:hAnsi="Times New Roman" w:cs="Times New Roman" w:eastAsia="Times New Roman" w:hint="default"/>
                <w:sz w:val="24"/>
                <w:szCs w:val="24"/>
              </w:rPr>
            </w:pPr>
            <w:r>
              <w:rPr>
                <w:rFonts w:ascii="Times New Roman"/>
                <w:sz w:val="24"/>
              </w:rPr>
              <w:t>10,456,225.00</w:t>
            </w:r>
          </w:p>
        </w:tc>
        <w:tc>
          <w:tcPr>
            <w:tcW w:w="142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北京泰豪智能科技有限公司</w:t>
            </w:r>
            <w:r>
              <w:rPr>
                <w:rFonts w:ascii="宋体" w:hAnsi="宋体" w:cs="宋体" w:eastAsia="宋体" w:hint="default"/>
                <w:sz w:val="22"/>
                <w:szCs w:val="22"/>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同一股东</w:t>
            </w:r>
            <w:r>
              <w:rPr>
                <w:rFonts w:ascii="宋体" w:hAnsi="宋体" w:cs="宋体" w:eastAsia="宋体" w:hint="default"/>
                <w:sz w:val="22"/>
                <w:szCs w:val="22"/>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19"/>
              <w:jc w:val="right"/>
              <w:rPr>
                <w:rFonts w:ascii="Times New Roman" w:hAnsi="Times New Roman" w:cs="Times New Roman" w:eastAsia="Times New Roman" w:hint="default"/>
                <w:sz w:val="24"/>
                <w:szCs w:val="24"/>
              </w:rPr>
            </w:pPr>
            <w:r>
              <w:rPr>
                <w:rFonts w:ascii="Times New Roman"/>
                <w:sz w:val="24"/>
              </w:rPr>
              <w:t>247,003.02</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18"/>
              <w:jc w:val="right"/>
              <w:rPr>
                <w:rFonts w:ascii="Times New Roman" w:hAnsi="Times New Roman" w:cs="Times New Roman" w:eastAsia="Times New Roman" w:hint="default"/>
                <w:sz w:val="24"/>
                <w:szCs w:val="24"/>
              </w:rPr>
            </w:pPr>
            <w:r>
              <w:rPr>
                <w:rFonts w:ascii="Times New Roman"/>
                <w:sz w:val="24"/>
              </w:rPr>
              <w:t>3,992,125.26</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19"/>
              <w:jc w:val="right"/>
              <w:rPr>
                <w:rFonts w:ascii="Times New Roman" w:hAnsi="Times New Roman" w:cs="Times New Roman" w:eastAsia="Times New Roman" w:hint="default"/>
                <w:sz w:val="24"/>
                <w:szCs w:val="24"/>
              </w:rPr>
            </w:pPr>
            <w:r>
              <w:rPr>
                <w:rFonts w:ascii="Times New Roman"/>
                <w:sz w:val="24"/>
              </w:rPr>
              <w:t>4,239,128.28</w:t>
            </w:r>
          </w:p>
        </w:tc>
        <w:tc>
          <w:tcPr>
            <w:tcW w:w="142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江西大麦互娱科技股份有限公司</w:t>
            </w:r>
            <w:r>
              <w:rPr>
                <w:rFonts w:ascii="宋体" w:hAnsi="宋体" w:cs="宋体" w:eastAsia="宋体" w:hint="default"/>
                <w:sz w:val="22"/>
                <w:szCs w:val="22"/>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同一股东</w:t>
            </w:r>
            <w:r>
              <w:rPr>
                <w:rFonts w:ascii="宋体" w:hAnsi="宋体" w:cs="宋体" w:eastAsia="宋体" w:hint="default"/>
                <w:sz w:val="22"/>
                <w:szCs w:val="22"/>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19"/>
              <w:jc w:val="right"/>
              <w:rPr>
                <w:rFonts w:ascii="Times New Roman" w:hAnsi="Times New Roman" w:cs="Times New Roman" w:eastAsia="Times New Roman" w:hint="default"/>
                <w:sz w:val="24"/>
                <w:szCs w:val="24"/>
              </w:rPr>
            </w:pPr>
            <w:r>
              <w:rPr>
                <w:rFonts w:ascii="Times New Roman"/>
                <w:sz w:val="24"/>
              </w:rPr>
              <w:t>587,207.48</w:t>
            </w:r>
          </w:p>
        </w:tc>
        <w:tc>
          <w:tcPr>
            <w:tcW w:w="156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19"/>
              <w:jc w:val="right"/>
              <w:rPr>
                <w:rFonts w:ascii="Times New Roman" w:hAnsi="Times New Roman" w:cs="Times New Roman" w:eastAsia="Times New Roman" w:hint="default"/>
                <w:sz w:val="24"/>
                <w:szCs w:val="24"/>
              </w:rPr>
            </w:pPr>
            <w:r>
              <w:rPr>
                <w:rFonts w:ascii="Times New Roman"/>
                <w:sz w:val="24"/>
              </w:rPr>
              <w:t>587,207.48</w:t>
            </w:r>
          </w:p>
        </w:tc>
        <w:tc>
          <w:tcPr>
            <w:tcW w:w="142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长春泰豪房地产置业有限公司</w:t>
            </w:r>
            <w:r>
              <w:rPr>
                <w:rFonts w:ascii="宋体" w:hAnsi="宋体" w:cs="宋体" w:eastAsia="宋体" w:hint="default"/>
                <w:sz w:val="22"/>
                <w:szCs w:val="22"/>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同一股东</w:t>
            </w:r>
            <w:r>
              <w:rPr>
                <w:rFonts w:ascii="宋体" w:hAnsi="宋体" w:cs="宋体" w:eastAsia="宋体" w:hint="default"/>
                <w:sz w:val="22"/>
                <w:szCs w:val="22"/>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19"/>
              <w:jc w:val="right"/>
              <w:rPr>
                <w:rFonts w:ascii="Times New Roman" w:hAnsi="Times New Roman" w:cs="Times New Roman" w:eastAsia="Times New Roman" w:hint="default"/>
                <w:sz w:val="24"/>
                <w:szCs w:val="24"/>
              </w:rPr>
            </w:pPr>
            <w:r>
              <w:rPr>
                <w:rFonts w:ascii="Times New Roman"/>
                <w:sz w:val="24"/>
              </w:rPr>
              <w:t>112,260.69</w:t>
            </w:r>
          </w:p>
        </w:tc>
        <w:tc>
          <w:tcPr>
            <w:tcW w:w="156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19"/>
              <w:jc w:val="right"/>
              <w:rPr>
                <w:rFonts w:ascii="Times New Roman" w:hAnsi="Times New Roman" w:cs="Times New Roman" w:eastAsia="Times New Roman" w:hint="default"/>
                <w:sz w:val="24"/>
                <w:szCs w:val="24"/>
              </w:rPr>
            </w:pPr>
            <w:r>
              <w:rPr>
                <w:rFonts w:ascii="Times New Roman"/>
                <w:sz w:val="24"/>
              </w:rPr>
              <w:t>112,260.69</w:t>
            </w:r>
          </w:p>
        </w:tc>
        <w:tc>
          <w:tcPr>
            <w:tcW w:w="142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贵州泰豪文创置业发展有限公司</w:t>
            </w:r>
            <w:r>
              <w:rPr>
                <w:rFonts w:ascii="宋体" w:hAnsi="宋体" w:cs="宋体" w:eastAsia="宋体" w:hint="default"/>
                <w:sz w:val="22"/>
                <w:szCs w:val="22"/>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同一股东</w:t>
            </w:r>
            <w:r>
              <w:rPr>
                <w:rFonts w:ascii="宋体" w:hAnsi="宋体" w:cs="宋体" w:eastAsia="宋体" w:hint="default"/>
                <w:sz w:val="22"/>
                <w:szCs w:val="22"/>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19"/>
              <w:jc w:val="right"/>
              <w:rPr>
                <w:rFonts w:ascii="Times New Roman" w:hAnsi="Times New Roman" w:cs="Times New Roman" w:eastAsia="Times New Roman" w:hint="default"/>
                <w:sz w:val="24"/>
                <w:szCs w:val="24"/>
              </w:rPr>
            </w:pPr>
            <w:r>
              <w:rPr>
                <w:rFonts w:ascii="Times New Roman"/>
                <w:sz w:val="24"/>
              </w:rPr>
              <w:t>1,117,114.25</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18"/>
              <w:jc w:val="right"/>
              <w:rPr>
                <w:rFonts w:ascii="Times New Roman" w:hAnsi="Times New Roman" w:cs="Times New Roman" w:eastAsia="Times New Roman" w:hint="default"/>
                <w:sz w:val="24"/>
                <w:szCs w:val="24"/>
              </w:rPr>
            </w:pPr>
            <w:r>
              <w:rPr>
                <w:rFonts w:ascii="Times New Roman"/>
                <w:spacing w:val="-1"/>
                <w:sz w:val="24"/>
              </w:rPr>
              <w:t>-1,117,114.25</w:t>
            </w:r>
          </w:p>
        </w:tc>
        <w:tc>
          <w:tcPr>
            <w:tcW w:w="156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2"/>
                <w:szCs w:val="22"/>
              </w:rPr>
            </w:pPr>
            <w:r>
              <w:rPr>
                <w:rFonts w:ascii="宋体" w:hAnsi="宋体" w:cs="宋体" w:eastAsia="宋体" w:hint="default"/>
                <w:sz w:val="22"/>
                <w:szCs w:val="22"/>
              </w:rPr>
              <w:t>江西泰豪信息技术有限公司</w:t>
            </w:r>
            <w:r>
              <w:rPr>
                <w:rFonts w:ascii="宋体" w:hAnsi="宋体" w:cs="宋体" w:eastAsia="宋体" w:hint="default"/>
                <w:sz w:val="22"/>
                <w:szCs w:val="22"/>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2"/>
                <w:szCs w:val="22"/>
              </w:rPr>
            </w:pPr>
            <w:r>
              <w:rPr>
                <w:rFonts w:ascii="宋体" w:hAnsi="宋体" w:cs="宋体" w:eastAsia="宋体" w:hint="default"/>
                <w:sz w:val="22"/>
                <w:szCs w:val="22"/>
              </w:rPr>
              <w:t>同一股东</w:t>
            </w:r>
            <w:r>
              <w:rPr>
                <w:rFonts w:ascii="宋体" w:hAnsi="宋体" w:cs="宋体" w:eastAsia="宋体" w:hint="default"/>
                <w:sz w:val="22"/>
                <w:szCs w:val="22"/>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19"/>
              <w:jc w:val="right"/>
              <w:rPr>
                <w:rFonts w:ascii="Times New Roman" w:hAnsi="Times New Roman" w:cs="Times New Roman" w:eastAsia="Times New Roman" w:hint="default"/>
                <w:sz w:val="24"/>
                <w:szCs w:val="24"/>
              </w:rPr>
            </w:pPr>
            <w:r>
              <w:rPr>
                <w:rFonts w:ascii="Times New Roman"/>
                <w:sz w:val="24"/>
              </w:rPr>
              <w:t>1,588,540.00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18"/>
              <w:jc w:val="right"/>
              <w:rPr>
                <w:rFonts w:ascii="Times New Roman" w:hAnsi="Times New Roman" w:cs="Times New Roman" w:eastAsia="Times New Roman" w:hint="default"/>
                <w:sz w:val="24"/>
                <w:szCs w:val="24"/>
              </w:rPr>
            </w:pPr>
            <w:r>
              <w:rPr>
                <w:rFonts w:ascii="Times New Roman"/>
                <w:spacing w:val="-1"/>
                <w:sz w:val="24"/>
              </w:rPr>
              <w:t>-1,588,540.00</w:t>
            </w:r>
          </w:p>
        </w:tc>
        <w:tc>
          <w:tcPr>
            <w:tcW w:w="156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贵州泰豪电力科技有限公司</w:t>
            </w:r>
            <w:r>
              <w:rPr>
                <w:rFonts w:ascii="宋体" w:hAnsi="宋体" w:cs="宋体" w:eastAsia="宋体" w:hint="default"/>
                <w:sz w:val="22"/>
                <w:szCs w:val="22"/>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同一股东</w:t>
            </w:r>
            <w:r>
              <w:rPr>
                <w:rFonts w:ascii="宋体" w:hAnsi="宋体" w:cs="宋体" w:eastAsia="宋体" w:hint="default"/>
                <w:sz w:val="22"/>
                <w:szCs w:val="22"/>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19"/>
              <w:jc w:val="right"/>
              <w:rPr>
                <w:rFonts w:ascii="Times New Roman" w:hAnsi="Times New Roman" w:cs="Times New Roman" w:eastAsia="Times New Roman" w:hint="default"/>
                <w:sz w:val="24"/>
                <w:szCs w:val="24"/>
              </w:rPr>
            </w:pPr>
            <w:r>
              <w:rPr>
                <w:rFonts w:ascii="Times New Roman"/>
                <w:sz w:val="24"/>
              </w:rPr>
              <w:t>1,288,701.95</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18"/>
              <w:jc w:val="right"/>
              <w:rPr>
                <w:rFonts w:ascii="Times New Roman" w:hAnsi="Times New Roman" w:cs="Times New Roman" w:eastAsia="Times New Roman" w:hint="default"/>
                <w:sz w:val="24"/>
                <w:szCs w:val="24"/>
              </w:rPr>
            </w:pPr>
            <w:r>
              <w:rPr>
                <w:rFonts w:ascii="Times New Roman"/>
                <w:spacing w:val="-1"/>
                <w:sz w:val="24"/>
              </w:rPr>
              <w:t>-1,288,701.95</w:t>
            </w:r>
          </w:p>
        </w:tc>
        <w:tc>
          <w:tcPr>
            <w:tcW w:w="156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江西泰达空调电器有限公司</w:t>
            </w:r>
            <w:r>
              <w:rPr>
                <w:rFonts w:ascii="宋体" w:hAnsi="宋体" w:cs="宋体" w:eastAsia="宋体" w:hint="default"/>
                <w:sz w:val="22"/>
                <w:szCs w:val="22"/>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同一股东</w:t>
            </w:r>
            <w:r>
              <w:rPr>
                <w:rFonts w:ascii="宋体" w:hAnsi="宋体" w:cs="宋体" w:eastAsia="宋体" w:hint="default"/>
                <w:sz w:val="22"/>
                <w:szCs w:val="22"/>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19"/>
              <w:jc w:val="right"/>
              <w:rPr>
                <w:rFonts w:ascii="Times New Roman" w:hAnsi="Times New Roman" w:cs="Times New Roman" w:eastAsia="Times New Roman" w:hint="default"/>
                <w:sz w:val="24"/>
                <w:szCs w:val="24"/>
              </w:rPr>
            </w:pPr>
            <w:r>
              <w:rPr>
                <w:rFonts w:ascii="Times New Roman"/>
                <w:sz w:val="24"/>
              </w:rPr>
              <w:t>529,885.00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18"/>
              <w:jc w:val="right"/>
              <w:rPr>
                <w:rFonts w:ascii="Times New Roman" w:hAnsi="Times New Roman" w:cs="Times New Roman" w:eastAsia="Times New Roman" w:hint="default"/>
                <w:sz w:val="24"/>
                <w:szCs w:val="24"/>
              </w:rPr>
            </w:pPr>
            <w:r>
              <w:rPr>
                <w:rFonts w:ascii="Times New Roman"/>
                <w:spacing w:val="-1"/>
                <w:sz w:val="24"/>
              </w:rPr>
              <w:t>-529,885.00</w:t>
            </w:r>
          </w:p>
        </w:tc>
        <w:tc>
          <w:tcPr>
            <w:tcW w:w="156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贵州泰豪电力科技有限公司</w:t>
            </w:r>
            <w:r>
              <w:rPr>
                <w:rFonts w:ascii="宋体" w:hAnsi="宋体" w:cs="宋体" w:eastAsia="宋体" w:hint="default"/>
                <w:sz w:val="22"/>
                <w:szCs w:val="22"/>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同一股东</w:t>
            </w:r>
            <w:r>
              <w:rPr>
                <w:rFonts w:ascii="宋体" w:hAnsi="宋体" w:cs="宋体" w:eastAsia="宋体" w:hint="default"/>
                <w:sz w:val="22"/>
                <w:szCs w:val="22"/>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19"/>
              <w:jc w:val="right"/>
              <w:rPr>
                <w:rFonts w:ascii="Times New Roman" w:hAnsi="Times New Roman" w:cs="Times New Roman" w:eastAsia="Times New Roman" w:hint="default"/>
                <w:sz w:val="24"/>
                <w:szCs w:val="24"/>
              </w:rPr>
            </w:pPr>
            <w:r>
              <w:rPr>
                <w:rFonts w:ascii="Times New Roman"/>
                <w:sz w:val="24"/>
              </w:rPr>
              <w:t>6,239,614.65</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18"/>
              <w:jc w:val="right"/>
              <w:rPr>
                <w:rFonts w:ascii="Times New Roman" w:hAnsi="Times New Roman" w:cs="Times New Roman" w:eastAsia="Times New Roman" w:hint="default"/>
                <w:sz w:val="24"/>
                <w:szCs w:val="24"/>
              </w:rPr>
            </w:pPr>
            <w:r>
              <w:rPr>
                <w:rFonts w:ascii="Times New Roman"/>
                <w:spacing w:val="-1"/>
                <w:sz w:val="24"/>
              </w:rPr>
              <w:t>-6,239,614.65</w:t>
            </w:r>
          </w:p>
        </w:tc>
        <w:tc>
          <w:tcPr>
            <w:tcW w:w="156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562"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 w:right="0"/>
              <w:jc w:val="left"/>
              <w:rPr>
                <w:rFonts w:ascii="宋体" w:hAnsi="宋体" w:cs="宋体" w:eastAsia="宋体" w:hint="default"/>
                <w:sz w:val="22"/>
                <w:szCs w:val="22"/>
              </w:rPr>
            </w:pPr>
            <w:r>
              <w:rPr>
                <w:rFonts w:ascii="宋体" w:hAnsi="宋体" w:cs="宋体" w:eastAsia="宋体" w:hint="default"/>
                <w:sz w:val="22"/>
                <w:szCs w:val="22"/>
              </w:rPr>
              <w:t>泰豪沈阳电机有限公司</w:t>
            </w:r>
            <w:r>
              <w:rPr>
                <w:rFonts w:ascii="宋体" w:hAnsi="宋体" w:cs="宋体" w:eastAsia="宋体" w:hint="default"/>
                <w:sz w:val="22"/>
                <w:szCs w:val="22"/>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 w:right="0"/>
              <w:jc w:val="left"/>
              <w:rPr>
                <w:rFonts w:ascii="宋体" w:hAnsi="宋体" w:cs="宋体" w:eastAsia="宋体" w:hint="default"/>
                <w:sz w:val="22"/>
                <w:szCs w:val="22"/>
              </w:rPr>
            </w:pPr>
            <w:r>
              <w:rPr>
                <w:rFonts w:ascii="宋体" w:hAnsi="宋体" w:cs="宋体" w:eastAsia="宋体" w:hint="default"/>
                <w:sz w:val="22"/>
                <w:szCs w:val="22"/>
              </w:rPr>
              <w:t>其他</w:t>
            </w:r>
            <w:r>
              <w:rPr>
                <w:rFonts w:ascii="宋体" w:hAnsi="宋体" w:cs="宋体" w:eastAsia="宋体" w:hint="default"/>
                <w:sz w:val="22"/>
                <w:szCs w:val="22"/>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19"/>
              <w:jc w:val="right"/>
              <w:rPr>
                <w:rFonts w:ascii="Times New Roman" w:hAnsi="Times New Roman" w:cs="Times New Roman" w:eastAsia="Times New Roman" w:hint="default"/>
                <w:sz w:val="24"/>
                <w:szCs w:val="24"/>
              </w:rPr>
            </w:pPr>
            <w:r>
              <w:rPr>
                <w:rFonts w:ascii="Times New Roman"/>
                <w:sz w:val="24"/>
              </w:rPr>
              <w:t>65,000,000.0</w:t>
            </w:r>
          </w:p>
          <w:p>
            <w:pPr>
              <w:pStyle w:val="TableParagraph"/>
              <w:spacing w:line="240" w:lineRule="auto"/>
              <w:ind w:right="119"/>
              <w:jc w:val="right"/>
              <w:rPr>
                <w:rFonts w:ascii="Times New Roman" w:hAnsi="Times New Roman" w:cs="Times New Roman" w:eastAsia="Times New Roman" w:hint="default"/>
                <w:sz w:val="24"/>
                <w:szCs w:val="24"/>
              </w:rPr>
            </w:pPr>
            <w:r>
              <w:rPr>
                <w:rFonts w:ascii="Times New Roman"/>
                <w:sz w:val="24"/>
              </w:rPr>
              <w:t>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18"/>
              <w:jc w:val="right"/>
              <w:rPr>
                <w:rFonts w:ascii="Times New Roman" w:hAnsi="Times New Roman" w:cs="Times New Roman" w:eastAsia="Times New Roman" w:hint="default"/>
                <w:sz w:val="24"/>
                <w:szCs w:val="24"/>
              </w:rPr>
            </w:pPr>
            <w:r>
              <w:rPr>
                <w:rFonts w:ascii="Times New Roman"/>
                <w:spacing w:val="-1"/>
                <w:sz w:val="24"/>
              </w:rPr>
              <w:t>-9,954.07</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19"/>
              <w:jc w:val="right"/>
              <w:rPr>
                <w:rFonts w:ascii="Times New Roman" w:hAnsi="Times New Roman" w:cs="Times New Roman" w:eastAsia="Times New Roman" w:hint="default"/>
                <w:sz w:val="24"/>
                <w:szCs w:val="24"/>
              </w:rPr>
            </w:pPr>
            <w:r>
              <w:rPr>
                <w:rFonts w:ascii="Times New Roman"/>
                <w:sz w:val="24"/>
              </w:rPr>
              <w:t>64,990,045.93</w:t>
            </w:r>
          </w:p>
        </w:tc>
        <w:tc>
          <w:tcPr>
            <w:tcW w:w="142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南昌</w:t>
            </w:r>
            <w:r>
              <w:rPr>
                <w:rFonts w:ascii="宋体" w:hAnsi="宋体" w:cs="宋体" w:eastAsia="宋体" w:hint="default"/>
                <w:sz w:val="22"/>
                <w:szCs w:val="22"/>
              </w:rPr>
              <w:t>ABB</w:t>
            </w:r>
            <w:r>
              <w:rPr>
                <w:rFonts w:ascii="宋体" w:hAnsi="宋体" w:cs="宋体" w:eastAsia="宋体" w:hint="default"/>
                <w:sz w:val="22"/>
                <w:szCs w:val="22"/>
              </w:rPr>
              <w:t>发电机有限公司</w:t>
            </w:r>
            <w:r>
              <w:rPr>
                <w:rFonts w:ascii="宋体" w:hAnsi="宋体" w:cs="宋体" w:eastAsia="宋体" w:hint="default"/>
                <w:sz w:val="22"/>
                <w:szCs w:val="22"/>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其他</w:t>
            </w:r>
            <w:r>
              <w:rPr>
                <w:rFonts w:ascii="宋体" w:hAnsi="宋体" w:cs="宋体" w:eastAsia="宋体" w:hint="default"/>
                <w:sz w:val="22"/>
                <w:szCs w:val="22"/>
              </w:rPr>
              <w:t> </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18"/>
              <w:jc w:val="right"/>
              <w:rPr>
                <w:rFonts w:ascii="Times New Roman" w:hAnsi="Times New Roman" w:cs="Times New Roman" w:eastAsia="Times New Roman" w:hint="default"/>
                <w:sz w:val="24"/>
                <w:szCs w:val="24"/>
              </w:rPr>
            </w:pPr>
            <w:r>
              <w:rPr>
                <w:rFonts w:ascii="Times New Roman"/>
                <w:sz w:val="24"/>
              </w:rPr>
              <w:t>224,100.00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19"/>
              <w:jc w:val="right"/>
              <w:rPr>
                <w:rFonts w:ascii="Times New Roman" w:hAnsi="Times New Roman" w:cs="Times New Roman" w:eastAsia="Times New Roman" w:hint="default"/>
                <w:sz w:val="24"/>
                <w:szCs w:val="24"/>
              </w:rPr>
            </w:pPr>
            <w:r>
              <w:rPr>
                <w:rFonts w:ascii="Times New Roman"/>
                <w:sz w:val="24"/>
              </w:rPr>
              <w:t>224,100.00</w:t>
            </w:r>
          </w:p>
        </w:tc>
        <w:tc>
          <w:tcPr>
            <w:tcW w:w="142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黑龙江中能电力设计有限公司</w:t>
            </w:r>
            <w:r>
              <w:rPr>
                <w:rFonts w:ascii="宋体" w:hAnsi="宋体" w:cs="宋体" w:eastAsia="宋体" w:hint="default"/>
                <w:sz w:val="22"/>
                <w:szCs w:val="22"/>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其他</w:t>
            </w:r>
            <w:r>
              <w:rPr>
                <w:rFonts w:ascii="宋体" w:hAnsi="宋体" w:cs="宋体" w:eastAsia="宋体" w:hint="default"/>
                <w:sz w:val="22"/>
                <w:szCs w:val="22"/>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19"/>
              <w:jc w:val="right"/>
              <w:rPr>
                <w:rFonts w:ascii="Times New Roman" w:hAnsi="Times New Roman" w:cs="Times New Roman" w:eastAsia="Times New Roman" w:hint="default"/>
                <w:sz w:val="24"/>
                <w:szCs w:val="24"/>
              </w:rPr>
            </w:pPr>
            <w:r>
              <w:rPr>
                <w:rFonts w:ascii="Times New Roman"/>
                <w:sz w:val="24"/>
              </w:rPr>
              <w:t>5,952,582.26</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18"/>
              <w:jc w:val="right"/>
              <w:rPr>
                <w:rFonts w:ascii="Times New Roman" w:hAnsi="Times New Roman" w:cs="Times New Roman" w:eastAsia="Times New Roman" w:hint="default"/>
                <w:sz w:val="24"/>
                <w:szCs w:val="24"/>
              </w:rPr>
            </w:pPr>
            <w:r>
              <w:rPr>
                <w:rFonts w:ascii="Times New Roman"/>
                <w:spacing w:val="-1"/>
                <w:sz w:val="24"/>
              </w:rPr>
              <w:t>-5,952,582.26</w:t>
            </w:r>
          </w:p>
        </w:tc>
        <w:tc>
          <w:tcPr>
            <w:tcW w:w="156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同方股份有限公司</w:t>
            </w:r>
            <w:r>
              <w:rPr>
                <w:rFonts w:ascii="宋体" w:hAnsi="宋体" w:cs="宋体" w:eastAsia="宋体" w:hint="default"/>
                <w:sz w:val="22"/>
                <w:szCs w:val="22"/>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公司股东</w:t>
            </w:r>
            <w:r>
              <w:rPr>
                <w:rFonts w:ascii="宋体" w:hAnsi="宋体" w:cs="宋体" w:eastAsia="宋体" w:hint="default"/>
                <w:sz w:val="22"/>
                <w:szCs w:val="22"/>
              </w:rPr>
              <w:t> </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19"/>
              <w:jc w:val="right"/>
              <w:rPr>
                <w:rFonts w:ascii="Times New Roman" w:hAnsi="Times New Roman" w:cs="Times New Roman" w:eastAsia="Times New Roman" w:hint="default"/>
                <w:sz w:val="24"/>
                <w:szCs w:val="24"/>
              </w:rPr>
            </w:pPr>
            <w:r>
              <w:rPr>
                <w:rFonts w:ascii="Times New Roman"/>
                <w:sz w:val="24"/>
              </w:rPr>
              <w:t>41,801.00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18"/>
              <w:jc w:val="right"/>
              <w:rPr>
                <w:rFonts w:ascii="Times New Roman" w:hAnsi="Times New Roman" w:cs="Times New Roman" w:eastAsia="Times New Roman" w:hint="default"/>
                <w:sz w:val="24"/>
                <w:szCs w:val="24"/>
              </w:rPr>
            </w:pPr>
            <w:r>
              <w:rPr>
                <w:rFonts w:ascii="Times New Roman"/>
                <w:sz w:val="24"/>
              </w:rPr>
              <w:t>41,801.00</w:t>
            </w:r>
          </w:p>
        </w:tc>
      </w:tr>
      <w:tr>
        <w:trPr>
          <w:trHeight w:val="296"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2"/>
                <w:szCs w:val="22"/>
              </w:rPr>
            </w:pPr>
            <w:r>
              <w:rPr>
                <w:rFonts w:ascii="宋体" w:hAnsi="宋体" w:cs="宋体" w:eastAsia="宋体" w:hint="default"/>
                <w:sz w:val="22"/>
                <w:szCs w:val="22"/>
              </w:rPr>
              <w:t>景德镇同方科技建设有限公司</w:t>
            </w:r>
            <w:r>
              <w:rPr>
                <w:rFonts w:ascii="宋体" w:hAnsi="宋体" w:cs="宋体" w:eastAsia="宋体" w:hint="default"/>
                <w:sz w:val="22"/>
                <w:szCs w:val="22"/>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2"/>
                <w:szCs w:val="22"/>
              </w:rPr>
            </w:pPr>
            <w:r>
              <w:rPr>
                <w:rFonts w:ascii="宋体" w:hAnsi="宋体" w:cs="宋体" w:eastAsia="宋体" w:hint="default"/>
                <w:sz w:val="22"/>
                <w:szCs w:val="22"/>
              </w:rPr>
              <w:t>同一股东</w:t>
            </w:r>
            <w:r>
              <w:rPr>
                <w:rFonts w:ascii="宋体" w:hAnsi="宋体" w:cs="宋体" w:eastAsia="宋体" w:hint="default"/>
                <w:sz w:val="22"/>
                <w:szCs w:val="22"/>
              </w:rPr>
              <w:t> </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18"/>
              <w:jc w:val="right"/>
              <w:rPr>
                <w:rFonts w:ascii="Times New Roman" w:hAnsi="Times New Roman" w:cs="Times New Roman" w:eastAsia="Times New Roman" w:hint="default"/>
                <w:sz w:val="24"/>
                <w:szCs w:val="24"/>
              </w:rPr>
            </w:pPr>
            <w:r>
              <w:rPr>
                <w:rFonts w:ascii="Times New Roman"/>
                <w:sz w:val="24"/>
              </w:rPr>
              <w:t>98,684.00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19"/>
              <w:jc w:val="right"/>
              <w:rPr>
                <w:rFonts w:ascii="Times New Roman" w:hAnsi="Times New Roman" w:cs="Times New Roman" w:eastAsia="Times New Roman" w:hint="default"/>
                <w:sz w:val="24"/>
                <w:szCs w:val="24"/>
              </w:rPr>
            </w:pPr>
            <w:r>
              <w:rPr>
                <w:rFonts w:ascii="Times New Roman"/>
                <w:sz w:val="24"/>
              </w:rPr>
              <w:t>10,500.00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18"/>
              <w:jc w:val="right"/>
              <w:rPr>
                <w:rFonts w:ascii="Times New Roman" w:hAnsi="Times New Roman" w:cs="Times New Roman" w:eastAsia="Times New Roman" w:hint="default"/>
                <w:sz w:val="24"/>
                <w:szCs w:val="24"/>
              </w:rPr>
            </w:pPr>
            <w:r>
              <w:rPr>
                <w:rFonts w:ascii="Times New Roman"/>
                <w:sz w:val="24"/>
              </w:rPr>
              <w:t>109,184.00</w:t>
            </w:r>
          </w:p>
        </w:tc>
      </w:tr>
      <w:tr>
        <w:trPr>
          <w:trHeight w:val="295"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同方环境股份有限公司</w:t>
            </w:r>
            <w:r>
              <w:rPr>
                <w:rFonts w:ascii="宋体" w:hAnsi="宋体" w:cs="宋体" w:eastAsia="宋体" w:hint="default"/>
                <w:sz w:val="22"/>
                <w:szCs w:val="22"/>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同一股东</w:t>
            </w:r>
            <w:r>
              <w:rPr>
                <w:rFonts w:ascii="宋体" w:hAnsi="宋体" w:cs="宋体" w:eastAsia="宋体" w:hint="default"/>
                <w:sz w:val="22"/>
                <w:szCs w:val="22"/>
              </w:rPr>
              <w:t> </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18"/>
              <w:jc w:val="right"/>
              <w:rPr>
                <w:rFonts w:ascii="Times New Roman" w:hAnsi="Times New Roman" w:cs="Times New Roman" w:eastAsia="Times New Roman" w:hint="default"/>
                <w:sz w:val="24"/>
                <w:szCs w:val="24"/>
              </w:rPr>
            </w:pPr>
            <w:r>
              <w:rPr>
                <w:rFonts w:ascii="Times New Roman"/>
                <w:sz w:val="24"/>
              </w:rPr>
              <w:t>9,692.30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19"/>
              <w:jc w:val="right"/>
              <w:rPr>
                <w:rFonts w:ascii="Times New Roman" w:hAnsi="Times New Roman" w:cs="Times New Roman" w:eastAsia="Times New Roman" w:hint="default"/>
                <w:sz w:val="24"/>
                <w:szCs w:val="24"/>
              </w:rPr>
            </w:pPr>
            <w:r>
              <w:rPr>
                <w:rFonts w:ascii="Times New Roman"/>
                <w:spacing w:val="-1"/>
                <w:sz w:val="24"/>
              </w:rPr>
              <w:t>-9,692.30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康富科技有限公司</w:t>
            </w:r>
            <w:r>
              <w:rPr>
                <w:rFonts w:ascii="宋体" w:hAnsi="宋体" w:cs="宋体" w:eastAsia="宋体" w:hint="default"/>
                <w:sz w:val="22"/>
                <w:szCs w:val="22"/>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2"/>
                <w:szCs w:val="22"/>
              </w:rPr>
            </w:pPr>
            <w:r>
              <w:rPr>
                <w:rFonts w:ascii="宋体" w:hAnsi="宋体" w:cs="宋体" w:eastAsia="宋体" w:hint="default"/>
                <w:sz w:val="22"/>
                <w:szCs w:val="22"/>
              </w:rPr>
              <w:t>同一股东</w:t>
            </w:r>
            <w:r>
              <w:rPr>
                <w:rFonts w:ascii="宋体" w:hAnsi="宋体" w:cs="宋体" w:eastAsia="宋体" w:hint="default"/>
                <w:sz w:val="22"/>
                <w:szCs w:val="22"/>
              </w:rPr>
              <w:t> </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19"/>
              <w:jc w:val="right"/>
              <w:rPr>
                <w:rFonts w:ascii="Times New Roman" w:hAnsi="Times New Roman" w:cs="Times New Roman" w:eastAsia="Times New Roman" w:hint="default"/>
                <w:sz w:val="24"/>
                <w:szCs w:val="24"/>
              </w:rPr>
            </w:pPr>
            <w:r>
              <w:rPr>
                <w:rFonts w:ascii="Times New Roman"/>
                <w:sz w:val="24"/>
              </w:rPr>
              <w:t>3,605,314.67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18"/>
              <w:jc w:val="right"/>
              <w:rPr>
                <w:rFonts w:ascii="Times New Roman" w:hAnsi="Times New Roman" w:cs="Times New Roman" w:eastAsia="Times New Roman" w:hint="default"/>
                <w:sz w:val="24"/>
                <w:szCs w:val="24"/>
              </w:rPr>
            </w:pPr>
            <w:r>
              <w:rPr>
                <w:rFonts w:ascii="Times New Roman"/>
                <w:sz w:val="24"/>
              </w:rPr>
              <w:t>3,605,314.67</w:t>
            </w:r>
          </w:p>
        </w:tc>
      </w:tr>
    </w:tbl>
    <w:p>
      <w:pPr>
        <w:spacing w:after="0" w:line="275" w:lineRule="exact"/>
        <w:jc w:val="right"/>
        <w:rPr>
          <w:rFonts w:ascii="Times New Roman" w:hAnsi="Times New Roman" w:cs="Times New Roman" w:eastAsia="Times New Roman" w:hint="default"/>
          <w:sz w:val="24"/>
          <w:szCs w:val="24"/>
        </w:rPr>
        <w:sectPr>
          <w:type w:val="continuous"/>
          <w:pgSz w:w="16840" w:h="11910" w:orient="landscape"/>
          <w:pgMar w:top="1120" w:bottom="1380" w:left="940" w:right="86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4126"/>
        <w:gridCol w:w="1287"/>
        <w:gridCol w:w="1421"/>
        <w:gridCol w:w="1568"/>
        <w:gridCol w:w="1567"/>
        <w:gridCol w:w="1426"/>
        <w:gridCol w:w="1709"/>
        <w:gridCol w:w="1709"/>
      </w:tblGrid>
      <w:tr>
        <w:trPr>
          <w:trHeight w:val="322"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2"/>
                <w:szCs w:val="22"/>
              </w:rPr>
            </w:pPr>
            <w:r>
              <w:rPr>
                <w:rFonts w:ascii="宋体" w:hAnsi="宋体" w:cs="宋体" w:eastAsia="宋体" w:hint="default"/>
                <w:sz w:val="24"/>
                <w:szCs w:val="24"/>
              </w:rPr>
              <w:t>济南吉美乐电源技术有限公司</w:t>
            </w:r>
            <w:r>
              <w:rPr>
                <w:rFonts w:ascii="宋体" w:hAnsi="宋体" w:cs="宋体" w:eastAsia="宋体" w:hint="default"/>
                <w:w w:val="100"/>
                <w:sz w:val="22"/>
                <w:szCs w:val="22"/>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2"/>
                <w:szCs w:val="22"/>
              </w:rPr>
            </w:pPr>
            <w:r>
              <w:rPr>
                <w:rFonts w:ascii="宋体" w:hAnsi="宋体" w:cs="宋体" w:eastAsia="宋体" w:hint="default"/>
                <w:sz w:val="22"/>
                <w:szCs w:val="22"/>
              </w:rPr>
              <w:t>其他</w:t>
            </w:r>
            <w:r>
              <w:rPr>
                <w:rFonts w:ascii="宋体" w:hAnsi="宋体" w:cs="宋体" w:eastAsia="宋体" w:hint="default"/>
                <w:sz w:val="22"/>
                <w:szCs w:val="22"/>
              </w:rPr>
              <w:t> </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39" w:right="0"/>
              <w:jc w:val="left"/>
              <w:rPr>
                <w:rFonts w:ascii="宋体" w:hAnsi="宋体" w:cs="宋体" w:eastAsia="宋体" w:hint="default"/>
                <w:sz w:val="24"/>
                <w:szCs w:val="24"/>
              </w:rPr>
            </w:pPr>
            <w:r>
              <w:rPr>
                <w:rFonts w:ascii="宋体"/>
                <w:sz w:val="24"/>
              </w:rPr>
              <w:t>8,084,357.82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39" w:right="0"/>
              <w:jc w:val="left"/>
              <w:rPr>
                <w:rFonts w:ascii="宋体" w:hAnsi="宋体" w:cs="宋体" w:eastAsia="宋体" w:hint="default"/>
                <w:sz w:val="24"/>
                <w:szCs w:val="24"/>
              </w:rPr>
            </w:pPr>
            <w:r>
              <w:rPr>
                <w:rFonts w:ascii="宋体"/>
                <w:sz w:val="24"/>
              </w:rPr>
              <w:t>8,084,357.82</w:t>
            </w:r>
          </w:p>
        </w:tc>
      </w:tr>
      <w:tr>
        <w:trPr>
          <w:trHeight w:val="295"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江西泰达空调电器有限公司</w:t>
            </w:r>
            <w:r>
              <w:rPr>
                <w:rFonts w:ascii="宋体" w:hAnsi="宋体" w:cs="宋体" w:eastAsia="宋体" w:hint="default"/>
                <w:sz w:val="22"/>
                <w:szCs w:val="22"/>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同一股东</w:t>
            </w:r>
            <w:r>
              <w:rPr>
                <w:rFonts w:ascii="宋体" w:hAnsi="宋体" w:cs="宋体" w:eastAsia="宋体" w:hint="default"/>
                <w:sz w:val="22"/>
                <w:szCs w:val="22"/>
              </w:rPr>
              <w:t> </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99" w:right="0"/>
              <w:jc w:val="left"/>
              <w:rPr>
                <w:rFonts w:ascii="Times New Roman" w:hAnsi="Times New Roman" w:cs="Times New Roman" w:eastAsia="Times New Roman" w:hint="default"/>
                <w:sz w:val="24"/>
                <w:szCs w:val="24"/>
              </w:rPr>
            </w:pPr>
            <w:r>
              <w:rPr>
                <w:rFonts w:ascii="Times New Roman"/>
                <w:sz w:val="24"/>
              </w:rPr>
              <w:t>295,900.00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18"/>
              <w:jc w:val="right"/>
              <w:rPr>
                <w:rFonts w:ascii="Times New Roman" w:hAnsi="Times New Roman" w:cs="Times New Roman" w:eastAsia="Times New Roman" w:hint="default"/>
                <w:sz w:val="24"/>
                <w:szCs w:val="24"/>
              </w:rPr>
            </w:pPr>
            <w:r>
              <w:rPr>
                <w:rFonts w:ascii="Times New Roman"/>
                <w:sz w:val="24"/>
              </w:rPr>
              <w:t>295,900.00</w:t>
            </w:r>
          </w:p>
        </w:tc>
      </w:tr>
      <w:tr>
        <w:trPr>
          <w:trHeight w:val="295"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贵州万华科技有限公司</w:t>
            </w:r>
            <w:r>
              <w:rPr>
                <w:rFonts w:ascii="宋体" w:hAnsi="宋体" w:cs="宋体" w:eastAsia="宋体" w:hint="default"/>
                <w:sz w:val="22"/>
                <w:szCs w:val="22"/>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同一股东</w:t>
            </w:r>
            <w:r>
              <w:rPr>
                <w:rFonts w:ascii="宋体" w:hAnsi="宋体" w:cs="宋体" w:eastAsia="宋体" w:hint="default"/>
                <w:sz w:val="22"/>
                <w:szCs w:val="22"/>
              </w:rPr>
              <w:t> </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18"/>
              <w:jc w:val="right"/>
              <w:rPr>
                <w:rFonts w:ascii="Times New Roman" w:hAnsi="Times New Roman" w:cs="Times New Roman" w:eastAsia="Times New Roman" w:hint="default"/>
                <w:sz w:val="24"/>
                <w:szCs w:val="24"/>
              </w:rPr>
            </w:pPr>
            <w:r>
              <w:rPr>
                <w:rFonts w:ascii="Times New Roman"/>
                <w:sz w:val="24"/>
              </w:rPr>
              <w:t>174,899.18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20" w:right="0"/>
              <w:jc w:val="left"/>
              <w:rPr>
                <w:rFonts w:ascii="Times New Roman" w:hAnsi="Times New Roman" w:cs="Times New Roman" w:eastAsia="Times New Roman" w:hint="default"/>
                <w:sz w:val="24"/>
                <w:szCs w:val="24"/>
              </w:rPr>
            </w:pPr>
            <w:r>
              <w:rPr>
                <w:rFonts w:ascii="Times New Roman"/>
                <w:sz w:val="24"/>
              </w:rPr>
              <w:t>-150,000.00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18"/>
              <w:jc w:val="right"/>
              <w:rPr>
                <w:rFonts w:ascii="Times New Roman" w:hAnsi="Times New Roman" w:cs="Times New Roman" w:eastAsia="Times New Roman" w:hint="default"/>
                <w:sz w:val="24"/>
                <w:szCs w:val="24"/>
              </w:rPr>
            </w:pPr>
            <w:r>
              <w:rPr>
                <w:rFonts w:ascii="Times New Roman"/>
                <w:sz w:val="24"/>
              </w:rPr>
              <w:t>24,899.18</w:t>
            </w:r>
          </w:p>
        </w:tc>
      </w:tr>
      <w:tr>
        <w:trPr>
          <w:trHeight w:val="295"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江西泰豪集通技术有限公司</w:t>
            </w:r>
            <w:r>
              <w:rPr>
                <w:rFonts w:ascii="宋体" w:hAnsi="宋体" w:cs="宋体" w:eastAsia="宋体" w:hint="default"/>
                <w:sz w:val="22"/>
                <w:szCs w:val="22"/>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同一股东</w:t>
            </w:r>
            <w:r>
              <w:rPr>
                <w:rFonts w:ascii="宋体" w:hAnsi="宋体" w:cs="宋体" w:eastAsia="宋体" w:hint="default"/>
                <w:sz w:val="22"/>
                <w:szCs w:val="22"/>
              </w:rPr>
              <w:t> </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18"/>
              <w:jc w:val="right"/>
              <w:rPr>
                <w:rFonts w:ascii="Times New Roman" w:hAnsi="Times New Roman" w:cs="Times New Roman" w:eastAsia="Times New Roman" w:hint="default"/>
                <w:sz w:val="24"/>
                <w:szCs w:val="24"/>
              </w:rPr>
            </w:pPr>
            <w:r>
              <w:rPr>
                <w:rFonts w:ascii="Times New Roman"/>
                <w:sz w:val="24"/>
              </w:rPr>
              <w:t>5,981.07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660" w:right="0"/>
              <w:jc w:val="left"/>
              <w:rPr>
                <w:rFonts w:ascii="Times New Roman" w:hAnsi="Times New Roman" w:cs="Times New Roman" w:eastAsia="Times New Roman" w:hint="default"/>
                <w:sz w:val="24"/>
                <w:szCs w:val="24"/>
              </w:rPr>
            </w:pPr>
            <w:r>
              <w:rPr>
                <w:rFonts w:ascii="Times New Roman"/>
                <w:sz w:val="24"/>
              </w:rPr>
              <w:t>-5,981.07</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泰豪信息技术有限公司</w:t>
            </w:r>
            <w:r>
              <w:rPr>
                <w:rFonts w:ascii="宋体" w:hAnsi="宋体" w:cs="宋体" w:eastAsia="宋体" w:hint="default"/>
                <w:sz w:val="22"/>
                <w:szCs w:val="22"/>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同一股东</w:t>
            </w:r>
            <w:r>
              <w:rPr>
                <w:rFonts w:ascii="宋体" w:hAnsi="宋体" w:cs="宋体" w:eastAsia="宋体" w:hint="default"/>
                <w:sz w:val="22"/>
                <w:szCs w:val="22"/>
              </w:rPr>
              <w:t> </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619" w:right="0"/>
              <w:jc w:val="left"/>
              <w:rPr>
                <w:rFonts w:ascii="Times New Roman" w:hAnsi="Times New Roman" w:cs="Times New Roman" w:eastAsia="Times New Roman" w:hint="default"/>
                <w:sz w:val="24"/>
                <w:szCs w:val="24"/>
              </w:rPr>
            </w:pPr>
            <w:r>
              <w:rPr>
                <w:rFonts w:ascii="Times New Roman"/>
                <w:sz w:val="24"/>
              </w:rPr>
              <w:t>16,419.00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18"/>
              <w:jc w:val="right"/>
              <w:rPr>
                <w:rFonts w:ascii="Times New Roman" w:hAnsi="Times New Roman" w:cs="Times New Roman" w:eastAsia="Times New Roman" w:hint="default"/>
                <w:sz w:val="24"/>
                <w:szCs w:val="24"/>
              </w:rPr>
            </w:pPr>
            <w:r>
              <w:rPr>
                <w:rFonts w:ascii="Times New Roman"/>
                <w:sz w:val="24"/>
              </w:rPr>
              <w:t>16,419.00</w:t>
            </w:r>
          </w:p>
        </w:tc>
      </w:tr>
      <w:tr>
        <w:trPr>
          <w:trHeight w:val="295"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福州德塔动力设备有限公司</w:t>
            </w:r>
            <w:r>
              <w:rPr>
                <w:rFonts w:ascii="宋体" w:hAnsi="宋体" w:cs="宋体" w:eastAsia="宋体" w:hint="default"/>
                <w:sz w:val="22"/>
                <w:szCs w:val="22"/>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联营公司</w:t>
            </w:r>
            <w:r>
              <w:rPr>
                <w:rFonts w:ascii="宋体" w:hAnsi="宋体" w:cs="宋体" w:eastAsia="宋体" w:hint="default"/>
                <w:sz w:val="22"/>
                <w:szCs w:val="22"/>
              </w:rPr>
              <w:t> </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19" w:right="0"/>
              <w:jc w:val="left"/>
              <w:rPr>
                <w:rFonts w:ascii="Times New Roman" w:hAnsi="Times New Roman" w:cs="Times New Roman" w:eastAsia="Times New Roman" w:hint="default"/>
                <w:sz w:val="24"/>
                <w:szCs w:val="24"/>
              </w:rPr>
            </w:pPr>
            <w:r>
              <w:rPr>
                <w:rFonts w:ascii="Times New Roman"/>
                <w:sz w:val="24"/>
              </w:rPr>
              <w:t>1,374,235.71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19" w:right="0"/>
              <w:jc w:val="left"/>
              <w:rPr>
                <w:rFonts w:ascii="Times New Roman" w:hAnsi="Times New Roman" w:cs="Times New Roman" w:eastAsia="Times New Roman" w:hint="default"/>
                <w:sz w:val="24"/>
                <w:szCs w:val="24"/>
              </w:rPr>
            </w:pPr>
            <w:r>
              <w:rPr>
                <w:rFonts w:ascii="Times New Roman"/>
                <w:sz w:val="24"/>
              </w:rPr>
              <w:t>1,374,235.71</w:t>
            </w:r>
          </w:p>
        </w:tc>
      </w:tr>
      <w:tr>
        <w:trPr>
          <w:trHeight w:val="295"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37"/>
              <w:jc w:val="left"/>
              <w:rPr>
                <w:rFonts w:ascii="宋体" w:hAnsi="宋体" w:cs="宋体" w:eastAsia="宋体" w:hint="default"/>
                <w:sz w:val="22"/>
                <w:szCs w:val="22"/>
              </w:rPr>
            </w:pPr>
            <w:r>
              <w:rPr>
                <w:rFonts w:ascii="宋体" w:hAnsi="宋体" w:cs="宋体" w:eastAsia="宋体" w:hint="default"/>
                <w:spacing w:val="-4"/>
                <w:sz w:val="22"/>
                <w:szCs w:val="22"/>
              </w:rPr>
              <w:t>共青城以琳投资管理合伙企业（有限合伙）</w:t>
            </w:r>
            <w:r>
              <w:rPr>
                <w:rFonts w:ascii="宋体" w:hAnsi="宋体" w:cs="宋体" w:eastAsia="宋体" w:hint="default"/>
                <w:sz w:val="22"/>
                <w:szCs w:val="22"/>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其他</w:t>
            </w:r>
            <w:r>
              <w:rPr>
                <w:rFonts w:ascii="宋体" w:hAnsi="宋体" w:cs="宋体" w:eastAsia="宋体" w:hint="default"/>
                <w:sz w:val="22"/>
                <w:szCs w:val="22"/>
              </w:rPr>
              <w:t> </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9" w:right="0"/>
              <w:jc w:val="left"/>
              <w:rPr>
                <w:rFonts w:ascii="Times New Roman" w:hAnsi="Times New Roman" w:cs="Times New Roman" w:eastAsia="Times New Roman" w:hint="default"/>
                <w:sz w:val="24"/>
                <w:szCs w:val="24"/>
              </w:rPr>
            </w:pPr>
            <w:r>
              <w:rPr>
                <w:rFonts w:ascii="Times New Roman"/>
                <w:sz w:val="24"/>
              </w:rPr>
              <w:t>87,352,650.00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9" w:right="0"/>
              <w:jc w:val="left"/>
              <w:rPr>
                <w:rFonts w:ascii="Times New Roman" w:hAnsi="Times New Roman" w:cs="Times New Roman" w:eastAsia="Times New Roman" w:hint="default"/>
                <w:sz w:val="24"/>
                <w:szCs w:val="24"/>
              </w:rPr>
            </w:pPr>
            <w:r>
              <w:rPr>
                <w:rFonts w:ascii="Times New Roman"/>
                <w:sz w:val="24"/>
              </w:rPr>
              <w:t>87,352,650.00</w:t>
            </w:r>
          </w:p>
        </w:tc>
      </w:tr>
      <w:tr>
        <w:trPr>
          <w:trHeight w:val="295"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南昌</w:t>
            </w:r>
            <w:r>
              <w:rPr>
                <w:rFonts w:ascii="宋体" w:hAnsi="宋体" w:cs="宋体" w:eastAsia="宋体" w:hint="default"/>
                <w:sz w:val="22"/>
                <w:szCs w:val="22"/>
              </w:rPr>
              <w:t>ABB</w:t>
            </w:r>
            <w:r>
              <w:rPr>
                <w:rFonts w:ascii="宋体" w:hAnsi="宋体" w:cs="宋体" w:eastAsia="宋体" w:hint="default"/>
                <w:sz w:val="22"/>
                <w:szCs w:val="22"/>
              </w:rPr>
              <w:t>发电机有限公司</w:t>
            </w:r>
            <w:r>
              <w:rPr>
                <w:rFonts w:ascii="宋体" w:hAnsi="宋体" w:cs="宋体" w:eastAsia="宋体" w:hint="default"/>
                <w:sz w:val="22"/>
                <w:szCs w:val="22"/>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其他</w:t>
            </w:r>
            <w:r>
              <w:rPr>
                <w:rFonts w:ascii="宋体" w:hAnsi="宋体" w:cs="宋体" w:eastAsia="宋体" w:hint="default"/>
                <w:sz w:val="22"/>
                <w:szCs w:val="22"/>
              </w:rPr>
              <w:t> </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18"/>
              <w:jc w:val="right"/>
              <w:rPr>
                <w:rFonts w:ascii="Times New Roman" w:hAnsi="Times New Roman" w:cs="Times New Roman" w:eastAsia="Times New Roman" w:hint="default"/>
                <w:sz w:val="24"/>
                <w:szCs w:val="24"/>
              </w:rPr>
            </w:pPr>
            <w:r>
              <w:rPr>
                <w:rFonts w:ascii="Times New Roman"/>
                <w:sz w:val="24"/>
              </w:rPr>
              <w:t>1,134,033.14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40" w:right="0"/>
              <w:jc w:val="left"/>
              <w:rPr>
                <w:rFonts w:ascii="Times New Roman" w:hAnsi="Times New Roman" w:cs="Times New Roman" w:eastAsia="Times New Roman" w:hint="default"/>
                <w:sz w:val="24"/>
                <w:szCs w:val="24"/>
              </w:rPr>
            </w:pPr>
            <w:r>
              <w:rPr>
                <w:rFonts w:ascii="Times New Roman"/>
                <w:sz w:val="24"/>
              </w:rPr>
              <w:t>-1,134,033.14</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562" w:hRule="exact"/>
        </w:trPr>
        <w:tc>
          <w:tcPr>
            <w:tcW w:w="54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center"/>
              <w:rPr>
                <w:rFonts w:ascii="宋体" w:hAnsi="宋体" w:cs="宋体" w:eastAsia="宋体" w:hint="default"/>
                <w:sz w:val="22"/>
                <w:szCs w:val="22"/>
              </w:rPr>
            </w:pPr>
            <w:r>
              <w:rPr>
                <w:rFonts w:ascii="宋体" w:hAnsi="宋体" w:cs="宋体" w:eastAsia="宋体" w:hint="default"/>
                <w:sz w:val="22"/>
                <w:szCs w:val="22"/>
              </w:rPr>
              <w:t>合计</w:t>
            </w:r>
            <w:r>
              <w:rPr>
                <w:rFonts w:ascii="宋体" w:hAnsi="宋体" w:cs="宋体" w:eastAsia="宋体" w:hint="default"/>
                <w:sz w:val="22"/>
                <w:szCs w:val="22"/>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19"/>
              <w:jc w:val="right"/>
              <w:rPr>
                <w:rFonts w:ascii="Times New Roman" w:hAnsi="Times New Roman" w:cs="Times New Roman" w:eastAsia="Times New Roman" w:hint="default"/>
                <w:sz w:val="24"/>
                <w:szCs w:val="24"/>
              </w:rPr>
            </w:pPr>
            <w:r>
              <w:rPr>
                <w:rFonts w:ascii="Times New Roman"/>
                <w:sz w:val="24"/>
              </w:rPr>
              <w:t>294,458,514.</w:t>
            </w:r>
          </w:p>
          <w:p>
            <w:pPr>
              <w:pStyle w:val="TableParagraph"/>
              <w:spacing w:line="240" w:lineRule="auto"/>
              <w:ind w:right="119"/>
              <w:jc w:val="right"/>
              <w:rPr>
                <w:rFonts w:ascii="Times New Roman" w:hAnsi="Times New Roman" w:cs="Times New Roman" w:eastAsia="Times New Roman" w:hint="default"/>
                <w:sz w:val="24"/>
                <w:szCs w:val="24"/>
              </w:rPr>
            </w:pPr>
            <w:r>
              <w:rPr>
                <w:rFonts w:ascii="Times New Roman"/>
                <w:sz w:val="24"/>
              </w:rPr>
              <w:t>30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18"/>
              <w:jc w:val="right"/>
              <w:rPr>
                <w:rFonts w:ascii="Times New Roman" w:hAnsi="Times New Roman" w:cs="Times New Roman" w:eastAsia="Times New Roman" w:hint="default"/>
                <w:sz w:val="24"/>
                <w:szCs w:val="24"/>
              </w:rPr>
            </w:pPr>
            <w:r>
              <w:rPr>
                <w:rFonts w:ascii="Times New Roman"/>
                <w:spacing w:val="-1"/>
                <w:sz w:val="24"/>
              </w:rPr>
              <w:t>-12,109,386.9</w:t>
            </w:r>
          </w:p>
          <w:p>
            <w:pPr>
              <w:pStyle w:val="TableParagraph"/>
              <w:spacing w:line="240" w:lineRule="auto"/>
              <w:ind w:right="119"/>
              <w:jc w:val="right"/>
              <w:rPr>
                <w:rFonts w:ascii="Times New Roman" w:hAnsi="Times New Roman" w:cs="Times New Roman" w:eastAsia="Times New Roman" w:hint="default"/>
                <w:sz w:val="24"/>
                <w:szCs w:val="24"/>
              </w:rPr>
            </w:pPr>
            <w:r>
              <w:rPr>
                <w:rFonts w:ascii="Times New Roman"/>
                <w:sz w:val="24"/>
              </w:rPr>
              <w:t>2</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19"/>
              <w:jc w:val="right"/>
              <w:rPr>
                <w:rFonts w:ascii="Times New Roman" w:hAnsi="Times New Roman" w:cs="Times New Roman" w:eastAsia="Times New Roman" w:hint="default"/>
                <w:sz w:val="24"/>
                <w:szCs w:val="24"/>
              </w:rPr>
            </w:pPr>
            <w:r>
              <w:rPr>
                <w:rFonts w:ascii="Times New Roman"/>
                <w:sz w:val="24"/>
              </w:rPr>
              <w:t>282,349,127.3</w:t>
            </w:r>
          </w:p>
          <w:p>
            <w:pPr>
              <w:pStyle w:val="TableParagraph"/>
              <w:spacing w:line="240" w:lineRule="auto"/>
              <w:ind w:right="119"/>
              <w:jc w:val="right"/>
              <w:rPr>
                <w:rFonts w:ascii="Times New Roman" w:hAnsi="Times New Roman" w:cs="Times New Roman" w:eastAsia="Times New Roman" w:hint="default"/>
                <w:sz w:val="24"/>
                <w:szCs w:val="24"/>
              </w:rPr>
            </w:pPr>
            <w:r>
              <w:rPr>
                <w:rFonts w:ascii="Times New Roman"/>
                <w:sz w:val="24"/>
              </w:rPr>
              <w:t>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18"/>
              <w:jc w:val="right"/>
              <w:rPr>
                <w:rFonts w:ascii="Times New Roman" w:hAnsi="Times New Roman" w:cs="Times New Roman" w:eastAsia="Times New Roman" w:hint="default"/>
                <w:sz w:val="24"/>
                <w:szCs w:val="24"/>
              </w:rPr>
            </w:pPr>
            <w:r>
              <w:rPr>
                <w:rFonts w:ascii="Times New Roman"/>
                <w:sz w:val="24"/>
              </w:rPr>
              <w:t>1,423,289.69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95" w:right="0"/>
              <w:jc w:val="left"/>
              <w:rPr>
                <w:rFonts w:ascii="Times New Roman" w:hAnsi="Times New Roman" w:cs="Times New Roman" w:eastAsia="Times New Roman" w:hint="default"/>
                <w:sz w:val="24"/>
                <w:szCs w:val="24"/>
              </w:rPr>
            </w:pPr>
            <w:r>
              <w:rPr>
                <w:rFonts w:ascii="Times New Roman"/>
                <w:sz w:val="24"/>
              </w:rPr>
              <w:t>99,481,471.69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2"/>
              <w:jc w:val="right"/>
              <w:rPr>
                <w:rFonts w:ascii="Times New Roman" w:hAnsi="Times New Roman" w:cs="Times New Roman" w:eastAsia="Times New Roman" w:hint="default"/>
                <w:sz w:val="24"/>
                <w:szCs w:val="24"/>
              </w:rPr>
            </w:pPr>
            <w:r>
              <w:rPr>
                <w:rFonts w:ascii="Times New Roman"/>
                <w:sz w:val="24"/>
              </w:rPr>
              <w:t>100,904,761.38</w:t>
            </w:r>
          </w:p>
        </w:tc>
      </w:tr>
      <w:tr>
        <w:trPr>
          <w:trHeight w:val="295" w:hRule="exact"/>
        </w:trPr>
        <w:tc>
          <w:tcPr>
            <w:tcW w:w="54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关联债权债务形成原因</w:t>
            </w:r>
            <w:r>
              <w:rPr>
                <w:rFonts w:ascii="宋体" w:hAnsi="宋体" w:cs="宋体" w:eastAsia="宋体" w:hint="default"/>
                <w:sz w:val="22"/>
                <w:szCs w:val="22"/>
              </w:rPr>
              <w:t> </w:t>
            </w:r>
          </w:p>
        </w:tc>
        <w:tc>
          <w:tcPr>
            <w:tcW w:w="940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2"/>
                <w:szCs w:val="22"/>
              </w:rPr>
            </w:pPr>
            <w:r>
              <w:rPr>
                <w:rFonts w:ascii="宋体" w:hAnsi="宋体" w:cs="宋体" w:eastAsia="宋体" w:hint="default"/>
                <w:sz w:val="22"/>
                <w:szCs w:val="22"/>
              </w:rPr>
              <w:t>由于正常购销业务形成的科目余额</w:t>
            </w:r>
            <w:r>
              <w:rPr>
                <w:rFonts w:ascii="宋体" w:hAnsi="宋体" w:cs="宋体" w:eastAsia="宋体" w:hint="default"/>
                <w:sz w:val="22"/>
                <w:szCs w:val="22"/>
              </w:rPr>
              <w:t> </w:t>
            </w:r>
          </w:p>
        </w:tc>
      </w:tr>
      <w:tr>
        <w:trPr>
          <w:trHeight w:val="295" w:hRule="exact"/>
        </w:trPr>
        <w:tc>
          <w:tcPr>
            <w:tcW w:w="54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关联债权债务对公司的影响</w:t>
            </w:r>
            <w:r>
              <w:rPr>
                <w:rFonts w:ascii="宋体" w:hAnsi="宋体" w:cs="宋体" w:eastAsia="宋体" w:hint="default"/>
                <w:sz w:val="22"/>
                <w:szCs w:val="22"/>
              </w:rPr>
              <w:t> </w:t>
            </w:r>
          </w:p>
        </w:tc>
        <w:tc>
          <w:tcPr>
            <w:tcW w:w="940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宋体" w:hAnsi="宋体" w:cs="宋体" w:eastAsia="宋体" w:hint="default"/>
                <w:sz w:val="22"/>
                <w:szCs w:val="22"/>
              </w:rPr>
            </w:pPr>
            <w:r>
              <w:rPr>
                <w:rFonts w:ascii="宋体"/>
                <w:w w:val="100"/>
                <w:sz w:val="22"/>
              </w:rPr>
              <w:t> </w:t>
            </w:r>
          </w:p>
        </w:tc>
      </w:tr>
    </w:tbl>
    <w:p>
      <w:pPr>
        <w:pStyle w:val="Heading3"/>
        <w:spacing w:line="273" w:lineRule="exact"/>
        <w:ind w:left="584" w:right="0"/>
        <w:jc w:val="left"/>
        <w:rPr>
          <w:rFonts w:ascii="宋体" w:hAnsi="宋体" w:cs="宋体" w:eastAsia="宋体" w:hint="default"/>
        </w:rPr>
      </w:pPr>
      <w:r>
        <w:rPr>
          <w:rFonts w:ascii="宋体"/>
        </w:rPr>
        <w:t> </w:t>
      </w:r>
    </w:p>
    <w:p>
      <w:pPr>
        <w:pStyle w:val="Heading3"/>
        <w:spacing w:line="313" w:lineRule="exact"/>
        <w:ind w:left="584" w:right="0"/>
        <w:jc w:val="left"/>
        <w:rPr>
          <w:rFonts w:ascii="宋体" w:hAnsi="宋体" w:cs="宋体" w:eastAsia="宋体" w:hint="default"/>
        </w:rPr>
      </w:pPr>
      <w:r>
        <w:rPr>
          <w:rFonts w:ascii="宋体"/>
        </w:rPr>
        <w:t> </w:t>
      </w:r>
    </w:p>
    <w:p>
      <w:pPr>
        <w:pStyle w:val="Heading5"/>
        <w:spacing w:line="240" w:lineRule="auto"/>
        <w:ind w:left="584"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Heading3"/>
        <w:spacing w:line="313" w:lineRule="exact" w:before="23"/>
        <w:ind w:left="584"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584" w:right="0"/>
        <w:jc w:val="left"/>
        <w:rPr>
          <w:rFonts w:ascii="宋体" w:hAnsi="宋体" w:cs="宋体" w:eastAsia="宋体" w:hint="default"/>
        </w:rPr>
      </w:pPr>
      <w:r>
        <w:rPr>
          <w:rFonts w:ascii="宋体"/>
        </w:rPr>
        <w:t> </w:t>
      </w:r>
    </w:p>
    <w:p>
      <w:pPr>
        <w:pStyle w:val="Heading5"/>
        <w:tabs>
          <w:tab w:pos="1424" w:val="left" w:leader="none"/>
        </w:tabs>
        <w:spacing w:line="283" w:lineRule="auto" w:before="62"/>
        <w:ind w:left="584" w:right="11502"/>
        <w:jc w:val="left"/>
        <w:rPr>
          <w:rFonts w:ascii="宋体" w:hAnsi="宋体" w:cs="宋体" w:eastAsia="宋体" w:hint="default"/>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w w:val="100"/>
        </w:rPr>
        <w:t> </w:t>
      </w:r>
      <w:r>
        <w:rPr/>
        <w:t>十五、重大合同及其履行情况</w:t>
      </w:r>
      <w:r>
        <w:rPr>
          <w:w w:val="100"/>
        </w:rPr>
        <w:t> </w:t>
      </w:r>
      <w:r>
        <w:rPr>
          <w:rFonts w:ascii="宋体" w:hAnsi="宋体" w:cs="宋体" w:eastAsia="宋体" w:hint="default"/>
          <w:w w:val="95"/>
        </w:rPr>
        <w:t>(</w:t>
      </w:r>
      <w:r>
        <w:rPr>
          <w:w w:val="95"/>
        </w:rPr>
        <w:t>一</w:t>
      </w:r>
      <w:r>
        <w:rPr>
          <w:rFonts w:ascii="宋体" w:hAnsi="宋体" w:cs="宋体" w:eastAsia="宋体" w:hint="default"/>
          <w:w w:val="95"/>
        </w:rPr>
        <w:t>)</w:t>
        <w:tab/>
      </w:r>
      <w:r>
        <w:rPr/>
        <w:t>托管、承包、租赁事项</w:t>
      </w:r>
      <w:r>
        <w:rPr>
          <w:w w:val="100"/>
        </w:rPr>
        <w:t> </w:t>
      </w:r>
      <w:r>
        <w:rPr>
          <w:rFonts w:ascii="宋体" w:hAnsi="宋体" w:cs="宋体" w:eastAsia="宋体" w:hint="default"/>
        </w:rPr>
        <w:t>1</w:t>
      </w:r>
      <w:r>
        <w:rPr/>
        <w:t>、</w:t>
      </w:r>
      <w:r>
        <w:rPr>
          <w:spacing w:val="-5"/>
        </w:rPr>
        <w:t> </w:t>
      </w:r>
      <w:r>
        <w:rPr/>
        <w:t>托管情况</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12"/>
        <w:ind w:left="58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584" w:right="0"/>
        <w:jc w:val="left"/>
        <w:rPr>
          <w:rFonts w:ascii="宋体" w:hAnsi="宋体" w:cs="宋体" w:eastAsia="宋体" w:hint="default"/>
        </w:rPr>
      </w:pPr>
      <w:r>
        <w:rPr>
          <w:rFonts w:ascii="宋体"/>
        </w:rPr>
        <w:t> </w:t>
      </w:r>
    </w:p>
    <w:p>
      <w:pPr>
        <w:pStyle w:val="Heading5"/>
        <w:spacing w:line="240" w:lineRule="auto"/>
        <w:ind w:left="584" w:right="0"/>
        <w:jc w:val="left"/>
        <w:rPr>
          <w:rFonts w:ascii="宋体" w:hAnsi="宋体" w:cs="宋体" w:eastAsia="宋体" w:hint="default"/>
          <w:b w:val="0"/>
          <w:bCs w:val="0"/>
        </w:rPr>
      </w:pPr>
      <w:r>
        <w:rPr>
          <w:rFonts w:ascii="宋体" w:hAnsi="宋体" w:cs="宋体" w:eastAsia="宋体" w:hint="default"/>
        </w:rPr>
        <w:t>2</w:t>
      </w:r>
      <w:r>
        <w:rPr/>
        <w:t>、</w:t>
      </w:r>
      <w:r>
        <w:rPr>
          <w:spacing w:val="-5"/>
        </w:rPr>
        <w:t> </w:t>
      </w:r>
      <w:r>
        <w:rPr/>
        <w:t>承包情况</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left="58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584"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pgSz w:w="16840" w:h="11910" w:orient="landscape"/>
          <w:pgMar w:header="880" w:footer="1195" w:top="1120" w:bottom="1380" w:left="940" w:right="860"/>
        </w:sectPr>
      </w:pPr>
    </w:p>
    <w:p>
      <w:pPr>
        <w:pStyle w:val="Heading5"/>
        <w:spacing w:line="240" w:lineRule="auto" w:before="120"/>
        <w:ind w:left="144"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租赁情况</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left="14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144" w:right="0"/>
        <w:jc w:val="left"/>
        <w:rPr>
          <w:rFonts w:ascii="宋体" w:hAnsi="宋体" w:cs="宋体" w:eastAsia="宋体" w:hint="default"/>
        </w:rPr>
      </w:pPr>
      <w:r>
        <w:rPr>
          <w:rFonts w:ascii="宋体"/>
        </w:rPr>
        <w:t> </w:t>
      </w:r>
    </w:p>
    <w:p>
      <w:pPr>
        <w:pStyle w:val="Heading5"/>
        <w:tabs>
          <w:tab w:pos="984" w:val="left" w:leader="none"/>
        </w:tabs>
        <w:spacing w:line="240" w:lineRule="auto"/>
        <w:ind w:left="144" w:right="0"/>
        <w:jc w:val="left"/>
        <w:rPr>
          <w:b w:val="0"/>
          <w:bCs w:val="0"/>
        </w:rPr>
      </w:pPr>
      <w:bookmarkStart w:name="OLE_LINK2" w:id="6"/>
      <w:bookmarkEnd w:id="6"/>
      <w:r>
        <w:rPr>
          <w:b w:val="0"/>
          <w:bCs w:val="0"/>
        </w:rPr>
      </w:r>
      <w:bookmarkStart w:name="OLE_LINK3" w:id="7"/>
      <w:bookmarkEnd w:id="7"/>
      <w:r>
        <w:rPr>
          <w:b w:val="0"/>
          <w:bCs w:val="0"/>
        </w:rPr>
      </w:r>
      <w:r>
        <w:rPr>
          <w:rFonts w:ascii="宋体" w:hAnsi="宋体" w:cs="宋体" w:eastAsia="宋体" w:hint="default"/>
          <w:w w:val="95"/>
        </w:rPr>
        <w:t>(</w:t>
      </w:r>
      <w:r>
        <w:rPr>
          <w:w w:val="95"/>
        </w:rPr>
        <w:t>二</w:t>
      </w:r>
      <w:r>
        <w:rPr>
          <w:rFonts w:ascii="宋体" w:hAnsi="宋体" w:cs="宋体" w:eastAsia="宋体" w:hint="default"/>
          <w:w w:val="95"/>
        </w:rPr>
        <w:t>)</w:t>
        <w:tab/>
      </w:r>
      <w:r>
        <w:rPr/>
        <w:t>担保情况</w:t>
      </w:r>
      <w:r>
        <w:rPr>
          <w:b w:val="0"/>
          <w:bCs w:val="0"/>
        </w:rPr>
      </w:r>
    </w:p>
    <w:p>
      <w:pPr>
        <w:pStyle w:val="Heading3"/>
        <w:spacing w:line="240" w:lineRule="auto" w:before="50"/>
        <w:ind w:left="14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144" w:right="0"/>
        <w:jc w:val="left"/>
        <w:rPr>
          <w:rFonts w:ascii="宋体" w:hAnsi="宋体" w:cs="宋体" w:eastAsia="宋体" w:hint="default"/>
        </w:rPr>
      </w:pPr>
      <w:r>
        <w:rPr/>
        <w:t>单位</w:t>
      </w:r>
      <w:r>
        <w:rPr>
          <w:rFonts w:ascii="宋体" w:hAnsi="宋体" w:cs="宋体" w:eastAsia="宋体" w:hint="default"/>
        </w:rPr>
        <w:t>: </w:t>
      </w:r>
      <w:r>
        <w:rPr/>
        <w:t>万元  </w:t>
      </w:r>
      <w:r>
        <w:rPr>
          <w:rFonts w:ascii="宋体" w:hAnsi="宋体" w:cs="宋体" w:eastAsia="宋体" w:hint="default"/>
        </w:rPr>
      </w:r>
      <w:r>
        <w:rPr/>
        <w:t>币种</w:t>
      </w:r>
      <w:r>
        <w:rPr>
          <w:rFonts w:ascii="宋体" w:hAnsi="宋体" w:cs="宋体" w:eastAsia="宋体" w:hint="default"/>
        </w:rPr>
        <w:t>:</w:t>
      </w:r>
      <w:r>
        <w:rPr>
          <w:rFonts w:ascii="宋体" w:hAnsi="宋体" w:cs="宋体" w:eastAsia="宋体" w:hint="default"/>
          <w:spacing w:val="-2"/>
        </w:rPr>
        <w:t> </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pgSz w:w="16840" w:h="11910" w:orient="landscape"/>
          <w:pgMar w:header="880" w:footer="1195" w:top="1120" w:bottom="1380" w:left="1380" w:right="1220"/>
          <w:cols w:num="2" w:equalWidth="0">
            <w:col w:w="2185" w:space="9167"/>
            <w:col w:w="2888"/>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088"/>
        <w:gridCol w:w="744"/>
        <w:gridCol w:w="1303"/>
        <w:gridCol w:w="1208"/>
        <w:gridCol w:w="1010"/>
        <w:gridCol w:w="1008"/>
        <w:gridCol w:w="1011"/>
        <w:gridCol w:w="886"/>
        <w:gridCol w:w="926"/>
        <w:gridCol w:w="929"/>
        <w:gridCol w:w="1042"/>
        <w:gridCol w:w="929"/>
        <w:gridCol w:w="929"/>
        <w:gridCol w:w="924"/>
      </w:tblGrid>
      <w:tr>
        <w:trPr>
          <w:trHeight w:val="322" w:hRule="exact"/>
        </w:trPr>
        <w:tc>
          <w:tcPr>
            <w:tcW w:w="1393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563" w:right="0"/>
              <w:jc w:val="left"/>
              <w:rPr>
                <w:rFonts w:ascii="宋体" w:hAnsi="宋体" w:cs="宋体" w:eastAsia="宋体" w:hint="default"/>
                <w:sz w:val="24"/>
                <w:szCs w:val="24"/>
              </w:rPr>
            </w:pPr>
            <w:r>
              <w:rPr>
                <w:rFonts w:ascii="宋体" w:hAnsi="宋体" w:cs="宋体" w:eastAsia="宋体" w:hint="default"/>
                <w:sz w:val="24"/>
                <w:szCs w:val="24"/>
              </w:rPr>
              <w:t>公司对外担保情况（不包括对子公司的担保）</w:t>
            </w:r>
            <w:r>
              <w:rPr>
                <w:rFonts w:ascii="宋体" w:hAnsi="宋体" w:cs="宋体" w:eastAsia="宋体" w:hint="default"/>
                <w:sz w:val="24"/>
                <w:szCs w:val="24"/>
              </w:rPr>
              <w:t> </w:t>
            </w:r>
          </w:p>
        </w:tc>
      </w:tr>
      <w:tr>
        <w:trPr>
          <w:trHeight w:val="1100"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担保方</w:t>
            </w:r>
            <w:r>
              <w:rPr>
                <w:rFonts w:ascii="宋体" w:hAnsi="宋体" w:cs="宋体" w:eastAsia="宋体" w:hint="default"/>
                <w:sz w:val="21"/>
                <w:szCs w:val="21"/>
              </w:rPr>
              <w:t> </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 w:right="0"/>
              <w:jc w:val="both"/>
              <w:rPr>
                <w:rFonts w:ascii="宋体" w:hAnsi="宋体" w:cs="宋体" w:eastAsia="宋体" w:hint="default"/>
                <w:sz w:val="21"/>
                <w:szCs w:val="21"/>
              </w:rPr>
            </w:pPr>
            <w:r>
              <w:rPr>
                <w:rFonts w:ascii="宋体" w:hAnsi="宋体" w:cs="宋体" w:eastAsia="宋体" w:hint="default"/>
                <w:sz w:val="21"/>
                <w:szCs w:val="21"/>
              </w:rPr>
              <w:t>担保方</w:t>
            </w:r>
          </w:p>
          <w:p>
            <w:pPr>
              <w:pStyle w:val="TableParagraph"/>
              <w:spacing w:line="237" w:lineRule="auto" w:before="2"/>
              <w:ind w:left="52" w:right="47"/>
              <w:jc w:val="both"/>
              <w:rPr>
                <w:rFonts w:ascii="宋体" w:hAnsi="宋体" w:cs="宋体" w:eastAsia="宋体" w:hint="default"/>
                <w:sz w:val="21"/>
                <w:szCs w:val="21"/>
              </w:rPr>
            </w:pPr>
            <w:r>
              <w:rPr>
                <w:rFonts w:ascii="宋体" w:hAnsi="宋体" w:cs="宋体" w:eastAsia="宋体" w:hint="default"/>
                <w:sz w:val="21"/>
                <w:szCs w:val="21"/>
              </w:rPr>
              <w:t>与上市</w:t>
            </w:r>
            <w:r>
              <w:rPr>
                <w:rFonts w:ascii="宋体" w:hAnsi="宋体" w:cs="宋体" w:eastAsia="宋体" w:hint="default"/>
                <w:spacing w:val="-102"/>
                <w:sz w:val="21"/>
                <w:szCs w:val="21"/>
              </w:rPr>
              <w:t> </w:t>
            </w:r>
            <w:r>
              <w:rPr>
                <w:rFonts w:ascii="宋体" w:hAnsi="宋体" w:cs="宋体" w:eastAsia="宋体" w:hint="default"/>
                <w:sz w:val="21"/>
                <w:szCs w:val="21"/>
              </w:rPr>
              <w:t>公司的</w:t>
            </w:r>
            <w:r>
              <w:rPr>
                <w:rFonts w:ascii="宋体" w:hAnsi="宋体" w:cs="宋体" w:eastAsia="宋体" w:hint="default"/>
                <w:spacing w:val="-102"/>
                <w:sz w:val="21"/>
                <w:szCs w:val="21"/>
              </w:rPr>
              <w:t> </w:t>
            </w:r>
            <w:r>
              <w:rPr>
                <w:rFonts w:ascii="宋体" w:hAnsi="宋体" w:cs="宋体" w:eastAsia="宋体" w:hint="default"/>
                <w:sz w:val="21"/>
                <w:szCs w:val="21"/>
              </w:rPr>
              <w:t>关系</w:t>
            </w:r>
            <w:r>
              <w:rPr>
                <w:rFonts w:ascii="宋体" w:hAnsi="宋体" w:cs="宋体" w:eastAsia="宋体" w:hint="default"/>
                <w:sz w:val="21"/>
                <w:szCs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被担保方</w:t>
            </w:r>
            <w:r>
              <w:rPr>
                <w:rFonts w:ascii="宋体" w:hAnsi="宋体" w:cs="宋体" w:eastAsia="宋体" w:hint="default"/>
                <w:sz w:val="21"/>
                <w:szCs w:val="21"/>
              </w:rPr>
              <w:t> </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72"/>
              <w:jc w:val="right"/>
              <w:rPr>
                <w:rFonts w:ascii="宋体" w:hAnsi="宋体" w:cs="宋体" w:eastAsia="宋体" w:hint="default"/>
                <w:sz w:val="21"/>
                <w:szCs w:val="21"/>
              </w:rPr>
            </w:pPr>
            <w:r>
              <w:rPr>
                <w:rFonts w:ascii="宋体" w:hAnsi="宋体" w:cs="宋体" w:eastAsia="宋体" w:hint="default"/>
                <w:spacing w:val="-2"/>
                <w:sz w:val="21"/>
                <w:szCs w:val="21"/>
              </w:rPr>
              <w:t>担保金额</w:t>
            </w:r>
            <w:r>
              <w:rPr>
                <w:rFonts w:ascii="宋体" w:hAnsi="宋体" w:cs="宋体" w:eastAsia="宋体" w:hint="default"/>
                <w:sz w:val="21"/>
                <w:szCs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6" w:right="24" w:firstLine="52"/>
              <w:jc w:val="both"/>
              <w:rPr>
                <w:rFonts w:ascii="宋体" w:hAnsi="宋体" w:cs="宋体" w:eastAsia="宋体" w:hint="default"/>
                <w:sz w:val="21"/>
                <w:szCs w:val="21"/>
              </w:rPr>
            </w:pPr>
            <w:r>
              <w:rPr>
                <w:rFonts w:ascii="宋体" w:hAnsi="宋体" w:cs="宋体" w:eastAsia="宋体" w:hint="default"/>
                <w:sz w:val="21"/>
                <w:szCs w:val="21"/>
              </w:rPr>
              <w:t>担保发生</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z w:val="21"/>
                <w:szCs w:val="21"/>
              </w:rPr>
              <w:t>(</w:t>
            </w:r>
            <w:r>
              <w:rPr>
                <w:rFonts w:ascii="宋体" w:hAnsi="宋体" w:cs="宋体" w:eastAsia="宋体" w:hint="default"/>
                <w:sz w:val="21"/>
                <w:szCs w:val="21"/>
              </w:rPr>
              <w:t>协议</w:t>
            </w:r>
            <w:r>
              <w:rPr>
                <w:rFonts w:ascii="宋体" w:hAnsi="宋体" w:cs="宋体" w:eastAsia="宋体" w:hint="default"/>
                <w:spacing w:val="-103"/>
                <w:sz w:val="21"/>
                <w:szCs w:val="21"/>
              </w:rPr>
              <w:t> </w:t>
            </w:r>
            <w:r>
              <w:rPr>
                <w:rFonts w:ascii="宋体" w:hAnsi="宋体" w:cs="宋体" w:eastAsia="宋体" w:hint="default"/>
                <w:sz w:val="21"/>
                <w:szCs w:val="21"/>
              </w:rPr>
              <w:t>签署日</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84" w:right="74"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起始日</w:t>
            </w:r>
            <w:r>
              <w:rPr>
                <w:rFonts w:ascii="宋体" w:hAnsi="宋体" w:cs="宋体" w:eastAsia="宋体" w:hint="default"/>
                <w:sz w:val="21"/>
                <w:szCs w:val="21"/>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84" w:right="77"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到期日</w:t>
            </w:r>
            <w:r>
              <w:rPr>
                <w:rFonts w:ascii="宋体" w:hAnsi="宋体" w:cs="宋体" w:eastAsia="宋体" w:hint="default"/>
                <w:sz w:val="21"/>
                <w:szCs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331" w:right="120" w:hanging="212"/>
              <w:jc w:val="left"/>
              <w:rPr>
                <w:rFonts w:ascii="宋体" w:hAnsi="宋体" w:cs="宋体" w:eastAsia="宋体" w:hint="default"/>
                <w:sz w:val="21"/>
                <w:szCs w:val="21"/>
              </w:rPr>
            </w:pPr>
            <w:r>
              <w:rPr>
                <w:rFonts w:ascii="宋体" w:hAnsi="宋体" w:cs="宋体" w:eastAsia="宋体" w:hint="default"/>
                <w:sz w:val="21"/>
                <w:szCs w:val="21"/>
              </w:rPr>
              <w:t>担保类</w:t>
            </w:r>
            <w:r>
              <w:rPr>
                <w:rFonts w:ascii="宋体" w:hAnsi="宋体" w:cs="宋体" w:eastAsia="宋体" w:hint="default"/>
                <w:spacing w:val="-102"/>
                <w:sz w:val="21"/>
                <w:szCs w:val="21"/>
              </w:rPr>
              <w:t> </w:t>
            </w:r>
            <w:r>
              <w:rPr>
                <w:rFonts w:ascii="宋体" w:hAnsi="宋体" w:cs="宋体" w:eastAsia="宋体" w:hint="default"/>
                <w:sz w:val="21"/>
                <w:szCs w:val="21"/>
              </w:rPr>
              <w:t>型</w:t>
            </w:r>
            <w:r>
              <w:rPr>
                <w:rFonts w:ascii="宋体" w:hAnsi="宋体" w:cs="宋体" w:eastAsia="宋体" w:hint="default"/>
                <w:sz w:val="21"/>
                <w:szCs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40" w:right="31"/>
              <w:jc w:val="center"/>
              <w:rPr>
                <w:rFonts w:ascii="宋体" w:hAnsi="宋体" w:cs="宋体" w:eastAsia="宋体" w:hint="default"/>
                <w:sz w:val="21"/>
                <w:szCs w:val="21"/>
              </w:rPr>
            </w:pPr>
            <w:r>
              <w:rPr>
                <w:rFonts w:ascii="宋体" w:hAnsi="宋体" w:cs="宋体" w:eastAsia="宋体" w:hint="default"/>
                <w:sz w:val="21"/>
                <w:szCs w:val="21"/>
              </w:rPr>
              <w:t>担保是否</w:t>
            </w:r>
            <w:r>
              <w:rPr>
                <w:rFonts w:ascii="宋体" w:hAnsi="宋体" w:cs="宋体" w:eastAsia="宋体" w:hint="default"/>
                <w:w w:val="100"/>
                <w:sz w:val="21"/>
                <w:szCs w:val="21"/>
              </w:rPr>
              <w:t> </w:t>
            </w:r>
            <w:r>
              <w:rPr>
                <w:rFonts w:ascii="宋体" w:hAnsi="宋体" w:cs="宋体" w:eastAsia="宋体" w:hint="default"/>
                <w:sz w:val="21"/>
                <w:szCs w:val="21"/>
              </w:rPr>
              <w:t>已经履行</w:t>
            </w:r>
            <w:r>
              <w:rPr>
                <w:rFonts w:ascii="宋体" w:hAnsi="宋体" w:cs="宋体" w:eastAsia="宋体" w:hint="default"/>
                <w:w w:val="100"/>
                <w:sz w:val="21"/>
                <w:szCs w:val="21"/>
              </w:rPr>
              <w:t> </w:t>
            </w:r>
            <w:r>
              <w:rPr>
                <w:rFonts w:ascii="宋体" w:hAnsi="宋体" w:cs="宋体" w:eastAsia="宋体" w:hint="default"/>
                <w:sz w:val="21"/>
                <w:szCs w:val="21"/>
              </w:rPr>
              <w:t>完毕</w:t>
            </w:r>
            <w:r>
              <w:rPr>
                <w:rFonts w:ascii="宋体" w:hAnsi="宋体" w:cs="宋体" w:eastAsia="宋体" w:hint="default"/>
                <w:sz w:val="21"/>
                <w:szCs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249" w:right="33" w:hanging="209"/>
              <w:jc w:val="left"/>
              <w:rPr>
                <w:rFonts w:ascii="宋体" w:hAnsi="宋体" w:cs="宋体" w:eastAsia="宋体" w:hint="default"/>
                <w:sz w:val="21"/>
                <w:szCs w:val="21"/>
              </w:rPr>
            </w:pPr>
            <w:r>
              <w:rPr>
                <w:rFonts w:ascii="宋体" w:hAnsi="宋体" w:cs="宋体" w:eastAsia="宋体" w:hint="default"/>
                <w:sz w:val="21"/>
                <w:szCs w:val="21"/>
              </w:rPr>
              <w:t>担保是否</w:t>
            </w:r>
            <w:r>
              <w:rPr>
                <w:rFonts w:ascii="宋体" w:hAnsi="宋体" w:cs="宋体" w:eastAsia="宋体" w:hint="default"/>
                <w:w w:val="100"/>
                <w:sz w:val="21"/>
                <w:szCs w:val="21"/>
              </w:rPr>
              <w:t> </w:t>
            </w:r>
            <w:r>
              <w:rPr>
                <w:rFonts w:ascii="宋体" w:hAnsi="宋体" w:cs="宋体" w:eastAsia="宋体" w:hint="default"/>
                <w:sz w:val="21"/>
                <w:szCs w:val="21"/>
              </w:rPr>
              <w:t>逾期</w:t>
            </w:r>
            <w:r>
              <w:rPr>
                <w:rFonts w:ascii="宋体" w:hAnsi="宋体" w:cs="宋体" w:eastAsia="宋体" w:hint="default"/>
                <w:sz w:val="21"/>
                <w:szCs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307" w:right="92" w:hanging="212"/>
              <w:jc w:val="left"/>
              <w:rPr>
                <w:rFonts w:ascii="宋体" w:hAnsi="宋体" w:cs="宋体" w:eastAsia="宋体" w:hint="default"/>
                <w:sz w:val="21"/>
                <w:szCs w:val="21"/>
              </w:rPr>
            </w:pPr>
            <w:r>
              <w:rPr>
                <w:rFonts w:ascii="宋体" w:hAnsi="宋体" w:cs="宋体" w:eastAsia="宋体" w:hint="default"/>
                <w:sz w:val="21"/>
                <w:szCs w:val="21"/>
              </w:rPr>
              <w:t>担保逾期</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43" w:right="33" w:hanging="104"/>
              <w:jc w:val="left"/>
              <w:rPr>
                <w:rFonts w:ascii="宋体" w:hAnsi="宋体" w:cs="宋体" w:eastAsia="宋体" w:hint="default"/>
                <w:sz w:val="21"/>
                <w:szCs w:val="21"/>
              </w:rPr>
            </w:pPr>
            <w:r>
              <w:rPr>
                <w:rFonts w:ascii="宋体" w:hAnsi="宋体" w:cs="宋体" w:eastAsia="宋体" w:hint="default"/>
                <w:sz w:val="21"/>
                <w:szCs w:val="21"/>
              </w:rPr>
              <w:t>是否存在</w:t>
            </w:r>
            <w:r>
              <w:rPr>
                <w:rFonts w:ascii="宋体" w:hAnsi="宋体" w:cs="宋体" w:eastAsia="宋体" w:hint="default"/>
                <w:w w:val="100"/>
                <w:sz w:val="21"/>
                <w:szCs w:val="21"/>
              </w:rPr>
              <w:t> </w:t>
            </w:r>
            <w:r>
              <w:rPr>
                <w:rFonts w:ascii="宋体" w:hAnsi="宋体" w:cs="宋体" w:eastAsia="宋体" w:hint="default"/>
                <w:sz w:val="21"/>
                <w:szCs w:val="21"/>
              </w:rPr>
              <w:t>反担保</w:t>
            </w:r>
            <w:r>
              <w:rPr>
                <w:rFonts w:ascii="宋体" w:hAnsi="宋体" w:cs="宋体" w:eastAsia="宋体" w:hint="default"/>
                <w:sz w:val="21"/>
                <w:szCs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40" w:right="33"/>
              <w:jc w:val="left"/>
              <w:rPr>
                <w:rFonts w:ascii="宋体" w:hAnsi="宋体" w:cs="宋体" w:eastAsia="宋体" w:hint="default"/>
                <w:sz w:val="21"/>
                <w:szCs w:val="21"/>
              </w:rPr>
            </w:pPr>
            <w:r>
              <w:rPr>
                <w:rFonts w:ascii="宋体" w:hAnsi="宋体" w:cs="宋体" w:eastAsia="宋体" w:hint="default"/>
                <w:sz w:val="21"/>
                <w:szCs w:val="21"/>
              </w:rPr>
              <w:t>是否为关</w:t>
            </w:r>
            <w:r>
              <w:rPr>
                <w:rFonts w:ascii="宋体" w:hAnsi="宋体" w:cs="宋体" w:eastAsia="宋体" w:hint="default"/>
                <w:w w:val="100"/>
                <w:sz w:val="21"/>
                <w:szCs w:val="21"/>
              </w:rPr>
              <w:t> </w:t>
            </w:r>
            <w:r>
              <w:rPr>
                <w:rFonts w:ascii="宋体" w:hAnsi="宋体" w:cs="宋体" w:eastAsia="宋体" w:hint="default"/>
                <w:sz w:val="21"/>
                <w:szCs w:val="21"/>
              </w:rPr>
              <w:t>联方担保</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244" w:right="143"/>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w w:val="100"/>
                <w:sz w:val="21"/>
                <w:szCs w:val="21"/>
              </w:rPr>
              <w:t> </w:t>
            </w:r>
            <w:r>
              <w:rPr>
                <w:rFonts w:ascii="宋体" w:hAnsi="宋体" w:cs="宋体" w:eastAsia="宋体" w:hint="default"/>
                <w:sz w:val="21"/>
                <w:szCs w:val="21"/>
              </w:rPr>
              <w:t>关系</w:t>
            </w:r>
            <w:r>
              <w:rPr>
                <w:rFonts w:ascii="宋体" w:hAnsi="宋体" w:cs="宋体" w:eastAsia="宋体" w:hint="default"/>
                <w:sz w:val="21"/>
                <w:szCs w:val="21"/>
              </w:rPr>
              <w:t> </w:t>
            </w:r>
          </w:p>
        </w:tc>
      </w:tr>
      <w:tr>
        <w:trPr>
          <w:trHeight w:val="828"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泰豪科技</w:t>
            </w:r>
          </w:p>
          <w:p>
            <w:pPr>
              <w:pStyle w:val="TableParagraph"/>
              <w:spacing w:line="272" w:lineRule="exact" w:before="27"/>
              <w:ind w:left="26" w:right="207"/>
              <w:jc w:val="left"/>
              <w:rPr>
                <w:rFonts w:ascii="宋体" w:hAnsi="宋体" w:cs="宋体" w:eastAsia="宋体" w:hint="default"/>
                <w:sz w:val="21"/>
                <w:szCs w:val="21"/>
              </w:rPr>
            </w:pPr>
            <w:r>
              <w:rPr>
                <w:rFonts w:ascii="宋体" w:hAnsi="宋体" w:cs="宋体" w:eastAsia="宋体" w:hint="default"/>
                <w:sz w:val="21"/>
                <w:szCs w:val="21"/>
              </w:rPr>
              <w:t>股份有限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6" w:right="72"/>
              <w:jc w:val="left"/>
              <w:rPr>
                <w:rFonts w:ascii="宋体" w:hAnsi="宋体" w:cs="宋体" w:eastAsia="宋体" w:hint="default"/>
                <w:sz w:val="21"/>
                <w:szCs w:val="21"/>
              </w:rPr>
            </w:pPr>
            <w:r>
              <w:rPr>
                <w:rFonts w:ascii="宋体" w:hAnsi="宋体" w:cs="宋体" w:eastAsia="宋体" w:hint="default"/>
                <w:sz w:val="21"/>
                <w:szCs w:val="21"/>
              </w:rPr>
              <w:t>公司本</w:t>
            </w:r>
            <w:r>
              <w:rPr>
                <w:rFonts w:ascii="宋体" w:hAnsi="宋体" w:cs="宋体" w:eastAsia="宋体" w:hint="default"/>
                <w:spacing w:val="-102"/>
                <w:sz w:val="21"/>
                <w:szCs w:val="21"/>
              </w:rPr>
              <w:t> </w:t>
            </w:r>
            <w:r>
              <w:rPr>
                <w:rFonts w:ascii="宋体" w:hAnsi="宋体" w:cs="宋体" w:eastAsia="宋体" w:hint="default"/>
                <w:sz w:val="21"/>
                <w:szCs w:val="21"/>
              </w:rPr>
              <w:t>部</w:t>
            </w:r>
            <w:r>
              <w:rPr>
                <w:rFonts w:ascii="宋体" w:hAnsi="宋体" w:cs="宋体" w:eastAsia="宋体" w:hint="default"/>
                <w:sz w:val="21"/>
                <w:szCs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江西国科军</w:t>
            </w:r>
          </w:p>
          <w:p>
            <w:pPr>
              <w:pStyle w:val="TableParagraph"/>
              <w:spacing w:line="272" w:lineRule="exact" w:before="27"/>
              <w:ind w:left="26" w:right="211"/>
              <w:jc w:val="left"/>
              <w:rPr>
                <w:rFonts w:ascii="宋体" w:hAnsi="宋体" w:cs="宋体" w:eastAsia="宋体" w:hint="default"/>
                <w:sz w:val="21"/>
                <w:szCs w:val="21"/>
              </w:rPr>
            </w:pPr>
            <w:r>
              <w:rPr>
                <w:rFonts w:ascii="宋体" w:hAnsi="宋体" w:cs="宋体" w:eastAsia="宋体" w:hint="default"/>
                <w:sz w:val="21"/>
                <w:szCs w:val="21"/>
              </w:rPr>
              <w:t>工集团股份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r>
              <w:rPr>
                <w:rFonts w:ascii="宋体" w:hAnsi="宋体" w:cs="宋体" w:eastAsia="宋体" w:hint="default"/>
                <w:sz w:val="21"/>
                <w:szCs w:val="21"/>
              </w:rPr>
              <w:t> </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15"/>
              <w:jc w:val="right"/>
              <w:rPr>
                <w:rFonts w:ascii="Times New Roman" w:hAnsi="Times New Roman" w:cs="Times New Roman" w:eastAsia="Times New Roman" w:hint="default"/>
                <w:sz w:val="20"/>
                <w:szCs w:val="20"/>
              </w:rPr>
            </w:pPr>
            <w:r>
              <w:rPr>
                <w:rFonts w:ascii="Times New Roman"/>
                <w:sz w:val="20"/>
              </w:rPr>
              <w:t>600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6" w:right="0"/>
              <w:jc w:val="left"/>
              <w:rPr>
                <w:rFonts w:ascii="Times New Roman" w:hAnsi="Times New Roman" w:cs="Times New Roman" w:eastAsia="Times New Roman" w:hint="default"/>
                <w:sz w:val="20"/>
                <w:szCs w:val="20"/>
              </w:rPr>
            </w:pPr>
            <w:r>
              <w:rPr>
                <w:rFonts w:ascii="Times New Roman"/>
                <w:sz w:val="20"/>
              </w:rPr>
              <w:t>2018.12.7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6" w:right="0"/>
              <w:jc w:val="left"/>
              <w:rPr>
                <w:rFonts w:ascii="Times New Roman" w:hAnsi="Times New Roman" w:cs="Times New Roman" w:eastAsia="Times New Roman" w:hint="default"/>
                <w:sz w:val="20"/>
                <w:szCs w:val="20"/>
              </w:rPr>
            </w:pPr>
            <w:r>
              <w:rPr>
                <w:rFonts w:ascii="Times New Roman"/>
                <w:sz w:val="20"/>
              </w:rPr>
              <w:t>2018.12.7</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6" w:right="0"/>
              <w:jc w:val="left"/>
              <w:rPr>
                <w:rFonts w:ascii="Times New Roman" w:hAnsi="Times New Roman" w:cs="Times New Roman" w:eastAsia="Times New Roman" w:hint="default"/>
                <w:sz w:val="20"/>
                <w:szCs w:val="20"/>
              </w:rPr>
            </w:pPr>
            <w:r>
              <w:rPr>
                <w:rFonts w:ascii="Times New Roman"/>
                <w:sz w:val="20"/>
              </w:rPr>
              <w:t>2020.12.6</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19" w:right="17"/>
              <w:jc w:val="left"/>
              <w:rPr>
                <w:rFonts w:ascii="宋体" w:hAnsi="宋体" w:cs="宋体" w:eastAsia="宋体" w:hint="default"/>
                <w:sz w:val="21"/>
                <w:szCs w:val="21"/>
              </w:rPr>
            </w:pPr>
            <w:r>
              <w:rPr>
                <w:rFonts w:ascii="宋体" w:hAnsi="宋体" w:cs="宋体" w:eastAsia="宋体" w:hint="default"/>
                <w:sz w:val="21"/>
                <w:szCs w:val="21"/>
              </w:rPr>
              <w:t>连带责</w:t>
            </w:r>
            <w:r>
              <w:rPr>
                <w:rFonts w:ascii="宋体" w:hAnsi="宋体" w:cs="宋体" w:eastAsia="宋体" w:hint="default"/>
                <w:spacing w:val="-102"/>
                <w:sz w:val="21"/>
                <w:szCs w:val="21"/>
              </w:rPr>
              <w:t> </w:t>
            </w:r>
            <w:r>
              <w:rPr>
                <w:rFonts w:ascii="宋体" w:hAnsi="宋体" w:cs="宋体" w:eastAsia="宋体" w:hint="default"/>
                <w:sz w:val="21"/>
                <w:szCs w:val="21"/>
              </w:rPr>
              <w:t>任担保</w:t>
            </w:r>
            <w:r>
              <w:rPr>
                <w:rFonts w:ascii="宋体" w:hAnsi="宋体" w:cs="宋体" w:eastAsia="宋体" w:hint="default"/>
                <w:sz w:val="21"/>
                <w:szCs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5"/>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8" w:right="0"/>
              <w:jc w:val="center"/>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5"/>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5"/>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联营公司</w:t>
            </w:r>
          </w:p>
        </w:tc>
      </w:tr>
      <w:tr>
        <w:trPr>
          <w:trHeight w:val="826"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泰豪科技</w:t>
            </w:r>
          </w:p>
          <w:p>
            <w:pPr>
              <w:pStyle w:val="TableParagraph"/>
              <w:spacing w:line="240" w:lineRule="auto"/>
              <w:ind w:left="26" w:right="207"/>
              <w:jc w:val="left"/>
              <w:rPr>
                <w:rFonts w:ascii="宋体" w:hAnsi="宋体" w:cs="宋体" w:eastAsia="宋体" w:hint="default"/>
                <w:sz w:val="21"/>
                <w:szCs w:val="21"/>
              </w:rPr>
            </w:pPr>
            <w:r>
              <w:rPr>
                <w:rFonts w:ascii="宋体" w:hAnsi="宋体" w:cs="宋体" w:eastAsia="宋体" w:hint="default"/>
                <w:sz w:val="21"/>
                <w:szCs w:val="21"/>
              </w:rPr>
              <w:t>股份有限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6" w:right="72"/>
              <w:jc w:val="left"/>
              <w:rPr>
                <w:rFonts w:ascii="宋体" w:hAnsi="宋体" w:cs="宋体" w:eastAsia="宋体" w:hint="default"/>
                <w:sz w:val="21"/>
                <w:szCs w:val="21"/>
              </w:rPr>
            </w:pPr>
            <w:r>
              <w:rPr>
                <w:rFonts w:ascii="宋体" w:hAnsi="宋体" w:cs="宋体" w:eastAsia="宋体" w:hint="default"/>
                <w:sz w:val="21"/>
                <w:szCs w:val="21"/>
              </w:rPr>
              <w:t>公司本</w:t>
            </w:r>
            <w:r>
              <w:rPr>
                <w:rFonts w:ascii="宋体" w:hAnsi="宋体" w:cs="宋体" w:eastAsia="宋体" w:hint="default"/>
                <w:spacing w:val="-102"/>
                <w:sz w:val="21"/>
                <w:szCs w:val="21"/>
              </w:rPr>
              <w:t> </w:t>
            </w:r>
            <w:r>
              <w:rPr>
                <w:rFonts w:ascii="宋体" w:hAnsi="宋体" w:cs="宋体" w:eastAsia="宋体" w:hint="default"/>
                <w:sz w:val="21"/>
                <w:szCs w:val="21"/>
              </w:rPr>
              <w:t>部</w:t>
            </w:r>
            <w:r>
              <w:rPr>
                <w:rFonts w:ascii="宋体" w:hAnsi="宋体" w:cs="宋体" w:eastAsia="宋体" w:hint="default"/>
                <w:sz w:val="21"/>
                <w:szCs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江西国科军</w:t>
            </w:r>
          </w:p>
          <w:p>
            <w:pPr>
              <w:pStyle w:val="TableParagraph"/>
              <w:spacing w:line="240" w:lineRule="auto"/>
              <w:ind w:left="26" w:right="211"/>
              <w:jc w:val="left"/>
              <w:rPr>
                <w:rFonts w:ascii="宋体" w:hAnsi="宋体" w:cs="宋体" w:eastAsia="宋体" w:hint="default"/>
                <w:sz w:val="21"/>
                <w:szCs w:val="21"/>
              </w:rPr>
            </w:pPr>
            <w:r>
              <w:rPr>
                <w:rFonts w:ascii="宋体" w:hAnsi="宋体" w:cs="宋体" w:eastAsia="宋体" w:hint="default"/>
                <w:sz w:val="21"/>
                <w:szCs w:val="21"/>
              </w:rPr>
              <w:t>工集团股份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r>
              <w:rPr>
                <w:rFonts w:ascii="宋体" w:hAnsi="宋体" w:cs="宋体" w:eastAsia="宋体" w:hint="default"/>
                <w:sz w:val="21"/>
                <w:szCs w:val="21"/>
              </w:rPr>
              <w:t> </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15"/>
              <w:jc w:val="right"/>
              <w:rPr>
                <w:rFonts w:ascii="Times New Roman" w:hAnsi="Times New Roman" w:cs="Times New Roman" w:eastAsia="Times New Roman" w:hint="default"/>
                <w:sz w:val="20"/>
                <w:szCs w:val="20"/>
              </w:rPr>
            </w:pPr>
            <w:r>
              <w:rPr>
                <w:rFonts w:ascii="Times New Roman"/>
                <w:sz w:val="20"/>
              </w:rPr>
              <w:t>900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6" w:right="0"/>
              <w:jc w:val="left"/>
              <w:rPr>
                <w:rFonts w:ascii="Times New Roman" w:hAnsi="Times New Roman" w:cs="Times New Roman" w:eastAsia="Times New Roman" w:hint="default"/>
                <w:sz w:val="20"/>
                <w:szCs w:val="20"/>
              </w:rPr>
            </w:pPr>
            <w:r>
              <w:rPr>
                <w:rFonts w:ascii="Times New Roman"/>
                <w:sz w:val="20"/>
              </w:rPr>
              <w:t>2018.12.7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6" w:right="0"/>
              <w:jc w:val="left"/>
              <w:rPr>
                <w:rFonts w:ascii="Times New Roman" w:hAnsi="Times New Roman" w:cs="Times New Roman" w:eastAsia="Times New Roman" w:hint="default"/>
                <w:sz w:val="20"/>
                <w:szCs w:val="20"/>
              </w:rPr>
            </w:pPr>
            <w:r>
              <w:rPr>
                <w:rFonts w:ascii="Times New Roman"/>
                <w:sz w:val="20"/>
              </w:rPr>
              <w:t>2018.12.7</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6" w:right="0"/>
              <w:jc w:val="left"/>
              <w:rPr>
                <w:rFonts w:ascii="Times New Roman" w:hAnsi="Times New Roman" w:cs="Times New Roman" w:eastAsia="Times New Roman" w:hint="default"/>
                <w:sz w:val="20"/>
                <w:szCs w:val="20"/>
              </w:rPr>
            </w:pPr>
            <w:r>
              <w:rPr>
                <w:rFonts w:ascii="Times New Roman"/>
                <w:sz w:val="20"/>
              </w:rPr>
              <w:t>2020.12.6</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19" w:right="17"/>
              <w:jc w:val="left"/>
              <w:rPr>
                <w:rFonts w:ascii="宋体" w:hAnsi="宋体" w:cs="宋体" w:eastAsia="宋体" w:hint="default"/>
                <w:sz w:val="21"/>
                <w:szCs w:val="21"/>
              </w:rPr>
            </w:pPr>
            <w:r>
              <w:rPr>
                <w:rFonts w:ascii="宋体" w:hAnsi="宋体" w:cs="宋体" w:eastAsia="宋体" w:hint="default"/>
                <w:sz w:val="21"/>
                <w:szCs w:val="21"/>
              </w:rPr>
              <w:t>连带责</w:t>
            </w:r>
            <w:r>
              <w:rPr>
                <w:rFonts w:ascii="宋体" w:hAnsi="宋体" w:cs="宋体" w:eastAsia="宋体" w:hint="default"/>
                <w:spacing w:val="-102"/>
                <w:sz w:val="21"/>
                <w:szCs w:val="21"/>
              </w:rPr>
              <w:t> </w:t>
            </w:r>
            <w:r>
              <w:rPr>
                <w:rFonts w:ascii="宋体" w:hAnsi="宋体" w:cs="宋体" w:eastAsia="宋体" w:hint="default"/>
                <w:sz w:val="21"/>
                <w:szCs w:val="21"/>
              </w:rPr>
              <w:t>任担保</w:t>
            </w:r>
            <w:r>
              <w:rPr>
                <w:rFonts w:ascii="宋体" w:hAnsi="宋体" w:cs="宋体" w:eastAsia="宋体" w:hint="default"/>
                <w:sz w:val="21"/>
                <w:szCs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4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45"/>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 w:right="0"/>
              <w:jc w:val="center"/>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45"/>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45"/>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联营公司</w:t>
            </w:r>
          </w:p>
        </w:tc>
      </w:tr>
      <w:tr>
        <w:trPr>
          <w:trHeight w:val="828"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泰豪科技</w:t>
            </w:r>
          </w:p>
          <w:p>
            <w:pPr>
              <w:pStyle w:val="TableParagraph"/>
              <w:spacing w:line="272" w:lineRule="exact" w:before="27"/>
              <w:ind w:left="26" w:right="207"/>
              <w:jc w:val="left"/>
              <w:rPr>
                <w:rFonts w:ascii="宋体" w:hAnsi="宋体" w:cs="宋体" w:eastAsia="宋体" w:hint="default"/>
                <w:sz w:val="21"/>
                <w:szCs w:val="21"/>
              </w:rPr>
            </w:pPr>
            <w:r>
              <w:rPr>
                <w:rFonts w:ascii="宋体" w:hAnsi="宋体" w:cs="宋体" w:eastAsia="宋体" w:hint="default"/>
                <w:sz w:val="21"/>
                <w:szCs w:val="21"/>
              </w:rPr>
              <w:t>股份有限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72"/>
              <w:jc w:val="left"/>
              <w:rPr>
                <w:rFonts w:ascii="宋体" w:hAnsi="宋体" w:cs="宋体" w:eastAsia="宋体" w:hint="default"/>
                <w:sz w:val="21"/>
                <w:szCs w:val="21"/>
              </w:rPr>
            </w:pPr>
            <w:r>
              <w:rPr>
                <w:rFonts w:ascii="宋体" w:hAnsi="宋体" w:cs="宋体" w:eastAsia="宋体" w:hint="default"/>
                <w:sz w:val="21"/>
                <w:szCs w:val="21"/>
              </w:rPr>
              <w:t>公司本</w:t>
            </w:r>
            <w:r>
              <w:rPr>
                <w:rFonts w:ascii="宋体" w:hAnsi="宋体" w:cs="宋体" w:eastAsia="宋体" w:hint="default"/>
                <w:spacing w:val="-102"/>
                <w:sz w:val="21"/>
                <w:szCs w:val="21"/>
              </w:rPr>
              <w:t> </w:t>
            </w:r>
            <w:r>
              <w:rPr>
                <w:rFonts w:ascii="宋体" w:hAnsi="宋体" w:cs="宋体" w:eastAsia="宋体" w:hint="default"/>
                <w:sz w:val="21"/>
                <w:szCs w:val="21"/>
              </w:rPr>
              <w:t>部</w:t>
            </w:r>
            <w:r>
              <w:rPr>
                <w:rFonts w:ascii="宋体" w:hAnsi="宋体" w:cs="宋体" w:eastAsia="宋体" w:hint="default"/>
                <w:sz w:val="21"/>
                <w:szCs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江西国科军</w:t>
            </w:r>
          </w:p>
          <w:p>
            <w:pPr>
              <w:pStyle w:val="TableParagraph"/>
              <w:spacing w:line="272" w:lineRule="exact" w:before="27"/>
              <w:ind w:left="26" w:right="211"/>
              <w:jc w:val="left"/>
              <w:rPr>
                <w:rFonts w:ascii="宋体" w:hAnsi="宋体" w:cs="宋体" w:eastAsia="宋体" w:hint="default"/>
                <w:sz w:val="21"/>
                <w:szCs w:val="21"/>
              </w:rPr>
            </w:pPr>
            <w:r>
              <w:rPr>
                <w:rFonts w:ascii="宋体" w:hAnsi="宋体" w:cs="宋体" w:eastAsia="宋体" w:hint="default"/>
                <w:sz w:val="21"/>
                <w:szCs w:val="21"/>
              </w:rPr>
              <w:t>工集团股份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r>
              <w:rPr>
                <w:rFonts w:ascii="宋体" w:hAnsi="宋体" w:cs="宋体" w:eastAsia="宋体" w:hint="default"/>
                <w:sz w:val="21"/>
                <w:szCs w:val="21"/>
              </w:rPr>
              <w:t> </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17"/>
              <w:jc w:val="right"/>
              <w:rPr>
                <w:rFonts w:ascii="Times New Roman" w:hAnsi="Times New Roman" w:cs="Times New Roman" w:eastAsia="Times New Roman" w:hint="default"/>
                <w:sz w:val="20"/>
                <w:szCs w:val="20"/>
              </w:rPr>
            </w:pPr>
            <w:r>
              <w:rPr>
                <w:rFonts w:ascii="Times New Roman"/>
                <w:sz w:val="20"/>
              </w:rPr>
              <w:t>1,500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6" w:right="0"/>
              <w:jc w:val="left"/>
              <w:rPr>
                <w:rFonts w:ascii="Times New Roman" w:hAnsi="Times New Roman" w:cs="Times New Roman" w:eastAsia="Times New Roman" w:hint="default"/>
                <w:sz w:val="20"/>
                <w:szCs w:val="20"/>
              </w:rPr>
            </w:pPr>
            <w:r>
              <w:rPr>
                <w:rFonts w:ascii="Times New Roman"/>
                <w:sz w:val="20"/>
              </w:rPr>
              <w:t>2019.3.22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6" w:right="0"/>
              <w:jc w:val="left"/>
              <w:rPr>
                <w:rFonts w:ascii="Times New Roman" w:hAnsi="Times New Roman" w:cs="Times New Roman" w:eastAsia="Times New Roman" w:hint="default"/>
                <w:sz w:val="20"/>
                <w:szCs w:val="20"/>
              </w:rPr>
            </w:pPr>
            <w:r>
              <w:rPr>
                <w:rFonts w:ascii="Times New Roman"/>
                <w:sz w:val="20"/>
              </w:rPr>
              <w:t>2019.3.22</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6" w:right="0"/>
              <w:jc w:val="left"/>
              <w:rPr>
                <w:rFonts w:ascii="Times New Roman" w:hAnsi="Times New Roman" w:cs="Times New Roman" w:eastAsia="Times New Roman" w:hint="default"/>
                <w:sz w:val="20"/>
                <w:szCs w:val="20"/>
              </w:rPr>
            </w:pPr>
            <w:r>
              <w:rPr>
                <w:rFonts w:ascii="Times New Roman"/>
                <w:sz w:val="20"/>
              </w:rPr>
              <w:t>2020.3.21</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9" w:right="17"/>
              <w:jc w:val="left"/>
              <w:rPr>
                <w:rFonts w:ascii="宋体" w:hAnsi="宋体" w:cs="宋体" w:eastAsia="宋体" w:hint="default"/>
                <w:sz w:val="21"/>
                <w:szCs w:val="21"/>
              </w:rPr>
            </w:pPr>
            <w:r>
              <w:rPr>
                <w:rFonts w:ascii="宋体" w:hAnsi="宋体" w:cs="宋体" w:eastAsia="宋体" w:hint="default"/>
                <w:sz w:val="21"/>
                <w:szCs w:val="21"/>
              </w:rPr>
              <w:t>连带责</w:t>
            </w:r>
            <w:r>
              <w:rPr>
                <w:rFonts w:ascii="宋体" w:hAnsi="宋体" w:cs="宋体" w:eastAsia="宋体" w:hint="default"/>
                <w:spacing w:val="-102"/>
                <w:sz w:val="21"/>
                <w:szCs w:val="21"/>
              </w:rPr>
              <w:t> </w:t>
            </w:r>
            <w:r>
              <w:rPr>
                <w:rFonts w:ascii="宋体" w:hAnsi="宋体" w:cs="宋体" w:eastAsia="宋体" w:hint="default"/>
                <w:sz w:val="21"/>
                <w:szCs w:val="21"/>
              </w:rPr>
              <w:t>任担保</w:t>
            </w:r>
            <w:r>
              <w:rPr>
                <w:rFonts w:ascii="宋体" w:hAnsi="宋体" w:cs="宋体" w:eastAsia="宋体" w:hint="default"/>
                <w:sz w:val="21"/>
                <w:szCs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5"/>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8" w:right="0"/>
              <w:jc w:val="center"/>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5"/>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5"/>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联营公司</w:t>
            </w:r>
          </w:p>
        </w:tc>
      </w:tr>
      <w:tr>
        <w:trPr>
          <w:trHeight w:val="826" w:hRule="exact"/>
        </w:trPr>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泰豪科技</w:t>
            </w:r>
          </w:p>
          <w:p>
            <w:pPr>
              <w:pStyle w:val="TableParagraph"/>
              <w:spacing w:line="272" w:lineRule="exact" w:before="27"/>
              <w:ind w:left="26" w:right="207"/>
              <w:jc w:val="left"/>
              <w:rPr>
                <w:rFonts w:ascii="宋体" w:hAnsi="宋体" w:cs="宋体" w:eastAsia="宋体" w:hint="default"/>
                <w:sz w:val="21"/>
                <w:szCs w:val="21"/>
              </w:rPr>
            </w:pPr>
            <w:r>
              <w:rPr>
                <w:rFonts w:ascii="宋体" w:hAnsi="宋体" w:cs="宋体" w:eastAsia="宋体" w:hint="default"/>
                <w:sz w:val="21"/>
                <w:szCs w:val="21"/>
              </w:rPr>
              <w:t>股份有限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6" w:right="72"/>
              <w:jc w:val="left"/>
              <w:rPr>
                <w:rFonts w:ascii="宋体" w:hAnsi="宋体" w:cs="宋体" w:eastAsia="宋体" w:hint="default"/>
                <w:sz w:val="21"/>
                <w:szCs w:val="21"/>
              </w:rPr>
            </w:pPr>
            <w:r>
              <w:rPr>
                <w:rFonts w:ascii="宋体" w:hAnsi="宋体" w:cs="宋体" w:eastAsia="宋体" w:hint="default"/>
                <w:sz w:val="21"/>
                <w:szCs w:val="21"/>
              </w:rPr>
              <w:t>公司本</w:t>
            </w:r>
            <w:r>
              <w:rPr>
                <w:rFonts w:ascii="宋体" w:hAnsi="宋体" w:cs="宋体" w:eastAsia="宋体" w:hint="default"/>
                <w:spacing w:val="-102"/>
                <w:sz w:val="21"/>
                <w:szCs w:val="21"/>
              </w:rPr>
              <w:t> </w:t>
            </w:r>
            <w:r>
              <w:rPr>
                <w:rFonts w:ascii="宋体" w:hAnsi="宋体" w:cs="宋体" w:eastAsia="宋体" w:hint="default"/>
                <w:sz w:val="21"/>
                <w:szCs w:val="21"/>
              </w:rPr>
              <w:t>部</w:t>
            </w:r>
            <w:r>
              <w:rPr>
                <w:rFonts w:ascii="宋体" w:hAnsi="宋体" w:cs="宋体" w:eastAsia="宋体" w:hint="default"/>
                <w:sz w:val="21"/>
                <w:szCs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江西特种电</w:t>
            </w:r>
          </w:p>
          <w:p>
            <w:pPr>
              <w:pStyle w:val="TableParagraph"/>
              <w:spacing w:line="272" w:lineRule="exact" w:before="27"/>
              <w:ind w:left="26" w:right="211"/>
              <w:jc w:val="left"/>
              <w:rPr>
                <w:rFonts w:ascii="宋体" w:hAnsi="宋体" w:cs="宋体" w:eastAsia="宋体" w:hint="default"/>
                <w:sz w:val="21"/>
                <w:szCs w:val="21"/>
              </w:rPr>
            </w:pPr>
            <w:r>
              <w:rPr>
                <w:rFonts w:ascii="宋体" w:hAnsi="宋体" w:cs="宋体" w:eastAsia="宋体" w:hint="default"/>
                <w:sz w:val="21"/>
                <w:szCs w:val="21"/>
              </w:rPr>
              <w:t>机股份有限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18"/>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6" w:right="0"/>
              <w:jc w:val="left"/>
              <w:rPr>
                <w:rFonts w:ascii="Times New Roman" w:hAnsi="Times New Roman" w:cs="Times New Roman" w:eastAsia="Times New Roman" w:hint="default"/>
                <w:sz w:val="20"/>
                <w:szCs w:val="20"/>
              </w:rPr>
            </w:pPr>
            <w:r>
              <w:rPr>
                <w:rFonts w:ascii="Times New Roman"/>
                <w:sz w:val="20"/>
              </w:rPr>
              <w:t>2019.3.10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6" w:right="0"/>
              <w:jc w:val="left"/>
              <w:rPr>
                <w:rFonts w:ascii="Times New Roman" w:hAnsi="Times New Roman" w:cs="Times New Roman" w:eastAsia="Times New Roman" w:hint="default"/>
                <w:sz w:val="20"/>
                <w:szCs w:val="20"/>
              </w:rPr>
            </w:pPr>
            <w:r>
              <w:rPr>
                <w:rFonts w:ascii="Times New Roman"/>
                <w:sz w:val="20"/>
              </w:rPr>
              <w:t>2019.3.10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6" w:right="0"/>
              <w:jc w:val="left"/>
              <w:rPr>
                <w:rFonts w:ascii="Times New Roman" w:hAnsi="Times New Roman" w:cs="Times New Roman" w:eastAsia="Times New Roman" w:hint="default"/>
                <w:sz w:val="20"/>
                <w:szCs w:val="20"/>
              </w:rPr>
            </w:pPr>
            <w:r>
              <w:rPr>
                <w:rFonts w:ascii="Times New Roman"/>
                <w:sz w:val="20"/>
              </w:rPr>
              <w:t>2020.3.9</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19" w:right="17"/>
              <w:jc w:val="left"/>
              <w:rPr>
                <w:rFonts w:ascii="宋体" w:hAnsi="宋体" w:cs="宋体" w:eastAsia="宋体" w:hint="default"/>
                <w:sz w:val="21"/>
                <w:szCs w:val="21"/>
              </w:rPr>
            </w:pPr>
            <w:r>
              <w:rPr>
                <w:rFonts w:ascii="宋体" w:hAnsi="宋体" w:cs="宋体" w:eastAsia="宋体" w:hint="default"/>
                <w:sz w:val="21"/>
                <w:szCs w:val="21"/>
              </w:rPr>
              <w:t>连带责</w:t>
            </w:r>
            <w:r>
              <w:rPr>
                <w:rFonts w:ascii="宋体" w:hAnsi="宋体" w:cs="宋体" w:eastAsia="宋体" w:hint="default"/>
                <w:spacing w:val="-102"/>
                <w:sz w:val="21"/>
                <w:szCs w:val="21"/>
              </w:rPr>
              <w:t> </w:t>
            </w:r>
            <w:r>
              <w:rPr>
                <w:rFonts w:ascii="宋体" w:hAnsi="宋体" w:cs="宋体" w:eastAsia="宋体" w:hint="default"/>
                <w:sz w:val="21"/>
                <w:szCs w:val="21"/>
              </w:rPr>
              <w:t>任担保</w:t>
            </w:r>
            <w:r>
              <w:rPr>
                <w:rFonts w:ascii="宋体" w:hAnsi="宋体" w:cs="宋体" w:eastAsia="宋体" w:hint="default"/>
                <w:sz w:val="21"/>
                <w:szCs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2"/>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5"/>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8" w:right="0"/>
              <w:jc w:val="center"/>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5"/>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5"/>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319" w:hRule="exact"/>
        </w:trPr>
        <w:tc>
          <w:tcPr>
            <w:tcW w:w="6361"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报告期内担保发生额合计（不包括对子公司的担保）</w:t>
            </w:r>
            <w:r>
              <w:rPr>
                <w:rFonts w:ascii="宋体" w:hAnsi="宋体" w:cs="宋体" w:eastAsia="宋体" w:hint="default"/>
                <w:sz w:val="21"/>
                <w:szCs w:val="21"/>
              </w:rPr>
              <w:t> </w:t>
            </w:r>
          </w:p>
        </w:tc>
        <w:tc>
          <w:tcPr>
            <w:tcW w:w="757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7"/>
              <w:jc w:val="right"/>
              <w:rPr>
                <w:rFonts w:ascii="Times New Roman" w:hAnsi="Times New Roman" w:cs="Times New Roman" w:eastAsia="Times New Roman" w:hint="default"/>
                <w:sz w:val="20"/>
                <w:szCs w:val="20"/>
              </w:rPr>
            </w:pPr>
            <w:r>
              <w:rPr>
                <w:rFonts w:ascii="Times New Roman"/>
                <w:w w:val="95"/>
                <w:sz w:val="20"/>
              </w:rPr>
              <w:t>11,500</w:t>
            </w:r>
            <w:r>
              <w:rPr>
                <w:rFonts w:ascii="Times New Roman"/>
                <w:sz w:val="20"/>
              </w:rPr>
            </w:r>
          </w:p>
        </w:tc>
      </w:tr>
      <w:tr>
        <w:trPr>
          <w:trHeight w:val="317" w:hRule="exact"/>
        </w:trPr>
        <w:tc>
          <w:tcPr>
            <w:tcW w:w="6361"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r>
              <w:rPr>
                <w:rFonts w:ascii="宋体" w:hAnsi="宋体" w:cs="宋体" w:eastAsia="宋体" w:hint="default"/>
                <w:sz w:val="21"/>
                <w:szCs w:val="21"/>
              </w:rPr>
              <w:t>A</w:t>
            </w:r>
            <w:r>
              <w:rPr>
                <w:rFonts w:ascii="宋体" w:hAnsi="宋体" w:cs="宋体" w:eastAsia="宋体" w:hint="default"/>
                <w:sz w:val="21"/>
                <w:szCs w:val="21"/>
              </w:rPr>
              <w:t>）（不包括对子公司的担保）</w:t>
            </w:r>
            <w:r>
              <w:rPr>
                <w:rFonts w:ascii="宋体" w:hAnsi="宋体" w:cs="宋体" w:eastAsia="宋体" w:hint="default"/>
                <w:sz w:val="21"/>
                <w:szCs w:val="21"/>
              </w:rPr>
              <w:t> </w:t>
            </w:r>
          </w:p>
        </w:tc>
        <w:tc>
          <w:tcPr>
            <w:tcW w:w="757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17"/>
              <w:jc w:val="right"/>
              <w:rPr>
                <w:rFonts w:ascii="Times New Roman" w:hAnsi="Times New Roman" w:cs="Times New Roman" w:eastAsia="Times New Roman" w:hint="default"/>
                <w:sz w:val="20"/>
                <w:szCs w:val="20"/>
              </w:rPr>
            </w:pPr>
            <w:r>
              <w:rPr>
                <w:rFonts w:ascii="Times New Roman"/>
                <w:w w:val="95"/>
                <w:sz w:val="20"/>
              </w:rPr>
              <w:t>13,000</w:t>
            </w:r>
            <w:r>
              <w:rPr>
                <w:rFonts w:ascii="Times New Roman"/>
                <w:sz w:val="20"/>
              </w:rPr>
            </w:r>
          </w:p>
        </w:tc>
      </w:tr>
      <w:tr>
        <w:trPr>
          <w:trHeight w:val="319" w:hRule="exact"/>
        </w:trPr>
        <w:tc>
          <w:tcPr>
            <w:tcW w:w="1393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r>
              <w:rPr>
                <w:rFonts w:ascii="宋体" w:hAnsi="宋体" w:cs="宋体" w:eastAsia="宋体" w:hint="default"/>
                <w:sz w:val="21"/>
                <w:szCs w:val="21"/>
              </w:rPr>
              <w:t> </w:t>
            </w:r>
          </w:p>
        </w:tc>
      </w:tr>
      <w:tr>
        <w:trPr>
          <w:trHeight w:val="317" w:hRule="exact"/>
        </w:trPr>
        <w:tc>
          <w:tcPr>
            <w:tcW w:w="6361" w:type="dxa"/>
            <w:gridSpan w:val="6"/>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757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17"/>
              <w:jc w:val="right"/>
              <w:rPr>
                <w:rFonts w:ascii="Times New Roman" w:hAnsi="Times New Roman" w:cs="Times New Roman" w:eastAsia="Times New Roman" w:hint="default"/>
                <w:sz w:val="20"/>
                <w:szCs w:val="20"/>
              </w:rPr>
            </w:pPr>
            <w:r>
              <w:rPr>
                <w:rFonts w:ascii="Times New Roman"/>
                <w:w w:val="95"/>
                <w:sz w:val="20"/>
              </w:rPr>
              <w:t>104,971</w:t>
            </w:r>
            <w:r>
              <w:rPr>
                <w:rFonts w:ascii="Times New Roman"/>
                <w:sz w:val="20"/>
              </w:rPr>
            </w:r>
          </w:p>
        </w:tc>
      </w:tr>
      <w:tr>
        <w:trPr>
          <w:trHeight w:val="319" w:hRule="exact"/>
        </w:trPr>
        <w:tc>
          <w:tcPr>
            <w:tcW w:w="6361"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757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7"/>
              <w:jc w:val="right"/>
              <w:rPr>
                <w:rFonts w:ascii="Times New Roman" w:hAnsi="Times New Roman" w:cs="Times New Roman" w:eastAsia="Times New Roman" w:hint="default"/>
                <w:sz w:val="20"/>
                <w:szCs w:val="20"/>
              </w:rPr>
            </w:pPr>
            <w:r>
              <w:rPr>
                <w:rFonts w:ascii="Times New Roman"/>
                <w:w w:val="95"/>
                <w:sz w:val="20"/>
              </w:rPr>
              <w:t>116,389</w:t>
            </w:r>
            <w:r>
              <w:rPr>
                <w:rFonts w:ascii="Times New Roman"/>
                <w:sz w:val="20"/>
              </w:rPr>
            </w:r>
          </w:p>
        </w:tc>
      </w:tr>
      <w:tr>
        <w:trPr>
          <w:trHeight w:val="319" w:hRule="exact"/>
        </w:trPr>
        <w:tc>
          <w:tcPr>
            <w:tcW w:w="1393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 w:right="0"/>
              <w:jc w:val="center"/>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r>
              <w:rPr>
                <w:rFonts w:ascii="宋体" w:hAnsi="宋体" w:cs="宋体" w:eastAsia="宋体" w:hint="default"/>
                <w:sz w:val="21"/>
                <w:szCs w:val="21"/>
              </w:rPr>
              <w:t> </w:t>
            </w:r>
          </w:p>
        </w:tc>
      </w:tr>
    </w:tbl>
    <w:p>
      <w:pPr>
        <w:spacing w:after="0" w:line="260" w:lineRule="exact"/>
        <w:jc w:val="center"/>
        <w:rPr>
          <w:rFonts w:ascii="宋体" w:hAnsi="宋体" w:cs="宋体" w:eastAsia="宋体" w:hint="default"/>
          <w:sz w:val="21"/>
          <w:szCs w:val="21"/>
        </w:rPr>
        <w:sectPr>
          <w:type w:val="continuous"/>
          <w:pgSz w:w="16840" w:h="11910" w:orient="landscape"/>
          <w:pgMar w:top="1120" w:bottom="1380" w:left="1380" w:right="1220"/>
        </w:sectPr>
      </w:pPr>
    </w:p>
    <w:p>
      <w:pPr>
        <w:spacing w:line="240" w:lineRule="auto" w:before="10"/>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6361"/>
        <w:gridCol w:w="7575"/>
      </w:tblGrid>
      <w:tr>
        <w:trPr>
          <w:trHeight w:val="480" w:hRule="exact"/>
        </w:trPr>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r>
              <w:rPr>
                <w:rFonts w:ascii="宋体" w:hAnsi="宋体" w:cs="宋体" w:eastAsia="宋体" w:hint="default"/>
                <w:sz w:val="21"/>
                <w:szCs w:val="21"/>
              </w:rPr>
              <w:t> </w:t>
            </w:r>
          </w:p>
        </w:tc>
        <w:tc>
          <w:tcPr>
            <w:tcW w:w="7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Times New Roman" w:hAnsi="Times New Roman" w:cs="Times New Roman" w:eastAsia="Times New Roman" w:hint="default"/>
                <w:sz w:val="20"/>
                <w:szCs w:val="20"/>
              </w:rPr>
            </w:pPr>
            <w:r>
              <w:rPr>
                <w:rFonts w:ascii="Times New Roman"/>
                <w:w w:val="95"/>
                <w:sz w:val="20"/>
              </w:rPr>
              <w:t>129,389</w:t>
            </w:r>
            <w:r>
              <w:rPr>
                <w:rFonts w:ascii="Times New Roman"/>
                <w:sz w:val="20"/>
              </w:rPr>
            </w:r>
          </w:p>
        </w:tc>
      </w:tr>
      <w:tr>
        <w:trPr>
          <w:trHeight w:val="317" w:hRule="exact"/>
        </w:trPr>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 </w:t>
            </w:r>
          </w:p>
        </w:tc>
        <w:tc>
          <w:tcPr>
            <w:tcW w:w="757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2"/>
              <w:jc w:val="right"/>
              <w:rPr>
                <w:rFonts w:ascii="宋体" w:hAnsi="宋体" w:cs="宋体" w:eastAsia="宋体" w:hint="default"/>
                <w:sz w:val="21"/>
                <w:szCs w:val="21"/>
              </w:rPr>
            </w:pPr>
            <w:r>
              <w:rPr>
                <w:rFonts w:ascii="宋体"/>
                <w:spacing w:val="-1"/>
                <w:sz w:val="21"/>
              </w:rPr>
              <w:t>32.47</w:t>
            </w:r>
            <w:r>
              <w:rPr>
                <w:rFonts w:ascii="宋体"/>
                <w:sz w:val="21"/>
              </w:rPr>
              <w:t> </w:t>
            </w:r>
          </w:p>
        </w:tc>
      </w:tr>
      <w:tr>
        <w:trPr>
          <w:trHeight w:val="319" w:hRule="exact"/>
        </w:trPr>
        <w:tc>
          <w:tcPr>
            <w:tcW w:w="139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317" w:hRule="exact"/>
        </w:trPr>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r>
              <w:rPr>
                <w:rFonts w:ascii="宋体" w:hAnsi="宋体" w:cs="宋体" w:eastAsia="宋体" w:hint="default"/>
                <w:sz w:val="21"/>
                <w:szCs w:val="21"/>
              </w:rPr>
              <w:t>C</w:t>
            </w:r>
            <w:r>
              <w:rPr>
                <w:rFonts w:ascii="宋体" w:hAnsi="宋体" w:cs="宋体" w:eastAsia="宋体" w:hint="default"/>
                <w:sz w:val="21"/>
                <w:szCs w:val="21"/>
              </w:rPr>
              <w:t>）</w:t>
            </w:r>
            <w:r>
              <w:rPr>
                <w:rFonts w:ascii="宋体" w:hAnsi="宋体" w:cs="宋体" w:eastAsia="宋体" w:hint="default"/>
                <w:sz w:val="21"/>
                <w:szCs w:val="21"/>
              </w:rPr>
              <w:t> </w:t>
            </w:r>
          </w:p>
        </w:tc>
        <w:tc>
          <w:tcPr>
            <w:tcW w:w="757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2"/>
              <w:jc w:val="right"/>
              <w:rPr>
                <w:rFonts w:ascii="宋体" w:hAnsi="宋体" w:cs="宋体" w:eastAsia="宋体" w:hint="default"/>
                <w:sz w:val="21"/>
                <w:szCs w:val="21"/>
              </w:rPr>
            </w:pPr>
            <w:r>
              <w:rPr>
                <w:rFonts w:ascii="宋体"/>
                <w:w w:val="100"/>
                <w:sz w:val="21"/>
              </w:rPr>
              <w:t> </w:t>
            </w:r>
          </w:p>
        </w:tc>
      </w:tr>
      <w:tr>
        <w:trPr>
          <w:trHeight w:val="554" w:hRule="exact"/>
        </w:trPr>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z w:val="21"/>
                <w:szCs w:val="21"/>
              </w:rPr>
              <w:t>70%</w:t>
            </w:r>
            <w:r>
              <w:rPr>
                <w:rFonts w:ascii="宋体" w:hAnsi="宋体" w:cs="宋体" w:eastAsia="宋体" w:hint="default"/>
                <w:sz w:val="21"/>
                <w:szCs w:val="21"/>
              </w:rPr>
              <w:t>的被担保对象提供的债务担保金额</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D</w:t>
            </w:r>
            <w:r>
              <w:rPr>
                <w:rFonts w:ascii="宋体" w:hAnsi="宋体" w:cs="宋体" w:eastAsia="宋体" w:hint="default"/>
                <w:sz w:val="21"/>
                <w:szCs w:val="21"/>
              </w:rPr>
              <w:t>）</w:t>
            </w:r>
            <w:r>
              <w:rPr>
                <w:rFonts w:ascii="宋体" w:hAnsi="宋体" w:cs="宋体" w:eastAsia="宋体" w:hint="default"/>
                <w:sz w:val="21"/>
                <w:szCs w:val="21"/>
              </w:rPr>
              <w:t> </w:t>
            </w:r>
          </w:p>
        </w:tc>
        <w:tc>
          <w:tcPr>
            <w:tcW w:w="7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
              <w:jc w:val="right"/>
              <w:rPr>
                <w:rFonts w:ascii="宋体" w:hAnsi="宋体" w:cs="宋体" w:eastAsia="宋体" w:hint="default"/>
                <w:sz w:val="21"/>
                <w:szCs w:val="21"/>
              </w:rPr>
            </w:pPr>
            <w:r>
              <w:rPr>
                <w:rFonts w:ascii="宋体"/>
                <w:spacing w:val="-1"/>
                <w:sz w:val="21"/>
              </w:rPr>
              <w:t>53,582</w:t>
            </w:r>
            <w:r>
              <w:rPr>
                <w:rFonts w:ascii="宋体"/>
                <w:sz w:val="21"/>
              </w:rPr>
              <w:t> </w:t>
            </w:r>
          </w:p>
        </w:tc>
      </w:tr>
      <w:tr>
        <w:trPr>
          <w:trHeight w:val="319" w:hRule="exact"/>
        </w:trPr>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z w:val="21"/>
                <w:szCs w:val="21"/>
              </w:rPr>
              <w:t>50%</w:t>
            </w:r>
            <w:r>
              <w:rPr>
                <w:rFonts w:ascii="宋体" w:hAnsi="宋体" w:cs="宋体" w:eastAsia="宋体" w:hint="default"/>
                <w:sz w:val="21"/>
                <w:szCs w:val="21"/>
              </w:rPr>
              <w:t>部分的金额（</w:t>
            </w:r>
            <w:r>
              <w:rPr>
                <w:rFonts w:ascii="宋体" w:hAnsi="宋体" w:cs="宋体" w:eastAsia="宋体" w:hint="default"/>
                <w:sz w:val="21"/>
                <w:szCs w:val="21"/>
              </w:rPr>
              <w:t>E</w:t>
            </w:r>
            <w:r>
              <w:rPr>
                <w:rFonts w:ascii="宋体" w:hAnsi="宋体" w:cs="宋体" w:eastAsia="宋体" w:hint="default"/>
                <w:sz w:val="21"/>
                <w:szCs w:val="21"/>
              </w:rPr>
              <w:t>）</w:t>
            </w:r>
            <w:r>
              <w:rPr>
                <w:rFonts w:ascii="宋体" w:hAnsi="宋体" w:cs="宋体" w:eastAsia="宋体" w:hint="default"/>
                <w:sz w:val="21"/>
                <w:szCs w:val="21"/>
              </w:rPr>
              <w:t> </w:t>
            </w:r>
          </w:p>
        </w:tc>
        <w:tc>
          <w:tcPr>
            <w:tcW w:w="75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2"/>
              <w:jc w:val="right"/>
              <w:rPr>
                <w:rFonts w:ascii="宋体" w:hAnsi="宋体" w:cs="宋体" w:eastAsia="宋体" w:hint="default"/>
                <w:sz w:val="21"/>
                <w:szCs w:val="21"/>
              </w:rPr>
            </w:pPr>
            <w:r>
              <w:rPr>
                <w:rFonts w:ascii="宋体"/>
                <w:w w:val="100"/>
                <w:sz w:val="21"/>
              </w:rPr>
              <w:t> </w:t>
            </w:r>
          </w:p>
        </w:tc>
      </w:tr>
      <w:tr>
        <w:trPr>
          <w:trHeight w:val="317" w:hRule="exact"/>
        </w:trPr>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r>
              <w:rPr>
                <w:rFonts w:ascii="宋体" w:hAnsi="宋体" w:cs="宋体" w:eastAsia="宋体" w:hint="default"/>
                <w:sz w:val="21"/>
                <w:szCs w:val="21"/>
              </w:rPr>
              <w:t> </w:t>
            </w:r>
          </w:p>
        </w:tc>
        <w:tc>
          <w:tcPr>
            <w:tcW w:w="757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2"/>
              <w:jc w:val="right"/>
              <w:rPr>
                <w:rFonts w:ascii="宋体" w:hAnsi="宋体" w:cs="宋体" w:eastAsia="宋体" w:hint="default"/>
                <w:sz w:val="21"/>
                <w:szCs w:val="21"/>
              </w:rPr>
            </w:pPr>
            <w:r>
              <w:rPr>
                <w:rFonts w:ascii="宋体"/>
                <w:spacing w:val="-1"/>
                <w:sz w:val="21"/>
              </w:rPr>
              <w:t>53,582</w:t>
            </w:r>
            <w:r>
              <w:rPr>
                <w:rFonts w:ascii="宋体"/>
                <w:sz w:val="21"/>
              </w:rPr>
              <w:t> </w:t>
            </w:r>
          </w:p>
        </w:tc>
      </w:tr>
      <w:tr>
        <w:trPr>
          <w:trHeight w:val="319" w:hRule="exact"/>
        </w:trPr>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75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w w:val="100"/>
                <w:sz w:val="21"/>
              </w:rPr>
              <w:t> </w:t>
            </w:r>
          </w:p>
        </w:tc>
      </w:tr>
      <w:tr>
        <w:trPr>
          <w:trHeight w:val="317" w:hRule="exact"/>
        </w:trPr>
        <w:tc>
          <w:tcPr>
            <w:tcW w:w="636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担保情况说明</w:t>
            </w:r>
            <w:r>
              <w:rPr>
                <w:rFonts w:ascii="宋体" w:hAnsi="宋体" w:cs="宋体" w:eastAsia="宋体" w:hint="default"/>
                <w:sz w:val="21"/>
                <w:szCs w:val="21"/>
              </w:rPr>
              <w:t> </w:t>
            </w:r>
          </w:p>
        </w:tc>
        <w:tc>
          <w:tcPr>
            <w:tcW w:w="757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6" w:right="0"/>
              <w:jc w:val="left"/>
              <w:rPr>
                <w:rFonts w:ascii="宋体" w:hAnsi="宋体" w:cs="宋体" w:eastAsia="宋体" w:hint="default"/>
                <w:sz w:val="21"/>
                <w:szCs w:val="21"/>
              </w:rPr>
            </w:pPr>
            <w:r>
              <w:rPr>
                <w:rFonts w:ascii="宋体"/>
                <w:w w:val="100"/>
                <w:sz w:val="21"/>
              </w:rPr>
              <w:t> </w:t>
            </w:r>
          </w:p>
        </w:tc>
      </w:tr>
    </w:tbl>
    <w:p>
      <w:pPr>
        <w:pStyle w:val="Heading3"/>
        <w:spacing w:line="274" w:lineRule="exact"/>
        <w:ind w:left="144" w:right="0"/>
        <w:jc w:val="left"/>
        <w:rPr>
          <w:rFonts w:ascii="宋体" w:hAnsi="宋体" w:cs="宋体" w:eastAsia="宋体" w:hint="default"/>
        </w:rPr>
      </w:pPr>
      <w:r>
        <w:rPr>
          <w:rFonts w:ascii="宋体"/>
        </w:rPr>
        <w:t> </w:t>
      </w:r>
    </w:p>
    <w:p>
      <w:pPr>
        <w:pStyle w:val="Heading5"/>
        <w:tabs>
          <w:tab w:pos="569" w:val="left" w:leader="none"/>
          <w:tab w:pos="984" w:val="left" w:leader="none"/>
        </w:tabs>
        <w:spacing w:line="290" w:lineRule="auto"/>
        <w:ind w:left="144" w:right="10028"/>
        <w:jc w:val="left"/>
        <w:rPr>
          <w:rFonts w:ascii="宋体" w:hAnsi="宋体" w:cs="宋体" w:eastAsia="宋体" w:hint="default"/>
          <w:b w:val="0"/>
          <w:bCs w:val="0"/>
        </w:rPr>
      </w:pPr>
      <w:r>
        <w:rPr>
          <w:rFonts w:ascii="宋体" w:hAnsi="宋体" w:cs="宋体" w:eastAsia="宋体" w:hint="default"/>
          <w:w w:val="95"/>
        </w:rPr>
        <w:t>(</w:t>
      </w:r>
      <w:r>
        <w:rPr>
          <w:w w:val="95"/>
        </w:rPr>
        <w:t>三</w:t>
      </w:r>
      <w:r>
        <w:rPr>
          <w:rFonts w:ascii="宋体" w:hAnsi="宋体" w:cs="宋体" w:eastAsia="宋体" w:hint="default"/>
          <w:w w:val="95"/>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rFonts w:ascii="宋体" w:hAnsi="宋体" w:cs="宋体" w:eastAsia="宋体" w:hint="default"/>
          <w:w w:val="99"/>
        </w:rPr>
        <w:t> </w:t>
      </w:r>
      <w:r>
        <w:rPr>
          <w:rFonts w:ascii="宋体" w:hAnsi="宋体" w:cs="宋体" w:eastAsia="宋体" w:hint="default"/>
          <w:b w:val="0"/>
          <w:bCs w:val="0"/>
        </w:rPr>
      </w:r>
    </w:p>
    <w:p>
      <w:pPr>
        <w:pStyle w:val="Heading5"/>
        <w:spacing w:line="240" w:lineRule="auto" w:before="12"/>
        <w:ind w:left="144" w:right="0"/>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spacing w:line="310" w:lineRule="exact" w:before="85"/>
        <w:ind w:left="144" w:right="11171"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其他情况</w:t>
      </w:r>
      <w:r>
        <w:rPr>
          <w:rFonts w:ascii="宋体" w:hAnsi="宋体" w:cs="宋体" w:eastAsia="宋体" w:hint="default"/>
          <w:b/>
          <w:bCs/>
          <w:w w:val="99"/>
          <w:sz w:val="24"/>
          <w:szCs w:val="24"/>
        </w:rPr>
        <w:t> </w:t>
      </w:r>
      <w:r>
        <w:rPr>
          <w:rFonts w:ascii="宋体" w:hAnsi="宋体" w:cs="宋体" w:eastAsia="宋体" w:hint="default"/>
          <w:sz w:val="24"/>
          <w:szCs w:val="24"/>
        </w:rPr>
      </w:r>
    </w:p>
    <w:p>
      <w:pPr>
        <w:pStyle w:val="Heading3"/>
        <w:spacing w:line="283" w:lineRule="exact"/>
        <w:ind w:left="144"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144" w:right="0"/>
        <w:jc w:val="left"/>
        <w:rPr>
          <w:rFonts w:ascii="宋体" w:hAnsi="宋体" w:cs="宋体" w:eastAsia="宋体" w:hint="default"/>
        </w:rPr>
      </w:pPr>
      <w:r>
        <w:rPr>
          <w:rFonts w:ascii="宋体"/>
        </w:rPr>
        <w:t> </w:t>
      </w:r>
    </w:p>
    <w:p>
      <w:pPr>
        <w:pStyle w:val="Heading5"/>
        <w:spacing w:line="240" w:lineRule="auto" w:before="61"/>
        <w:ind w:left="144" w:right="0"/>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spacing w:line="310" w:lineRule="exact" w:before="85"/>
        <w:ind w:left="144" w:right="11171"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其他情况</w:t>
      </w:r>
      <w:r>
        <w:rPr>
          <w:rFonts w:ascii="宋体" w:hAnsi="宋体" w:cs="宋体" w:eastAsia="宋体" w:hint="default"/>
          <w:b/>
          <w:bCs/>
          <w:w w:val="99"/>
          <w:sz w:val="24"/>
          <w:szCs w:val="24"/>
        </w:rPr>
        <w:t> </w:t>
      </w:r>
      <w:r>
        <w:rPr>
          <w:rFonts w:ascii="宋体" w:hAnsi="宋体" w:cs="宋体" w:eastAsia="宋体" w:hint="default"/>
          <w:sz w:val="24"/>
          <w:szCs w:val="24"/>
        </w:rPr>
      </w:r>
    </w:p>
    <w:p>
      <w:pPr>
        <w:pStyle w:val="Heading3"/>
        <w:spacing w:line="283" w:lineRule="exact"/>
        <w:ind w:left="144"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144" w:right="0"/>
        <w:jc w:val="left"/>
        <w:rPr>
          <w:rFonts w:ascii="宋体" w:hAnsi="宋体" w:cs="宋体" w:eastAsia="宋体" w:hint="default"/>
        </w:rPr>
      </w:pPr>
      <w:r>
        <w:rPr>
          <w:rFonts w:ascii="宋体"/>
        </w:rPr>
        <w:t> </w:t>
      </w:r>
    </w:p>
    <w:p>
      <w:pPr>
        <w:pStyle w:val="Heading5"/>
        <w:spacing w:line="240" w:lineRule="auto"/>
        <w:ind w:left="144" w:right="0"/>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pStyle w:val="Heading3"/>
        <w:spacing w:line="313" w:lineRule="exact" w:before="50"/>
        <w:ind w:left="144"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144"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pgSz w:w="16840" w:h="11910" w:orient="landscape"/>
          <w:pgMar w:header="880" w:footer="1195" w:top="1120" w:bottom="1380" w:left="1380" w:right="1280"/>
        </w:sectPr>
      </w:pPr>
    </w:p>
    <w:p>
      <w:pPr>
        <w:pStyle w:val="Heading5"/>
        <w:tabs>
          <w:tab w:pos="649" w:val="left" w:leader="none"/>
        </w:tabs>
        <w:spacing w:line="240" w:lineRule="auto" w:before="120"/>
        <w:ind w:left="224" w:right="0"/>
        <w:jc w:val="left"/>
        <w:rPr>
          <w:rFonts w:ascii="宋体" w:hAnsi="宋体" w:cs="宋体" w:eastAsia="宋体" w:hint="default"/>
          <w:b w:val="0"/>
          <w:bCs w:val="0"/>
        </w:rPr>
      </w:pPr>
      <w:r>
        <w:rPr>
          <w:rFonts w:ascii="宋体" w:hAnsi="宋体" w:cs="宋体" w:eastAsia="宋体" w:hint="default"/>
          <w:w w:val="95"/>
        </w:rPr>
        <w:t>2.</w:t>
        <w:tab/>
      </w:r>
      <w:r>
        <w:rPr/>
        <w:t>委托贷款情况</w:t>
      </w:r>
      <w:r>
        <w:rPr>
          <w:rFonts w:ascii="宋体" w:hAnsi="宋体" w:cs="宋体" w:eastAsia="宋体" w:hint="default"/>
          <w:w w:val="99"/>
        </w:rPr>
        <w:t> </w:t>
      </w:r>
      <w:r>
        <w:rPr>
          <w:rFonts w:ascii="宋体" w:hAnsi="宋体" w:cs="宋体" w:eastAsia="宋体" w:hint="default"/>
          <w:b w:val="0"/>
          <w:bCs w:val="0"/>
        </w:rPr>
      </w:r>
    </w:p>
    <w:p>
      <w:pPr>
        <w:pStyle w:val="Heading5"/>
        <w:spacing w:line="240" w:lineRule="auto" w:before="56"/>
        <w:ind w:left="224" w:right="0"/>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pStyle w:val="Heading3"/>
        <w:spacing w:line="240" w:lineRule="auto" w:before="52"/>
        <w:ind w:left="224"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35"/>
          <w:szCs w:val="35"/>
        </w:rPr>
      </w:pPr>
    </w:p>
    <w:p>
      <w:pPr>
        <w:pStyle w:val="Heading3"/>
        <w:spacing w:line="240" w:lineRule="auto"/>
        <w:ind w:left="224"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pgSz w:w="16840" w:h="11910" w:orient="landscape"/>
          <w:pgMar w:header="880" w:footer="1195" w:top="1120" w:bottom="1380" w:left="1300" w:right="1220"/>
          <w:cols w:num="2" w:equalWidth="0">
            <w:col w:w="2385" w:space="8849"/>
            <w:col w:w="3086"/>
          </w:cols>
        </w:sectPr>
      </w:pP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742"/>
        <w:gridCol w:w="2451"/>
        <w:gridCol w:w="2160"/>
        <w:gridCol w:w="2412"/>
        <w:gridCol w:w="3325"/>
      </w:tblGrid>
      <w:tr>
        <w:trPr>
          <w:trHeight w:val="283" w:hRule="exact"/>
        </w:trPr>
        <w:tc>
          <w:tcPr>
            <w:tcW w:w="3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center"/>
              <w:rPr>
                <w:rFonts w:ascii="宋体" w:hAnsi="宋体" w:cs="宋体" w:eastAsia="宋体" w:hint="default"/>
                <w:sz w:val="21"/>
                <w:szCs w:val="21"/>
              </w:rPr>
            </w:pPr>
            <w:r>
              <w:rPr>
                <w:rFonts w:ascii="宋体" w:hAnsi="宋体" w:cs="宋体" w:eastAsia="宋体" w:hint="default"/>
                <w:sz w:val="21"/>
                <w:szCs w:val="21"/>
              </w:rPr>
              <w:t>类型</w:t>
            </w:r>
            <w:r>
              <w:rPr>
                <w:rFonts w:ascii="宋体" w:hAnsi="宋体" w:cs="宋体" w:eastAsia="宋体" w:hint="default"/>
                <w:sz w:val="21"/>
                <w:szCs w:val="21"/>
              </w:rPr>
              <w:t> </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2" w:right="0"/>
              <w:jc w:val="left"/>
              <w:rPr>
                <w:rFonts w:ascii="宋体" w:hAnsi="宋体" w:cs="宋体" w:eastAsia="宋体" w:hint="default"/>
                <w:sz w:val="21"/>
                <w:szCs w:val="21"/>
              </w:rPr>
            </w:pPr>
            <w:r>
              <w:rPr>
                <w:rFonts w:ascii="宋体" w:hAnsi="宋体" w:cs="宋体" w:eastAsia="宋体" w:hint="default"/>
                <w:sz w:val="21"/>
                <w:szCs w:val="21"/>
              </w:rPr>
              <w:t>资金来源</w:t>
            </w:r>
            <w:r>
              <w:rPr>
                <w:rFonts w:ascii="宋体" w:hAnsi="宋体" w:cs="宋体" w:eastAsia="宋体" w:hint="default"/>
                <w:sz w:val="21"/>
                <w:szCs w:val="21"/>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8" w:right="0"/>
              <w:jc w:val="left"/>
              <w:rPr>
                <w:rFonts w:ascii="宋体" w:hAnsi="宋体" w:cs="宋体" w:eastAsia="宋体" w:hint="default"/>
                <w:sz w:val="21"/>
                <w:szCs w:val="21"/>
              </w:rPr>
            </w:pPr>
            <w:r>
              <w:rPr>
                <w:rFonts w:ascii="宋体" w:hAnsi="宋体" w:cs="宋体" w:eastAsia="宋体" w:hint="default"/>
                <w:sz w:val="21"/>
                <w:szCs w:val="21"/>
              </w:rPr>
              <w:t>发生额</w:t>
            </w:r>
            <w:r>
              <w:rPr>
                <w:rFonts w:ascii="宋体" w:hAnsi="宋体" w:cs="宋体" w:eastAsia="宋体" w:hint="default"/>
                <w:sz w:val="21"/>
                <w:szCs w:val="21"/>
              </w:rPr>
              <w:t> </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sz w:val="21"/>
                <w:szCs w:val="21"/>
              </w:rPr>
              <w:t>未到期余额</w:t>
            </w:r>
            <w:r>
              <w:rPr>
                <w:rFonts w:ascii="宋体" w:hAnsi="宋体" w:cs="宋体" w:eastAsia="宋体" w:hint="default"/>
                <w:sz w:val="21"/>
                <w:szCs w:val="21"/>
              </w:rPr>
              <w:t> </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2" w:right="0"/>
              <w:jc w:val="left"/>
              <w:rPr>
                <w:rFonts w:ascii="宋体" w:hAnsi="宋体" w:cs="宋体" w:eastAsia="宋体" w:hint="default"/>
                <w:sz w:val="21"/>
                <w:szCs w:val="21"/>
              </w:rPr>
            </w:pPr>
            <w:r>
              <w:rPr>
                <w:rFonts w:ascii="宋体" w:hAnsi="宋体" w:cs="宋体" w:eastAsia="宋体" w:hint="default"/>
                <w:sz w:val="21"/>
                <w:szCs w:val="21"/>
              </w:rPr>
              <w:t>逾期未收回金额</w:t>
            </w:r>
            <w:r>
              <w:rPr>
                <w:rFonts w:ascii="宋体" w:hAnsi="宋体" w:cs="宋体" w:eastAsia="宋体" w:hint="default"/>
                <w:sz w:val="21"/>
                <w:szCs w:val="21"/>
              </w:rPr>
              <w:t> </w:t>
            </w:r>
          </w:p>
        </w:tc>
      </w:tr>
      <w:tr>
        <w:trPr>
          <w:trHeight w:val="281" w:hRule="exact"/>
        </w:trPr>
        <w:tc>
          <w:tcPr>
            <w:tcW w:w="3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江西泰豪紫荆公寓公租房项目</w:t>
            </w:r>
            <w:r>
              <w:rPr>
                <w:rFonts w:ascii="宋体" w:hAnsi="宋体" w:cs="宋体" w:eastAsia="宋体" w:hint="default"/>
                <w:sz w:val="21"/>
                <w:szCs w:val="21"/>
              </w:rPr>
              <w:t> </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自有资金</w:t>
            </w:r>
            <w:r>
              <w:rPr>
                <w:rFonts w:ascii="宋体" w:hAnsi="宋体" w:cs="宋体" w:eastAsia="宋体" w:hint="default"/>
                <w:sz w:val="21"/>
                <w:szCs w:val="21"/>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46" w:right="0"/>
              <w:jc w:val="left"/>
              <w:rPr>
                <w:rFonts w:ascii="Times New Roman" w:hAnsi="Times New Roman" w:cs="Times New Roman" w:eastAsia="Times New Roman" w:hint="default"/>
                <w:sz w:val="20"/>
                <w:szCs w:val="20"/>
              </w:rPr>
            </w:pPr>
            <w:r>
              <w:rPr>
                <w:rFonts w:ascii="Times New Roman"/>
                <w:sz w:val="20"/>
              </w:rPr>
              <w:t>170,000,000</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298" w:right="0"/>
              <w:jc w:val="left"/>
              <w:rPr>
                <w:rFonts w:ascii="Times New Roman" w:hAnsi="Times New Roman" w:cs="Times New Roman" w:eastAsia="Times New Roman" w:hint="default"/>
                <w:sz w:val="20"/>
                <w:szCs w:val="20"/>
              </w:rPr>
            </w:pPr>
            <w:r>
              <w:rPr>
                <w:rFonts w:ascii="Times New Roman"/>
                <w:sz w:val="20"/>
              </w:rPr>
              <w:t>170,000,000</w:t>
            </w:r>
          </w:p>
        </w:tc>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6840" w:h="11910" w:orient="landscape"/>
          <w:pgMar w:top="1120" w:bottom="1380" w:left="1300" w:right="1220"/>
        </w:sectPr>
      </w:pPr>
    </w:p>
    <w:p>
      <w:pPr>
        <w:pStyle w:val="Heading3"/>
        <w:spacing w:line="273" w:lineRule="exact"/>
        <w:ind w:left="224" w:right="0"/>
        <w:jc w:val="left"/>
        <w:rPr>
          <w:rFonts w:ascii="宋体" w:hAnsi="宋体" w:cs="宋体" w:eastAsia="宋体" w:hint="default"/>
        </w:rPr>
      </w:pPr>
      <w:r>
        <w:rPr>
          <w:rFonts w:ascii="宋体"/>
        </w:rPr>
        <w:t> </w:t>
      </w:r>
    </w:p>
    <w:p>
      <w:pPr>
        <w:pStyle w:val="Heading2"/>
        <w:spacing w:line="312" w:lineRule="exact"/>
        <w:ind w:left="224" w:right="0"/>
        <w:jc w:val="left"/>
        <w:rPr>
          <w:rFonts w:ascii="宋体" w:hAnsi="宋体" w:cs="宋体" w:eastAsia="宋体" w:hint="default"/>
          <w:b w:val="0"/>
          <w:bCs w:val="0"/>
        </w:rPr>
      </w:pPr>
      <w:r>
        <w:rPr/>
        <w:t>其他情况</w:t>
      </w:r>
      <w:r>
        <w:rPr>
          <w:rFonts w:ascii="宋体" w:hAnsi="宋体" w:cs="宋体" w:eastAsia="宋体" w:hint="default"/>
          <w:w w:val="99"/>
        </w:rPr>
        <w:t> </w:t>
      </w:r>
      <w:r>
        <w:rPr>
          <w:rFonts w:ascii="宋体" w:hAnsi="宋体" w:cs="宋体" w:eastAsia="宋体" w:hint="default"/>
          <w:b w:val="0"/>
          <w:bCs w:val="0"/>
        </w:rPr>
      </w:r>
    </w:p>
    <w:p>
      <w:pPr>
        <w:pStyle w:val="Heading3"/>
        <w:spacing w:line="312" w:lineRule="exact"/>
        <w:ind w:left="224"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224" w:right="0"/>
        <w:jc w:val="left"/>
        <w:rPr>
          <w:rFonts w:ascii="宋体" w:hAnsi="宋体" w:cs="宋体" w:eastAsia="宋体" w:hint="default"/>
        </w:rPr>
      </w:pPr>
      <w:r>
        <w:rPr>
          <w:rFonts w:ascii="宋体"/>
        </w:rPr>
        <w:t> </w:t>
      </w:r>
    </w:p>
    <w:p>
      <w:pPr>
        <w:pStyle w:val="Heading5"/>
        <w:spacing w:line="240" w:lineRule="auto" w:before="61"/>
        <w:ind w:left="224" w:right="0"/>
        <w:jc w:val="left"/>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pStyle w:val="Heading3"/>
        <w:spacing w:line="240" w:lineRule="auto" w:before="52"/>
        <w:ind w:left="224"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BodyText"/>
        <w:spacing w:line="240" w:lineRule="auto"/>
        <w:ind w:left="224"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00" w:right="1220"/>
          <w:cols w:num="2" w:equalWidth="0">
            <w:col w:w="2385" w:space="9178"/>
            <w:col w:w="2757"/>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768"/>
        <w:gridCol w:w="768"/>
        <w:gridCol w:w="1488"/>
        <w:gridCol w:w="1210"/>
        <w:gridCol w:w="1150"/>
        <w:gridCol w:w="557"/>
        <w:gridCol w:w="847"/>
        <w:gridCol w:w="989"/>
        <w:gridCol w:w="694"/>
        <w:gridCol w:w="1267"/>
        <w:gridCol w:w="1268"/>
        <w:gridCol w:w="660"/>
        <w:gridCol w:w="696"/>
        <w:gridCol w:w="979"/>
        <w:gridCol w:w="749"/>
      </w:tblGrid>
      <w:tr>
        <w:trPr>
          <w:trHeight w:val="1644"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73" w:right="165" w:hanging="106"/>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pacing w:val="-103"/>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67" w:right="62"/>
              <w:jc w:val="both"/>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pacing w:val="-103"/>
                <w:sz w:val="21"/>
                <w:szCs w:val="21"/>
              </w:rPr>
              <w:t> </w:t>
            </w:r>
            <w:r>
              <w:rPr>
                <w:rFonts w:ascii="宋体" w:hAnsi="宋体" w:cs="宋体" w:eastAsia="宋体" w:hint="default"/>
                <w:sz w:val="21"/>
                <w:szCs w:val="21"/>
              </w:rPr>
              <w:t>贷款</w:t>
            </w:r>
            <w:r>
              <w:rPr>
                <w:rFonts w:ascii="宋体" w:hAnsi="宋体" w:cs="宋体" w:eastAsia="宋体" w:hint="default"/>
                <w:spacing w:val="-103"/>
                <w:sz w:val="21"/>
                <w:szCs w:val="21"/>
              </w:rPr>
              <w:t> </w:t>
            </w:r>
            <w:r>
              <w:rPr>
                <w:rFonts w:ascii="宋体" w:hAnsi="宋体" w:cs="宋体" w:eastAsia="宋体" w:hint="default"/>
                <w:sz w:val="21"/>
                <w:szCs w:val="21"/>
              </w:rPr>
              <w:t>类型</w:t>
            </w:r>
            <w:r>
              <w:rPr>
                <w:rFonts w:ascii="宋体" w:hAnsi="宋体" w:cs="宋体" w:eastAsia="宋体" w:hint="default"/>
                <w:sz w:val="21"/>
                <w:szCs w:val="21"/>
              </w:rPr>
              <w:t> </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委托贷款金额</w:t>
            </w:r>
            <w:r>
              <w:rPr>
                <w:rFonts w:ascii="宋体" w:hAnsi="宋体" w:cs="宋体" w:eastAsia="宋体" w:hint="default"/>
                <w:sz w:val="21"/>
                <w:szCs w:val="21"/>
              </w:rPr>
              <w:t> </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79" w:right="72"/>
              <w:jc w:val="left"/>
              <w:rPr>
                <w:rFonts w:ascii="宋体" w:hAnsi="宋体" w:cs="宋体" w:eastAsia="宋体" w:hint="default"/>
                <w:sz w:val="21"/>
                <w:szCs w:val="21"/>
              </w:rPr>
            </w:pPr>
            <w:r>
              <w:rPr>
                <w:rFonts w:ascii="宋体" w:hAnsi="宋体" w:cs="宋体" w:eastAsia="宋体" w:hint="default"/>
                <w:sz w:val="21"/>
                <w:szCs w:val="21"/>
              </w:rPr>
              <w:t>委托贷款</w:t>
            </w:r>
            <w:r>
              <w:rPr>
                <w:rFonts w:ascii="宋体" w:hAnsi="宋体" w:cs="宋体" w:eastAsia="宋体" w:hint="default"/>
                <w:spacing w:val="-3"/>
                <w:w w:val="100"/>
                <w:sz w:val="21"/>
                <w:szCs w:val="21"/>
              </w:rPr>
              <w:t> </w:t>
            </w:r>
            <w:r>
              <w:rPr>
                <w:rFonts w:ascii="宋体" w:hAnsi="宋体" w:cs="宋体" w:eastAsia="宋体" w:hint="default"/>
                <w:sz w:val="21"/>
                <w:szCs w:val="21"/>
              </w:rPr>
              <w:t>起始日期</w:t>
            </w:r>
            <w:r>
              <w:rPr>
                <w:rFonts w:ascii="宋体" w:hAnsi="宋体" w:cs="宋体" w:eastAsia="宋体" w:hint="default"/>
                <w:sz w:val="21"/>
                <w:szCs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48" w:right="43"/>
              <w:jc w:val="left"/>
              <w:rPr>
                <w:rFonts w:ascii="宋体" w:hAnsi="宋体" w:cs="宋体" w:eastAsia="宋体" w:hint="default"/>
                <w:sz w:val="21"/>
                <w:szCs w:val="21"/>
              </w:rPr>
            </w:pPr>
            <w:r>
              <w:rPr>
                <w:rFonts w:ascii="宋体" w:hAnsi="宋体" w:cs="宋体" w:eastAsia="宋体" w:hint="default"/>
                <w:sz w:val="21"/>
                <w:szCs w:val="21"/>
              </w:rPr>
              <w:t>委托贷款</w:t>
            </w:r>
            <w:r>
              <w:rPr>
                <w:rFonts w:ascii="宋体" w:hAnsi="宋体" w:cs="宋体" w:eastAsia="宋体" w:hint="default"/>
                <w:w w:val="100"/>
                <w:sz w:val="21"/>
                <w:szCs w:val="21"/>
              </w:rPr>
              <w:t> </w:t>
            </w:r>
            <w:r>
              <w:rPr>
                <w:rFonts w:ascii="宋体" w:hAnsi="宋体" w:cs="宋体" w:eastAsia="宋体" w:hint="default"/>
                <w:sz w:val="21"/>
                <w:szCs w:val="21"/>
              </w:rPr>
              <w:t>终止日期</w:t>
            </w:r>
            <w:r>
              <w:rPr>
                <w:rFonts w:ascii="宋体" w:hAnsi="宋体" w:cs="宋体" w:eastAsia="宋体" w:hint="default"/>
                <w:sz w:val="21"/>
                <w:szCs w:val="21"/>
              </w:rPr>
              <w:t> </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67" w:right="6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来</w:t>
            </w:r>
            <w:r>
              <w:rPr>
                <w:rFonts w:ascii="宋体" w:hAnsi="宋体" w:cs="宋体" w:eastAsia="宋体" w:hint="default"/>
                <w:w w:val="100"/>
                <w:sz w:val="21"/>
                <w:szCs w:val="21"/>
              </w:rPr>
              <w:t> </w:t>
            </w:r>
            <w:r>
              <w:rPr>
                <w:rFonts w:ascii="宋体" w:hAnsi="宋体" w:cs="宋体" w:eastAsia="宋体" w:hint="default"/>
                <w:sz w:val="21"/>
                <w:szCs w:val="21"/>
              </w:rPr>
              <w:t>源</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08" w:right="101"/>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w w:val="100"/>
                <w:sz w:val="21"/>
                <w:szCs w:val="21"/>
              </w:rPr>
              <w:t> </w:t>
            </w:r>
            <w:r>
              <w:rPr>
                <w:rFonts w:ascii="宋体" w:hAnsi="宋体" w:cs="宋体" w:eastAsia="宋体" w:hint="default"/>
                <w:sz w:val="21"/>
                <w:szCs w:val="21"/>
              </w:rPr>
              <w:t>投向</w:t>
            </w:r>
            <w:r>
              <w:rPr>
                <w:rFonts w:ascii="宋体" w:hAnsi="宋体" w:cs="宋体" w:eastAsia="宋体" w:hint="default"/>
                <w:sz w:val="21"/>
                <w:szCs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278" w:right="171" w:hanging="106"/>
              <w:jc w:val="left"/>
              <w:rPr>
                <w:rFonts w:ascii="宋体" w:hAnsi="宋体" w:cs="宋体" w:eastAsia="宋体" w:hint="default"/>
                <w:sz w:val="21"/>
                <w:szCs w:val="21"/>
              </w:rPr>
            </w:pPr>
            <w:r>
              <w:rPr>
                <w:rFonts w:ascii="宋体" w:hAnsi="宋体" w:cs="宋体" w:eastAsia="宋体" w:hint="default"/>
                <w:sz w:val="21"/>
                <w:szCs w:val="21"/>
              </w:rPr>
              <w:t>报酬确</w:t>
            </w:r>
            <w:r>
              <w:rPr>
                <w:rFonts w:ascii="宋体" w:hAnsi="宋体" w:cs="宋体" w:eastAsia="宋体" w:hint="default"/>
                <w:spacing w:val="-102"/>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方式</w:t>
            </w:r>
            <w:r>
              <w:rPr>
                <w:rFonts w:ascii="宋体" w:hAnsi="宋体" w:cs="宋体" w:eastAsia="宋体" w:hint="default"/>
                <w:sz w:val="21"/>
                <w:szCs w:val="21"/>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31" w:right="24"/>
              <w:jc w:val="center"/>
              <w:rPr>
                <w:rFonts w:ascii="宋体" w:hAnsi="宋体" w:cs="宋体" w:eastAsia="宋体" w:hint="default"/>
                <w:sz w:val="21"/>
                <w:szCs w:val="21"/>
              </w:rPr>
            </w:pPr>
            <w:r>
              <w:rPr>
                <w:rFonts w:ascii="宋体" w:hAnsi="宋体" w:cs="宋体" w:eastAsia="宋体" w:hint="default"/>
                <w:sz w:val="21"/>
                <w:szCs w:val="21"/>
              </w:rPr>
              <w:t>年化</w:t>
            </w:r>
            <w:r>
              <w:rPr>
                <w:rFonts w:ascii="宋体" w:hAnsi="宋体" w:cs="宋体" w:eastAsia="宋体" w:hint="default"/>
                <w:w w:val="100"/>
                <w:sz w:val="21"/>
                <w:szCs w:val="21"/>
              </w:rPr>
              <w:t> </w:t>
            </w:r>
            <w:r>
              <w:rPr>
                <w:rFonts w:ascii="宋体" w:hAnsi="宋体" w:cs="宋体" w:eastAsia="宋体" w:hint="default"/>
                <w:sz w:val="21"/>
                <w:szCs w:val="21"/>
              </w:rPr>
              <w:t>收益</w:t>
            </w:r>
            <w:r>
              <w:rPr>
                <w:rFonts w:ascii="宋体" w:hAnsi="宋体" w:cs="宋体" w:eastAsia="宋体" w:hint="default"/>
                <w:w w:val="100"/>
                <w:sz w:val="21"/>
                <w:szCs w:val="21"/>
              </w:rPr>
              <w:t> </w:t>
            </w:r>
            <w:r>
              <w:rPr>
                <w:rFonts w:ascii="宋体" w:hAnsi="宋体" w:cs="宋体" w:eastAsia="宋体" w:hint="default"/>
                <w:sz w:val="21"/>
                <w:szCs w:val="21"/>
              </w:rPr>
              <w:t>率</w:t>
            </w:r>
            <w:r>
              <w:rPr>
                <w:rFonts w:ascii="宋体" w:hAnsi="宋体" w:cs="宋体" w:eastAsia="宋体" w:hint="default"/>
                <w:sz w:val="21"/>
                <w:szCs w:val="21"/>
              </w:rPr>
              <w:t> </w:t>
            </w:r>
          </w:p>
          <w:p>
            <w:pPr>
              <w:pStyle w:val="TableParagraph"/>
              <w:spacing w:line="274" w:lineRule="exact"/>
              <w:ind w:left="107" w:right="0"/>
              <w:jc w:val="center"/>
              <w:rPr>
                <w:rFonts w:ascii="宋体" w:hAnsi="宋体" w:cs="宋体" w:eastAsia="宋体" w:hint="default"/>
                <w:sz w:val="21"/>
                <w:szCs w:val="21"/>
              </w:rPr>
            </w:pPr>
            <w:r>
              <w:rPr>
                <w:rFonts w:ascii="宋体"/>
                <w:w w:val="100"/>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1" w:right="98"/>
              <w:jc w:val="center"/>
              <w:rPr>
                <w:rFonts w:ascii="宋体" w:hAnsi="宋体" w:cs="宋体" w:eastAsia="宋体" w:hint="default"/>
                <w:sz w:val="21"/>
                <w:szCs w:val="21"/>
              </w:rPr>
            </w:pPr>
            <w:r>
              <w:rPr>
                <w:rFonts w:ascii="宋体" w:hAnsi="宋体" w:cs="宋体" w:eastAsia="宋体" w:hint="default"/>
                <w:sz w:val="21"/>
                <w:szCs w:val="21"/>
              </w:rPr>
              <w:t>预期收益</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如有</w:t>
            </w:r>
            <w:r>
              <w:rPr>
                <w:rFonts w:ascii="宋体" w:hAnsi="宋体" w:cs="宋体" w:eastAsia="宋体" w:hint="default"/>
                <w:sz w:val="21"/>
                <w:szCs w:val="21"/>
              </w:rPr>
              <w:t>) </w:t>
            </w:r>
          </w:p>
          <w:p>
            <w:pPr>
              <w:pStyle w:val="TableParagraph"/>
              <w:spacing w:line="272" w:lineRule="exact"/>
              <w:ind w:left="110" w:right="0"/>
              <w:jc w:val="center"/>
              <w:rPr>
                <w:rFonts w:ascii="宋体" w:hAnsi="宋体" w:cs="宋体" w:eastAsia="宋体" w:hint="default"/>
                <w:sz w:val="21"/>
                <w:szCs w:val="21"/>
              </w:rPr>
            </w:pPr>
            <w:r>
              <w:rPr>
                <w:rFonts w:ascii="宋体"/>
                <w:w w:val="100"/>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3" w:right="-3" w:firstLine="314"/>
              <w:jc w:val="left"/>
              <w:rPr>
                <w:rFonts w:ascii="宋体" w:hAnsi="宋体" w:cs="宋体" w:eastAsia="宋体" w:hint="default"/>
                <w:sz w:val="21"/>
                <w:szCs w:val="21"/>
              </w:rPr>
            </w:pPr>
            <w:r>
              <w:rPr>
                <w:rFonts w:ascii="宋体" w:hAnsi="宋体" w:cs="宋体" w:eastAsia="宋体" w:hint="default"/>
                <w:sz w:val="21"/>
                <w:szCs w:val="21"/>
              </w:rPr>
              <w:t>实际</w:t>
            </w:r>
            <w:r>
              <w:rPr>
                <w:rFonts w:ascii="宋体" w:hAnsi="宋体" w:cs="宋体" w:eastAsia="宋体" w:hint="default"/>
                <w:w w:val="100"/>
                <w:sz w:val="21"/>
                <w:szCs w:val="21"/>
              </w:rPr>
              <w:t> </w:t>
            </w:r>
            <w:r>
              <w:rPr>
                <w:rFonts w:ascii="宋体" w:hAnsi="宋体" w:cs="宋体" w:eastAsia="宋体" w:hint="default"/>
                <w:sz w:val="21"/>
                <w:szCs w:val="21"/>
              </w:rPr>
              <w:t>收益或损失</w:t>
            </w:r>
            <w:r>
              <w:rPr>
                <w:rFonts w:ascii="宋体" w:hAnsi="宋体" w:cs="宋体" w:eastAsia="宋体" w:hint="default"/>
                <w:sz w:val="21"/>
                <w:szCs w:val="21"/>
              </w:rPr>
              <w:t> </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17" w:right="5"/>
              <w:jc w:val="both"/>
              <w:rPr>
                <w:rFonts w:ascii="宋体" w:hAnsi="宋体" w:cs="宋体" w:eastAsia="宋体" w:hint="default"/>
                <w:sz w:val="21"/>
                <w:szCs w:val="21"/>
              </w:rPr>
            </w:pPr>
            <w:r>
              <w:rPr>
                <w:rFonts w:ascii="宋体" w:hAnsi="宋体" w:cs="宋体" w:eastAsia="宋体" w:hint="default"/>
                <w:sz w:val="21"/>
                <w:szCs w:val="21"/>
              </w:rPr>
              <w:t>实际</w:t>
            </w:r>
            <w:r>
              <w:rPr>
                <w:rFonts w:ascii="宋体" w:hAnsi="宋体" w:cs="宋体" w:eastAsia="宋体" w:hint="default"/>
                <w:spacing w:val="-103"/>
                <w:sz w:val="21"/>
                <w:szCs w:val="21"/>
              </w:rPr>
              <w:t> </w:t>
            </w:r>
            <w:r>
              <w:rPr>
                <w:rFonts w:ascii="宋体" w:hAnsi="宋体" w:cs="宋体" w:eastAsia="宋体" w:hint="default"/>
                <w:sz w:val="21"/>
                <w:szCs w:val="21"/>
              </w:rPr>
              <w:t>收回</w:t>
            </w:r>
            <w:r>
              <w:rPr>
                <w:rFonts w:ascii="宋体" w:hAnsi="宋体" w:cs="宋体" w:eastAsia="宋体" w:hint="default"/>
                <w:spacing w:val="-103"/>
                <w:sz w:val="21"/>
                <w:szCs w:val="21"/>
              </w:rPr>
              <w:t> </w:t>
            </w:r>
            <w:r>
              <w:rPr>
                <w:rFonts w:ascii="宋体" w:hAnsi="宋体" w:cs="宋体" w:eastAsia="宋体" w:hint="default"/>
                <w:sz w:val="21"/>
                <w:szCs w:val="21"/>
              </w:rPr>
              <w:t>情况</w:t>
            </w:r>
            <w:r>
              <w:rPr>
                <w:rFonts w:ascii="宋体" w:hAnsi="宋体" w:cs="宋体" w:eastAsia="宋体" w:hint="default"/>
                <w:sz w:val="21"/>
                <w:szCs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32" w:right="26"/>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经过</w:t>
            </w:r>
            <w:r>
              <w:rPr>
                <w:rFonts w:ascii="宋体" w:hAnsi="宋体" w:cs="宋体" w:eastAsia="宋体" w:hint="default"/>
                <w:spacing w:val="-103"/>
                <w:sz w:val="21"/>
                <w:szCs w:val="21"/>
              </w:rPr>
              <w:t> </w:t>
            </w:r>
            <w:r>
              <w:rPr>
                <w:rFonts w:ascii="宋体" w:hAnsi="宋体" w:cs="宋体" w:eastAsia="宋体" w:hint="default"/>
                <w:sz w:val="21"/>
                <w:szCs w:val="21"/>
              </w:rPr>
              <w:t>法定</w:t>
            </w:r>
            <w:r>
              <w:rPr>
                <w:rFonts w:ascii="宋体" w:hAnsi="宋体" w:cs="宋体" w:eastAsia="宋体" w:hint="default"/>
                <w:spacing w:val="-103"/>
                <w:sz w:val="21"/>
                <w:szCs w:val="21"/>
              </w:rPr>
              <w:t> </w:t>
            </w:r>
            <w:r>
              <w:rPr>
                <w:rFonts w:ascii="宋体" w:hAnsi="宋体" w:cs="宋体" w:eastAsia="宋体" w:hint="default"/>
                <w:sz w:val="21"/>
                <w:szCs w:val="21"/>
              </w:rPr>
              <w:t>程序</w:t>
            </w:r>
            <w:r>
              <w:rPr>
                <w:rFonts w:ascii="宋体" w:hAnsi="宋体" w:cs="宋体" w:eastAsia="宋体" w:hint="default"/>
                <w:sz w:val="21"/>
                <w:szCs w:val="21"/>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68" w:right="167"/>
              <w:jc w:val="both"/>
              <w:rPr>
                <w:rFonts w:ascii="宋体" w:hAnsi="宋体" w:cs="宋体" w:eastAsia="宋体" w:hint="default"/>
                <w:sz w:val="21"/>
                <w:szCs w:val="21"/>
              </w:rPr>
            </w:pPr>
            <w:r>
              <w:rPr>
                <w:rFonts w:ascii="宋体" w:hAnsi="宋体" w:cs="宋体" w:eastAsia="宋体" w:hint="default"/>
                <w:sz w:val="21"/>
                <w:szCs w:val="21"/>
              </w:rPr>
              <w:t>未来是</w:t>
            </w:r>
            <w:r>
              <w:rPr>
                <w:rFonts w:ascii="宋体" w:hAnsi="宋体" w:cs="宋体" w:eastAsia="宋体" w:hint="default"/>
                <w:spacing w:val="-102"/>
                <w:sz w:val="21"/>
                <w:szCs w:val="21"/>
              </w:rPr>
              <w:t> </w:t>
            </w:r>
            <w:r>
              <w:rPr>
                <w:rFonts w:ascii="宋体" w:hAnsi="宋体" w:cs="宋体" w:eastAsia="宋体" w:hint="default"/>
                <w:sz w:val="21"/>
                <w:szCs w:val="21"/>
              </w:rPr>
              <w:t>否有委</w:t>
            </w:r>
            <w:r>
              <w:rPr>
                <w:rFonts w:ascii="宋体" w:hAnsi="宋体" w:cs="宋体" w:eastAsia="宋体" w:hint="default"/>
                <w:spacing w:val="-102"/>
                <w:sz w:val="21"/>
                <w:szCs w:val="21"/>
              </w:rPr>
              <w:t> </w:t>
            </w:r>
            <w:r>
              <w:rPr>
                <w:rFonts w:ascii="宋体" w:hAnsi="宋体" w:cs="宋体" w:eastAsia="宋体" w:hint="default"/>
                <w:sz w:val="21"/>
                <w:szCs w:val="21"/>
              </w:rPr>
              <w:t>托贷款</w:t>
            </w:r>
            <w:r>
              <w:rPr>
                <w:rFonts w:ascii="宋体" w:hAnsi="宋体" w:cs="宋体" w:eastAsia="宋体" w:hint="default"/>
                <w:spacing w:val="-102"/>
                <w:sz w:val="21"/>
                <w:szCs w:val="21"/>
              </w:rPr>
              <w:t> </w:t>
            </w:r>
            <w:r>
              <w:rPr>
                <w:rFonts w:ascii="宋体" w:hAnsi="宋体" w:cs="宋体" w:eastAsia="宋体" w:hint="default"/>
                <w:sz w:val="21"/>
                <w:szCs w:val="21"/>
              </w:rPr>
              <w:t>计划</w:t>
            </w:r>
            <w:r>
              <w:rPr>
                <w:rFonts w:ascii="宋体" w:hAnsi="宋体" w:cs="宋体" w:eastAsia="宋体" w:hint="default"/>
                <w:sz w:val="21"/>
                <w:szCs w:val="21"/>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0" w:right="0"/>
              <w:jc w:val="both"/>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37" w:lineRule="auto"/>
              <w:ind w:left="160" w:right="155"/>
              <w:jc w:val="both"/>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金额</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如</w:t>
            </w:r>
          </w:p>
          <w:p>
            <w:pPr>
              <w:pStyle w:val="TableParagraph"/>
              <w:spacing w:line="271" w:lineRule="exact"/>
              <w:ind w:left="213" w:right="0"/>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z w:val="21"/>
                <w:szCs w:val="21"/>
              </w:rPr>
              <w:t>) </w:t>
            </w:r>
          </w:p>
        </w:tc>
      </w:tr>
      <w:tr>
        <w:trPr>
          <w:trHeight w:val="1373"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w:t>
            </w:r>
          </w:p>
          <w:p>
            <w:pPr>
              <w:pStyle w:val="TableParagraph"/>
              <w:spacing w:line="237" w:lineRule="auto" w:before="2"/>
              <w:ind w:left="103" w:right="127"/>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南昌</w:t>
            </w:r>
            <w:r>
              <w:rPr>
                <w:rFonts w:ascii="宋体" w:hAnsi="宋体" w:cs="宋体" w:eastAsia="宋体" w:hint="default"/>
                <w:spacing w:val="-103"/>
                <w:sz w:val="21"/>
                <w:szCs w:val="21"/>
              </w:rPr>
              <w:t> </w:t>
            </w:r>
            <w:r>
              <w:rPr>
                <w:rFonts w:ascii="宋体" w:hAnsi="宋体" w:cs="宋体" w:eastAsia="宋体" w:hint="default"/>
                <w:sz w:val="21"/>
                <w:szCs w:val="21"/>
              </w:rPr>
              <w:t>西湖</w:t>
            </w:r>
            <w:r>
              <w:rPr>
                <w:rFonts w:ascii="宋体" w:hAnsi="宋体" w:cs="宋体" w:eastAsia="宋体" w:hint="default"/>
                <w:spacing w:val="-103"/>
                <w:sz w:val="21"/>
                <w:szCs w:val="21"/>
              </w:rPr>
              <w:t> </w:t>
            </w:r>
            <w:r>
              <w:rPr>
                <w:rFonts w:ascii="宋体" w:hAnsi="宋体" w:cs="宋体" w:eastAsia="宋体" w:hint="default"/>
                <w:sz w:val="21"/>
                <w:szCs w:val="21"/>
              </w:rPr>
              <w:t>支行</w:t>
            </w:r>
            <w:r>
              <w:rPr>
                <w:rFonts w:ascii="宋体" w:hAnsi="宋体" w:cs="宋体" w:eastAsia="宋体" w:hint="default"/>
                <w:sz w:val="21"/>
                <w:szCs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0" w:right="0"/>
              <w:jc w:val="center"/>
              <w:rPr>
                <w:rFonts w:ascii="Times New Roman" w:hAnsi="Times New Roman" w:cs="Times New Roman" w:eastAsia="Times New Roman" w:hint="default"/>
                <w:sz w:val="20"/>
                <w:szCs w:val="20"/>
              </w:rPr>
            </w:pPr>
            <w:r>
              <w:rPr>
                <w:rFonts w:ascii="Times New Roman"/>
                <w:sz w:val="20"/>
              </w:rPr>
              <w:t>170,000,000.00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2015-09-15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2020-09-14</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25"/>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98"/>
              <w:jc w:val="both"/>
              <w:rPr>
                <w:rFonts w:ascii="宋体" w:hAnsi="宋体" w:cs="宋体" w:eastAsia="宋体" w:hint="default"/>
                <w:sz w:val="21"/>
                <w:szCs w:val="21"/>
              </w:rPr>
            </w:pPr>
            <w:r>
              <w:rPr>
                <w:rFonts w:ascii="宋体" w:hAnsi="宋体" w:cs="宋体" w:eastAsia="宋体" w:hint="default"/>
                <w:sz w:val="21"/>
                <w:szCs w:val="21"/>
              </w:rPr>
              <w:t>公租房</w:t>
            </w:r>
            <w:r>
              <w:rPr>
                <w:rFonts w:ascii="宋体" w:hAnsi="宋体" w:cs="宋体" w:eastAsia="宋体" w:hint="default"/>
                <w:spacing w:val="-102"/>
                <w:sz w:val="21"/>
                <w:szCs w:val="21"/>
              </w:rPr>
              <w:t> </w:t>
            </w:r>
            <w:r>
              <w:rPr>
                <w:rFonts w:ascii="宋体" w:hAnsi="宋体" w:cs="宋体" w:eastAsia="宋体" w:hint="default"/>
                <w:sz w:val="21"/>
                <w:szCs w:val="21"/>
              </w:rPr>
              <w:t>项目建</w:t>
            </w:r>
            <w:r>
              <w:rPr>
                <w:rFonts w:ascii="宋体" w:hAnsi="宋体" w:cs="宋体" w:eastAsia="宋体" w:hint="default"/>
                <w:spacing w:val="-102"/>
                <w:sz w:val="21"/>
                <w:szCs w:val="21"/>
              </w:rPr>
              <w:t> </w:t>
            </w:r>
            <w:r>
              <w:rPr>
                <w:rFonts w:ascii="宋体" w:hAnsi="宋体" w:cs="宋体" w:eastAsia="宋体" w:hint="default"/>
                <w:sz w:val="21"/>
                <w:szCs w:val="21"/>
              </w:rPr>
              <w:t>设</w:t>
            </w:r>
            <w:r>
              <w:rPr>
                <w:rFonts w:ascii="宋体" w:hAnsi="宋体" w:cs="宋体" w:eastAsia="宋体" w:hint="default"/>
                <w:sz w:val="21"/>
                <w:szCs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91"/>
              <w:jc w:val="both"/>
              <w:rPr>
                <w:rFonts w:ascii="宋体" w:hAnsi="宋体" w:cs="宋体" w:eastAsia="宋体" w:hint="default"/>
                <w:sz w:val="21"/>
                <w:szCs w:val="21"/>
              </w:rPr>
            </w:pPr>
            <w:r>
              <w:rPr>
                <w:rFonts w:ascii="宋体" w:hAnsi="宋体" w:cs="宋体" w:eastAsia="宋体" w:hint="default"/>
                <w:sz w:val="21"/>
                <w:szCs w:val="21"/>
              </w:rPr>
              <w:t>银行同</w:t>
            </w:r>
            <w:r>
              <w:rPr>
                <w:rFonts w:ascii="宋体" w:hAnsi="宋体" w:cs="宋体" w:eastAsia="宋体" w:hint="default"/>
                <w:spacing w:val="-102"/>
                <w:sz w:val="21"/>
                <w:szCs w:val="21"/>
              </w:rPr>
              <w:t> </w:t>
            </w:r>
            <w:r>
              <w:rPr>
                <w:rFonts w:ascii="宋体" w:hAnsi="宋体" w:cs="宋体" w:eastAsia="宋体" w:hint="default"/>
                <w:sz w:val="21"/>
                <w:szCs w:val="21"/>
              </w:rPr>
              <w:t>期贷款</w:t>
            </w:r>
            <w:r>
              <w:rPr>
                <w:rFonts w:ascii="宋体" w:hAnsi="宋体" w:cs="宋体" w:eastAsia="宋体" w:hint="default"/>
                <w:spacing w:val="-102"/>
                <w:sz w:val="21"/>
                <w:szCs w:val="21"/>
              </w:rPr>
              <w:t> </w:t>
            </w:r>
            <w:r>
              <w:rPr>
                <w:rFonts w:ascii="宋体" w:hAnsi="宋体" w:cs="宋体" w:eastAsia="宋体" w:hint="default"/>
                <w:sz w:val="21"/>
                <w:szCs w:val="21"/>
              </w:rPr>
              <w:t>利率上</w:t>
            </w:r>
            <w:r>
              <w:rPr>
                <w:rFonts w:ascii="宋体" w:hAnsi="宋体" w:cs="宋体" w:eastAsia="宋体" w:hint="default"/>
                <w:spacing w:val="-102"/>
                <w:sz w:val="21"/>
                <w:szCs w:val="21"/>
              </w:rPr>
              <w:t> </w:t>
            </w:r>
            <w:r>
              <w:rPr>
                <w:rFonts w:ascii="宋体" w:hAnsi="宋体" w:cs="宋体" w:eastAsia="宋体" w:hint="default"/>
                <w:sz w:val="21"/>
                <w:szCs w:val="21"/>
              </w:rPr>
              <w:t>浮</w:t>
            </w:r>
            <w:r>
              <w:rPr>
                <w:rFonts w:ascii="宋体" w:hAnsi="宋体" w:cs="宋体" w:eastAsia="宋体" w:hint="default"/>
                <w:spacing w:val="-52"/>
                <w:sz w:val="21"/>
                <w:szCs w:val="21"/>
              </w:rPr>
              <w:t> </w:t>
            </w:r>
            <w:r>
              <w:rPr>
                <w:rFonts w:ascii="宋体" w:hAnsi="宋体" w:cs="宋体" w:eastAsia="宋体" w:hint="default"/>
                <w:sz w:val="21"/>
                <w:szCs w:val="21"/>
              </w:rPr>
              <w:t>20%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316" w:right="0"/>
              <w:jc w:val="left"/>
              <w:rPr>
                <w:rFonts w:ascii="Times New Roman" w:hAnsi="Times New Roman" w:cs="Times New Roman" w:eastAsia="Times New Roman" w:hint="default"/>
                <w:sz w:val="20"/>
                <w:szCs w:val="20"/>
              </w:rPr>
            </w:pPr>
            <w:r>
              <w:rPr>
                <w:rFonts w:ascii="Times New Roman"/>
                <w:sz w:val="20"/>
              </w:rPr>
              <w:t>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5" w:right="0"/>
              <w:jc w:val="left"/>
              <w:rPr>
                <w:rFonts w:ascii="Times New Roman" w:hAnsi="Times New Roman" w:cs="Times New Roman" w:eastAsia="Times New Roman" w:hint="default"/>
                <w:sz w:val="20"/>
                <w:szCs w:val="20"/>
              </w:rPr>
            </w:pPr>
            <w:r>
              <w:rPr>
                <w:rFonts w:ascii="Times New Roman"/>
                <w:sz w:val="20"/>
              </w:rPr>
              <w:t>9,756,289.32</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sz w:val="20"/>
              </w:rPr>
              <w:t>9,756,289.32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17"/>
              <w:jc w:val="left"/>
              <w:rPr>
                <w:rFonts w:ascii="宋体" w:hAnsi="宋体" w:cs="宋体" w:eastAsia="宋体" w:hint="default"/>
                <w:sz w:val="21"/>
                <w:szCs w:val="21"/>
              </w:rPr>
            </w:pPr>
            <w:r>
              <w:rPr>
                <w:rFonts w:ascii="宋体" w:hAnsi="宋体" w:cs="宋体" w:eastAsia="宋体" w:hint="default"/>
                <w:sz w:val="21"/>
                <w:szCs w:val="21"/>
              </w:rPr>
              <w:t>尚未</w:t>
            </w:r>
            <w:r>
              <w:rPr>
                <w:rFonts w:ascii="宋体" w:hAnsi="宋体" w:cs="宋体" w:eastAsia="宋体" w:hint="default"/>
                <w:spacing w:val="-103"/>
                <w:sz w:val="21"/>
                <w:szCs w:val="21"/>
              </w:rPr>
              <w:t> </w:t>
            </w:r>
            <w:r>
              <w:rPr>
                <w:rFonts w:ascii="宋体" w:hAnsi="宋体" w:cs="宋体" w:eastAsia="宋体" w:hint="default"/>
                <w:sz w:val="21"/>
                <w:szCs w:val="21"/>
              </w:rPr>
              <w:t>到期</w:t>
            </w:r>
            <w:r>
              <w:rPr>
                <w:rFonts w:ascii="宋体" w:hAnsi="宋体" w:cs="宋体" w:eastAsia="宋体" w:hint="default"/>
                <w:sz w:val="21"/>
                <w:szCs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79"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5" w:right="0"/>
              <w:jc w:val="left"/>
              <w:rPr>
                <w:rFonts w:ascii="宋体" w:hAnsi="宋体" w:cs="宋体" w:eastAsia="宋体" w:hint="default"/>
                <w:sz w:val="21"/>
                <w:szCs w:val="21"/>
              </w:rPr>
            </w:pPr>
            <w:r>
              <w:rPr>
                <w:rFonts w:ascii="宋体"/>
                <w:w w:val="100"/>
                <w:sz w:val="21"/>
              </w:rPr>
              <w:t> </w:t>
            </w:r>
          </w:p>
        </w:tc>
      </w:tr>
    </w:tbl>
    <w:p>
      <w:pPr>
        <w:pStyle w:val="Heading3"/>
        <w:spacing w:line="272" w:lineRule="exact"/>
        <w:ind w:left="224" w:right="0"/>
        <w:jc w:val="left"/>
        <w:rPr>
          <w:rFonts w:ascii="宋体" w:hAnsi="宋体" w:cs="宋体" w:eastAsia="宋体" w:hint="default"/>
        </w:rPr>
      </w:pPr>
      <w:r>
        <w:rPr>
          <w:rFonts w:ascii="宋体"/>
        </w:rPr>
        <w:t> </w:t>
      </w:r>
    </w:p>
    <w:p>
      <w:pPr>
        <w:pStyle w:val="Heading2"/>
        <w:spacing w:line="311" w:lineRule="exact"/>
        <w:ind w:left="224" w:right="0"/>
        <w:jc w:val="left"/>
        <w:rPr>
          <w:rFonts w:ascii="宋体" w:hAnsi="宋体" w:cs="宋体" w:eastAsia="宋体" w:hint="default"/>
          <w:b w:val="0"/>
          <w:bCs w:val="0"/>
        </w:rPr>
      </w:pPr>
      <w:r>
        <w:rPr/>
        <w:t>其他情况</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ind w:left="224"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after="0" w:line="313" w:lineRule="exact"/>
        <w:jc w:val="left"/>
        <w:rPr>
          <w:rFonts w:ascii="宋体" w:hAnsi="宋体" w:cs="宋体" w:eastAsia="宋体" w:hint="default"/>
        </w:rPr>
        <w:sectPr>
          <w:type w:val="continuous"/>
          <w:pgSz w:w="16840" w:h="11910" w:orient="landscape"/>
          <w:pgMar w:top="1120" w:bottom="1380" w:left="1300" w:right="1220"/>
        </w:sectPr>
      </w:pPr>
    </w:p>
    <w:p>
      <w:pPr>
        <w:spacing w:line="240" w:lineRule="auto" w:before="11"/>
        <w:rPr>
          <w:rFonts w:ascii="宋体" w:hAnsi="宋体" w:cs="宋体" w:eastAsia="宋体" w:hint="default"/>
          <w:sz w:val="18"/>
          <w:szCs w:val="18"/>
        </w:rPr>
      </w:pPr>
    </w:p>
    <w:p>
      <w:pPr>
        <w:pStyle w:val="BodyText"/>
        <w:spacing w:line="237" w:lineRule="auto" w:before="38"/>
        <w:ind w:right="208" w:firstLine="420"/>
        <w:jc w:val="both"/>
      </w:pPr>
      <w:r>
        <w:rPr>
          <w:spacing w:val="-5"/>
        </w:rPr>
        <w:t>为吸引及稳定公司优秀人才，解决人才的租房困难，公司于</w:t>
      </w:r>
      <w:r>
        <w:rPr>
          <w:spacing w:val="-46"/>
        </w:rPr>
        <w:t> </w:t>
      </w:r>
      <w:r>
        <w:rPr>
          <w:rFonts w:ascii="宋体" w:hAnsi="宋体" w:cs="宋体" w:eastAsia="宋体" w:hint="default"/>
        </w:rPr>
        <w:t>2013</w:t>
      </w:r>
      <w:r>
        <w:rPr>
          <w:rFonts w:ascii="宋体" w:hAnsi="宋体" w:cs="宋体" w:eastAsia="宋体" w:hint="default"/>
          <w:spacing w:val="-46"/>
        </w:rPr>
        <w:t> </w:t>
      </w:r>
      <w:r>
        <w:rPr/>
        <w:t>年</w:t>
      </w:r>
      <w:r>
        <w:rPr>
          <w:spacing w:val="-48"/>
        </w:rPr>
        <w:t> </w:t>
      </w:r>
      <w:r>
        <w:rPr>
          <w:rFonts w:ascii="宋体" w:hAnsi="宋体" w:cs="宋体" w:eastAsia="宋体" w:hint="default"/>
        </w:rPr>
        <w:t>7</w:t>
      </w:r>
      <w:r>
        <w:rPr>
          <w:rFonts w:ascii="宋体" w:hAnsi="宋体" w:cs="宋体" w:eastAsia="宋体" w:hint="default"/>
          <w:spacing w:val="-46"/>
        </w:rPr>
        <w:t> </w:t>
      </w:r>
      <w:r>
        <w:rPr/>
        <w:t>月成立了全资子公司江</w:t>
      </w:r>
      <w:r>
        <w:rPr>
          <w:w w:val="100"/>
        </w:rPr>
        <w:t> </w:t>
      </w:r>
      <w:r>
        <w:rPr>
          <w:spacing w:val="-6"/>
          <w:w w:val="100"/>
        </w:rPr>
        <w:t>西泰豪紫荆公寓建设服务有限公司承建面向优秀人才的公租房项目，为保证该项目顺利实施，</w:t>
      </w:r>
      <w:r>
        <w:rPr>
          <w:rFonts w:ascii="宋体" w:hAnsi="宋体" w:cs="宋体" w:eastAsia="宋体" w:hint="default"/>
          <w:spacing w:val="-6"/>
          <w:w w:val="100"/>
        </w:rPr>
        <w:t>2015</w:t>
      </w:r>
      <w:r>
        <w:rPr>
          <w:rFonts w:ascii="宋体" w:hAnsi="宋体" w:cs="宋体" w:eastAsia="宋体" w:hint="default"/>
          <w:spacing w:val="-93"/>
          <w:w w:val="100"/>
        </w:rPr>
        <w:t> </w:t>
      </w:r>
      <w:r>
        <w:rPr>
          <w:rFonts w:ascii="宋体" w:hAnsi="宋体" w:cs="宋体" w:eastAsia="宋体" w:hint="default"/>
          <w:spacing w:val="-93"/>
          <w:w w:val="100"/>
        </w:rPr>
      </w:r>
      <w:r>
        <w:rPr/>
        <w:t>年</w:t>
      </w:r>
      <w:r>
        <w:rPr>
          <w:spacing w:val="-52"/>
        </w:rPr>
        <w:t> </w:t>
      </w:r>
      <w:r>
        <w:rPr>
          <w:rFonts w:ascii="宋体" w:hAnsi="宋体" w:cs="宋体" w:eastAsia="宋体" w:hint="default"/>
        </w:rPr>
        <w:t>9</w:t>
      </w:r>
      <w:r>
        <w:rPr>
          <w:rFonts w:ascii="宋体" w:hAnsi="宋体" w:cs="宋体" w:eastAsia="宋体" w:hint="default"/>
          <w:spacing w:val="-52"/>
        </w:rPr>
        <w:t> </w:t>
      </w:r>
      <w:r>
        <w:rPr/>
        <w:t>月</w:t>
      </w:r>
      <w:r>
        <w:rPr>
          <w:spacing w:val="-52"/>
        </w:rPr>
        <w:t> </w:t>
      </w:r>
      <w:r>
        <w:rPr>
          <w:rFonts w:ascii="宋体" w:hAnsi="宋体" w:cs="宋体" w:eastAsia="宋体" w:hint="default"/>
        </w:rPr>
        <w:t>6</w:t>
      </w:r>
      <w:r>
        <w:rPr>
          <w:rFonts w:ascii="宋体" w:hAnsi="宋体" w:cs="宋体" w:eastAsia="宋体" w:hint="default"/>
          <w:spacing w:val="-52"/>
        </w:rPr>
        <w:t> </w:t>
      </w:r>
      <w:r>
        <w:rPr/>
        <w:t>日公司第六届董事会第二次会议审议通过了《关于向全资子公司江西泰豪紫荆公寓建设</w:t>
      </w:r>
    </w:p>
    <w:p>
      <w:pPr>
        <w:pStyle w:val="BodyText"/>
        <w:spacing w:line="237" w:lineRule="auto"/>
        <w:ind w:right="108"/>
        <w:jc w:val="both"/>
        <w:rPr>
          <w:rFonts w:ascii="宋体" w:hAnsi="宋体" w:cs="宋体" w:eastAsia="宋体" w:hint="default"/>
        </w:rPr>
      </w:pPr>
      <w:r>
        <w:rPr/>
        <w:t>服务有限公司提供委托贷款的议案》，同意向紫荆公寓公司提供</w:t>
      </w:r>
      <w:r>
        <w:rPr>
          <w:spacing w:val="-49"/>
        </w:rPr>
        <w:t> </w:t>
      </w:r>
      <w:r>
        <w:rPr>
          <w:rFonts w:ascii="宋体" w:hAnsi="宋体" w:cs="宋体" w:eastAsia="宋体" w:hint="default"/>
        </w:rPr>
        <w:t>1.7</w:t>
      </w:r>
      <w:r>
        <w:rPr>
          <w:rFonts w:ascii="宋体" w:hAnsi="宋体" w:cs="宋体" w:eastAsia="宋体" w:hint="default"/>
          <w:spacing w:val="-48"/>
        </w:rPr>
        <w:t> </w:t>
      </w:r>
      <w:r>
        <w:rPr/>
        <w:t>亿元人民币委托贷款，贷款</w:t>
      </w:r>
      <w:r>
        <w:rPr>
          <w:w w:val="100"/>
        </w:rPr>
        <w:t> </w:t>
      </w:r>
      <w:r>
        <w:rPr/>
        <w:t>用途为用于公租房项目建设，贷款期限为</w:t>
      </w:r>
      <w:r>
        <w:rPr>
          <w:spacing w:val="-48"/>
        </w:rPr>
        <w:t> </w:t>
      </w:r>
      <w:r>
        <w:rPr>
          <w:rFonts w:ascii="宋体" w:hAnsi="宋体" w:cs="宋体" w:eastAsia="宋体" w:hint="default"/>
        </w:rPr>
        <w:t>5</w:t>
      </w:r>
      <w:r>
        <w:rPr>
          <w:rFonts w:ascii="宋体" w:hAnsi="宋体" w:cs="宋体" w:eastAsia="宋体" w:hint="default"/>
          <w:spacing w:val="-51"/>
        </w:rPr>
        <w:t> </w:t>
      </w:r>
      <w:r>
        <w:rPr>
          <w:spacing w:val="-3"/>
        </w:rPr>
        <w:t>年，贷款利率为年利率</w:t>
      </w:r>
      <w:r>
        <w:rPr>
          <w:spacing w:val="-49"/>
        </w:rPr>
        <w:t> </w:t>
      </w:r>
      <w:r>
        <w:rPr>
          <w:rFonts w:ascii="宋体" w:hAnsi="宋体" w:cs="宋体" w:eastAsia="宋体" w:hint="default"/>
          <w:spacing w:val="-3"/>
        </w:rPr>
        <w:t>6%</w:t>
      </w:r>
      <w:r>
        <w:rPr>
          <w:spacing w:val="-3"/>
        </w:rPr>
        <w:t>，较同期银行基准贷款利率</w:t>
      </w:r>
      <w:r>
        <w:rPr>
          <w:spacing w:val="-94"/>
        </w:rPr>
        <w:t> </w:t>
      </w:r>
      <w:r>
        <w:rPr>
          <w:spacing w:val="-94"/>
        </w:rPr>
      </w:r>
      <w:r>
        <w:rPr/>
        <w:t>上浮</w:t>
      </w:r>
      <w:r>
        <w:rPr>
          <w:spacing w:val="-48"/>
        </w:rPr>
        <w:t> </w:t>
      </w:r>
      <w:r>
        <w:rPr>
          <w:rFonts w:ascii="宋体" w:hAnsi="宋体" w:cs="宋体" w:eastAsia="宋体" w:hint="default"/>
          <w:spacing w:val="-4"/>
        </w:rPr>
        <w:t>20%</w:t>
      </w:r>
      <w:r>
        <w:rPr>
          <w:spacing w:val="-4"/>
        </w:rPr>
        <w:t>，贷款将于</w:t>
      </w:r>
      <w:r>
        <w:rPr>
          <w:spacing w:val="-49"/>
        </w:rPr>
        <w:t> </w:t>
      </w:r>
      <w:r>
        <w:rPr>
          <w:rFonts w:ascii="宋体" w:hAnsi="宋体" w:cs="宋体" w:eastAsia="宋体" w:hint="default"/>
        </w:rPr>
        <w:t>2020</w:t>
      </w:r>
      <w:r>
        <w:rPr>
          <w:rFonts w:ascii="宋体" w:hAnsi="宋体" w:cs="宋体" w:eastAsia="宋体" w:hint="default"/>
          <w:spacing w:val="-51"/>
        </w:rPr>
        <w:t> </w:t>
      </w:r>
      <w:r>
        <w:rPr/>
        <w:t>年</w:t>
      </w:r>
      <w:r>
        <w:rPr>
          <w:spacing w:val="-48"/>
        </w:rPr>
        <w:t> </w:t>
      </w:r>
      <w:r>
        <w:rPr>
          <w:rFonts w:ascii="宋体" w:hAnsi="宋体" w:cs="宋体" w:eastAsia="宋体" w:hint="default"/>
        </w:rPr>
        <w:t>9</w:t>
      </w:r>
      <w:r>
        <w:rPr>
          <w:rFonts w:ascii="宋体" w:hAnsi="宋体" w:cs="宋体" w:eastAsia="宋体" w:hint="default"/>
          <w:spacing w:val="-51"/>
        </w:rPr>
        <w:t> </w:t>
      </w:r>
      <w:r>
        <w:rPr/>
        <w:t>月</w:t>
      </w:r>
      <w:r>
        <w:rPr>
          <w:spacing w:val="-49"/>
        </w:rPr>
        <w:t> </w:t>
      </w:r>
      <w:r>
        <w:rPr>
          <w:rFonts w:ascii="宋体" w:hAnsi="宋体" w:cs="宋体" w:eastAsia="宋体" w:hint="default"/>
        </w:rPr>
        <w:t>14</w:t>
      </w:r>
      <w:r>
        <w:rPr>
          <w:rFonts w:ascii="宋体" w:hAnsi="宋体" w:cs="宋体" w:eastAsia="宋体" w:hint="default"/>
          <w:spacing w:val="-51"/>
        </w:rPr>
        <w:t> </w:t>
      </w:r>
      <w:r>
        <w:rPr>
          <w:spacing w:val="-3"/>
        </w:rPr>
        <w:t>日到期，具体内容详见《泰豪科技股份有限公司</w:t>
      </w:r>
      <w:r>
        <w:rPr>
          <w:spacing w:val="9"/>
        </w:rPr>
        <w:t> </w:t>
      </w:r>
      <w:r>
        <w:rPr>
          <w:rFonts w:ascii="宋体" w:hAnsi="宋体" w:cs="宋体" w:eastAsia="宋体" w:hint="default"/>
          <w:spacing w:val="9"/>
        </w:rPr>
      </w:r>
      <w:r>
        <w:rPr/>
        <w:t>第六届董事</w:t>
      </w:r>
      <w:r>
        <w:rPr>
          <w:spacing w:val="-95"/>
        </w:rPr>
        <w:t> </w:t>
      </w:r>
      <w:r>
        <w:rPr>
          <w:spacing w:val="-95"/>
        </w:rPr>
      </w:r>
      <w:r>
        <w:rPr/>
        <w:t>会第二次会议决议公告》（公告编号：临</w:t>
      </w:r>
      <w:r>
        <w:rPr>
          <w:spacing w:val="-51"/>
        </w:rPr>
        <w:t> </w:t>
      </w:r>
      <w:r>
        <w:rPr>
          <w:rFonts w:ascii="宋体" w:hAnsi="宋体" w:cs="宋体" w:eastAsia="宋体" w:hint="default"/>
        </w:rPr>
        <w:t>2015-074</w:t>
      </w:r>
      <w:r>
        <w:rPr/>
        <w:t>）。</w:t>
      </w:r>
      <w:r>
        <w:rPr>
          <w:rFonts w:ascii="宋体" w:hAnsi="宋体" w:cs="宋体" w:eastAsia="宋体" w:hint="default"/>
        </w:rPr>
        <w:t>2016</w:t>
      </w:r>
      <w:r>
        <w:rPr>
          <w:rFonts w:ascii="宋体" w:hAnsi="宋体" w:cs="宋体" w:eastAsia="宋体" w:hint="default"/>
          <w:spacing w:val="-53"/>
        </w:rPr>
        <w:t> </w:t>
      </w:r>
      <w:r>
        <w:rPr/>
        <w:t>年</w:t>
      </w:r>
      <w:r>
        <w:rPr>
          <w:spacing w:val="-51"/>
        </w:rPr>
        <w:t> </w:t>
      </w:r>
      <w:r>
        <w:rPr>
          <w:rFonts w:ascii="宋体" w:hAnsi="宋体" w:cs="宋体" w:eastAsia="宋体" w:hint="default"/>
        </w:rPr>
        <w:t>6</w:t>
      </w:r>
      <w:r>
        <w:rPr>
          <w:rFonts w:ascii="宋体" w:hAnsi="宋体" w:cs="宋体" w:eastAsia="宋体" w:hint="default"/>
          <w:spacing w:val="-54"/>
        </w:rPr>
        <w:t> </w:t>
      </w:r>
      <w:r>
        <w:rPr/>
        <w:t>月</w:t>
      </w:r>
      <w:r>
        <w:rPr>
          <w:spacing w:val="-51"/>
        </w:rPr>
        <w:t> </w:t>
      </w:r>
      <w:r>
        <w:rPr>
          <w:rFonts w:ascii="宋体" w:hAnsi="宋体" w:cs="宋体" w:eastAsia="宋体" w:hint="default"/>
        </w:rPr>
        <w:t>14</w:t>
      </w:r>
      <w:r>
        <w:rPr>
          <w:rFonts w:ascii="宋体" w:hAnsi="宋体" w:cs="宋体" w:eastAsia="宋体" w:hint="default"/>
          <w:spacing w:val="-51"/>
        </w:rPr>
        <w:t> </w:t>
      </w:r>
      <w:r>
        <w:rPr/>
        <w:t>日公司召开的第六届董事</w:t>
      </w:r>
      <w:r>
        <w:rPr>
          <w:w w:val="100"/>
        </w:rPr>
        <w:t> </w:t>
      </w:r>
      <w:r>
        <w:rPr>
          <w:spacing w:val="-3"/>
        </w:rPr>
        <w:t>会第十三次董事会审议通过了《关于转让全资子公司江西泰豪紫荆公寓建设服务有限公司 </w:t>
      </w:r>
      <w:r>
        <w:rPr>
          <w:rFonts w:ascii="宋体" w:hAnsi="宋体" w:cs="宋体" w:eastAsia="宋体" w:hint="default"/>
        </w:rPr>
        <w:t>100%</w:t>
      </w:r>
      <w:r>
        <w:rPr/>
        <w:t>股</w:t>
      </w:r>
      <w:r>
        <w:rPr>
          <w:spacing w:val="-85"/>
        </w:rPr>
        <w:t> </w:t>
      </w:r>
      <w:r>
        <w:rPr>
          <w:spacing w:val="-3"/>
        </w:rPr>
        <w:t>权暨关联交易的议案》，同意公司将持有的江西泰豪紫荆公寓建设服务有限公司</w:t>
      </w:r>
      <w:r>
        <w:rPr>
          <w:spacing w:val="-34"/>
        </w:rPr>
        <w:t> </w:t>
      </w:r>
      <w:r>
        <w:rPr>
          <w:rFonts w:ascii="宋体" w:hAnsi="宋体" w:cs="宋体" w:eastAsia="宋体" w:hint="default"/>
        </w:rPr>
        <w:t>100%</w:t>
      </w:r>
      <w:r>
        <w:rPr/>
        <w:t>股权转让给</w:t>
      </w:r>
      <w:r>
        <w:rPr>
          <w:spacing w:val="-65"/>
        </w:rPr>
        <w:t> </w:t>
      </w:r>
      <w:r>
        <w:rPr>
          <w:spacing w:val="-65"/>
        </w:rPr>
      </w:r>
      <w:r>
        <w:rPr/>
        <w:t>泰豪园区投资有限公司，具体内容详见《泰豪科技股份有限公司关于将江西泰豪紫荆公寓建设服</w:t>
      </w:r>
      <w:r>
        <w:rPr>
          <w:spacing w:val="-97"/>
        </w:rPr>
        <w:t> </w:t>
      </w:r>
      <w:r>
        <w:rPr>
          <w:spacing w:val="-97"/>
        </w:rPr>
      </w:r>
      <w:r>
        <w:rPr>
          <w:spacing w:val="-2"/>
          <w:w w:val="100"/>
        </w:rPr>
        <w:t>务有限公司</w:t>
      </w:r>
      <w:r>
        <w:rPr>
          <w:w w:val="100"/>
        </w:rPr>
        <w:t> </w:t>
      </w:r>
      <w:r>
        <w:rPr>
          <w:rFonts w:ascii="宋体" w:hAnsi="宋体" w:cs="宋体" w:eastAsia="宋体" w:hint="default"/>
          <w:spacing w:val="-11"/>
          <w:w w:val="100"/>
        </w:rPr>
        <w:t>100%</w:t>
      </w:r>
      <w:r>
        <w:rPr>
          <w:spacing w:val="-11"/>
          <w:w w:val="100"/>
        </w:rPr>
        <w:t>股权转让给泰豪园区投资有限公司暨关联交易的公告》（公告编号：临</w:t>
      </w:r>
      <w:r>
        <w:rPr>
          <w:spacing w:val="-71"/>
          <w:w w:val="100"/>
        </w:rPr>
        <w:t> </w:t>
      </w:r>
      <w:r>
        <w:rPr>
          <w:rFonts w:ascii="宋体" w:hAnsi="宋体" w:cs="宋体" w:eastAsia="宋体" w:hint="default"/>
          <w:spacing w:val="-22"/>
          <w:w w:val="100"/>
        </w:rPr>
        <w:t>2016-035</w:t>
      </w:r>
      <w:r>
        <w:rPr>
          <w:spacing w:val="-22"/>
          <w:w w:val="100"/>
        </w:rPr>
        <w:t>）。</w:t>
      </w:r>
      <w:r>
        <w:rPr>
          <w:rFonts w:ascii="宋体" w:hAnsi="宋体" w:cs="宋体" w:eastAsia="宋体" w:hint="default"/>
          <w:w w:val="100"/>
        </w:rPr>
        <w:t> </w:t>
      </w:r>
    </w:p>
    <w:p>
      <w:pPr>
        <w:pStyle w:val="BodyText"/>
        <w:spacing w:line="271" w:lineRule="exact"/>
        <w:ind w:left="557" w:right="0"/>
        <w:jc w:val="left"/>
        <w:rPr>
          <w:rFonts w:ascii="宋体" w:hAnsi="宋体" w:cs="宋体" w:eastAsia="宋体" w:hint="default"/>
        </w:rPr>
      </w:pPr>
      <w:r>
        <w:rPr>
          <w:rFonts w:ascii="宋体"/>
          <w:w w:val="100"/>
        </w:rPr>
        <w:t> </w:t>
      </w:r>
    </w:p>
    <w:p>
      <w:pPr>
        <w:pStyle w:val="Heading5"/>
        <w:spacing w:line="240" w:lineRule="auto" w:before="58"/>
        <w:ind w:left="136" w:right="0"/>
        <w:jc w:val="both"/>
        <w:rPr>
          <w:b w:val="0"/>
          <w:bCs w:val="0"/>
        </w:rPr>
      </w:pPr>
      <w:r>
        <w:rPr>
          <w:rFonts w:ascii="宋体" w:hAnsi="宋体" w:cs="宋体" w:eastAsia="宋体" w:hint="default"/>
        </w:rPr>
        <w:t>(3)</w:t>
      </w:r>
      <w:r>
        <w:rPr>
          <w:rFonts w:ascii="宋体" w:hAnsi="宋体" w:cs="宋体" w:eastAsia="宋体" w:hint="default"/>
          <w:spacing w:val="-62"/>
        </w:rPr>
        <w:t> </w:t>
      </w:r>
      <w:r>
        <w:rPr/>
        <w:t>委托贷款减值准备</w:t>
      </w:r>
      <w:r>
        <w:rPr>
          <w:b w:val="0"/>
          <w:bCs w:val="0"/>
        </w:rPr>
      </w:r>
    </w:p>
    <w:p>
      <w:pPr>
        <w:pStyle w:val="Heading3"/>
        <w:spacing w:line="313" w:lineRule="exact" w:before="50"/>
        <w:ind w:left="136"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136" w:right="0"/>
        <w:jc w:val="both"/>
        <w:rPr>
          <w:rFonts w:ascii="宋体" w:hAnsi="宋体" w:cs="宋体" w:eastAsia="宋体" w:hint="default"/>
        </w:rPr>
      </w:pPr>
      <w:r>
        <w:rPr>
          <w:rFonts w:ascii="宋体"/>
        </w:rPr>
        <w:t> </w:t>
      </w:r>
    </w:p>
    <w:p>
      <w:pPr>
        <w:pStyle w:val="Heading5"/>
        <w:spacing w:line="240" w:lineRule="auto"/>
        <w:ind w:left="136" w:right="0"/>
        <w:jc w:val="both"/>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104"/>
        </w:rPr>
        <w:t> </w:t>
      </w:r>
      <w:r>
        <w:rPr/>
        <w:t>其他情况</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left="136"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136" w:right="0"/>
        <w:jc w:val="both"/>
        <w:rPr>
          <w:rFonts w:ascii="宋体" w:hAnsi="宋体" w:cs="宋体" w:eastAsia="宋体" w:hint="default"/>
        </w:rPr>
      </w:pPr>
      <w:r>
        <w:rPr>
          <w:rFonts w:ascii="宋体"/>
        </w:rPr>
        <w:t> </w:t>
      </w:r>
    </w:p>
    <w:p>
      <w:pPr>
        <w:pStyle w:val="Heading5"/>
        <w:spacing w:line="240" w:lineRule="auto" w:before="61"/>
        <w:ind w:left="136"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2"/>
        </w:rPr>
        <w:t> </w:t>
      </w:r>
      <w:r>
        <w:rPr/>
        <w:t>其他重大合同</w:t>
      </w:r>
      <w:r>
        <w:rPr>
          <w:b w:val="0"/>
          <w:bCs w:val="0"/>
        </w:rPr>
      </w:r>
    </w:p>
    <w:p>
      <w:pPr>
        <w:pStyle w:val="Heading3"/>
        <w:spacing w:line="313" w:lineRule="exact" w:before="52"/>
        <w:ind w:left="136"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136" w:right="0"/>
        <w:jc w:val="both"/>
        <w:rPr>
          <w:rFonts w:ascii="宋体" w:hAnsi="宋体" w:cs="宋体" w:eastAsia="宋体" w:hint="default"/>
        </w:rPr>
      </w:pPr>
      <w:r>
        <w:rPr>
          <w:rFonts w:ascii="宋体"/>
        </w:rPr>
        <w:t> </w:t>
      </w:r>
    </w:p>
    <w:p>
      <w:pPr>
        <w:pStyle w:val="Heading5"/>
        <w:spacing w:line="240" w:lineRule="auto" w:before="61"/>
        <w:ind w:left="136" w:right="0"/>
        <w:jc w:val="both"/>
        <w:rPr>
          <w:b w:val="0"/>
          <w:bCs w:val="0"/>
        </w:rPr>
      </w:pPr>
      <w:r>
        <w:rPr/>
        <w:t>十六、其他重大事项的说明</w:t>
      </w:r>
      <w:r>
        <w:rPr>
          <w:b w:val="0"/>
          <w:bCs w:val="0"/>
        </w:rPr>
      </w:r>
    </w:p>
    <w:p>
      <w:pPr>
        <w:pStyle w:val="BodyText"/>
        <w:spacing w:line="240" w:lineRule="auto" w:before="58"/>
        <w:ind w:right="0"/>
        <w:jc w:val="both"/>
      </w:pPr>
      <w:r>
        <w:rPr/>
        <w:t>□适用 √不适用</w:t>
      </w:r>
    </w:p>
    <w:p>
      <w:pPr>
        <w:spacing w:line="240" w:lineRule="auto" w:before="11"/>
        <w:rPr>
          <w:rFonts w:ascii="宋体" w:hAnsi="宋体" w:cs="宋体" w:eastAsia="宋体" w:hint="default"/>
          <w:sz w:val="22"/>
          <w:szCs w:val="22"/>
        </w:rPr>
      </w:pPr>
    </w:p>
    <w:p>
      <w:pPr>
        <w:pStyle w:val="Heading5"/>
        <w:tabs>
          <w:tab w:pos="989" w:val="left" w:leader="none"/>
        </w:tabs>
        <w:spacing w:line="290" w:lineRule="auto" w:before="0"/>
        <w:ind w:left="136" w:right="5672"/>
        <w:jc w:val="left"/>
        <w:rPr>
          <w:b w:val="0"/>
          <w:bCs w:val="0"/>
        </w:rPr>
      </w:pPr>
      <w:r>
        <w:rPr>
          <w:spacing w:val="-1"/>
        </w:rPr>
        <w:t>十七、积极履行社会责任的工作情况</w:t>
      </w:r>
      <w:r>
        <w:rPr>
          <w:spacing w:val="-90"/>
        </w:rPr>
        <w:t> </w:t>
      </w:r>
      <w:r>
        <w:rPr>
          <w:spacing w:val="-90"/>
        </w:rPr>
      </w:r>
      <w:r>
        <w:rPr>
          <w:rFonts w:ascii="宋体" w:hAnsi="宋体" w:cs="宋体" w:eastAsia="宋体" w:hint="default"/>
          <w:w w:val="95"/>
        </w:rPr>
        <w:t>(</w:t>
      </w:r>
      <w:r>
        <w:rPr>
          <w:w w:val="95"/>
        </w:rPr>
        <w:t>一</w:t>
      </w:r>
      <w:r>
        <w:rPr>
          <w:rFonts w:ascii="宋体" w:hAnsi="宋体" w:cs="宋体" w:eastAsia="宋体" w:hint="default"/>
          <w:w w:val="95"/>
        </w:rPr>
        <w:t>)</w:t>
        <w:tab/>
      </w:r>
      <w:r>
        <w:rPr/>
        <w:t>上市公司扶贫工作情况</w:t>
      </w:r>
      <w:r>
        <w:rPr>
          <w:b w:val="0"/>
          <w:bCs w:val="0"/>
        </w:rPr>
      </w:r>
    </w:p>
    <w:p>
      <w:pPr>
        <w:pStyle w:val="Heading3"/>
        <w:spacing w:line="312" w:lineRule="exact" w:before="8"/>
        <w:ind w:left="136"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left="136" w:right="0"/>
        <w:jc w:val="both"/>
        <w:rPr>
          <w:rFonts w:ascii="宋体" w:hAnsi="宋体" w:cs="宋体" w:eastAsia="宋体" w:hint="default"/>
        </w:rPr>
      </w:pPr>
      <w:r>
        <w:rPr>
          <w:rFonts w:ascii="宋体"/>
        </w:rPr>
        <w:t> </w:t>
      </w:r>
    </w:p>
    <w:p>
      <w:pPr>
        <w:pStyle w:val="Heading5"/>
        <w:spacing w:line="240" w:lineRule="auto"/>
        <w:ind w:left="136"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1"/>
        </w:rPr>
        <w:t> </w:t>
      </w:r>
      <w:r>
        <w:rPr/>
        <w:t>社会责任工作情况</w:t>
      </w:r>
      <w:r>
        <w:rPr>
          <w:b w:val="0"/>
          <w:bCs w:val="0"/>
        </w:rPr>
      </w:r>
    </w:p>
    <w:p>
      <w:pPr>
        <w:pStyle w:val="Heading3"/>
        <w:spacing w:line="240" w:lineRule="auto" w:before="52"/>
        <w:ind w:left="136"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71" w:lineRule="exact" w:before="1"/>
        <w:ind w:right="0"/>
        <w:jc w:val="both"/>
        <w:rPr>
          <w:rFonts w:ascii="宋体" w:hAnsi="宋体" w:cs="宋体" w:eastAsia="宋体" w:hint="default"/>
          <w:sz w:val="24"/>
          <w:szCs w:val="24"/>
        </w:rPr>
      </w:pPr>
      <w:r>
        <w:rPr/>
        <w:t>具体详见公司</w:t>
      </w:r>
      <w:r>
        <w:rPr>
          <w:spacing w:val="-53"/>
        </w:rPr>
        <w:t> </w:t>
      </w:r>
      <w:r>
        <w:rPr>
          <w:rFonts w:ascii="宋体" w:hAnsi="宋体" w:cs="宋体" w:eastAsia="宋体" w:hint="default"/>
        </w:rPr>
        <w:t>2020</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25</w:t>
      </w:r>
      <w:r>
        <w:rPr>
          <w:rFonts w:ascii="宋体" w:hAnsi="宋体" w:cs="宋体" w:eastAsia="宋体" w:hint="default"/>
          <w:spacing w:val="-55"/>
        </w:rPr>
        <w:t> </w:t>
      </w:r>
      <w:r>
        <w:rPr/>
        <w:t>日披露的《公司</w:t>
      </w:r>
      <w:r>
        <w:rPr>
          <w:spacing w:val="-54"/>
        </w:rPr>
        <w:t> </w:t>
      </w:r>
      <w:r>
        <w:rPr>
          <w:rFonts w:ascii="宋体" w:hAnsi="宋体" w:cs="宋体" w:eastAsia="宋体" w:hint="default"/>
        </w:rPr>
        <w:t>2019</w:t>
      </w:r>
      <w:r>
        <w:rPr>
          <w:rFonts w:ascii="宋体" w:hAnsi="宋体" w:cs="宋体" w:eastAsia="宋体" w:hint="default"/>
          <w:spacing w:val="-54"/>
        </w:rPr>
        <w:t> </w:t>
      </w:r>
      <w:r>
        <w:rPr/>
        <w:t>年社会责任报告》。</w:t>
      </w:r>
      <w:r>
        <w:rPr>
          <w:rFonts w:ascii="宋体" w:hAnsi="宋体" w:cs="宋体" w:eastAsia="宋体" w:hint="default"/>
          <w:sz w:val="24"/>
          <w:szCs w:val="24"/>
        </w:rPr>
        <w:t> </w:t>
      </w:r>
    </w:p>
    <w:p>
      <w:pPr>
        <w:pStyle w:val="Heading3"/>
        <w:spacing w:line="310" w:lineRule="exact"/>
        <w:ind w:left="136" w:right="0"/>
        <w:jc w:val="both"/>
        <w:rPr>
          <w:rFonts w:ascii="宋体" w:hAnsi="宋体" w:cs="宋体" w:eastAsia="宋体" w:hint="default"/>
        </w:rPr>
      </w:pPr>
      <w:r>
        <w:rPr>
          <w:rFonts w:ascii="宋体"/>
        </w:rPr>
        <w:t> </w:t>
      </w:r>
    </w:p>
    <w:p>
      <w:pPr>
        <w:pStyle w:val="Heading5"/>
        <w:spacing w:line="240" w:lineRule="auto" w:before="61"/>
        <w:ind w:left="136"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1"/>
        </w:rPr>
        <w:t> </w:t>
      </w:r>
      <w:r>
        <w:rPr/>
        <w:t>环境信息情况</w:t>
      </w:r>
      <w:r>
        <w:rPr>
          <w:b w:val="0"/>
          <w:bCs w:val="0"/>
        </w:rPr>
      </w:r>
    </w:p>
    <w:p>
      <w:pPr>
        <w:pStyle w:val="Heading5"/>
        <w:spacing w:line="240" w:lineRule="auto" w:before="58"/>
        <w:ind w:left="136" w:right="0"/>
        <w:jc w:val="both"/>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101"/>
        </w:rPr>
        <w:t> </w:t>
      </w:r>
      <w:r>
        <w:rPr/>
        <w:t>属于环境保护部门公布的重点排污单位的公司及其重要子公司的环保情况说明</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136"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7"/>
        <w:rPr>
          <w:rFonts w:ascii="宋体" w:hAnsi="宋体" w:cs="宋体" w:eastAsia="宋体" w:hint="default"/>
          <w:sz w:val="24"/>
          <w:szCs w:val="24"/>
        </w:rPr>
      </w:pPr>
    </w:p>
    <w:p>
      <w:pPr>
        <w:pStyle w:val="Heading5"/>
        <w:spacing w:line="240" w:lineRule="auto" w:before="0"/>
        <w:ind w:left="136" w:right="0"/>
        <w:jc w:val="both"/>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05"/>
        </w:rPr>
        <w:t> </w:t>
      </w:r>
      <w:r>
        <w:rPr/>
        <w:t>重点排污单位之外的公司的环保情况说明</w:t>
      </w:r>
      <w:r>
        <w:rPr>
          <w:rFonts w:ascii="宋体" w:hAnsi="宋体" w:cs="宋体" w:eastAsia="宋体" w:hint="default"/>
          <w:w w:val="99"/>
        </w:rPr>
        <w:t> </w:t>
      </w:r>
      <w:r>
        <w:rPr>
          <w:rFonts w:ascii="宋体" w:hAnsi="宋体" w:cs="宋体" w:eastAsia="宋体" w:hint="default"/>
          <w:b w:val="0"/>
          <w:bCs w:val="0"/>
        </w:rPr>
      </w:r>
    </w:p>
    <w:p>
      <w:pPr>
        <w:pStyle w:val="Heading3"/>
        <w:spacing w:line="312" w:lineRule="exact" w:before="81"/>
        <w:ind w:left="136" w:right="10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t>公司及所属子公司不属于环境保护部门公布的重点排污单位的公司。</w:t>
      </w:r>
      <w:r>
        <w:rPr>
          <w:rFonts w:ascii="宋体" w:hAnsi="宋体" w:cs="宋体" w:eastAsia="宋体" w:hint="default"/>
        </w:rPr>
        <w:t> </w:t>
      </w:r>
    </w:p>
    <w:p>
      <w:pPr>
        <w:spacing w:line="240" w:lineRule="auto" w:before="4"/>
        <w:rPr>
          <w:rFonts w:ascii="宋体" w:hAnsi="宋体" w:cs="宋体" w:eastAsia="宋体" w:hint="default"/>
          <w:sz w:val="22"/>
          <w:szCs w:val="22"/>
        </w:rPr>
      </w:pPr>
    </w:p>
    <w:p>
      <w:pPr>
        <w:pStyle w:val="Heading5"/>
        <w:spacing w:line="240" w:lineRule="auto" w:before="0"/>
        <w:ind w:left="136" w:right="0"/>
        <w:jc w:val="both"/>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104"/>
        </w:rPr>
        <w:t> </w:t>
      </w:r>
      <w:r>
        <w:rPr/>
        <w:t>重点排污单位之外的公司未披露环境信息的原因说明</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136"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both"/>
        <w:rPr>
          <w:rFonts w:ascii="宋体" w:hAnsi="宋体" w:cs="宋体" w:eastAsia="宋体" w:hint="default"/>
        </w:rPr>
        <w:sectPr>
          <w:headerReference w:type="default" r:id="rId25"/>
          <w:footerReference w:type="default" r:id="rId26"/>
          <w:pgSz w:w="11910" w:h="16840"/>
          <w:pgMar w:header="880" w:footer="1195" w:top="1120" w:bottom="1380" w:left="1140" w:right="1580"/>
          <w:pgNumType w:start="45"/>
        </w:sectPr>
      </w:pPr>
    </w:p>
    <w:p>
      <w:pPr>
        <w:spacing w:line="240" w:lineRule="auto" w:before="11"/>
        <w:rPr>
          <w:rFonts w:ascii="宋体" w:hAnsi="宋体" w:cs="宋体" w:eastAsia="宋体" w:hint="default"/>
          <w:sz w:val="18"/>
          <w:szCs w:val="18"/>
        </w:rPr>
      </w:pPr>
    </w:p>
    <w:p>
      <w:pPr>
        <w:pStyle w:val="Heading5"/>
        <w:tabs>
          <w:tab w:pos="861" w:val="left" w:leader="none"/>
        </w:tabs>
        <w:spacing w:line="240" w:lineRule="auto" w:before="36"/>
        <w:ind w:left="436" w:right="0"/>
        <w:jc w:val="left"/>
        <w:rPr>
          <w:rFonts w:ascii="宋体" w:hAnsi="宋体" w:cs="宋体" w:eastAsia="宋体" w:hint="default"/>
          <w:b w:val="0"/>
          <w:bCs w:val="0"/>
        </w:rPr>
      </w:pPr>
      <w:r>
        <w:rPr>
          <w:rFonts w:ascii="宋体" w:hAnsi="宋体" w:cs="宋体" w:eastAsia="宋体" w:hint="default"/>
          <w:w w:val="95"/>
        </w:rPr>
        <w:t>4.</w:t>
        <w:tab/>
      </w:r>
      <w:r>
        <w:rPr/>
        <w:t>报告期内披露环境信息内容的后续进展或变化情况的说明</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4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7"/>
        <w:rPr>
          <w:rFonts w:ascii="宋体" w:hAnsi="宋体" w:cs="宋体" w:eastAsia="宋体" w:hint="default"/>
          <w:sz w:val="24"/>
          <w:szCs w:val="24"/>
        </w:rPr>
      </w:pPr>
    </w:p>
    <w:p>
      <w:pPr>
        <w:pStyle w:val="Heading5"/>
        <w:tabs>
          <w:tab w:pos="1080" w:val="left" w:leader="none"/>
        </w:tabs>
        <w:spacing w:line="240" w:lineRule="auto" w:before="0"/>
        <w:ind w:left="436" w:right="0"/>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其他说明</w:t>
      </w:r>
      <w:r>
        <w:rPr>
          <w:b w:val="0"/>
          <w:bCs w:val="0"/>
        </w:rPr>
      </w:r>
    </w:p>
    <w:p>
      <w:pPr>
        <w:pStyle w:val="Heading3"/>
        <w:spacing w:line="313" w:lineRule="exact" w:before="50"/>
        <w:ind w:left="4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436" w:right="0"/>
        <w:jc w:val="left"/>
        <w:rPr>
          <w:rFonts w:ascii="宋体" w:hAnsi="宋体" w:cs="宋体" w:eastAsia="宋体" w:hint="default"/>
        </w:rPr>
      </w:pPr>
      <w:r>
        <w:rPr>
          <w:rFonts w:ascii="宋体"/>
        </w:rPr>
        <w:t> </w:t>
      </w:r>
    </w:p>
    <w:p>
      <w:pPr>
        <w:pStyle w:val="Heading5"/>
        <w:spacing w:line="240" w:lineRule="auto"/>
        <w:ind w:left="436" w:right="0"/>
        <w:jc w:val="left"/>
        <w:rPr>
          <w:b w:val="0"/>
          <w:bCs w:val="0"/>
        </w:rPr>
      </w:pPr>
      <w:r>
        <w:rPr/>
        <w:t>十八、可转换公司债券情况</w:t>
      </w:r>
      <w:r>
        <w:rPr>
          <w:b w:val="0"/>
          <w:bCs w:val="0"/>
        </w:rPr>
      </w:r>
    </w:p>
    <w:p>
      <w:pPr>
        <w:pStyle w:val="Heading3"/>
        <w:spacing w:line="313" w:lineRule="exact" w:before="50"/>
        <w:ind w:left="4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436" w:right="0"/>
        <w:jc w:val="left"/>
        <w:rPr>
          <w:rFonts w:ascii="宋体" w:hAnsi="宋体" w:cs="宋体" w:eastAsia="宋体" w:hint="default"/>
        </w:rPr>
      </w:pPr>
      <w:r>
        <w:rPr>
          <w:rFonts w:ascii="宋体"/>
        </w:rPr>
        <w:t> </w:t>
      </w:r>
    </w:p>
    <w:p>
      <w:pPr>
        <w:pStyle w:val="Heading1"/>
        <w:tabs>
          <w:tab w:pos="1260" w:val="left" w:leader="none"/>
        </w:tabs>
        <w:spacing w:line="240" w:lineRule="auto" w:before="49"/>
        <w:ind w:right="19"/>
        <w:jc w:val="center"/>
        <w:rPr>
          <w:b w:val="0"/>
          <w:bCs w:val="0"/>
        </w:rPr>
      </w:pPr>
      <w:bookmarkStart w:name="_bookmark5" w:id="8"/>
      <w:bookmarkEnd w:id="8"/>
      <w:r>
        <w:rPr>
          <w:b w:val="0"/>
          <w:bCs w:val="0"/>
        </w:rPr>
      </w:r>
      <w:r>
        <w:rPr>
          <w:w w:val="95"/>
        </w:rPr>
        <w:t>第六节</w:t>
      </w:r>
      <w:r>
        <w:rPr>
          <w:rFonts w:ascii="宋体" w:hAnsi="宋体" w:cs="宋体" w:eastAsia="宋体" w:hint="default"/>
          <w:w w:val="95"/>
        </w:rPr>
        <w:tab/>
      </w:r>
      <w:r>
        <w:rPr/>
        <w:t>普通股股份变动及股东情况</w:t>
      </w:r>
      <w:r>
        <w:rPr>
          <w:b w:val="0"/>
          <w:bCs w:val="0"/>
        </w:rPr>
      </w:r>
    </w:p>
    <w:p>
      <w:pPr>
        <w:pStyle w:val="Heading3"/>
        <w:spacing w:line="240" w:lineRule="auto" w:before="247"/>
        <w:ind w:left="436" w:right="0"/>
        <w:jc w:val="left"/>
        <w:rPr>
          <w:rFonts w:ascii="宋体" w:hAnsi="宋体" w:cs="宋体" w:eastAsia="宋体" w:hint="default"/>
        </w:rPr>
      </w:pPr>
      <w:r>
        <w:rPr>
          <w:rFonts w:ascii="宋体"/>
        </w:rPr>
        <w:t> </w:t>
      </w:r>
    </w:p>
    <w:p>
      <w:pPr>
        <w:pStyle w:val="Heading5"/>
        <w:tabs>
          <w:tab w:pos="1003" w:val="left" w:leader="none"/>
        </w:tabs>
        <w:spacing w:line="278" w:lineRule="auto" w:before="61"/>
        <w:ind w:left="436" w:right="6611"/>
        <w:jc w:val="left"/>
        <w:rPr>
          <w:rFonts w:ascii="宋体" w:hAnsi="宋体" w:cs="宋体" w:eastAsia="宋体" w:hint="default"/>
          <w:b w:val="0"/>
          <w:bCs w:val="0"/>
        </w:rPr>
      </w:pPr>
      <w:r>
        <w:rPr/>
        <w:t>一、</w:t>
      </w:r>
      <w:r>
        <w:rPr>
          <w:spacing w:val="-77"/>
        </w:rPr>
        <w:t> </w:t>
      </w:r>
      <w:r>
        <w:rPr>
          <w:rFonts w:ascii="宋体" w:hAnsi="宋体" w:cs="宋体" w:eastAsia="宋体" w:hint="default"/>
          <w:spacing w:val="-77"/>
        </w:rPr>
      </w:r>
      <w:r>
        <w:rPr/>
        <w:t>普通股股本变动情况</w:t>
      </w:r>
      <w:r>
        <w:rPr>
          <w:spacing w:val="-103"/>
        </w:rPr>
        <w:t> </w:t>
      </w:r>
      <w:r>
        <w:rPr>
          <w:spacing w:val="-103"/>
        </w:rPr>
      </w:r>
      <w:r>
        <w:rPr>
          <w:rFonts w:ascii="Calibri" w:hAnsi="Calibri" w:cs="Calibri" w:eastAsia="Calibri" w:hint="default"/>
        </w:rPr>
        <w:t>(</w:t>
      </w:r>
      <w:r>
        <w:rPr/>
        <w:t>一</w:t>
      </w:r>
      <w:r>
        <w:rPr>
          <w:rFonts w:ascii="Calibri" w:hAnsi="Calibri" w:cs="Calibri" w:eastAsia="Calibri" w:hint="default"/>
        </w:rPr>
        <w:t>)</w:t>
        <w:tab/>
      </w:r>
      <w:r>
        <w:rPr/>
        <w:t>普通股股份变动情况表</w:t>
      </w:r>
      <w:r>
        <w:rPr>
          <w:w w:val="100"/>
        </w:rPr>
        <w:t> </w:t>
      </w:r>
      <w:r>
        <w:rPr>
          <w:rFonts w:ascii="宋体" w:hAnsi="宋体" w:cs="宋体" w:eastAsia="宋体" w:hint="default"/>
        </w:rPr>
        <w:t>1</w:t>
      </w:r>
      <w:r>
        <w:rPr/>
        <w:t>、</w:t>
      </w:r>
      <w:r>
        <w:rPr>
          <w:spacing w:val="-5"/>
        </w:rPr>
        <w:t> </w:t>
      </w:r>
      <w:r>
        <w:rPr/>
        <w:t>普通股股份变动情况表</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19"/>
        <w:ind w:left="436" w:right="0"/>
        <w:jc w:val="left"/>
        <w:rPr>
          <w:rFonts w:ascii="宋体" w:hAnsi="宋体" w:cs="宋体" w:eastAsia="宋体" w:hint="default"/>
        </w:rPr>
      </w:pPr>
      <w:r>
        <w:rPr/>
        <w:t>报告期内，公司普通股股份总数及股本结构未发生变化。</w:t>
      </w:r>
      <w:r>
        <w:rPr>
          <w:rFonts w:ascii="宋体" w:hAnsi="宋体" w:cs="宋体" w:eastAsia="宋体" w:hint="default"/>
        </w:rPr>
        <w:t> </w:t>
      </w:r>
    </w:p>
    <w:p>
      <w:pPr>
        <w:spacing w:line="240" w:lineRule="auto" w:before="3"/>
        <w:rPr>
          <w:rFonts w:ascii="宋体" w:hAnsi="宋体" w:cs="宋体" w:eastAsia="宋体" w:hint="default"/>
          <w:sz w:val="23"/>
          <w:szCs w:val="23"/>
        </w:rPr>
      </w:pPr>
    </w:p>
    <w:p>
      <w:pPr>
        <w:pStyle w:val="Heading5"/>
        <w:spacing w:line="240" w:lineRule="auto" w:before="0"/>
        <w:ind w:left="436" w:right="0"/>
        <w:jc w:val="left"/>
        <w:rPr>
          <w:rFonts w:ascii="宋体" w:hAnsi="宋体" w:cs="宋体" w:eastAsia="宋体" w:hint="default"/>
          <w:b w:val="0"/>
          <w:bCs w:val="0"/>
        </w:rPr>
      </w:pPr>
      <w:r>
        <w:rPr>
          <w:rFonts w:ascii="宋体" w:hAnsi="宋体" w:cs="宋体" w:eastAsia="宋体" w:hint="default"/>
        </w:rPr>
        <w:t>2</w:t>
      </w:r>
      <w:r>
        <w:rPr/>
        <w:t>、</w:t>
      </w:r>
      <w:r>
        <w:rPr>
          <w:spacing w:val="-5"/>
        </w:rPr>
        <w:t> </w:t>
      </w:r>
      <w:r>
        <w:rPr/>
        <w:t>普通股股份变动情况说明</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4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5"/>
        <w:spacing w:line="240" w:lineRule="auto" w:before="61"/>
        <w:ind w:left="436" w:right="0"/>
        <w:jc w:val="left"/>
        <w:rPr>
          <w:rFonts w:ascii="宋体" w:hAnsi="宋体" w:cs="宋体" w:eastAsia="宋体" w:hint="default"/>
          <w:b w:val="0"/>
          <w:bCs w:val="0"/>
        </w:rPr>
      </w:pPr>
      <w:r>
        <w:rPr>
          <w:rFonts w:ascii="宋体" w:hAnsi="宋体" w:cs="宋体" w:eastAsia="宋体" w:hint="default"/>
        </w:rPr>
        <w:t>3</w:t>
      </w:r>
      <w:r>
        <w:rPr/>
        <w:t>、</w:t>
      </w:r>
      <w:r>
        <w:rPr>
          <w:spacing w:val="-8"/>
        </w:rPr>
        <w:t> </w:t>
      </w:r>
      <w:r>
        <w:rPr/>
        <w:t>普通股股份变动对最近一年和最近一期每股收益、每股净资产等财务指标的影响（如有）</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4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5"/>
        <w:spacing w:line="240" w:lineRule="auto" w:before="61"/>
        <w:ind w:left="436" w:right="0"/>
        <w:jc w:val="left"/>
        <w:rPr>
          <w:rFonts w:ascii="宋体" w:hAnsi="宋体" w:cs="宋体" w:eastAsia="宋体" w:hint="default"/>
          <w:b w:val="0"/>
          <w:bCs w:val="0"/>
        </w:rPr>
      </w:pPr>
      <w:r>
        <w:rPr>
          <w:rFonts w:ascii="宋体" w:hAnsi="宋体" w:cs="宋体" w:eastAsia="宋体" w:hint="default"/>
        </w:rPr>
        <w:t>4</w:t>
      </w:r>
      <w:r>
        <w:rPr/>
        <w:t>、</w:t>
      </w:r>
      <w:r>
        <w:rPr>
          <w:spacing w:val="-7"/>
        </w:rPr>
        <w:t> </w:t>
      </w:r>
      <w:r>
        <w:rPr/>
        <w:t>公司认为必要或证券监管机构要求披露的其他内容</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3"/>
        <w:ind w:left="4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5"/>
        <w:tabs>
          <w:tab w:pos="1003" w:val="left" w:leader="none"/>
        </w:tabs>
        <w:spacing w:line="240" w:lineRule="auto"/>
        <w:ind w:left="436"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Heading3"/>
        <w:spacing w:line="240" w:lineRule="auto" w:before="23"/>
        <w:ind w:left="4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left="0" w:right="348"/>
        <w:jc w:val="right"/>
        <w:rPr>
          <w:rFonts w:ascii="宋体" w:hAnsi="宋体" w:cs="宋体" w:eastAsia="宋体" w:hint="default"/>
        </w:rPr>
      </w:pPr>
      <w:r>
        <w:rPr/>
        <w:t>单位</w:t>
      </w:r>
      <w:r>
        <w:rPr>
          <w:rFonts w:ascii="宋体" w:hAnsi="宋体" w:cs="宋体" w:eastAsia="宋体" w:hint="default"/>
        </w:rPr>
        <w:t>:</w:t>
      </w:r>
      <w:r>
        <w:rPr>
          <w:rFonts w:ascii="宋体" w:hAnsi="宋体" w:cs="宋体" w:eastAsia="宋体" w:hint="default"/>
          <w:spacing w:val="1"/>
        </w:rPr>
        <w:t> </w:t>
      </w:r>
      <w:r>
        <w:rPr>
          <w:spacing w:val="-3"/>
        </w:rPr>
        <w:t>股</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556"/>
        <w:gridCol w:w="1135"/>
        <w:gridCol w:w="1133"/>
        <w:gridCol w:w="1135"/>
        <w:gridCol w:w="1133"/>
        <w:gridCol w:w="1418"/>
        <w:gridCol w:w="1985"/>
      </w:tblGrid>
      <w:tr>
        <w:trPr>
          <w:trHeight w:val="554"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3" w:right="0"/>
              <w:jc w:val="left"/>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年初限售</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股数</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hAnsi="宋体" w:cs="宋体" w:eastAsia="宋体" w:hint="default"/>
                <w:sz w:val="21"/>
                <w:szCs w:val="21"/>
              </w:rPr>
              <w:t>本年解除</w:t>
            </w:r>
          </w:p>
          <w:p>
            <w:pPr>
              <w:pStyle w:val="TableParagraph"/>
              <w:spacing w:line="274" w:lineRule="exact"/>
              <w:ind w:left="141" w:right="0"/>
              <w:jc w:val="left"/>
              <w:rPr>
                <w:rFonts w:ascii="宋体" w:hAnsi="宋体" w:cs="宋体" w:eastAsia="宋体" w:hint="default"/>
                <w:sz w:val="21"/>
                <w:szCs w:val="21"/>
              </w:rPr>
            </w:pPr>
            <w:r>
              <w:rPr>
                <w:rFonts w:ascii="宋体" w:hAnsi="宋体" w:cs="宋体" w:eastAsia="宋体" w:hint="default"/>
                <w:sz w:val="21"/>
                <w:szCs w:val="21"/>
              </w:rPr>
              <w:t>限售股数</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74" w:lineRule="exact"/>
              <w:ind w:left="141" w:right="0"/>
              <w:jc w:val="left"/>
              <w:rPr>
                <w:rFonts w:ascii="宋体" w:hAnsi="宋体" w:cs="宋体" w:eastAsia="宋体" w:hint="default"/>
                <w:sz w:val="21"/>
                <w:szCs w:val="21"/>
              </w:rPr>
            </w:pPr>
            <w:r>
              <w:rPr>
                <w:rFonts w:ascii="宋体" w:hAnsi="宋体" w:cs="宋体" w:eastAsia="宋体" w:hint="default"/>
                <w:sz w:val="21"/>
                <w:szCs w:val="21"/>
              </w:rPr>
              <w:t>限售股数</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年末限售</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股数</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9"/>
              <w:jc w:val="right"/>
              <w:rPr>
                <w:rFonts w:ascii="宋体" w:hAnsi="宋体" w:cs="宋体" w:eastAsia="宋体" w:hint="default"/>
                <w:sz w:val="21"/>
                <w:szCs w:val="21"/>
              </w:rPr>
            </w:pPr>
            <w:r>
              <w:rPr>
                <w:rFonts w:ascii="宋体" w:hAnsi="宋体" w:cs="宋体" w:eastAsia="宋体" w:hint="default"/>
                <w:spacing w:val="-2"/>
                <w:sz w:val="21"/>
                <w:szCs w:val="21"/>
              </w:rPr>
              <w:t>限售原因</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5" w:right="0"/>
              <w:jc w:val="left"/>
              <w:rPr>
                <w:rFonts w:ascii="宋体" w:hAnsi="宋体" w:cs="宋体" w:eastAsia="宋体" w:hint="default"/>
                <w:sz w:val="21"/>
                <w:szCs w:val="21"/>
              </w:rPr>
            </w:pPr>
            <w:r>
              <w:rPr>
                <w:rFonts w:ascii="宋体" w:hAnsi="宋体" w:cs="宋体" w:eastAsia="宋体" w:hint="default"/>
                <w:sz w:val="21"/>
                <w:szCs w:val="21"/>
              </w:rPr>
              <w:t>解除限售日期</w:t>
            </w:r>
            <w:r>
              <w:rPr>
                <w:rFonts w:ascii="宋体" w:hAnsi="宋体" w:cs="宋体" w:eastAsia="宋体" w:hint="default"/>
                <w:sz w:val="21"/>
                <w:szCs w:val="21"/>
              </w:rPr>
              <w:t> </w:t>
            </w:r>
          </w:p>
        </w:tc>
      </w:tr>
      <w:tr>
        <w:trPr>
          <w:trHeight w:val="283"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胡健</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12,059,875</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2,783,048</w:t>
            </w:r>
            <w:r>
              <w:rPr>
                <w:rFonts w:ascii="Times New Roman"/>
                <w:sz w:val="20"/>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9,276,827</w:t>
            </w:r>
            <w:r>
              <w:rPr>
                <w:rFonts w:ascii="Times New Roman"/>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宋体" w:hAnsi="宋体" w:cs="宋体" w:eastAsia="宋体" w:hint="default"/>
                <w:spacing w:val="-3"/>
                <w:sz w:val="21"/>
                <w:szCs w:val="21"/>
              </w:rPr>
              <w:t>1</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3"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胡健</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9,276,827</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4,638,414</w:t>
            </w:r>
            <w:r>
              <w:rPr>
                <w:rFonts w:ascii="Times New Roman"/>
                <w:sz w:val="20"/>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4,638,413</w:t>
            </w:r>
            <w:r>
              <w:rPr>
                <w:rFonts w:ascii="Times New Roman"/>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宋体" w:hAnsi="宋体" w:cs="宋体" w:eastAsia="宋体" w:hint="default"/>
                <w:spacing w:val="-3"/>
                <w:sz w:val="21"/>
                <w:szCs w:val="21"/>
              </w:rPr>
              <w:t>1</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1"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胡健</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4,638,413</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4,638,413</w:t>
            </w:r>
            <w:r>
              <w:rPr>
                <w:rFonts w:ascii="Times New Roman"/>
                <w:sz w:val="20"/>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宋体" w:hAnsi="宋体" w:cs="宋体" w:eastAsia="宋体" w:hint="default"/>
                <w:spacing w:val="-3"/>
                <w:sz w:val="21"/>
                <w:szCs w:val="21"/>
              </w:rPr>
              <w:t>1</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3"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余弓卜</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3,825,892</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882,899</w:t>
            </w:r>
            <w:r>
              <w:rPr>
                <w:rFonts w:ascii="Times New Roman"/>
                <w:sz w:val="20"/>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2,942,993</w:t>
            </w:r>
            <w:r>
              <w:rPr>
                <w:rFonts w:ascii="Times New Roman"/>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宋体" w:hAnsi="宋体" w:cs="宋体" w:eastAsia="宋体" w:hint="default"/>
                <w:spacing w:val="-3"/>
                <w:sz w:val="21"/>
                <w:szCs w:val="21"/>
              </w:rPr>
              <w:t>1</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3"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余弓卜</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2,942,993</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1,471,496</w:t>
            </w:r>
            <w:r>
              <w:rPr>
                <w:rFonts w:ascii="Times New Roman"/>
                <w:sz w:val="20"/>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1,471,497</w:t>
            </w:r>
            <w:r>
              <w:rPr>
                <w:rFonts w:ascii="Times New Roman"/>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宋体" w:hAnsi="宋体" w:cs="宋体" w:eastAsia="宋体" w:hint="default"/>
                <w:spacing w:val="-3"/>
                <w:sz w:val="21"/>
                <w:szCs w:val="21"/>
              </w:rPr>
              <w:t>1</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1"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余弓卜</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1,471,497</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1,471,497</w:t>
            </w:r>
            <w:r>
              <w:rPr>
                <w:rFonts w:ascii="Times New Roman"/>
                <w:sz w:val="20"/>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宋体" w:hAnsi="宋体" w:cs="宋体" w:eastAsia="宋体" w:hint="default"/>
                <w:spacing w:val="-3"/>
                <w:sz w:val="21"/>
                <w:szCs w:val="21"/>
              </w:rPr>
              <w:t>1</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3"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成海林</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2,051,565</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473,438</w:t>
            </w:r>
            <w:r>
              <w:rPr>
                <w:rFonts w:ascii="Times New Roman"/>
                <w:sz w:val="20"/>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1,578,127</w:t>
            </w:r>
            <w:r>
              <w:rPr>
                <w:rFonts w:ascii="Times New Roman"/>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宋体" w:hAnsi="宋体" w:cs="宋体" w:eastAsia="宋体" w:hint="default"/>
                <w:spacing w:val="-3"/>
                <w:sz w:val="21"/>
                <w:szCs w:val="21"/>
              </w:rPr>
              <w:t>1</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1"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成海林</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1,578,127</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789,064</w:t>
            </w:r>
            <w:r>
              <w:rPr>
                <w:rFonts w:ascii="Times New Roman"/>
                <w:sz w:val="20"/>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789,064</w:t>
            </w:r>
            <w:r>
              <w:rPr>
                <w:rFonts w:ascii="Times New Roman"/>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宋体" w:hAnsi="宋体" w:cs="宋体" w:eastAsia="宋体" w:hint="default"/>
                <w:spacing w:val="-3"/>
                <w:sz w:val="21"/>
                <w:szCs w:val="21"/>
              </w:rPr>
              <w:t>1</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3"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成海林</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789,064</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789,064</w:t>
            </w:r>
            <w:r>
              <w:rPr>
                <w:rFonts w:ascii="Times New Roman"/>
                <w:sz w:val="20"/>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9"/>
              <w:jc w:val="right"/>
              <w:rPr>
                <w:rFonts w:ascii="宋体" w:hAnsi="宋体" w:cs="宋体" w:eastAsia="宋体"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宋体" w:hAnsi="宋体" w:cs="宋体" w:eastAsia="宋体" w:hint="default"/>
                <w:spacing w:val="-3"/>
                <w:sz w:val="21"/>
                <w:szCs w:val="21"/>
              </w:rPr>
              <w:t>1</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3"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李爱明</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277,238</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277,238</w:t>
            </w:r>
            <w:r>
              <w:rPr>
                <w:rFonts w:ascii="Times New Roman"/>
                <w:sz w:val="20"/>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宋体" w:hAnsi="宋体" w:cs="宋体" w:eastAsia="宋体" w:hint="default"/>
                <w:spacing w:val="-3"/>
                <w:sz w:val="21"/>
                <w:szCs w:val="21"/>
              </w:rPr>
              <w:t>1</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1"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郭兆滨</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277,238</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277,238</w:t>
            </w:r>
            <w:r>
              <w:rPr>
                <w:rFonts w:ascii="Times New Roman"/>
                <w:sz w:val="20"/>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宋体" w:hAnsi="宋体" w:cs="宋体" w:eastAsia="宋体" w:hint="default"/>
                <w:spacing w:val="-3"/>
                <w:sz w:val="21"/>
                <w:szCs w:val="21"/>
              </w:rPr>
              <w:t>1</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3"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张磊</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277,238</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277,238</w:t>
            </w:r>
            <w:r>
              <w:rPr>
                <w:rFonts w:ascii="Times New Roman"/>
                <w:sz w:val="20"/>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9"/>
              <w:jc w:val="right"/>
              <w:rPr>
                <w:rFonts w:ascii="宋体" w:hAnsi="宋体" w:cs="宋体" w:eastAsia="宋体"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宋体" w:hAnsi="宋体" w:cs="宋体" w:eastAsia="宋体" w:hint="default"/>
                <w:spacing w:val="-3"/>
                <w:sz w:val="21"/>
                <w:szCs w:val="21"/>
              </w:rPr>
              <w:t>1</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3"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宁波杰赢</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3,410,034</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3,410,034</w:t>
            </w:r>
            <w:r>
              <w:rPr>
                <w:rFonts w:ascii="Times New Roman"/>
                <w:sz w:val="20"/>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宋体" w:hAnsi="宋体" w:cs="宋体" w:eastAsia="宋体" w:hint="default"/>
                <w:spacing w:val="-3"/>
                <w:sz w:val="21"/>
                <w:szCs w:val="21"/>
              </w:rPr>
              <w:t>1</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1"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宁波杰宝</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5,771,780</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5,771,780</w:t>
            </w:r>
            <w:r>
              <w:rPr>
                <w:rFonts w:ascii="Times New Roman"/>
                <w:sz w:val="20"/>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宋体" w:hAnsi="宋体" w:cs="宋体" w:eastAsia="宋体" w:hint="default"/>
                <w:spacing w:val="-3"/>
                <w:sz w:val="21"/>
                <w:szCs w:val="21"/>
              </w:rPr>
              <w:t>1</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3"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浙江中赢</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2,832,427</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2,832,427</w:t>
            </w:r>
            <w:r>
              <w:rPr>
                <w:rFonts w:ascii="Times New Roman"/>
                <w:sz w:val="20"/>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宋体" w:hAnsi="宋体" w:cs="宋体" w:eastAsia="宋体" w:hint="default"/>
                <w:spacing w:val="-3"/>
                <w:sz w:val="21"/>
                <w:szCs w:val="21"/>
              </w:rPr>
              <w:t>1</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3"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杨剑等</w:t>
            </w:r>
            <w:r>
              <w:rPr>
                <w:rFonts w:ascii="宋体" w:hAnsi="宋体" w:cs="宋体" w:eastAsia="宋体" w:hint="default"/>
                <w:spacing w:val="-51"/>
                <w:sz w:val="21"/>
                <w:szCs w:val="21"/>
              </w:rPr>
              <w:t> </w:t>
            </w:r>
            <w:r>
              <w:rPr>
                <w:rFonts w:ascii="宋体" w:hAnsi="宋体" w:cs="宋体" w:eastAsia="宋体" w:hint="default"/>
                <w:sz w:val="21"/>
                <w:szCs w:val="21"/>
              </w:rPr>
              <w:t>110</w:t>
            </w:r>
            <w:r>
              <w:rPr>
                <w:rFonts w:ascii="宋体" w:hAnsi="宋体" w:cs="宋体" w:eastAsia="宋体" w:hint="default"/>
                <w:spacing w:val="-54"/>
                <w:sz w:val="21"/>
                <w:szCs w:val="21"/>
              </w:rPr>
              <w:t> </w:t>
            </w:r>
            <w:r>
              <w:rPr>
                <w:rFonts w:ascii="宋体" w:hAnsi="宋体" w:cs="宋体" w:eastAsia="宋体" w:hint="default"/>
                <w:spacing w:val="-3"/>
                <w:sz w:val="21"/>
                <w:szCs w:val="21"/>
              </w:rPr>
              <w:t>人</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13,650,000</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6,825,000</w:t>
            </w:r>
            <w:r>
              <w:rPr>
                <w:rFonts w:ascii="Times New Roman"/>
                <w:sz w:val="20"/>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6,825,000</w:t>
            </w:r>
            <w:r>
              <w:rPr>
                <w:rFonts w:ascii="Times New Roman"/>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宋体" w:hAnsi="宋体" w:cs="宋体" w:eastAsia="宋体" w:hint="default"/>
                <w:spacing w:val="-3"/>
                <w:sz w:val="21"/>
                <w:szCs w:val="21"/>
              </w:rPr>
              <w:t>2</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1910" w:h="16840"/>
          <w:pgMar w:header="880" w:footer="1195" w:top="1120" w:bottom="1380" w:left="840" w:right="1340"/>
        </w:sectPr>
      </w:pPr>
    </w:p>
    <w:p>
      <w:pPr>
        <w:spacing w:line="240" w:lineRule="auto" w:before="3"/>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1556"/>
        <w:gridCol w:w="1135"/>
        <w:gridCol w:w="1133"/>
        <w:gridCol w:w="1135"/>
        <w:gridCol w:w="1133"/>
        <w:gridCol w:w="1418"/>
        <w:gridCol w:w="1985"/>
      </w:tblGrid>
      <w:tr>
        <w:trPr>
          <w:trHeight w:val="283"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hAnsi="宋体" w:cs="宋体" w:eastAsia="宋体" w:hint="default"/>
                <w:sz w:val="21"/>
                <w:szCs w:val="21"/>
              </w:rPr>
              <w:t>杨剑等</w:t>
            </w:r>
            <w:r>
              <w:rPr>
                <w:rFonts w:ascii="宋体" w:hAnsi="宋体" w:cs="宋体" w:eastAsia="宋体" w:hint="default"/>
                <w:spacing w:val="-51"/>
                <w:sz w:val="21"/>
                <w:szCs w:val="21"/>
              </w:rPr>
              <w:t> </w:t>
            </w:r>
            <w:r>
              <w:rPr>
                <w:rFonts w:ascii="宋体" w:hAnsi="宋体" w:cs="宋体" w:eastAsia="宋体" w:hint="default"/>
                <w:sz w:val="21"/>
                <w:szCs w:val="21"/>
              </w:rPr>
              <w:t>110</w:t>
            </w:r>
            <w:r>
              <w:rPr>
                <w:rFonts w:ascii="宋体" w:hAnsi="宋体" w:cs="宋体" w:eastAsia="宋体" w:hint="default"/>
                <w:spacing w:val="-54"/>
                <w:sz w:val="21"/>
                <w:szCs w:val="21"/>
              </w:rPr>
              <w:t> </w:t>
            </w:r>
            <w:r>
              <w:rPr>
                <w:rFonts w:ascii="宋体" w:hAnsi="宋体" w:cs="宋体" w:eastAsia="宋体" w:hint="default"/>
                <w:spacing w:val="-3"/>
                <w:sz w:val="21"/>
                <w:szCs w:val="21"/>
              </w:rPr>
              <w:t>人</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6,825,000</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6,825,000</w:t>
            </w:r>
            <w:r>
              <w:rPr>
                <w:rFonts w:ascii="Times New Roman"/>
                <w:sz w:val="20"/>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center"/>
              <w:rPr>
                <w:rFonts w:ascii="宋体" w:hAnsi="宋体" w:cs="宋体" w:eastAsia="宋体"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宋体" w:hAnsi="宋体" w:cs="宋体" w:eastAsia="宋体" w:hint="default"/>
                <w:spacing w:val="-3"/>
                <w:sz w:val="21"/>
                <w:szCs w:val="21"/>
              </w:rPr>
              <w:t>2</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68"/>
              <w:jc w:val="right"/>
              <w:rPr>
                <w:rFonts w:ascii="宋体" w:hAnsi="宋体" w:cs="宋体" w:eastAsia="宋体" w:hint="default"/>
                <w:sz w:val="21"/>
                <w:szCs w:val="21"/>
              </w:rPr>
            </w:pPr>
            <w:r>
              <w:rPr>
                <w:rFonts w:ascii="宋体" w:hAnsi="宋体" w:cs="宋体" w:eastAsia="宋体" w:hint="default"/>
                <w:sz w:val="21"/>
                <w:szCs w:val="21"/>
              </w:rPr>
              <w:t>见表后注</w:t>
            </w:r>
            <w:r>
              <w:rPr>
                <w:rFonts w:ascii="宋体" w:hAnsi="宋体" w:cs="宋体" w:eastAsia="宋体" w:hint="default"/>
                <w:spacing w:val="-50"/>
                <w:sz w:val="21"/>
                <w:szCs w:val="21"/>
              </w:rPr>
              <w:t> </w:t>
            </w:r>
            <w:r>
              <w:rPr>
                <w:rFonts w:ascii="宋体" w:hAnsi="宋体" w:cs="宋体" w:eastAsia="宋体" w:hint="default"/>
                <w:spacing w:val="-3"/>
                <w:sz w:val="21"/>
                <w:szCs w:val="21"/>
              </w:rPr>
              <w:t>2</w:t>
            </w:r>
            <w:r>
              <w:rPr>
                <w:rFonts w:ascii="宋体" w:hAnsi="宋体" w:cs="宋体" w:eastAsia="宋体" w:hint="default"/>
                <w:sz w:val="21"/>
                <w:szCs w:val="21"/>
              </w:rPr>
              <w:t> </w:t>
            </w:r>
          </w:p>
        </w:tc>
      </w:tr>
      <w:tr>
        <w:trPr>
          <w:trHeight w:val="555"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核心骨干等</w:t>
            </w:r>
            <w:r>
              <w:rPr>
                <w:rFonts w:ascii="宋体" w:hAnsi="宋体" w:cs="宋体" w:eastAsia="宋体" w:hint="default"/>
                <w:spacing w:val="-25"/>
                <w:sz w:val="21"/>
                <w:szCs w:val="21"/>
              </w:rPr>
              <w:t> </w:t>
            </w:r>
            <w:r>
              <w:rPr>
                <w:rFonts w:ascii="宋体" w:hAnsi="宋体" w:cs="宋体" w:eastAsia="宋体" w:hint="default"/>
                <w:sz w:val="21"/>
                <w:szCs w:val="21"/>
              </w:rPr>
              <w:t>20</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3"/>
              <w:jc w:val="right"/>
              <w:rPr>
                <w:rFonts w:ascii="Times New Roman" w:hAnsi="Times New Roman" w:cs="Times New Roman" w:eastAsia="Times New Roman" w:hint="default"/>
                <w:sz w:val="20"/>
                <w:szCs w:val="20"/>
              </w:rPr>
            </w:pPr>
            <w:r>
              <w:rPr>
                <w:rFonts w:ascii="Times New Roman"/>
                <w:w w:val="95"/>
                <w:sz w:val="20"/>
              </w:rPr>
              <w:t>2,499,918</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0"/>
                <w:szCs w:val="20"/>
              </w:rPr>
            </w:pPr>
            <w:r>
              <w:rPr>
                <w:rFonts w:ascii="Times New Roman"/>
                <w:w w:val="95"/>
                <w:sz w:val="20"/>
              </w:rPr>
              <w:t>999,967</w:t>
            </w:r>
            <w:r>
              <w:rPr>
                <w:rFonts w:ascii="Times New Roman"/>
                <w:sz w:val="20"/>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4"/>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0"/>
                <w:szCs w:val="20"/>
              </w:rPr>
            </w:pPr>
            <w:r>
              <w:rPr>
                <w:rFonts w:ascii="Times New Roman"/>
                <w:w w:val="95"/>
                <w:sz w:val="20"/>
              </w:rPr>
              <w:t>1,499,951</w:t>
            </w:r>
            <w:r>
              <w:rPr>
                <w:rFonts w:ascii="Times New Roman"/>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6"/>
              <w:jc w:val="center"/>
              <w:rPr>
                <w:rFonts w:ascii="宋体" w:hAnsi="宋体" w:cs="宋体" w:eastAsia="宋体"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宋体" w:hAnsi="宋体" w:cs="宋体" w:eastAsia="宋体" w:hint="default"/>
                <w:spacing w:val="-3"/>
                <w:sz w:val="21"/>
                <w:szCs w:val="21"/>
              </w:rPr>
              <w:t>3</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768"/>
              <w:jc w:val="right"/>
              <w:rPr>
                <w:rFonts w:ascii="宋体" w:hAnsi="宋体" w:cs="宋体" w:eastAsia="宋体" w:hint="default"/>
                <w:sz w:val="21"/>
                <w:szCs w:val="21"/>
              </w:rPr>
            </w:pPr>
            <w:r>
              <w:rPr>
                <w:rFonts w:ascii="宋体" w:hAnsi="宋体" w:cs="宋体" w:eastAsia="宋体" w:hint="default"/>
                <w:sz w:val="21"/>
                <w:szCs w:val="21"/>
              </w:rPr>
              <w:t>见表后注</w:t>
            </w:r>
            <w:r>
              <w:rPr>
                <w:rFonts w:ascii="宋体" w:hAnsi="宋体" w:cs="宋体" w:eastAsia="宋体" w:hint="default"/>
                <w:spacing w:val="-50"/>
                <w:sz w:val="21"/>
                <w:szCs w:val="21"/>
              </w:rPr>
              <w:t> </w:t>
            </w:r>
            <w:r>
              <w:rPr>
                <w:rFonts w:ascii="宋体" w:hAnsi="宋体" w:cs="宋体" w:eastAsia="宋体" w:hint="default"/>
                <w:spacing w:val="-3"/>
                <w:sz w:val="21"/>
                <w:szCs w:val="21"/>
              </w:rPr>
              <w:t>3</w:t>
            </w:r>
            <w:r>
              <w:rPr>
                <w:rFonts w:ascii="宋体" w:hAnsi="宋体" w:cs="宋体" w:eastAsia="宋体" w:hint="default"/>
                <w:sz w:val="21"/>
                <w:szCs w:val="21"/>
              </w:rPr>
              <w:t> </w:t>
            </w:r>
          </w:p>
        </w:tc>
      </w:tr>
      <w:tr>
        <w:trPr>
          <w:trHeight w:val="554"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核心骨干等</w:t>
            </w:r>
            <w:r>
              <w:rPr>
                <w:rFonts w:ascii="宋体" w:hAnsi="宋体" w:cs="宋体" w:eastAsia="宋体" w:hint="default"/>
                <w:spacing w:val="-25"/>
                <w:sz w:val="21"/>
                <w:szCs w:val="21"/>
              </w:rPr>
              <w:t> </w:t>
            </w:r>
            <w:r>
              <w:rPr>
                <w:rFonts w:ascii="宋体" w:hAnsi="宋体" w:cs="宋体" w:eastAsia="宋体" w:hint="default"/>
                <w:sz w:val="21"/>
                <w:szCs w:val="21"/>
              </w:rPr>
              <w:t>20</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3"/>
              <w:jc w:val="right"/>
              <w:rPr>
                <w:rFonts w:ascii="Times New Roman" w:hAnsi="Times New Roman" w:cs="Times New Roman" w:eastAsia="Times New Roman" w:hint="default"/>
                <w:sz w:val="20"/>
                <w:szCs w:val="20"/>
              </w:rPr>
            </w:pPr>
            <w:r>
              <w:rPr>
                <w:rFonts w:ascii="Times New Roman"/>
                <w:w w:val="95"/>
                <w:sz w:val="20"/>
              </w:rPr>
              <w:t>1,499,951</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0"/>
                <w:szCs w:val="20"/>
              </w:rPr>
            </w:pPr>
            <w:r>
              <w:rPr>
                <w:rFonts w:ascii="Times New Roman"/>
                <w:w w:val="95"/>
                <w:sz w:val="20"/>
              </w:rPr>
              <w:t>749,975</w:t>
            </w:r>
            <w:r>
              <w:rPr>
                <w:rFonts w:ascii="Times New Roman"/>
                <w:sz w:val="20"/>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4"/>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0"/>
                <w:szCs w:val="20"/>
              </w:rPr>
            </w:pPr>
            <w:r>
              <w:rPr>
                <w:rFonts w:ascii="Times New Roman"/>
                <w:w w:val="95"/>
                <w:sz w:val="20"/>
              </w:rPr>
              <w:t>749,976</w:t>
            </w:r>
            <w:r>
              <w:rPr>
                <w:rFonts w:ascii="Times New Roman"/>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center"/>
              <w:rPr>
                <w:rFonts w:ascii="宋体" w:hAnsi="宋体" w:cs="宋体" w:eastAsia="宋体"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宋体" w:hAnsi="宋体" w:cs="宋体" w:eastAsia="宋体" w:hint="default"/>
                <w:spacing w:val="-3"/>
                <w:sz w:val="21"/>
                <w:szCs w:val="21"/>
              </w:rPr>
              <w:t>3</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68"/>
              <w:jc w:val="right"/>
              <w:rPr>
                <w:rFonts w:ascii="宋体" w:hAnsi="宋体" w:cs="宋体" w:eastAsia="宋体" w:hint="default"/>
                <w:sz w:val="21"/>
                <w:szCs w:val="21"/>
              </w:rPr>
            </w:pPr>
            <w:r>
              <w:rPr>
                <w:rFonts w:ascii="宋体" w:hAnsi="宋体" w:cs="宋体" w:eastAsia="宋体" w:hint="default"/>
                <w:sz w:val="21"/>
                <w:szCs w:val="21"/>
              </w:rPr>
              <w:t>见表后注</w:t>
            </w:r>
            <w:r>
              <w:rPr>
                <w:rFonts w:ascii="宋体" w:hAnsi="宋体" w:cs="宋体" w:eastAsia="宋体" w:hint="default"/>
                <w:spacing w:val="-50"/>
                <w:sz w:val="21"/>
                <w:szCs w:val="21"/>
              </w:rPr>
              <w:t> </w:t>
            </w:r>
            <w:r>
              <w:rPr>
                <w:rFonts w:ascii="宋体" w:hAnsi="宋体" w:cs="宋体" w:eastAsia="宋体" w:hint="default"/>
                <w:spacing w:val="-3"/>
                <w:sz w:val="21"/>
                <w:szCs w:val="21"/>
              </w:rPr>
              <w:t>3</w:t>
            </w:r>
            <w:r>
              <w:rPr>
                <w:rFonts w:ascii="宋体" w:hAnsi="宋体" w:cs="宋体" w:eastAsia="宋体" w:hint="default"/>
                <w:sz w:val="21"/>
                <w:szCs w:val="21"/>
              </w:rPr>
              <w:t> </w:t>
            </w:r>
          </w:p>
        </w:tc>
      </w:tr>
      <w:tr>
        <w:trPr>
          <w:trHeight w:val="554"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核心骨干等</w:t>
            </w:r>
            <w:r>
              <w:rPr>
                <w:rFonts w:ascii="宋体" w:hAnsi="宋体" w:cs="宋体" w:eastAsia="宋体" w:hint="default"/>
                <w:spacing w:val="-25"/>
                <w:sz w:val="21"/>
                <w:szCs w:val="21"/>
              </w:rPr>
              <w:t> </w:t>
            </w:r>
            <w:r>
              <w:rPr>
                <w:rFonts w:ascii="宋体" w:hAnsi="宋体" w:cs="宋体" w:eastAsia="宋体" w:hint="default"/>
                <w:sz w:val="21"/>
                <w:szCs w:val="21"/>
              </w:rPr>
              <w:t>20</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20"/>
                <w:szCs w:val="20"/>
              </w:rPr>
            </w:pPr>
            <w:r>
              <w:rPr>
                <w:rFonts w:ascii="Times New Roman"/>
                <w:w w:val="95"/>
                <w:sz w:val="20"/>
              </w:rPr>
              <w:t>749,976</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20"/>
                <w:szCs w:val="20"/>
              </w:rPr>
            </w:pPr>
            <w:r>
              <w:rPr>
                <w:rFonts w:ascii="Times New Roman"/>
                <w:w w:val="95"/>
                <w:sz w:val="20"/>
              </w:rPr>
              <w:t>749,976</w:t>
            </w:r>
            <w:r>
              <w:rPr>
                <w:rFonts w:ascii="Times New Roman"/>
                <w:sz w:val="20"/>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4"/>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center"/>
              <w:rPr>
                <w:rFonts w:ascii="宋体" w:hAnsi="宋体" w:cs="宋体" w:eastAsia="宋体" w:hint="default"/>
                <w:sz w:val="21"/>
                <w:szCs w:val="21"/>
              </w:rPr>
            </w:pPr>
            <w:r>
              <w:rPr>
                <w:rFonts w:ascii="宋体" w:hAnsi="宋体" w:cs="宋体" w:eastAsia="宋体" w:hint="default"/>
                <w:sz w:val="21"/>
                <w:szCs w:val="21"/>
              </w:rPr>
              <w:t>见表后注</w:t>
            </w:r>
            <w:r>
              <w:rPr>
                <w:rFonts w:ascii="宋体" w:hAnsi="宋体" w:cs="宋体" w:eastAsia="宋体" w:hint="default"/>
                <w:spacing w:val="-51"/>
                <w:sz w:val="21"/>
                <w:szCs w:val="21"/>
              </w:rPr>
              <w:t> </w:t>
            </w:r>
            <w:r>
              <w:rPr>
                <w:rFonts w:ascii="宋体" w:hAnsi="宋体" w:cs="宋体" w:eastAsia="宋体" w:hint="default"/>
                <w:spacing w:val="-3"/>
                <w:sz w:val="21"/>
                <w:szCs w:val="21"/>
              </w:rPr>
              <w:t>3</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68"/>
              <w:jc w:val="right"/>
              <w:rPr>
                <w:rFonts w:ascii="宋体" w:hAnsi="宋体" w:cs="宋体" w:eastAsia="宋体" w:hint="default"/>
                <w:sz w:val="21"/>
                <w:szCs w:val="21"/>
              </w:rPr>
            </w:pPr>
            <w:r>
              <w:rPr>
                <w:rFonts w:ascii="宋体" w:hAnsi="宋体" w:cs="宋体" w:eastAsia="宋体" w:hint="default"/>
                <w:sz w:val="21"/>
                <w:szCs w:val="21"/>
              </w:rPr>
              <w:t>见表后注</w:t>
            </w:r>
            <w:r>
              <w:rPr>
                <w:rFonts w:ascii="宋体" w:hAnsi="宋体" w:cs="宋体" w:eastAsia="宋体" w:hint="default"/>
                <w:spacing w:val="-50"/>
                <w:sz w:val="21"/>
                <w:szCs w:val="21"/>
              </w:rPr>
              <w:t> </w:t>
            </w:r>
            <w:r>
              <w:rPr>
                <w:rFonts w:ascii="宋体" w:hAnsi="宋体" w:cs="宋体" w:eastAsia="宋体" w:hint="default"/>
                <w:spacing w:val="-3"/>
                <w:sz w:val="21"/>
                <w:szCs w:val="21"/>
              </w:rPr>
              <w:t>3</w:t>
            </w:r>
            <w:r>
              <w:rPr>
                <w:rFonts w:ascii="宋体" w:hAnsi="宋体" w:cs="宋体" w:eastAsia="宋体" w:hint="default"/>
                <w:sz w:val="21"/>
                <w:szCs w:val="21"/>
              </w:rPr>
              <w:t> </w:t>
            </w:r>
          </w:p>
        </w:tc>
      </w:tr>
      <w:tr>
        <w:trPr>
          <w:trHeight w:val="283"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w w:val="95"/>
                <w:sz w:val="20"/>
              </w:rPr>
              <w:t>76,705,053</w:t>
            </w:r>
            <w:r>
              <w:rPr>
                <w:rFonts w:ascii="Times New Roman"/>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46,933,206</w:t>
            </w:r>
            <w:r>
              <w:rPr>
                <w:rFonts w:ascii="Times New Roman"/>
                <w:sz w:val="20"/>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46,933,206</w:t>
            </w:r>
            <w:r>
              <w:rPr>
                <w:rFonts w:ascii="Times New Roman"/>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30"/>
              <w:jc w:val="right"/>
              <w:rPr>
                <w:rFonts w:ascii="宋体" w:hAnsi="宋体" w:cs="宋体" w:eastAsia="宋体" w:hint="default"/>
                <w:sz w:val="21"/>
                <w:szCs w:val="21"/>
              </w:rPr>
            </w:pPr>
            <w:r>
              <w:rPr>
                <w:rFonts w:ascii="宋体"/>
                <w:sz w:val="21"/>
              </w:rPr>
              <w:t>/ </w:t>
            </w:r>
          </w:p>
        </w:tc>
      </w:tr>
    </w:tbl>
    <w:p>
      <w:pPr>
        <w:pStyle w:val="BodyText"/>
        <w:spacing w:line="239" w:lineRule="exact"/>
        <w:ind w:left="436" w:right="0" w:firstLine="420"/>
        <w:jc w:val="left"/>
      </w:pPr>
      <w:r>
        <w:rPr/>
        <w:t>注</w:t>
      </w:r>
      <w:r>
        <w:rPr>
          <w:spacing w:val="-33"/>
        </w:rPr>
        <w:t> </w:t>
      </w:r>
      <w:r>
        <w:rPr>
          <w:rFonts w:ascii="宋体" w:hAnsi="宋体" w:cs="宋体" w:eastAsia="宋体" w:hint="default"/>
          <w:spacing w:val="-4"/>
        </w:rPr>
        <w:t>1</w:t>
      </w:r>
      <w:r>
        <w:rPr>
          <w:spacing w:val="-4"/>
        </w:rPr>
        <w:t>：根据</w:t>
      </w:r>
      <w:r>
        <w:rPr>
          <w:spacing w:val="-33"/>
        </w:rPr>
        <w:t> </w:t>
      </w:r>
      <w:r>
        <w:rPr>
          <w:rFonts w:ascii="宋体" w:hAnsi="宋体" w:cs="宋体" w:eastAsia="宋体" w:hint="default"/>
        </w:rPr>
        <w:t>2015</w:t>
      </w:r>
      <w:r>
        <w:rPr>
          <w:rFonts w:ascii="宋体" w:hAnsi="宋体" w:cs="宋体" w:eastAsia="宋体" w:hint="default"/>
          <w:spacing w:val="-33"/>
        </w:rPr>
        <w:t> </w:t>
      </w:r>
      <w:r>
        <w:rPr>
          <w:spacing w:val="-3"/>
        </w:rPr>
        <w:t>年发行股份购买资产的预案，博辕信息原股东胡健、余弓卜、成海林、李爱</w:t>
      </w:r>
    </w:p>
    <w:p>
      <w:pPr>
        <w:pStyle w:val="BodyText"/>
        <w:spacing w:line="237" w:lineRule="auto"/>
        <w:ind w:left="436" w:right="449"/>
        <w:jc w:val="both"/>
        <w:rPr>
          <w:rFonts w:ascii="宋体" w:hAnsi="宋体" w:cs="宋体" w:eastAsia="宋体" w:hint="default"/>
        </w:rPr>
      </w:pPr>
      <w:r>
        <w:rPr>
          <w:spacing w:val="-9"/>
        </w:rPr>
        <w:t>明、郭兆滨、张磊、宁波杰赢、宁波杰宝限售解禁期为每年度的</w:t>
      </w:r>
      <w:r>
        <w:rPr>
          <w:spacing w:val="-37"/>
        </w:rPr>
        <w:t> </w:t>
      </w:r>
      <w:r>
        <w:rPr>
          <w:rFonts w:ascii="宋体" w:hAnsi="宋体" w:cs="宋体" w:eastAsia="宋体" w:hint="default"/>
        </w:rPr>
        <w:t>2</w:t>
      </w:r>
      <w:r>
        <w:rPr>
          <w:rFonts w:ascii="宋体" w:hAnsi="宋体" w:cs="宋体" w:eastAsia="宋体" w:hint="default"/>
          <w:spacing w:val="-41"/>
        </w:rPr>
        <w:t> </w:t>
      </w:r>
      <w:r>
        <w:rPr/>
        <w:t>月</w:t>
      </w:r>
      <w:r>
        <w:rPr>
          <w:spacing w:val="-38"/>
        </w:rPr>
        <w:t> </w:t>
      </w:r>
      <w:r>
        <w:rPr>
          <w:rFonts w:ascii="宋体" w:hAnsi="宋体" w:cs="宋体" w:eastAsia="宋体" w:hint="default"/>
        </w:rPr>
        <w:t>20</w:t>
      </w:r>
      <w:r>
        <w:rPr>
          <w:rFonts w:ascii="宋体" w:hAnsi="宋体" w:cs="宋体" w:eastAsia="宋体" w:hint="default"/>
          <w:spacing w:val="-41"/>
        </w:rPr>
        <w:t> </w:t>
      </w:r>
      <w:r>
        <w:rPr>
          <w:spacing w:val="-10"/>
        </w:rPr>
        <w:t>日，具体内容详见公司《发</w:t>
      </w:r>
      <w:r>
        <w:rPr>
          <w:spacing w:val="-99"/>
        </w:rPr>
        <w:t> </w:t>
      </w:r>
      <w:r>
        <w:rPr>
          <w:spacing w:val="-99"/>
        </w:rPr>
      </w:r>
      <w:r>
        <w:rPr>
          <w:spacing w:val="-3"/>
        </w:rPr>
        <w:t>行股份购买资产之股份发行结果暨股本变动公告》（公告编号：临 </w:t>
      </w:r>
      <w:r>
        <w:rPr>
          <w:rFonts w:ascii="宋体" w:hAnsi="宋体" w:cs="宋体" w:eastAsia="宋体" w:hint="default"/>
          <w:spacing w:val="-3"/>
        </w:rPr>
        <w:t>2016-016</w:t>
      </w:r>
      <w:r>
        <w:rPr>
          <w:spacing w:val="-3"/>
        </w:rPr>
        <w:t>）。由于双方协议约</w:t>
      </w:r>
      <w:r>
        <w:rPr>
          <w:spacing w:val="-67"/>
        </w:rPr>
        <w:t> </w:t>
      </w:r>
      <w:r>
        <w:rPr>
          <w:spacing w:val="-67"/>
        </w:rPr>
      </w:r>
      <w:r>
        <w:rPr>
          <w:spacing w:val="-1"/>
        </w:rPr>
        <w:t>定有业绩补偿条款，实际解禁日期为满足上述解禁日期且博辕信息的年度《专项审核报告》出具</w:t>
      </w:r>
      <w:r>
        <w:rPr>
          <w:spacing w:val="-55"/>
        </w:rPr>
        <w:t> </w:t>
      </w:r>
      <w:r>
        <w:rPr>
          <w:spacing w:val="-55"/>
        </w:rPr>
      </w:r>
      <w:r>
        <w:rPr/>
        <w:t>后，故实际解禁时间预计在每年</w:t>
      </w:r>
      <w:r>
        <w:rPr>
          <w:spacing w:val="-54"/>
        </w:rPr>
        <w:t> </w:t>
      </w:r>
      <w:r>
        <w:rPr>
          <w:rFonts w:ascii="宋体" w:hAnsi="宋体" w:cs="宋体" w:eastAsia="宋体" w:hint="default"/>
        </w:rPr>
        <w:t>4</w:t>
      </w:r>
      <w:r>
        <w:rPr>
          <w:rFonts w:ascii="宋体" w:hAnsi="宋体" w:cs="宋体" w:eastAsia="宋体" w:hint="default"/>
          <w:spacing w:val="-57"/>
        </w:rPr>
        <w:t> </w:t>
      </w:r>
      <w:r>
        <w:rPr/>
        <w:t>月</w:t>
      </w:r>
      <w:r>
        <w:rPr>
          <w:spacing w:val="-55"/>
        </w:rPr>
        <w:t> </w:t>
      </w:r>
      <w:r>
        <w:rPr>
          <w:rFonts w:ascii="宋体" w:hAnsi="宋体" w:cs="宋体" w:eastAsia="宋体" w:hint="default"/>
        </w:rPr>
        <w:t>30</w:t>
      </w:r>
      <w:r>
        <w:rPr>
          <w:rFonts w:ascii="宋体" w:hAnsi="宋体" w:cs="宋体" w:eastAsia="宋体" w:hint="default"/>
          <w:spacing w:val="-57"/>
        </w:rPr>
        <w:t> </w:t>
      </w:r>
      <w:r>
        <w:rPr/>
        <w:t>日左右，具体解禁日期以当年公告为准。</w:t>
      </w:r>
      <w:r>
        <w:rPr>
          <w:rFonts w:ascii="宋体" w:hAnsi="宋体" w:cs="宋体" w:eastAsia="宋体" w:hint="default"/>
        </w:rPr>
        <w:t> </w:t>
      </w:r>
    </w:p>
    <w:p>
      <w:pPr>
        <w:pStyle w:val="BodyText"/>
        <w:spacing w:line="274" w:lineRule="exact" w:before="23"/>
        <w:ind w:left="436" w:right="0" w:firstLine="420"/>
        <w:jc w:val="left"/>
        <w:rPr>
          <w:rFonts w:ascii="宋体" w:hAnsi="宋体" w:cs="宋体" w:eastAsia="宋体" w:hint="default"/>
        </w:rPr>
      </w:pPr>
      <w:r>
        <w:rPr/>
        <w:t>浙江中赢的限售解禁期为</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1"/>
        </w:rPr>
        <w:t> </w:t>
      </w:r>
      <w:r>
        <w:rPr>
          <w:rFonts w:ascii="宋体" w:hAnsi="宋体" w:cs="宋体" w:eastAsia="宋体" w:hint="default"/>
        </w:rPr>
        <w:t>2</w:t>
      </w:r>
      <w:r>
        <w:rPr>
          <w:rFonts w:ascii="宋体" w:hAnsi="宋体" w:cs="宋体" w:eastAsia="宋体" w:hint="default"/>
          <w:spacing w:val="-54"/>
        </w:rPr>
        <w:t> </w:t>
      </w:r>
      <w:r>
        <w:rPr/>
        <w:t>月</w:t>
      </w:r>
      <w:r>
        <w:rPr>
          <w:spacing w:val="-51"/>
        </w:rPr>
        <w:t> </w:t>
      </w:r>
      <w:r>
        <w:rPr>
          <w:rFonts w:ascii="宋体" w:hAnsi="宋体" w:cs="宋体" w:eastAsia="宋体" w:hint="default"/>
        </w:rPr>
        <w:t>18</w:t>
      </w:r>
      <w:r>
        <w:rPr>
          <w:rFonts w:ascii="宋体" w:hAnsi="宋体" w:cs="宋体" w:eastAsia="宋体" w:hint="default"/>
          <w:spacing w:val="-51"/>
        </w:rPr>
        <w:t> </w:t>
      </w:r>
      <w:r>
        <w:rPr/>
        <w:t>日，具体内容详见《泰豪科技股份有限公司关于发</w:t>
      </w:r>
      <w:r>
        <w:rPr>
          <w:w w:val="100"/>
        </w:rPr>
        <w:t> </w:t>
      </w:r>
      <w:r>
        <w:rPr>
          <w:spacing w:val="-2"/>
        </w:rPr>
        <w:t>行股份购买资产之部分限售股上市流通的公告》（公告编号：临</w:t>
      </w:r>
      <w:r>
        <w:rPr>
          <w:spacing w:val="16"/>
        </w:rPr>
        <w:t> </w:t>
      </w:r>
      <w:r>
        <w:rPr>
          <w:rFonts w:ascii="宋体" w:hAnsi="宋体" w:cs="宋体" w:eastAsia="宋体" w:hint="default"/>
          <w:spacing w:val="-2"/>
        </w:rPr>
        <w:t>2019-004</w:t>
      </w:r>
      <w:r>
        <w:rPr>
          <w:spacing w:val="-2"/>
        </w:rPr>
        <w:t>）。</w:t>
      </w:r>
      <w:r>
        <w:rPr>
          <w:rFonts w:ascii="宋体" w:hAnsi="宋体" w:cs="宋体" w:eastAsia="宋体" w:hint="default"/>
          <w:spacing w:val="-2"/>
        </w:rPr>
        <w:t> </w:t>
      </w:r>
    </w:p>
    <w:p>
      <w:pPr>
        <w:pStyle w:val="BodyText"/>
        <w:spacing w:line="245" w:lineRule="exact"/>
        <w:ind w:left="857" w:right="0"/>
        <w:jc w:val="left"/>
      </w:pPr>
      <w:r>
        <w:rPr/>
        <w:t>注</w:t>
      </w:r>
      <w:r>
        <w:rPr>
          <w:spacing w:val="-45"/>
        </w:rPr>
        <w:t> </w:t>
      </w:r>
      <w:r>
        <w:rPr>
          <w:rFonts w:ascii="宋体" w:hAnsi="宋体" w:cs="宋体" w:eastAsia="宋体" w:hint="default"/>
        </w:rPr>
        <w:t>2</w:t>
      </w:r>
      <w:r>
        <w:rPr/>
        <w:t>：公司</w:t>
      </w:r>
      <w:r>
        <w:rPr>
          <w:spacing w:val="-48"/>
        </w:rPr>
        <w:t> </w:t>
      </w:r>
      <w:r>
        <w:rPr>
          <w:rFonts w:ascii="宋体" w:hAnsi="宋体" w:cs="宋体" w:eastAsia="宋体" w:hint="default"/>
        </w:rPr>
        <w:t>2017</w:t>
      </w:r>
      <w:r>
        <w:rPr>
          <w:rFonts w:ascii="宋体" w:hAnsi="宋体" w:cs="宋体" w:eastAsia="宋体" w:hint="default"/>
          <w:spacing w:val="-48"/>
        </w:rPr>
        <w:t> </w:t>
      </w:r>
      <w:r>
        <w:rPr/>
        <w:t>年限制性股票激励计划在</w:t>
      </w:r>
      <w:r>
        <w:rPr>
          <w:spacing w:val="-45"/>
        </w:rPr>
        <w:t> </w:t>
      </w:r>
      <w:r>
        <w:rPr>
          <w:rFonts w:ascii="宋体" w:hAnsi="宋体" w:cs="宋体" w:eastAsia="宋体" w:hint="default"/>
        </w:rPr>
        <w:t>2018</w:t>
      </w:r>
      <w:r>
        <w:rPr>
          <w:rFonts w:ascii="宋体" w:hAnsi="宋体" w:cs="宋体" w:eastAsia="宋体" w:hint="default"/>
          <w:spacing w:val="-46"/>
        </w:rPr>
        <w:t> </w:t>
      </w:r>
      <w:r>
        <w:rPr/>
        <w:t>年</w:t>
      </w:r>
      <w:r>
        <w:rPr>
          <w:spacing w:val="-48"/>
        </w:rPr>
        <w:t> </w:t>
      </w:r>
      <w:r>
        <w:rPr>
          <w:rFonts w:ascii="宋体" w:hAnsi="宋体" w:cs="宋体" w:eastAsia="宋体" w:hint="default"/>
        </w:rPr>
        <w:t>1</w:t>
      </w:r>
      <w:r>
        <w:rPr>
          <w:rFonts w:ascii="宋体" w:hAnsi="宋体" w:cs="宋体" w:eastAsia="宋体" w:hint="default"/>
          <w:spacing w:val="-47"/>
        </w:rPr>
        <w:t> </w:t>
      </w:r>
      <w:r>
        <w:rPr/>
        <w:t>月</w:t>
      </w:r>
      <w:r>
        <w:rPr>
          <w:spacing w:val="-45"/>
        </w:rPr>
        <w:t> </w:t>
      </w:r>
      <w:r>
        <w:rPr>
          <w:rFonts w:ascii="宋体" w:hAnsi="宋体" w:cs="宋体" w:eastAsia="宋体" w:hint="default"/>
        </w:rPr>
        <w:t>3</w:t>
      </w:r>
      <w:r>
        <w:rPr>
          <w:rFonts w:ascii="宋体" w:hAnsi="宋体" w:cs="宋体" w:eastAsia="宋体" w:hint="default"/>
          <w:spacing w:val="-45"/>
        </w:rPr>
        <w:t> </w:t>
      </w:r>
      <w:r>
        <w:rPr/>
        <w:t>日完成首次授予的股份划转，包括</w:t>
      </w:r>
    </w:p>
    <w:p>
      <w:pPr>
        <w:pStyle w:val="BodyText"/>
        <w:spacing w:line="237" w:lineRule="auto" w:before="2"/>
        <w:ind w:left="436" w:right="339"/>
        <w:jc w:val="left"/>
        <w:rPr>
          <w:rFonts w:ascii="宋体" w:hAnsi="宋体" w:cs="宋体" w:eastAsia="宋体" w:hint="default"/>
        </w:rPr>
      </w:pPr>
      <w:r>
        <w:rPr>
          <w:spacing w:val="-3"/>
        </w:rPr>
        <w:t>公司董事、高级管理人员、主要中层管理人员及核心骨干在内的</w:t>
      </w:r>
      <w:r>
        <w:rPr>
          <w:spacing w:val="-47"/>
        </w:rPr>
        <w:t> </w:t>
      </w:r>
      <w:r>
        <w:rPr>
          <w:rFonts w:ascii="宋体" w:hAnsi="宋体" w:cs="宋体" w:eastAsia="宋体" w:hint="default"/>
        </w:rPr>
        <w:t>110</w:t>
      </w:r>
      <w:r>
        <w:rPr>
          <w:rFonts w:ascii="宋体" w:hAnsi="宋体" w:cs="宋体" w:eastAsia="宋体" w:hint="default"/>
          <w:spacing w:val="-48"/>
        </w:rPr>
        <w:t> </w:t>
      </w:r>
      <w:r>
        <w:rPr/>
        <w:t>人合计授予限制性股票</w:t>
      </w:r>
      <w:r>
        <w:rPr>
          <w:spacing w:val="-47"/>
        </w:rPr>
        <w:t> </w:t>
      </w:r>
      <w:r>
        <w:rPr>
          <w:rFonts w:ascii="宋体" w:hAnsi="宋体" w:cs="宋体" w:eastAsia="宋体" w:hint="default"/>
        </w:rPr>
        <w:t>1750</w:t>
      </w:r>
      <w:r>
        <w:rPr>
          <w:rFonts w:ascii="宋体" w:hAnsi="宋体" w:cs="宋体" w:eastAsia="宋体" w:hint="default"/>
          <w:spacing w:val="-91"/>
        </w:rPr>
        <w:t> </w:t>
      </w:r>
      <w:r>
        <w:rPr>
          <w:rFonts w:ascii="宋体" w:hAnsi="宋体" w:cs="宋体" w:eastAsia="宋体" w:hint="default"/>
          <w:spacing w:val="-91"/>
        </w:rPr>
      </w:r>
      <w:r>
        <w:rPr/>
        <w:t>万股，根据《</w:t>
      </w:r>
      <w:r>
        <w:rPr>
          <w:rFonts w:ascii="宋体" w:hAnsi="宋体" w:cs="宋体" w:eastAsia="宋体" w:hint="default"/>
        </w:rPr>
        <w:t>2017</w:t>
      </w:r>
      <w:r>
        <w:rPr>
          <w:rFonts w:ascii="宋体" w:hAnsi="宋体" w:cs="宋体" w:eastAsia="宋体" w:hint="default"/>
          <w:spacing w:val="6"/>
        </w:rPr>
        <w:t> </w:t>
      </w:r>
      <w:r>
        <w:rPr/>
        <w:t>年限制性股票激励计划实施考核办法》，以上被激励对象在达到考核标准后，</w:t>
      </w:r>
      <w:r>
        <w:rPr>
          <w:w w:val="100"/>
        </w:rPr>
        <w:t> </w:t>
      </w:r>
      <w:r>
        <w:rPr>
          <w:spacing w:val="-5"/>
        </w:rPr>
        <w:t>所持股票分批解禁，具体内容详见《泰豪科技股份有限公司关于</w:t>
      </w:r>
      <w:r>
        <w:rPr>
          <w:spacing w:val="-45"/>
        </w:rPr>
        <w:t> </w:t>
      </w:r>
      <w:r>
        <w:rPr>
          <w:rFonts w:ascii="宋体" w:hAnsi="宋体" w:cs="宋体" w:eastAsia="宋体" w:hint="default"/>
        </w:rPr>
        <w:t>2017</w:t>
      </w:r>
      <w:r>
        <w:rPr>
          <w:rFonts w:ascii="宋体" w:hAnsi="宋体" w:cs="宋体" w:eastAsia="宋体" w:hint="default"/>
          <w:spacing w:val="-47"/>
        </w:rPr>
        <w:t> </w:t>
      </w:r>
      <w:r>
        <w:rPr/>
        <w:t>年限制性股票激励计划首次</w:t>
      </w:r>
      <w:r>
        <w:rPr>
          <w:spacing w:val="-83"/>
        </w:rPr>
        <w:t> </w:t>
      </w:r>
      <w:r>
        <w:rPr>
          <w:spacing w:val="-83"/>
        </w:rPr>
      </w:r>
      <w:r>
        <w:rPr/>
        <w:t>授予结果公告》（公告编号：临</w:t>
      </w:r>
      <w:r>
        <w:rPr>
          <w:spacing w:val="-60"/>
        </w:rPr>
        <w:t> </w:t>
      </w:r>
      <w:r>
        <w:rPr>
          <w:rFonts w:ascii="宋体" w:hAnsi="宋体" w:cs="宋体" w:eastAsia="宋体" w:hint="default"/>
        </w:rPr>
        <w:t>2018-001</w:t>
      </w:r>
      <w:r>
        <w:rPr/>
        <w:t>）。</w:t>
      </w:r>
      <w:r>
        <w:rPr>
          <w:rFonts w:ascii="宋体" w:hAnsi="宋体" w:cs="宋体" w:eastAsia="宋体" w:hint="default"/>
        </w:rPr>
        <w:t> </w:t>
      </w:r>
    </w:p>
    <w:p>
      <w:pPr>
        <w:pStyle w:val="BodyText"/>
        <w:spacing w:line="272" w:lineRule="exact"/>
        <w:ind w:left="857" w:right="0"/>
        <w:jc w:val="left"/>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54"/>
        </w:rPr>
        <w:t> </w:t>
      </w:r>
      <w:r>
        <w:rPr/>
        <w:t>年</w:t>
      </w:r>
      <w:r>
        <w:rPr>
          <w:spacing w:val="-54"/>
        </w:rPr>
        <w:t> </w:t>
      </w:r>
      <w:r>
        <w:rPr>
          <w:rFonts w:ascii="宋体" w:hAnsi="宋体" w:cs="宋体" w:eastAsia="宋体" w:hint="default"/>
        </w:rPr>
        <w:t>6</w:t>
      </w:r>
      <w:r>
        <w:rPr>
          <w:rFonts w:ascii="宋体" w:hAnsi="宋体" w:cs="宋体" w:eastAsia="宋体" w:hint="default"/>
          <w:spacing w:val="-54"/>
        </w:rPr>
        <w:t> </w:t>
      </w:r>
      <w:r>
        <w:rPr/>
        <w:t>月</w:t>
      </w:r>
      <w:r>
        <w:rPr>
          <w:spacing w:val="-51"/>
        </w:rPr>
        <w:t> </w:t>
      </w:r>
      <w:r>
        <w:rPr>
          <w:rFonts w:ascii="宋体" w:hAnsi="宋体" w:cs="宋体" w:eastAsia="宋体" w:hint="default"/>
        </w:rPr>
        <w:t>26</w:t>
      </w:r>
      <w:r>
        <w:rPr>
          <w:rFonts w:ascii="宋体" w:hAnsi="宋体" w:cs="宋体" w:eastAsia="宋体" w:hint="default"/>
          <w:spacing w:val="-51"/>
        </w:rPr>
        <w:t> </w:t>
      </w:r>
      <w:r>
        <w:rPr/>
        <w:t>日，公司实施</w:t>
      </w:r>
      <w:r>
        <w:rPr>
          <w:spacing w:val="-53"/>
        </w:rPr>
        <w:t> </w:t>
      </w:r>
      <w:r>
        <w:rPr>
          <w:rFonts w:ascii="宋体" w:hAnsi="宋体" w:cs="宋体" w:eastAsia="宋体" w:hint="default"/>
        </w:rPr>
        <w:t>2017</w:t>
      </w:r>
      <w:r>
        <w:rPr>
          <w:rFonts w:ascii="宋体" w:hAnsi="宋体" w:cs="宋体" w:eastAsia="宋体" w:hint="default"/>
          <w:spacing w:val="-51"/>
        </w:rPr>
        <w:t> </w:t>
      </w:r>
      <w:r>
        <w:rPr/>
        <w:t>年度利润分配，以方案实施前的公司总股本</w:t>
      </w:r>
      <w:r>
        <w:rPr>
          <w:spacing w:val="-52"/>
        </w:rPr>
        <w:t> </w:t>
      </w:r>
      <w:r>
        <w:rPr>
          <w:rFonts w:ascii="宋体" w:hAnsi="宋体" w:cs="宋体" w:eastAsia="宋体" w:hint="default"/>
        </w:rPr>
        <w:t>666,960,584</w:t>
      </w:r>
    </w:p>
    <w:p>
      <w:pPr>
        <w:pStyle w:val="BodyText"/>
        <w:spacing w:line="271" w:lineRule="exact"/>
        <w:ind w:left="436" w:right="0"/>
        <w:jc w:val="left"/>
      </w:pPr>
      <w:r>
        <w:rPr/>
        <w:t>股，扣除回购实施股权激励尚未授予的股份</w:t>
      </w:r>
      <w:r>
        <w:rPr>
          <w:spacing w:val="-51"/>
        </w:rPr>
        <w:t> </w:t>
      </w:r>
      <w:r>
        <w:rPr>
          <w:rFonts w:ascii="宋体" w:hAnsi="宋体" w:cs="宋体" w:eastAsia="宋体" w:hint="default"/>
        </w:rPr>
        <w:t>2,499,918</w:t>
      </w:r>
      <w:r>
        <w:rPr>
          <w:rFonts w:ascii="宋体" w:hAnsi="宋体" w:cs="宋体" w:eastAsia="宋体" w:hint="default"/>
          <w:spacing w:val="-51"/>
        </w:rPr>
        <w:t> </w:t>
      </w:r>
      <w:r>
        <w:rPr/>
        <w:t>股，即</w:t>
      </w:r>
      <w:r>
        <w:rPr>
          <w:spacing w:val="-51"/>
        </w:rPr>
        <w:t> </w:t>
      </w:r>
      <w:r>
        <w:rPr>
          <w:rFonts w:ascii="宋体" w:hAnsi="宋体" w:cs="宋体" w:eastAsia="宋体" w:hint="default"/>
        </w:rPr>
        <w:t>664,460,666</w:t>
      </w:r>
      <w:r>
        <w:rPr>
          <w:rFonts w:ascii="宋体" w:hAnsi="宋体" w:cs="宋体" w:eastAsia="宋体" w:hint="default"/>
          <w:spacing w:val="-54"/>
        </w:rPr>
        <w:t> </w:t>
      </w:r>
      <w:r>
        <w:rPr/>
        <w:t>股为基数，向全体股</w:t>
      </w:r>
    </w:p>
    <w:p>
      <w:pPr>
        <w:pStyle w:val="BodyText"/>
        <w:spacing w:line="272" w:lineRule="exact"/>
        <w:ind w:left="436" w:right="0"/>
        <w:jc w:val="left"/>
        <w:rPr>
          <w:rFonts w:ascii="宋体" w:hAnsi="宋体" w:cs="宋体" w:eastAsia="宋体" w:hint="default"/>
        </w:rPr>
      </w:pPr>
      <w:r>
        <w:rPr>
          <w:w w:val="100"/>
        </w:rPr>
        <w:t>东每</w:t>
      </w:r>
      <w:r>
        <w:rPr>
          <w:spacing w:val="-74"/>
        </w:rPr>
        <w:t> </w:t>
      </w:r>
      <w:r>
        <w:rPr>
          <w:rFonts w:ascii="宋体" w:hAnsi="宋体" w:cs="宋体" w:eastAsia="宋体" w:hint="default"/>
          <w:w w:val="100"/>
        </w:rPr>
        <w:t>10</w:t>
      </w:r>
      <w:r>
        <w:rPr>
          <w:rFonts w:ascii="宋体" w:hAnsi="宋体" w:cs="宋体" w:eastAsia="宋体" w:hint="default"/>
          <w:spacing w:val="-74"/>
        </w:rPr>
        <w:t> </w:t>
      </w:r>
      <w:r>
        <w:rPr>
          <w:spacing w:val="-3"/>
          <w:w w:val="100"/>
        </w:rPr>
        <w:t>股</w:t>
      </w:r>
      <w:r>
        <w:rPr>
          <w:w w:val="100"/>
        </w:rPr>
        <w:t>派</w:t>
      </w:r>
      <w:r>
        <w:rPr>
          <w:spacing w:val="-3"/>
          <w:w w:val="100"/>
        </w:rPr>
        <w:t>发</w:t>
      </w:r>
      <w:r>
        <w:rPr>
          <w:w w:val="100"/>
        </w:rPr>
        <w:t>现</w:t>
      </w:r>
      <w:r>
        <w:rPr>
          <w:spacing w:val="-3"/>
          <w:w w:val="100"/>
        </w:rPr>
        <w:t>金</w:t>
      </w:r>
      <w:r>
        <w:rPr>
          <w:w w:val="100"/>
        </w:rPr>
        <w:t>红利</w:t>
      </w:r>
      <w:r>
        <w:rPr>
          <w:spacing w:val="-75"/>
        </w:rPr>
        <w:t> </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74"/>
        </w:rPr>
        <w:t> </w:t>
      </w:r>
      <w:r>
        <w:rPr>
          <w:spacing w:val="-106"/>
          <w:w w:val="100"/>
        </w:rPr>
        <w:t>元</w:t>
      </w:r>
      <w:r>
        <w:rPr>
          <w:w w:val="100"/>
        </w:rPr>
        <w:t>（</w:t>
      </w:r>
      <w:r>
        <w:rPr>
          <w:spacing w:val="-3"/>
          <w:w w:val="100"/>
        </w:rPr>
        <w:t>含</w:t>
      </w:r>
      <w:r>
        <w:rPr>
          <w:w w:val="100"/>
        </w:rPr>
        <w:t>税</w:t>
      </w:r>
      <w:r>
        <w:rPr>
          <w:spacing w:val="-106"/>
          <w:w w:val="100"/>
        </w:rPr>
        <w:t>）</w:t>
      </w:r>
      <w:r>
        <w:rPr>
          <w:spacing w:val="-108"/>
          <w:w w:val="100"/>
        </w:rPr>
        <w:t>，</w:t>
      </w:r>
      <w:r>
        <w:rPr>
          <w:w w:val="100"/>
        </w:rPr>
        <w:t>共</w:t>
      </w:r>
      <w:r>
        <w:rPr>
          <w:spacing w:val="-3"/>
          <w:w w:val="100"/>
        </w:rPr>
        <w:t>计</w:t>
      </w:r>
      <w:r>
        <w:rPr>
          <w:w w:val="100"/>
        </w:rPr>
        <w:t>派</w:t>
      </w:r>
      <w:r>
        <w:rPr>
          <w:spacing w:val="-3"/>
          <w:w w:val="100"/>
        </w:rPr>
        <w:t>发</w:t>
      </w:r>
      <w:r>
        <w:rPr>
          <w:w w:val="100"/>
        </w:rPr>
        <w:t>现</w:t>
      </w:r>
      <w:r>
        <w:rPr>
          <w:spacing w:val="-3"/>
          <w:w w:val="100"/>
        </w:rPr>
        <w:t>金</w:t>
      </w:r>
      <w:r>
        <w:rPr>
          <w:w w:val="100"/>
        </w:rPr>
        <w:t>红利</w:t>
      </w:r>
      <w:r>
        <w:rPr>
          <w:spacing w:val="-74"/>
        </w:rPr>
        <w:t> </w:t>
      </w:r>
      <w:r>
        <w:rPr>
          <w:rFonts w:ascii="宋体" w:hAnsi="宋体" w:cs="宋体" w:eastAsia="宋体" w:hint="default"/>
          <w:w w:val="100"/>
        </w:rPr>
        <w:t>79</w:t>
      </w:r>
      <w:r>
        <w:rPr>
          <w:rFonts w:ascii="宋体" w:hAnsi="宋体" w:cs="宋体" w:eastAsia="宋体" w:hint="default"/>
          <w:spacing w:val="-3"/>
          <w:w w:val="100"/>
        </w:rPr>
        <w:t>,</w:t>
      </w:r>
      <w:r>
        <w:rPr>
          <w:rFonts w:ascii="宋体" w:hAnsi="宋体" w:cs="宋体" w:eastAsia="宋体" w:hint="default"/>
          <w:w w:val="100"/>
        </w:rPr>
        <w:t>735</w:t>
      </w:r>
      <w:r>
        <w:rPr>
          <w:rFonts w:ascii="宋体" w:hAnsi="宋体" w:cs="宋体" w:eastAsia="宋体" w:hint="default"/>
          <w:spacing w:val="-3"/>
          <w:w w:val="100"/>
        </w:rPr>
        <w:t>,</w:t>
      </w:r>
      <w:r>
        <w:rPr>
          <w:rFonts w:ascii="宋体" w:hAnsi="宋体" w:cs="宋体" w:eastAsia="宋体" w:hint="default"/>
          <w:w w:val="100"/>
        </w:rPr>
        <w:t>279</w:t>
      </w:r>
      <w:r>
        <w:rPr>
          <w:rFonts w:ascii="宋体" w:hAnsi="宋体" w:cs="宋体" w:eastAsia="宋体" w:hint="default"/>
          <w:spacing w:val="-3"/>
          <w:w w:val="100"/>
        </w:rPr>
        <w:t>.</w:t>
      </w:r>
      <w:r>
        <w:rPr>
          <w:rFonts w:ascii="宋体" w:hAnsi="宋体" w:cs="宋体" w:eastAsia="宋体" w:hint="default"/>
          <w:w w:val="100"/>
        </w:rPr>
        <w:t>92</w:t>
      </w:r>
      <w:r>
        <w:rPr>
          <w:rFonts w:ascii="宋体" w:hAnsi="宋体" w:cs="宋体" w:eastAsia="宋体" w:hint="default"/>
          <w:spacing w:val="-75"/>
        </w:rPr>
        <w:t> </w:t>
      </w:r>
      <w:r>
        <w:rPr>
          <w:w w:val="100"/>
        </w:rPr>
        <w:t>元</w:t>
      </w:r>
      <w:r>
        <w:rPr>
          <w:spacing w:val="-108"/>
          <w:w w:val="100"/>
        </w:rPr>
        <w:t>；</w:t>
      </w:r>
      <w:r>
        <w:rPr>
          <w:spacing w:val="-3"/>
          <w:w w:val="100"/>
        </w:rPr>
        <w:t>同</w:t>
      </w:r>
      <w:r>
        <w:rPr>
          <w:w w:val="100"/>
        </w:rPr>
        <w:t>时</w:t>
      </w:r>
      <w:r>
        <w:rPr>
          <w:spacing w:val="-106"/>
          <w:w w:val="100"/>
        </w:rPr>
        <w:t>，</w:t>
      </w:r>
      <w:r>
        <w:rPr>
          <w:w w:val="100"/>
        </w:rPr>
        <w:t>以</w:t>
      </w:r>
      <w:r>
        <w:rPr>
          <w:spacing w:val="-74"/>
        </w:rPr>
        <w:t> </w:t>
      </w:r>
      <w:r>
        <w:rPr>
          <w:rFonts w:ascii="宋体" w:hAnsi="宋体" w:cs="宋体" w:eastAsia="宋体" w:hint="default"/>
          <w:w w:val="100"/>
        </w:rPr>
        <w:t>6</w:t>
      </w:r>
      <w:r>
        <w:rPr>
          <w:rFonts w:ascii="宋体" w:hAnsi="宋体" w:cs="宋体" w:eastAsia="宋体" w:hint="default"/>
          <w:spacing w:val="-3"/>
          <w:w w:val="100"/>
        </w:rPr>
        <w:t>6</w:t>
      </w:r>
      <w:r>
        <w:rPr>
          <w:rFonts w:ascii="宋体" w:hAnsi="宋体" w:cs="宋体" w:eastAsia="宋体" w:hint="default"/>
          <w:w w:val="100"/>
        </w:rPr>
        <w:t>4,4</w:t>
      </w:r>
      <w:r>
        <w:rPr>
          <w:rFonts w:ascii="宋体" w:hAnsi="宋体" w:cs="宋体" w:eastAsia="宋体" w:hint="default"/>
          <w:spacing w:val="-3"/>
          <w:w w:val="100"/>
        </w:rPr>
        <w:t>6</w:t>
      </w:r>
      <w:r>
        <w:rPr>
          <w:rFonts w:ascii="宋体" w:hAnsi="宋体" w:cs="宋体" w:eastAsia="宋体" w:hint="default"/>
          <w:w w:val="100"/>
        </w:rPr>
        <w:t>0,6</w:t>
      </w:r>
      <w:r>
        <w:rPr>
          <w:rFonts w:ascii="宋体" w:hAnsi="宋体" w:cs="宋体" w:eastAsia="宋体" w:hint="default"/>
          <w:spacing w:val="-2"/>
          <w:w w:val="100"/>
        </w:rPr>
        <w:t>6</w:t>
      </w:r>
      <w:r>
        <w:rPr>
          <w:rFonts w:ascii="宋体" w:hAnsi="宋体" w:cs="宋体" w:eastAsia="宋体" w:hint="default"/>
          <w:w w:val="100"/>
        </w:rPr>
        <w:t>6</w:t>
      </w:r>
    </w:p>
    <w:p>
      <w:pPr>
        <w:pStyle w:val="BodyText"/>
        <w:spacing w:line="272" w:lineRule="exact" w:before="27"/>
        <w:ind w:left="436" w:right="0"/>
        <w:jc w:val="left"/>
        <w:rPr>
          <w:rFonts w:ascii="宋体" w:hAnsi="宋体" w:cs="宋体" w:eastAsia="宋体" w:hint="default"/>
        </w:rPr>
      </w:pPr>
      <w:r>
        <w:rPr>
          <w:spacing w:val="-4"/>
        </w:rPr>
        <w:t>股为基数，向全体股东每</w:t>
      </w:r>
      <w:r>
        <w:rPr>
          <w:spacing w:val="-49"/>
        </w:rPr>
        <w:t> </w:t>
      </w:r>
      <w:r>
        <w:rPr>
          <w:rFonts w:ascii="宋体" w:hAnsi="宋体" w:cs="宋体" w:eastAsia="宋体" w:hint="default"/>
        </w:rPr>
        <w:t>10</w:t>
      </w:r>
      <w:r>
        <w:rPr>
          <w:rFonts w:ascii="宋体" w:hAnsi="宋体" w:cs="宋体" w:eastAsia="宋体" w:hint="default"/>
          <w:spacing w:val="-47"/>
        </w:rPr>
        <w:t> </w:t>
      </w:r>
      <w:r>
        <w:rPr/>
        <w:t>股派送红股</w:t>
      </w:r>
      <w:r>
        <w:rPr>
          <w:spacing w:val="-46"/>
        </w:rPr>
        <w:t> </w:t>
      </w:r>
      <w:r>
        <w:rPr>
          <w:rFonts w:ascii="宋体" w:hAnsi="宋体" w:cs="宋体" w:eastAsia="宋体" w:hint="default"/>
        </w:rPr>
        <w:t>3</w:t>
      </w:r>
      <w:r>
        <w:rPr>
          <w:rFonts w:ascii="宋体" w:hAnsi="宋体" w:cs="宋体" w:eastAsia="宋体" w:hint="default"/>
          <w:spacing w:val="-49"/>
        </w:rPr>
        <w:t> </w:t>
      </w:r>
      <w:r>
        <w:rPr>
          <w:spacing w:val="-5"/>
        </w:rPr>
        <w:t>股，本次分配后总股本为</w:t>
      </w:r>
      <w:r>
        <w:rPr>
          <w:spacing w:val="-47"/>
        </w:rPr>
        <w:t> </w:t>
      </w:r>
      <w:r>
        <w:rPr>
          <w:rFonts w:ascii="宋体" w:hAnsi="宋体" w:cs="宋体" w:eastAsia="宋体" w:hint="default"/>
        </w:rPr>
        <w:t>866,298,784</w:t>
      </w:r>
      <w:r>
        <w:rPr>
          <w:rFonts w:ascii="宋体" w:hAnsi="宋体" w:cs="宋体" w:eastAsia="宋体" w:hint="default"/>
          <w:spacing w:val="-47"/>
        </w:rPr>
        <w:t> </w:t>
      </w:r>
      <w:r>
        <w:rPr>
          <w:spacing w:val="-6"/>
        </w:rPr>
        <w:t>股。因此限售股</w:t>
      </w:r>
      <w:r>
        <w:rPr>
          <w:spacing w:val="-103"/>
        </w:rPr>
        <w:t> </w:t>
      </w:r>
      <w:r>
        <w:rPr>
          <w:spacing w:val="-103"/>
        </w:rPr>
      </w:r>
      <w:r>
        <w:rPr/>
        <w:t>份由于利润分配而股数增加。</w:t>
      </w:r>
      <w:r>
        <w:rPr>
          <w:rFonts w:ascii="宋体" w:hAnsi="宋体" w:cs="宋体" w:eastAsia="宋体" w:hint="default"/>
        </w:rPr>
        <w:t> </w:t>
      </w:r>
    </w:p>
    <w:p>
      <w:pPr>
        <w:pStyle w:val="BodyText"/>
        <w:spacing w:line="247" w:lineRule="exact"/>
        <w:ind w:left="857" w:right="0"/>
        <w:jc w:val="left"/>
      </w:pPr>
      <w:r>
        <w:rPr/>
        <w:t>注</w:t>
      </w:r>
      <w:r>
        <w:rPr>
          <w:spacing w:val="-46"/>
        </w:rPr>
        <w:t> </w:t>
      </w:r>
      <w:r>
        <w:rPr>
          <w:rFonts w:ascii="宋体" w:hAnsi="宋体" w:cs="宋体" w:eastAsia="宋体" w:hint="default"/>
        </w:rPr>
        <w:t>3</w:t>
      </w:r>
      <w:r>
        <w:rPr/>
        <w:t>：公司</w:t>
      </w:r>
      <w:r>
        <w:rPr>
          <w:spacing w:val="-49"/>
        </w:rPr>
        <w:t> </w:t>
      </w:r>
      <w:r>
        <w:rPr>
          <w:rFonts w:ascii="宋体" w:hAnsi="宋体" w:cs="宋体" w:eastAsia="宋体" w:hint="default"/>
        </w:rPr>
        <w:t>2017</w:t>
      </w:r>
      <w:r>
        <w:rPr>
          <w:rFonts w:ascii="宋体" w:hAnsi="宋体" w:cs="宋体" w:eastAsia="宋体" w:hint="default"/>
          <w:spacing w:val="-49"/>
        </w:rPr>
        <w:t> </w:t>
      </w:r>
      <w:r>
        <w:rPr/>
        <w:t>年限制性股票预留部分在</w:t>
      </w:r>
      <w:r>
        <w:rPr>
          <w:spacing w:val="-46"/>
        </w:rPr>
        <w:t> </w:t>
      </w:r>
      <w:r>
        <w:rPr>
          <w:rFonts w:ascii="宋体" w:hAnsi="宋体" w:cs="宋体" w:eastAsia="宋体" w:hint="default"/>
        </w:rPr>
        <w:t>2018</w:t>
      </w:r>
      <w:r>
        <w:rPr>
          <w:rFonts w:ascii="宋体" w:hAnsi="宋体" w:cs="宋体" w:eastAsia="宋体" w:hint="default"/>
          <w:spacing w:val="-47"/>
        </w:rPr>
        <w:t> </w:t>
      </w:r>
      <w:r>
        <w:rPr/>
        <w:t>年</w:t>
      </w:r>
      <w:r>
        <w:rPr>
          <w:spacing w:val="-46"/>
        </w:rPr>
        <w:t> </w:t>
      </w:r>
      <w:r>
        <w:rPr>
          <w:rFonts w:ascii="宋体" w:hAnsi="宋体" w:cs="宋体" w:eastAsia="宋体" w:hint="default"/>
        </w:rPr>
        <w:t>10</w:t>
      </w:r>
      <w:r>
        <w:rPr>
          <w:rFonts w:ascii="宋体" w:hAnsi="宋体" w:cs="宋体" w:eastAsia="宋体" w:hint="default"/>
          <w:spacing w:val="-46"/>
        </w:rPr>
        <w:t> </w:t>
      </w:r>
      <w:r>
        <w:rPr/>
        <w:t>月</w:t>
      </w:r>
      <w:r>
        <w:rPr>
          <w:spacing w:val="-46"/>
        </w:rPr>
        <w:t> </w:t>
      </w:r>
      <w:r>
        <w:rPr>
          <w:rFonts w:ascii="宋体" w:hAnsi="宋体" w:cs="宋体" w:eastAsia="宋体" w:hint="default"/>
        </w:rPr>
        <w:t>24</w:t>
      </w:r>
      <w:r>
        <w:rPr>
          <w:rFonts w:ascii="宋体" w:hAnsi="宋体" w:cs="宋体" w:eastAsia="宋体" w:hint="default"/>
          <w:spacing w:val="-46"/>
        </w:rPr>
        <w:t> </w:t>
      </w:r>
      <w:r>
        <w:rPr/>
        <w:t>日完成股份划转，包括公司主要</w:t>
      </w:r>
    </w:p>
    <w:p>
      <w:pPr>
        <w:pStyle w:val="BodyText"/>
        <w:spacing w:line="237" w:lineRule="auto" w:before="1"/>
        <w:ind w:left="436" w:right="448"/>
        <w:jc w:val="both"/>
        <w:rPr>
          <w:rFonts w:ascii="宋体" w:hAnsi="宋体" w:cs="宋体" w:eastAsia="宋体" w:hint="default"/>
        </w:rPr>
      </w:pPr>
      <w:r>
        <w:rPr/>
        <w:t>中层管理人员及核心骨干在内的</w:t>
      </w:r>
      <w:r>
        <w:rPr>
          <w:spacing w:val="-41"/>
        </w:rPr>
        <w:t> </w:t>
      </w:r>
      <w:r>
        <w:rPr>
          <w:rFonts w:ascii="宋体" w:hAnsi="宋体" w:cs="宋体" w:eastAsia="宋体" w:hint="default"/>
        </w:rPr>
        <w:t>20</w:t>
      </w:r>
      <w:r>
        <w:rPr>
          <w:rFonts w:ascii="宋体" w:hAnsi="宋体" w:cs="宋体" w:eastAsia="宋体" w:hint="default"/>
          <w:spacing w:val="-44"/>
        </w:rPr>
        <w:t> </w:t>
      </w:r>
      <w:r>
        <w:rPr/>
        <w:t>人合计授予限制性股票</w:t>
      </w:r>
      <w:r>
        <w:rPr>
          <w:spacing w:val="-42"/>
        </w:rPr>
        <w:t> </w:t>
      </w:r>
      <w:r>
        <w:rPr>
          <w:rFonts w:ascii="宋体" w:hAnsi="宋体" w:cs="宋体" w:eastAsia="宋体" w:hint="default"/>
        </w:rPr>
        <w:t>2,499,918</w:t>
      </w:r>
      <w:r>
        <w:rPr>
          <w:rFonts w:ascii="宋体" w:hAnsi="宋体" w:cs="宋体" w:eastAsia="宋体" w:hint="default"/>
          <w:spacing w:val="-44"/>
        </w:rPr>
        <w:t> </w:t>
      </w:r>
      <w:r>
        <w:rPr/>
        <w:t>股，根据《</w:t>
      </w:r>
      <w:r>
        <w:rPr>
          <w:rFonts w:ascii="宋体" w:hAnsi="宋体" w:cs="宋体" w:eastAsia="宋体" w:hint="default"/>
        </w:rPr>
        <w:t>2017</w:t>
      </w:r>
      <w:r>
        <w:rPr>
          <w:rFonts w:ascii="宋体" w:hAnsi="宋体" w:cs="宋体" w:eastAsia="宋体" w:hint="default"/>
          <w:spacing w:val="-41"/>
        </w:rPr>
        <w:t> </w:t>
      </w:r>
      <w:r>
        <w:rPr/>
        <w:t>年限制性</w:t>
      </w:r>
      <w:r>
        <w:rPr>
          <w:w w:val="100"/>
        </w:rPr>
        <w:t> </w:t>
      </w:r>
      <w:r>
        <w:rPr>
          <w:spacing w:val="-1"/>
        </w:rPr>
        <w:t>股票激励计划实施考核办法》，以上被激励对象在达到考核标准后，所持股票分批解禁，具体内</w:t>
      </w:r>
      <w:r>
        <w:rPr>
          <w:spacing w:val="-54"/>
        </w:rPr>
        <w:t> </w:t>
      </w:r>
      <w:r>
        <w:rPr>
          <w:spacing w:val="-54"/>
        </w:rPr>
      </w:r>
      <w:r>
        <w:rPr>
          <w:spacing w:val="-4"/>
        </w:rPr>
        <w:t>容详见《泰豪科技股份有限公司关于</w:t>
      </w:r>
      <w:r>
        <w:rPr>
          <w:spacing w:val="-17"/>
        </w:rPr>
        <w:t> </w:t>
      </w:r>
      <w:r>
        <w:rPr>
          <w:rFonts w:ascii="宋体" w:hAnsi="宋体" w:cs="宋体" w:eastAsia="宋体" w:hint="default"/>
        </w:rPr>
        <w:t>2017</w:t>
      </w:r>
      <w:r>
        <w:rPr>
          <w:rFonts w:ascii="宋体" w:hAnsi="宋体" w:cs="宋体" w:eastAsia="宋体" w:hint="default"/>
          <w:spacing w:val="-19"/>
        </w:rPr>
        <w:t> </w:t>
      </w:r>
      <w:r>
        <w:rPr>
          <w:spacing w:val="-5"/>
        </w:rPr>
        <w:t>年限制性股票激励计划预留部分授予结果公告》（公告</w:t>
      </w:r>
      <w:r>
        <w:rPr>
          <w:spacing w:val="-91"/>
        </w:rPr>
        <w:t> </w:t>
      </w:r>
      <w:r>
        <w:rPr>
          <w:spacing w:val="-91"/>
        </w:rPr>
      </w:r>
      <w:r>
        <w:rPr/>
        <w:t>编号：临</w:t>
      </w:r>
      <w:r>
        <w:rPr>
          <w:spacing w:val="-56"/>
        </w:rPr>
        <w:t> </w:t>
      </w:r>
      <w:r>
        <w:rPr>
          <w:rFonts w:ascii="宋体" w:hAnsi="宋体" w:cs="宋体" w:eastAsia="宋体" w:hint="default"/>
        </w:rPr>
        <w:t>2018-063</w:t>
      </w:r>
      <w:r>
        <w:rPr/>
        <w:t>）。</w:t>
      </w:r>
      <w:r>
        <w:rPr>
          <w:rFonts w:ascii="宋体" w:hAnsi="宋体" w:cs="宋体" w:eastAsia="宋体" w:hint="default"/>
        </w:rPr>
        <w:t> </w:t>
      </w:r>
    </w:p>
    <w:p>
      <w:pPr>
        <w:pStyle w:val="Heading5"/>
        <w:spacing w:line="290" w:lineRule="auto" w:before="56"/>
        <w:ind w:left="436" w:right="6318"/>
        <w:jc w:val="left"/>
        <w:rPr>
          <w:b w:val="0"/>
          <w:bCs w:val="0"/>
        </w:rPr>
      </w:pPr>
      <w:r>
        <w:rPr/>
        <w:t>二、</w:t>
      </w:r>
      <w:r>
        <w:rPr>
          <w:spacing w:val="-78"/>
        </w:rPr>
        <w:t> </w:t>
      </w:r>
      <w:r>
        <w:rPr>
          <w:rFonts w:ascii="宋体" w:hAnsi="宋体" w:cs="宋体" w:eastAsia="宋体" w:hint="default"/>
          <w:spacing w:val="-78"/>
        </w:rPr>
      </w:r>
      <w:r>
        <w:rPr/>
        <w:t>证券发行与上市情况</w:t>
      </w:r>
      <w:r>
        <w:rPr>
          <w:spacing w:val="-102"/>
        </w:rPr>
        <w:t> </w:t>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Heading3"/>
        <w:spacing w:line="312" w:lineRule="exact" w:before="36"/>
        <w:ind w:left="4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t>截至报告期内证券发行情况的说明（存续期内利率不同的债券，请分别说明）：</w:t>
      </w:r>
      <w:r>
        <w:rPr>
          <w:rFonts w:ascii="宋体" w:hAnsi="宋体" w:cs="宋体" w:eastAsia="宋体" w:hint="default"/>
        </w:rPr>
        <w:t> </w:t>
      </w:r>
    </w:p>
    <w:p>
      <w:pPr>
        <w:pStyle w:val="Heading3"/>
        <w:spacing w:line="281" w:lineRule="exact"/>
        <w:ind w:left="4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2" w:lineRule="exact"/>
        <w:ind w:left="436" w:right="0"/>
        <w:jc w:val="left"/>
        <w:rPr>
          <w:rFonts w:ascii="宋体" w:hAnsi="宋体" w:cs="宋体" w:eastAsia="宋体" w:hint="default"/>
        </w:rPr>
      </w:pPr>
      <w:r>
        <w:rPr>
          <w:rFonts w:ascii="宋体"/>
        </w:rPr>
        <w:t> </w:t>
      </w:r>
    </w:p>
    <w:p>
      <w:pPr>
        <w:pStyle w:val="Heading5"/>
        <w:spacing w:line="240" w:lineRule="auto"/>
        <w:ind w:left="436" w:right="0"/>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Heading3"/>
        <w:spacing w:line="313" w:lineRule="exact" w:before="50"/>
        <w:ind w:left="4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436" w:right="0"/>
        <w:jc w:val="left"/>
        <w:rPr>
          <w:rFonts w:ascii="宋体" w:hAnsi="宋体" w:cs="宋体" w:eastAsia="宋体" w:hint="default"/>
        </w:rPr>
      </w:pPr>
      <w:r>
        <w:rPr>
          <w:rFonts w:ascii="宋体"/>
        </w:rPr>
        <w:t> </w:t>
      </w:r>
    </w:p>
    <w:p>
      <w:pPr>
        <w:pStyle w:val="Heading5"/>
        <w:spacing w:line="240" w:lineRule="auto"/>
        <w:ind w:left="436" w:right="0"/>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spacing w:line="288" w:lineRule="auto" w:before="50"/>
        <w:ind w:left="436" w:right="6724" w:firstLine="0"/>
        <w:jc w:val="left"/>
        <w:rPr>
          <w:rFonts w:ascii="宋体" w:hAnsi="宋体" w:cs="宋体" w:eastAsia="宋体" w:hint="default"/>
          <w:sz w:val="21"/>
          <w:szCs w:val="21"/>
        </w:rPr>
      </w:pPr>
      <w:r>
        <w:rPr>
          <w:rFonts w:ascii="宋体" w:hAnsi="宋体" w:cs="宋体" w:eastAsia="宋体" w:hint="default"/>
          <w:sz w:val="24"/>
          <w:szCs w:val="24"/>
        </w:rPr>
        <w:t>□适用  </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sz w:val="24"/>
          <w:szCs w:val="24"/>
        </w:rPr>
        <w:t> </w:t>
      </w:r>
      <w:r>
        <w:rPr>
          <w:rFonts w:ascii="宋体" w:hAnsi="宋体" w:cs="宋体" w:eastAsia="宋体" w:hint="default"/>
          <w:b/>
          <w:bCs/>
          <w:sz w:val="21"/>
          <w:szCs w:val="21"/>
        </w:rPr>
        <w:t>三、</w:t>
      </w:r>
      <w:r>
        <w:rPr>
          <w:rFonts w:ascii="宋体" w:hAnsi="宋体" w:cs="宋体" w:eastAsia="宋体" w:hint="default"/>
          <w:b/>
          <w:bCs/>
          <w:spacing w:val="-79"/>
          <w:sz w:val="21"/>
          <w:szCs w:val="21"/>
        </w:rPr>
        <w:t> </w:t>
      </w:r>
      <w:r>
        <w:rPr>
          <w:rFonts w:ascii="宋体" w:hAnsi="宋体" w:cs="宋体" w:eastAsia="宋体" w:hint="default"/>
          <w:b/>
          <w:bCs/>
          <w:spacing w:val="-79"/>
          <w:sz w:val="21"/>
          <w:szCs w:val="21"/>
        </w:rPr>
      </w:r>
      <w:r>
        <w:rPr>
          <w:rFonts w:ascii="宋体" w:hAnsi="宋体" w:cs="宋体" w:eastAsia="宋体" w:hint="default"/>
          <w:b/>
          <w:bCs/>
          <w:sz w:val="21"/>
          <w:szCs w:val="21"/>
        </w:rPr>
        <w:t>股东和实际控制人情况</w:t>
      </w:r>
      <w:r>
        <w:rPr>
          <w:rFonts w:ascii="宋体" w:hAnsi="宋体" w:cs="宋体" w:eastAsia="宋体" w:hint="default"/>
          <w:b/>
          <w:bCs/>
          <w:spacing w:val="-3"/>
          <w:w w:val="100"/>
          <w:sz w:val="21"/>
          <w:szCs w:val="21"/>
        </w:rPr>
        <w:t> </w:t>
      </w: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9"/>
          <w:sz w:val="21"/>
          <w:szCs w:val="21"/>
        </w:rPr>
        <w:t> </w:t>
      </w:r>
      <w:r>
        <w:rPr>
          <w:rFonts w:ascii="宋体" w:hAnsi="宋体" w:cs="宋体" w:eastAsia="宋体" w:hint="default"/>
          <w:b/>
          <w:bCs/>
          <w:sz w:val="21"/>
          <w:szCs w:val="21"/>
        </w:rPr>
        <w:t>股东总数</w:t>
      </w:r>
      <w:r>
        <w:rPr>
          <w:rFonts w:ascii="宋体" w:hAnsi="宋体" w:cs="宋体" w:eastAsia="宋体" w:hint="default"/>
          <w:sz w:val="21"/>
          <w:szCs w:val="21"/>
        </w:rPr>
      </w:r>
    </w:p>
    <w:tbl>
      <w:tblPr>
        <w:tblW w:w="0" w:type="auto"/>
        <w:jc w:val="left"/>
        <w:tblInd w:w="324" w:type="dxa"/>
        <w:tblLayout w:type="fixed"/>
        <w:tblCellMar>
          <w:top w:w="0" w:type="dxa"/>
          <w:left w:w="0" w:type="dxa"/>
          <w:bottom w:w="0" w:type="dxa"/>
          <w:right w:w="0" w:type="dxa"/>
        </w:tblCellMar>
        <w:tblLook w:val="01E0"/>
      </w:tblPr>
      <w:tblGrid>
        <w:gridCol w:w="6093"/>
        <w:gridCol w:w="2732"/>
      </w:tblGrid>
      <w:tr>
        <w:trPr>
          <w:trHeight w:val="283" w:hRule="exact"/>
        </w:trPr>
        <w:tc>
          <w:tcPr>
            <w:tcW w:w="6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w w:val="95"/>
                <w:sz w:val="20"/>
              </w:rPr>
              <w:t>45,520</w:t>
            </w:r>
            <w:r>
              <w:rPr>
                <w:rFonts w:ascii="Times New Roman"/>
                <w:sz w:val="20"/>
              </w:rPr>
            </w:r>
          </w:p>
        </w:tc>
      </w:tr>
      <w:tr>
        <w:trPr>
          <w:trHeight w:val="281" w:hRule="exact"/>
        </w:trPr>
        <w:tc>
          <w:tcPr>
            <w:tcW w:w="6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w w:val="95"/>
                <w:sz w:val="20"/>
              </w:rPr>
              <w:t>43,681</w:t>
            </w:r>
            <w:r>
              <w:rPr>
                <w:rFonts w:ascii="Times New Roman"/>
                <w:sz w:val="20"/>
              </w:rPr>
            </w:r>
          </w:p>
        </w:tc>
      </w:tr>
      <w:tr>
        <w:trPr>
          <w:trHeight w:val="283" w:hRule="exact"/>
        </w:trPr>
        <w:tc>
          <w:tcPr>
            <w:tcW w:w="6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截止报告期末表决权恢复的优先股股东总数（户）</w:t>
            </w:r>
            <w:r>
              <w:rPr>
                <w:rFonts w:ascii="宋体" w:hAnsi="宋体" w:cs="宋体" w:eastAsia="宋体" w:hint="default"/>
                <w:sz w:val="21"/>
                <w:szCs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r>
      <w:tr>
        <w:trPr>
          <w:trHeight w:val="283" w:hRule="exact"/>
        </w:trPr>
        <w:tc>
          <w:tcPr>
            <w:tcW w:w="6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z w:val="21"/>
                <w:szCs w:val="21"/>
              </w:rPr>
              <w:t>年度报告披露日前上一月末表决权恢复的优先股股东总数（户）</w:t>
            </w:r>
            <w:r>
              <w:rPr>
                <w:rFonts w:ascii="宋体" w:hAnsi="宋体" w:cs="宋体" w:eastAsia="宋体" w:hint="default"/>
                <w:sz w:val="21"/>
                <w:szCs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r>
    </w:tbl>
    <w:p>
      <w:pPr>
        <w:spacing w:after="0" w:line="223" w:lineRule="exact"/>
        <w:jc w:val="right"/>
        <w:rPr>
          <w:rFonts w:ascii="Times New Roman" w:hAnsi="Times New Roman" w:cs="Times New Roman" w:eastAsia="Times New Roman" w:hint="default"/>
          <w:sz w:val="20"/>
          <w:szCs w:val="20"/>
        </w:rPr>
        <w:sectPr>
          <w:pgSz w:w="11910" w:h="16840"/>
          <w:pgMar w:header="880" w:footer="1195" w:top="1120" w:bottom="1380" w:left="840" w:right="1340"/>
        </w:sectPr>
      </w:pPr>
    </w:p>
    <w:p>
      <w:pPr>
        <w:spacing w:line="240" w:lineRule="auto" w:before="2"/>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880" w:footer="1195" w:top="1120" w:bottom="1380" w:left="1140" w:right="1560"/>
        </w:sectPr>
      </w:pPr>
    </w:p>
    <w:p>
      <w:pPr>
        <w:pStyle w:val="Heading3"/>
        <w:spacing w:line="240" w:lineRule="auto" w:before="26"/>
        <w:ind w:left="136" w:right="0"/>
        <w:jc w:val="left"/>
        <w:rPr>
          <w:rFonts w:ascii="宋体" w:hAnsi="宋体" w:cs="宋体" w:eastAsia="宋体" w:hint="default"/>
        </w:rPr>
      </w:pPr>
      <w:r>
        <w:rPr>
          <w:rFonts w:ascii="宋体"/>
        </w:rPr>
        <w:t> </w:t>
      </w:r>
    </w:p>
    <w:p>
      <w:pPr>
        <w:pStyle w:val="Heading5"/>
        <w:spacing w:line="240" w:lineRule="auto"/>
        <w:ind w:left="136" w:right="-14"/>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10"/>
        <w:rPr>
          <w:rFonts w:ascii="宋体" w:hAnsi="宋体" w:cs="宋体" w:eastAsia="宋体" w:hint="default"/>
          <w:b/>
          <w:bCs/>
          <w:sz w:val="31"/>
          <w:szCs w:val="31"/>
        </w:rPr>
      </w:pPr>
    </w:p>
    <w:p>
      <w:pPr>
        <w:pStyle w:val="Heading3"/>
        <w:spacing w:line="240" w:lineRule="auto"/>
        <w:ind w:left="136" w:right="0"/>
        <w:jc w:val="left"/>
        <w:rPr>
          <w:rFonts w:ascii="宋体" w:hAnsi="宋体" w:cs="宋体" w:eastAsia="宋体" w:hint="default"/>
        </w:rPr>
      </w:pPr>
      <w:r>
        <w:rPr/>
        <w:t>单位</w:t>
      </w:r>
      <w:r>
        <w:rPr>
          <w:rFonts w:ascii="宋体" w:hAnsi="宋体" w:cs="宋体" w:eastAsia="宋体" w:hint="default"/>
        </w:rPr>
        <w:t>:</w:t>
      </w:r>
      <w:r>
        <w:rPr/>
        <w:t>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560"/>
          <w:cols w:num="2" w:equalWidth="0">
            <w:col w:w="7732" w:space="262"/>
            <w:col w:w="1216"/>
          </w:cols>
        </w:sectPr>
      </w:pPr>
    </w:p>
    <w:p>
      <w:pPr>
        <w:spacing w:line="240" w:lineRule="auto" w:before="12"/>
        <w:rPr>
          <w:rFonts w:ascii="宋体" w:hAnsi="宋体" w:cs="宋体" w:eastAsia="宋体" w:hint="default"/>
          <w:sz w:val="2"/>
          <w:szCs w:val="2"/>
        </w:rPr>
      </w:pPr>
    </w:p>
    <w:tbl>
      <w:tblPr>
        <w:tblW w:w="0" w:type="auto"/>
        <w:jc w:val="left"/>
        <w:tblInd w:w="136" w:type="dxa"/>
        <w:tblLayout w:type="fixed"/>
        <w:tblCellMar>
          <w:top w:w="0" w:type="dxa"/>
          <w:left w:w="0" w:type="dxa"/>
          <w:bottom w:w="0" w:type="dxa"/>
          <w:right w:w="0" w:type="dxa"/>
        </w:tblCellMar>
        <w:tblLook w:val="01E0"/>
      </w:tblPr>
      <w:tblGrid>
        <w:gridCol w:w="1131"/>
        <w:gridCol w:w="1416"/>
        <w:gridCol w:w="1561"/>
        <w:gridCol w:w="708"/>
        <w:gridCol w:w="1136"/>
        <w:gridCol w:w="850"/>
        <w:gridCol w:w="566"/>
        <w:gridCol w:w="569"/>
        <w:gridCol w:w="888"/>
      </w:tblGrid>
      <w:tr>
        <w:trPr>
          <w:trHeight w:val="281" w:hRule="exact"/>
        </w:trPr>
        <w:tc>
          <w:tcPr>
            <w:tcW w:w="8824"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r>
              <w:rPr>
                <w:rFonts w:ascii="宋体" w:hAnsi="宋体" w:cs="宋体" w:eastAsia="宋体" w:hint="default"/>
                <w:sz w:val="21"/>
                <w:szCs w:val="21"/>
              </w:rPr>
              <w:t> </w:t>
            </w:r>
          </w:p>
        </w:tc>
      </w:tr>
      <w:tr>
        <w:trPr>
          <w:trHeight w:val="283" w:hRule="exact"/>
        </w:trPr>
        <w:tc>
          <w:tcPr>
            <w:tcW w:w="1131" w:type="dxa"/>
            <w:vMerge w:val="restart"/>
            <w:tcBorders>
              <w:top w:val="single" w:sz="4" w:space="0" w:color="000000"/>
              <w:left w:val="single" w:sz="4" w:space="0" w:color="000000"/>
              <w:right w:val="single" w:sz="4" w:space="0" w:color="000000"/>
            </w:tcBorders>
          </w:tcPr>
          <w:p>
            <w:pPr>
              <w:pStyle w:val="TableParagraph"/>
              <w:spacing w:line="274" w:lineRule="exact" w:before="107"/>
              <w:ind w:left="139" w:right="0"/>
              <w:jc w:val="left"/>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（全称）</w:t>
            </w:r>
            <w:r>
              <w:rPr>
                <w:rFonts w:ascii="宋体" w:hAnsi="宋体" w:cs="宋体" w:eastAsia="宋体" w:hint="default"/>
                <w:sz w:val="21"/>
                <w:szCs w:val="21"/>
              </w:rPr>
              <w:t> </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07"/>
              <w:ind w:left="595" w:right="175" w:hanging="420"/>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r>
              <w:rPr>
                <w:rFonts w:ascii="宋体" w:hAnsi="宋体" w:cs="宋体" w:eastAsia="宋体" w:hint="default"/>
                <w:sz w:val="21"/>
                <w:szCs w:val="21"/>
              </w:rPr>
              <w:t> </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4" w:right="0"/>
              <w:jc w:val="left"/>
              <w:rPr>
                <w:rFonts w:ascii="宋体" w:hAnsi="宋体" w:cs="宋体" w:eastAsia="宋体" w:hint="default"/>
                <w:sz w:val="21"/>
                <w:szCs w:val="21"/>
              </w:rPr>
            </w:pPr>
            <w:r>
              <w:rPr>
                <w:rFonts w:ascii="宋体" w:hAnsi="宋体" w:cs="宋体" w:eastAsia="宋体" w:hint="default"/>
                <w:sz w:val="21"/>
                <w:szCs w:val="21"/>
              </w:rPr>
              <w:t>期末持股数量</w:t>
            </w:r>
            <w:r>
              <w:rPr>
                <w:rFonts w:ascii="宋体" w:hAnsi="宋体" w:cs="宋体" w:eastAsia="宋体" w:hint="default"/>
                <w:sz w:val="21"/>
                <w:szCs w:val="21"/>
              </w:rPr>
              <w:t> </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07"/>
              <w:ind w:left="192" w:right="84"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1136" w:type="dxa"/>
            <w:vMerge w:val="restart"/>
            <w:tcBorders>
              <w:top w:val="single" w:sz="4" w:space="0" w:color="000000"/>
              <w:left w:val="single" w:sz="4" w:space="0" w:color="000000"/>
              <w:right w:val="single" w:sz="4" w:space="0" w:color="000000"/>
            </w:tcBorders>
          </w:tcPr>
          <w:p>
            <w:pPr>
              <w:pStyle w:val="TableParagraph"/>
              <w:spacing w:line="272" w:lineRule="exact"/>
              <w:ind w:left="141" w:right="139"/>
              <w:jc w:val="center"/>
              <w:rPr>
                <w:rFonts w:ascii="宋体" w:hAnsi="宋体" w:cs="宋体" w:eastAsia="宋体" w:hint="default"/>
                <w:sz w:val="21"/>
                <w:szCs w:val="21"/>
              </w:rPr>
            </w:pPr>
            <w:r>
              <w:rPr>
                <w:rFonts w:ascii="宋体" w:hAnsi="宋体" w:cs="宋体" w:eastAsia="宋体" w:hint="default"/>
                <w:sz w:val="21"/>
                <w:szCs w:val="21"/>
              </w:rPr>
              <w:t>持有有限</w:t>
            </w:r>
            <w:r>
              <w:rPr>
                <w:rFonts w:ascii="宋体" w:hAnsi="宋体" w:cs="宋体" w:eastAsia="宋体" w:hint="default"/>
                <w:w w:val="100"/>
                <w:sz w:val="21"/>
                <w:szCs w:val="21"/>
              </w:rPr>
              <w:t> </w:t>
            </w:r>
            <w:r>
              <w:rPr>
                <w:rFonts w:ascii="宋体" w:hAnsi="宋体" w:cs="宋体" w:eastAsia="宋体" w:hint="default"/>
                <w:sz w:val="21"/>
                <w:szCs w:val="21"/>
              </w:rPr>
              <w:t>售条件股</w:t>
            </w:r>
          </w:p>
          <w:p>
            <w:pPr>
              <w:pStyle w:val="TableParagraph"/>
              <w:spacing w:line="249" w:lineRule="exact"/>
              <w:ind w:left="100" w:right="0"/>
              <w:jc w:val="center"/>
              <w:rPr>
                <w:rFonts w:ascii="宋体" w:hAnsi="宋体" w:cs="宋体" w:eastAsia="宋体" w:hint="default"/>
                <w:sz w:val="21"/>
                <w:szCs w:val="21"/>
              </w:rPr>
            </w:pPr>
            <w:r>
              <w:rPr>
                <w:rFonts w:ascii="宋体" w:hAnsi="宋体" w:cs="宋体" w:eastAsia="宋体" w:hint="default"/>
                <w:sz w:val="21"/>
                <w:szCs w:val="21"/>
              </w:rPr>
              <w:t>份数量</w:t>
            </w:r>
            <w:r>
              <w:rPr>
                <w:rFonts w:ascii="宋体" w:hAnsi="宋体" w:cs="宋体" w:eastAsia="宋体" w:hint="default"/>
                <w:sz w:val="21"/>
                <w:szCs w:val="21"/>
              </w:rPr>
              <w:t> </w:t>
            </w:r>
          </w:p>
        </w:tc>
        <w:tc>
          <w:tcPr>
            <w:tcW w:w="19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9" w:right="0"/>
              <w:jc w:val="left"/>
              <w:rPr>
                <w:rFonts w:ascii="宋体" w:hAnsi="宋体" w:cs="宋体" w:eastAsia="宋体" w:hint="default"/>
                <w:sz w:val="21"/>
                <w:szCs w:val="21"/>
              </w:rPr>
            </w:pPr>
            <w:r>
              <w:rPr>
                <w:rFonts w:ascii="宋体" w:hAnsi="宋体" w:cs="宋体" w:eastAsia="宋体" w:hint="default"/>
                <w:sz w:val="21"/>
                <w:szCs w:val="21"/>
              </w:rPr>
              <w:t>质押或冻结情况</w:t>
            </w:r>
            <w:r>
              <w:rPr>
                <w:rFonts w:ascii="宋体" w:hAnsi="宋体" w:cs="宋体" w:eastAsia="宋体" w:hint="default"/>
                <w:sz w:val="21"/>
                <w:szCs w:val="21"/>
              </w:rPr>
              <w:t> </w:t>
            </w: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107"/>
              <w:ind w:left="227" w:right="122"/>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w w:val="100"/>
                <w:sz w:val="21"/>
                <w:szCs w:val="21"/>
              </w:rPr>
              <w:t> </w:t>
            </w:r>
            <w:r>
              <w:rPr>
                <w:rFonts w:ascii="宋体" w:hAnsi="宋体" w:cs="宋体" w:eastAsia="宋体" w:hint="default"/>
                <w:sz w:val="21"/>
                <w:szCs w:val="21"/>
              </w:rPr>
              <w:t>性质</w:t>
            </w:r>
            <w:r>
              <w:rPr>
                <w:rFonts w:ascii="宋体" w:hAnsi="宋体" w:cs="宋体" w:eastAsia="宋体" w:hint="default"/>
                <w:sz w:val="21"/>
                <w:szCs w:val="21"/>
              </w:rPr>
              <w:t> </w:t>
            </w:r>
          </w:p>
        </w:tc>
      </w:tr>
      <w:tr>
        <w:trPr>
          <w:trHeight w:val="554" w:hRule="exact"/>
        </w:trPr>
        <w:tc>
          <w:tcPr>
            <w:tcW w:w="1131"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z w:val="21"/>
                <w:szCs w:val="21"/>
              </w:rPr>
              <w:t> </w:t>
            </w:r>
          </w:p>
          <w:p>
            <w:pPr>
              <w:pStyle w:val="TableParagraph"/>
              <w:spacing w:line="274" w:lineRule="exact"/>
              <w:ind w:left="206" w:right="0"/>
              <w:jc w:val="left"/>
              <w:rPr>
                <w:rFonts w:ascii="宋体" w:hAnsi="宋体" w:cs="宋体" w:eastAsia="宋体" w:hint="default"/>
                <w:sz w:val="21"/>
                <w:szCs w:val="21"/>
              </w:rPr>
            </w:pPr>
            <w:r>
              <w:rPr>
                <w:rFonts w:ascii="宋体" w:hAnsi="宋体" w:cs="宋体" w:eastAsia="宋体" w:hint="default"/>
                <w:sz w:val="21"/>
                <w:szCs w:val="21"/>
              </w:rPr>
              <w:t>状态</w:t>
            </w:r>
            <w:r>
              <w:rPr>
                <w:rFonts w:ascii="宋体" w:hAnsi="宋体" w:cs="宋体" w:eastAsia="宋体" w:hint="default"/>
                <w:sz w:val="21"/>
                <w:szCs w:val="21"/>
              </w:rPr>
              <w:t> </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0"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888" w:type="dxa"/>
            <w:vMerge/>
            <w:tcBorders>
              <w:left w:val="single" w:sz="4" w:space="0" w:color="000000"/>
              <w:bottom w:val="single" w:sz="4" w:space="0" w:color="000000"/>
              <w:right w:val="single" w:sz="4" w:space="0" w:color="000000"/>
            </w:tcBorders>
          </w:tcPr>
          <w:p>
            <w:pPr/>
          </w:p>
        </w:tc>
      </w:tr>
      <w:tr>
        <w:trPr>
          <w:trHeight w:val="554"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同方股份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167,315,574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19.31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国有法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z w:val="21"/>
                <w:szCs w:val="21"/>
              </w:rPr>
              <w:t> </w:t>
            </w:r>
          </w:p>
        </w:tc>
      </w:tr>
      <w:tr>
        <w:trPr>
          <w:trHeight w:val="828"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71"/>
              <w:jc w:val="left"/>
              <w:rPr>
                <w:rFonts w:ascii="宋体" w:hAnsi="宋体" w:cs="宋体" w:eastAsia="宋体" w:hint="default"/>
                <w:sz w:val="21"/>
                <w:szCs w:val="21"/>
              </w:rPr>
            </w:pPr>
            <w:r>
              <w:rPr>
                <w:rFonts w:ascii="宋体" w:hAnsi="宋体" w:cs="宋体" w:eastAsia="宋体" w:hint="default"/>
                <w:sz w:val="21"/>
                <w:szCs w:val="21"/>
              </w:rPr>
              <w:t>泰豪集团</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128,569,272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14.84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8" w:right="0"/>
              <w:jc w:val="center"/>
              <w:rPr>
                <w:rFonts w:ascii="宋体" w:hAnsi="宋体" w:cs="宋体" w:eastAsia="宋体" w:hint="default"/>
                <w:sz w:val="21"/>
                <w:szCs w:val="21"/>
              </w:rPr>
            </w:pPr>
            <w:r>
              <w:rPr>
                <w:rFonts w:ascii="宋体" w:hAnsi="宋体" w:cs="宋体" w:eastAsia="宋体" w:hint="default"/>
                <w:sz w:val="21"/>
                <w:szCs w:val="21"/>
              </w:rPr>
              <w:t>质押</w:t>
            </w:r>
            <w:r>
              <w:rPr>
                <w:rFonts w:ascii="宋体" w:hAnsi="宋体" w:cs="宋体" w:eastAsia="宋体" w:hint="default"/>
                <w:sz w:val="21"/>
                <w:szCs w:val="21"/>
              </w:rPr>
              <w:t> </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110,545,000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境内非</w:t>
            </w:r>
          </w:p>
          <w:p>
            <w:pPr>
              <w:pStyle w:val="TableParagraph"/>
              <w:spacing w:line="272" w:lineRule="exact" w:before="26"/>
              <w:ind w:left="100" w:right="143"/>
              <w:jc w:val="left"/>
              <w:rPr>
                <w:rFonts w:ascii="宋体" w:hAnsi="宋体" w:cs="宋体" w:eastAsia="宋体" w:hint="default"/>
                <w:sz w:val="21"/>
                <w:szCs w:val="21"/>
              </w:rPr>
            </w:pPr>
            <w:r>
              <w:rPr>
                <w:rFonts w:ascii="宋体" w:hAnsi="宋体" w:cs="宋体" w:eastAsia="宋体" w:hint="default"/>
                <w:sz w:val="21"/>
                <w:szCs w:val="21"/>
              </w:rPr>
              <w:t>国有法</w:t>
            </w:r>
            <w:r>
              <w:rPr>
                <w:rFonts w:ascii="宋体" w:hAnsi="宋体" w:cs="宋体" w:eastAsia="宋体" w:hint="default"/>
                <w:spacing w:val="-102"/>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r>
        <w:trPr>
          <w:trHeight w:val="829"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中国海外</w:t>
            </w:r>
          </w:p>
          <w:p>
            <w:pPr>
              <w:pStyle w:val="TableParagraph"/>
              <w:spacing w:line="272" w:lineRule="exact" w:before="27"/>
              <w:ind w:left="103" w:right="71"/>
              <w:jc w:val="left"/>
              <w:rPr>
                <w:rFonts w:ascii="宋体" w:hAnsi="宋体" w:cs="宋体" w:eastAsia="宋体" w:hint="default"/>
                <w:sz w:val="21"/>
                <w:szCs w:val="21"/>
              </w:rPr>
            </w:pPr>
            <w:r>
              <w:rPr>
                <w:rFonts w:ascii="宋体" w:hAnsi="宋体" w:cs="宋体" w:eastAsia="宋体" w:hint="default"/>
                <w:sz w:val="21"/>
                <w:szCs w:val="21"/>
              </w:rPr>
              <w:t>控股集团</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51,996,672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8" w:right="0"/>
              <w:jc w:val="center"/>
              <w:rPr>
                <w:rFonts w:ascii="宋体" w:hAnsi="宋体" w:cs="宋体" w:eastAsia="宋体" w:hint="default"/>
                <w:sz w:val="21"/>
                <w:szCs w:val="21"/>
              </w:rPr>
            </w:pPr>
            <w:r>
              <w:rPr>
                <w:rFonts w:ascii="宋体" w:hAnsi="宋体" w:cs="宋体" w:eastAsia="宋体" w:hint="default"/>
                <w:sz w:val="21"/>
                <w:szCs w:val="21"/>
              </w:rPr>
              <w:t>冻结</w:t>
            </w:r>
            <w:r>
              <w:rPr>
                <w:rFonts w:ascii="宋体" w:hAnsi="宋体" w:cs="宋体" w:eastAsia="宋体" w:hint="default"/>
                <w:sz w:val="21"/>
                <w:szCs w:val="21"/>
              </w:rPr>
              <w:t> </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51,996,672</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100" w:right="143"/>
              <w:jc w:val="left"/>
              <w:rPr>
                <w:rFonts w:ascii="宋体" w:hAnsi="宋体" w:cs="宋体" w:eastAsia="宋体" w:hint="default"/>
                <w:sz w:val="21"/>
                <w:szCs w:val="21"/>
              </w:rPr>
            </w:pPr>
            <w:r>
              <w:rPr>
                <w:rFonts w:ascii="宋体" w:hAnsi="宋体" w:cs="宋体" w:eastAsia="宋体" w:hint="default"/>
                <w:sz w:val="21"/>
                <w:szCs w:val="21"/>
              </w:rPr>
              <w:t>国有法</w:t>
            </w:r>
            <w:r>
              <w:rPr>
                <w:rFonts w:ascii="宋体" w:hAnsi="宋体" w:cs="宋体" w:eastAsia="宋体" w:hint="default"/>
                <w:spacing w:val="-102"/>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r>
        <w:trPr>
          <w:trHeight w:val="554"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胡健</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18,631,655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9,300,227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8" w:right="0"/>
              <w:jc w:val="center"/>
              <w:rPr>
                <w:rFonts w:ascii="宋体" w:hAnsi="宋体" w:cs="宋体" w:eastAsia="宋体" w:hint="default"/>
                <w:sz w:val="21"/>
                <w:szCs w:val="21"/>
              </w:rPr>
            </w:pPr>
            <w:r>
              <w:rPr>
                <w:rFonts w:ascii="宋体" w:hAnsi="宋体" w:cs="宋体" w:eastAsia="宋体" w:hint="default"/>
                <w:sz w:val="21"/>
                <w:szCs w:val="21"/>
              </w:rPr>
              <w:t>质押</w:t>
            </w:r>
            <w:r>
              <w:rPr>
                <w:rFonts w:ascii="宋体" w:hAnsi="宋体" w:cs="宋体" w:eastAsia="宋体" w:hint="default"/>
                <w:sz w:val="21"/>
                <w:szCs w:val="21"/>
              </w:rPr>
              <w:t> </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18,631,655</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然人</w:t>
            </w:r>
            <w:r>
              <w:rPr>
                <w:rFonts w:ascii="宋体" w:hAnsi="宋体" w:cs="宋体" w:eastAsia="宋体" w:hint="default"/>
                <w:sz w:val="21"/>
                <w:szCs w:val="21"/>
              </w:rPr>
              <w:t> </w:t>
            </w:r>
          </w:p>
        </w:tc>
      </w:tr>
      <w:tr>
        <w:trPr>
          <w:trHeight w:val="554"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潘红生</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-14,690,623</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11,930,000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然人</w:t>
            </w:r>
            <w:r>
              <w:rPr>
                <w:rFonts w:ascii="宋体" w:hAnsi="宋体" w:cs="宋体" w:eastAsia="宋体" w:hint="default"/>
                <w:sz w:val="21"/>
                <w:szCs w:val="21"/>
              </w:rPr>
              <w:t> </w:t>
            </w:r>
          </w:p>
        </w:tc>
      </w:tr>
      <w:tr>
        <w:trPr>
          <w:trHeight w:val="1099"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宁波杰宝</w:t>
            </w:r>
          </w:p>
          <w:p>
            <w:pPr>
              <w:pStyle w:val="TableParagraph"/>
              <w:spacing w:line="237" w:lineRule="auto"/>
              <w:ind w:left="103" w:right="71"/>
              <w:jc w:val="both"/>
              <w:rPr>
                <w:rFonts w:ascii="宋体" w:hAnsi="宋体" w:cs="宋体" w:eastAsia="宋体" w:hint="default"/>
                <w:sz w:val="21"/>
                <w:szCs w:val="21"/>
              </w:rPr>
            </w:pPr>
            <w:r>
              <w:rPr>
                <w:rFonts w:ascii="宋体" w:hAnsi="宋体" w:cs="宋体" w:eastAsia="宋体" w:hint="default"/>
                <w:sz w:val="21"/>
                <w:szCs w:val="21"/>
              </w:rPr>
              <w:t>投资合伙</w:t>
            </w:r>
            <w:r>
              <w:rPr>
                <w:rFonts w:ascii="宋体" w:hAnsi="宋体" w:cs="宋体" w:eastAsia="宋体" w:hint="default"/>
                <w:w w:val="100"/>
                <w:sz w:val="21"/>
                <w:szCs w:val="21"/>
              </w:rPr>
              <w:t> </w:t>
            </w:r>
            <w:r>
              <w:rPr>
                <w:rFonts w:ascii="宋体" w:hAnsi="宋体" w:cs="宋体" w:eastAsia="宋体" w:hint="default"/>
                <w:sz w:val="21"/>
                <w:szCs w:val="21"/>
              </w:rPr>
              <w:t>企业（有</w:t>
            </w:r>
            <w:r>
              <w:rPr>
                <w:rFonts w:ascii="宋体" w:hAnsi="宋体" w:cs="宋体" w:eastAsia="宋体" w:hint="default"/>
                <w:w w:val="100"/>
                <w:sz w:val="21"/>
                <w:szCs w:val="21"/>
              </w:rPr>
              <w:t> </w:t>
            </w:r>
            <w:r>
              <w:rPr>
                <w:rFonts w:ascii="宋体" w:hAnsi="宋体" w:cs="宋体" w:eastAsia="宋体" w:hint="default"/>
                <w:sz w:val="21"/>
                <w:szCs w:val="21"/>
              </w:rPr>
              <w:t>限合伙）</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8,879,662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8" w:right="0"/>
              <w:jc w:val="center"/>
              <w:rPr>
                <w:rFonts w:ascii="宋体" w:hAnsi="宋体" w:cs="宋体" w:eastAsia="宋体" w:hint="default"/>
                <w:sz w:val="21"/>
                <w:szCs w:val="21"/>
              </w:rPr>
            </w:pPr>
            <w:r>
              <w:rPr>
                <w:rFonts w:ascii="宋体" w:hAnsi="宋体" w:cs="宋体" w:eastAsia="宋体" w:hint="default"/>
                <w:sz w:val="21"/>
                <w:szCs w:val="21"/>
              </w:rPr>
              <w:t>质押</w:t>
            </w:r>
            <w:r>
              <w:rPr>
                <w:rFonts w:ascii="宋体" w:hAnsi="宋体" w:cs="宋体" w:eastAsia="宋体" w:hint="default"/>
                <w:sz w:val="21"/>
                <w:szCs w:val="21"/>
              </w:rPr>
              <w:t> </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8,879,662</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143"/>
              <w:jc w:val="both"/>
              <w:rPr>
                <w:rFonts w:ascii="宋体" w:hAnsi="宋体" w:cs="宋体" w:eastAsia="宋体" w:hint="default"/>
                <w:sz w:val="21"/>
                <w:szCs w:val="21"/>
              </w:rPr>
            </w:pPr>
            <w:r>
              <w:rPr>
                <w:rFonts w:ascii="宋体" w:hAnsi="宋体" w:cs="宋体" w:eastAsia="宋体" w:hint="default"/>
                <w:sz w:val="21"/>
                <w:szCs w:val="21"/>
              </w:rPr>
              <w:t>境内非</w:t>
            </w:r>
            <w:r>
              <w:rPr>
                <w:rFonts w:ascii="宋体" w:hAnsi="宋体" w:cs="宋体" w:eastAsia="宋体" w:hint="default"/>
                <w:spacing w:val="-102"/>
                <w:sz w:val="21"/>
                <w:szCs w:val="21"/>
              </w:rPr>
              <w:t> </w:t>
            </w:r>
            <w:r>
              <w:rPr>
                <w:rFonts w:ascii="宋体" w:hAnsi="宋体" w:cs="宋体" w:eastAsia="宋体" w:hint="default"/>
                <w:sz w:val="21"/>
                <w:szCs w:val="21"/>
              </w:rPr>
              <w:t>国有法</w:t>
            </w:r>
            <w:r>
              <w:rPr>
                <w:rFonts w:ascii="宋体" w:hAnsi="宋体" w:cs="宋体" w:eastAsia="宋体" w:hint="default"/>
                <w:spacing w:val="-102"/>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r>
        <w:trPr>
          <w:trHeight w:val="554"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杨剑</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7,540,000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0.87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1,170,000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然人</w:t>
            </w:r>
            <w:r>
              <w:rPr>
                <w:rFonts w:ascii="宋体" w:hAnsi="宋体" w:cs="宋体" w:eastAsia="宋体" w:hint="default"/>
                <w:sz w:val="21"/>
                <w:szCs w:val="21"/>
              </w:rPr>
              <w:t> </w:t>
            </w:r>
          </w:p>
        </w:tc>
      </w:tr>
      <w:tr>
        <w:trPr>
          <w:trHeight w:val="1373"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宁波杰赢</w:t>
            </w:r>
          </w:p>
          <w:p>
            <w:pPr>
              <w:pStyle w:val="TableParagraph"/>
              <w:spacing w:line="272" w:lineRule="exact" w:before="27"/>
              <w:ind w:left="103" w:right="173"/>
              <w:jc w:val="left"/>
              <w:rPr>
                <w:rFonts w:ascii="宋体" w:hAnsi="宋体" w:cs="宋体" w:eastAsia="宋体" w:hint="default"/>
                <w:sz w:val="21"/>
                <w:szCs w:val="21"/>
              </w:rPr>
            </w:pPr>
            <w:r>
              <w:rPr>
                <w:rFonts w:ascii="宋体" w:hAnsi="宋体" w:cs="宋体" w:eastAsia="宋体" w:hint="default"/>
                <w:sz w:val="21"/>
                <w:szCs w:val="21"/>
              </w:rPr>
              <w:t>投资管理</w:t>
            </w:r>
            <w:r>
              <w:rPr>
                <w:rFonts w:ascii="宋体" w:hAnsi="宋体" w:cs="宋体" w:eastAsia="宋体" w:hint="default"/>
                <w:w w:val="100"/>
                <w:sz w:val="21"/>
                <w:szCs w:val="21"/>
              </w:rPr>
              <w:t> </w:t>
            </w:r>
            <w:r>
              <w:rPr>
                <w:rFonts w:ascii="宋体" w:hAnsi="宋体" w:cs="宋体" w:eastAsia="宋体" w:hint="default"/>
                <w:sz w:val="21"/>
                <w:szCs w:val="21"/>
              </w:rPr>
              <w:t>合伙企业</w:t>
            </w:r>
          </w:p>
          <w:p>
            <w:pPr>
              <w:pStyle w:val="TableParagraph"/>
              <w:spacing w:line="272" w:lineRule="exact" w:before="1"/>
              <w:ind w:left="103" w:right="173"/>
              <w:jc w:val="left"/>
              <w:rPr>
                <w:rFonts w:ascii="宋体" w:hAnsi="宋体" w:cs="宋体" w:eastAsia="宋体" w:hint="default"/>
                <w:sz w:val="21"/>
                <w:szCs w:val="21"/>
              </w:rPr>
            </w:pPr>
            <w:r>
              <w:rPr>
                <w:rFonts w:ascii="宋体" w:hAnsi="宋体" w:cs="宋体" w:eastAsia="宋体" w:hint="default"/>
                <w:sz w:val="21"/>
                <w:szCs w:val="21"/>
              </w:rPr>
              <w:t>（有限合</w:t>
            </w:r>
            <w:r>
              <w:rPr>
                <w:rFonts w:ascii="宋体" w:hAnsi="宋体" w:cs="宋体" w:eastAsia="宋体" w:hint="default"/>
                <w:w w:val="100"/>
                <w:sz w:val="21"/>
                <w:szCs w:val="21"/>
              </w:rPr>
              <w:t> </w:t>
            </w:r>
            <w:r>
              <w:rPr>
                <w:rFonts w:ascii="宋体" w:hAnsi="宋体" w:cs="宋体" w:eastAsia="宋体" w:hint="default"/>
                <w:sz w:val="21"/>
                <w:szCs w:val="21"/>
              </w:rPr>
              <w:t>伙）</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5,246,206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0.61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center"/>
              <w:rPr>
                <w:rFonts w:ascii="宋体" w:hAnsi="宋体" w:cs="宋体" w:eastAsia="宋体" w:hint="default"/>
                <w:sz w:val="21"/>
                <w:szCs w:val="21"/>
              </w:rPr>
            </w:pPr>
            <w:r>
              <w:rPr>
                <w:rFonts w:ascii="宋体" w:hAnsi="宋体" w:cs="宋体" w:eastAsia="宋体" w:hint="default"/>
                <w:sz w:val="21"/>
                <w:szCs w:val="21"/>
              </w:rPr>
              <w:t>质押</w:t>
            </w:r>
            <w:r>
              <w:rPr>
                <w:rFonts w:ascii="宋体" w:hAnsi="宋体" w:cs="宋体" w:eastAsia="宋体" w:hint="default"/>
                <w:sz w:val="21"/>
                <w:szCs w:val="21"/>
              </w:rPr>
              <w:t> </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5,246,206</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100" w:right="143"/>
              <w:jc w:val="both"/>
              <w:rPr>
                <w:rFonts w:ascii="宋体" w:hAnsi="宋体" w:cs="宋体" w:eastAsia="宋体" w:hint="default"/>
                <w:sz w:val="21"/>
                <w:szCs w:val="21"/>
              </w:rPr>
            </w:pPr>
            <w:r>
              <w:rPr>
                <w:rFonts w:ascii="宋体" w:hAnsi="宋体" w:cs="宋体" w:eastAsia="宋体" w:hint="default"/>
                <w:sz w:val="21"/>
                <w:szCs w:val="21"/>
              </w:rPr>
              <w:t>境内非</w:t>
            </w:r>
            <w:r>
              <w:rPr>
                <w:rFonts w:ascii="宋体" w:hAnsi="宋体" w:cs="宋体" w:eastAsia="宋体" w:hint="default"/>
                <w:spacing w:val="-102"/>
                <w:sz w:val="21"/>
                <w:szCs w:val="21"/>
              </w:rPr>
              <w:t> </w:t>
            </w:r>
            <w:r>
              <w:rPr>
                <w:rFonts w:ascii="宋体" w:hAnsi="宋体" w:cs="宋体" w:eastAsia="宋体" w:hint="default"/>
                <w:sz w:val="21"/>
                <w:szCs w:val="21"/>
              </w:rPr>
              <w:t>国有法</w:t>
            </w:r>
            <w:r>
              <w:rPr>
                <w:rFonts w:ascii="宋体" w:hAnsi="宋体" w:cs="宋体" w:eastAsia="宋体" w:hint="default"/>
                <w:spacing w:val="-102"/>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r>
        <w:trPr>
          <w:trHeight w:val="554"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余弓卜</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4,936,957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0.57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2,962,493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8" w:right="0"/>
              <w:jc w:val="center"/>
              <w:rPr>
                <w:rFonts w:ascii="宋体" w:hAnsi="宋体" w:cs="宋体" w:eastAsia="宋体" w:hint="default"/>
                <w:sz w:val="21"/>
                <w:szCs w:val="21"/>
              </w:rPr>
            </w:pPr>
            <w:r>
              <w:rPr>
                <w:rFonts w:ascii="宋体" w:hAnsi="宋体" w:cs="宋体" w:eastAsia="宋体" w:hint="default"/>
                <w:sz w:val="21"/>
                <w:szCs w:val="21"/>
              </w:rPr>
              <w:t>质押</w:t>
            </w:r>
            <w:r>
              <w:rPr>
                <w:rFonts w:ascii="宋体" w:hAnsi="宋体" w:cs="宋体" w:eastAsia="宋体" w:hint="default"/>
                <w:sz w:val="21"/>
                <w:szCs w:val="21"/>
              </w:rPr>
              <w:t> </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4,936,957</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然人</w:t>
            </w:r>
            <w:r>
              <w:rPr>
                <w:rFonts w:ascii="宋体" w:hAnsi="宋体" w:cs="宋体" w:eastAsia="宋体" w:hint="default"/>
                <w:sz w:val="21"/>
                <w:szCs w:val="21"/>
              </w:rPr>
              <w:t> </w:t>
            </w:r>
          </w:p>
        </w:tc>
      </w:tr>
      <w:tr>
        <w:trPr>
          <w:trHeight w:val="2189"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北方国际</w:t>
            </w:r>
          </w:p>
          <w:p>
            <w:pPr>
              <w:pStyle w:val="TableParagraph"/>
              <w:spacing w:line="240" w:lineRule="auto"/>
              <w:ind w:left="103" w:right="173"/>
              <w:jc w:val="left"/>
              <w:rPr>
                <w:rFonts w:ascii="宋体" w:hAnsi="宋体" w:cs="宋体" w:eastAsia="宋体" w:hint="default"/>
                <w:sz w:val="21"/>
                <w:szCs w:val="21"/>
              </w:rPr>
            </w:pPr>
            <w:r>
              <w:rPr>
                <w:rFonts w:ascii="宋体" w:hAnsi="宋体" w:cs="宋体" w:eastAsia="宋体" w:hint="default"/>
                <w:sz w:val="21"/>
                <w:szCs w:val="21"/>
              </w:rPr>
              <w:t>信托股份</w:t>
            </w:r>
            <w:r>
              <w:rPr>
                <w:rFonts w:ascii="宋体" w:hAnsi="宋体" w:cs="宋体" w:eastAsia="宋体" w:hint="default"/>
                <w:w w:val="100"/>
                <w:sz w:val="21"/>
                <w:szCs w:val="21"/>
              </w:rPr>
              <w:t> </w:t>
            </w:r>
            <w:r>
              <w:rPr>
                <w:rFonts w:ascii="宋体" w:hAnsi="宋体" w:cs="宋体" w:eastAsia="宋体" w:hint="default"/>
                <w:sz w:val="21"/>
                <w:szCs w:val="21"/>
              </w:rPr>
              <w:t>有限公司</w:t>
            </w:r>
          </w:p>
          <w:p>
            <w:pPr>
              <w:pStyle w:val="TableParagraph"/>
              <w:spacing w:line="237" w:lineRule="auto"/>
              <w:ind w:left="103" w:right="71"/>
              <w:jc w:val="both"/>
              <w:rPr>
                <w:rFonts w:ascii="宋体" w:hAnsi="宋体" w:cs="宋体" w:eastAsia="宋体" w:hint="default"/>
                <w:sz w:val="21"/>
                <w:szCs w:val="21"/>
              </w:rPr>
            </w:pPr>
            <w:r>
              <w:rPr>
                <w:rFonts w:ascii="宋体" w:hAnsi="宋体" w:cs="宋体" w:eastAsia="宋体" w:hint="default"/>
                <w:sz w:val="21"/>
                <w:szCs w:val="21"/>
              </w:rPr>
              <w:t>－北方信</w:t>
            </w:r>
            <w:r>
              <w:rPr>
                <w:rFonts w:ascii="宋体" w:hAnsi="宋体" w:cs="宋体" w:eastAsia="宋体" w:hint="default"/>
                <w:w w:val="100"/>
                <w:sz w:val="21"/>
                <w:szCs w:val="21"/>
              </w:rPr>
              <w:t> </w:t>
            </w:r>
            <w:r>
              <w:rPr>
                <w:rFonts w:ascii="宋体" w:hAnsi="宋体" w:cs="宋体" w:eastAsia="宋体" w:hint="default"/>
                <w:sz w:val="21"/>
                <w:szCs w:val="21"/>
              </w:rPr>
              <w:t>托人中龙</w:t>
            </w:r>
            <w:r>
              <w:rPr>
                <w:rFonts w:ascii="宋体" w:hAnsi="宋体" w:cs="宋体" w:eastAsia="宋体" w:hint="default"/>
                <w:w w:val="100"/>
                <w:sz w:val="21"/>
                <w:szCs w:val="21"/>
              </w:rPr>
              <w:t> </w:t>
            </w:r>
            <w:r>
              <w:rPr>
                <w:rFonts w:ascii="宋体" w:hAnsi="宋体" w:cs="宋体" w:eastAsia="宋体" w:hint="default"/>
                <w:sz w:val="21"/>
                <w:szCs w:val="21"/>
              </w:rPr>
              <w:t>证券投资</w:t>
            </w:r>
            <w:r>
              <w:rPr>
                <w:rFonts w:ascii="宋体" w:hAnsi="宋体" w:cs="宋体" w:eastAsia="宋体" w:hint="default"/>
                <w:w w:val="100"/>
                <w:sz w:val="21"/>
                <w:szCs w:val="21"/>
              </w:rPr>
              <w:t> </w:t>
            </w:r>
            <w:r>
              <w:rPr>
                <w:rFonts w:ascii="宋体" w:hAnsi="宋体" w:cs="宋体" w:eastAsia="宋体" w:hint="default"/>
                <w:sz w:val="21"/>
                <w:szCs w:val="21"/>
              </w:rPr>
              <w:t>集合资金</w:t>
            </w:r>
            <w:r>
              <w:rPr>
                <w:rFonts w:ascii="宋体" w:hAnsi="宋体" w:cs="宋体" w:eastAsia="宋体" w:hint="default"/>
                <w:w w:val="100"/>
                <w:sz w:val="21"/>
                <w:szCs w:val="21"/>
              </w:rPr>
              <w:t> </w:t>
            </w:r>
            <w:r>
              <w:rPr>
                <w:rFonts w:ascii="宋体" w:hAnsi="宋体" w:cs="宋体" w:eastAsia="宋体" w:hint="default"/>
                <w:sz w:val="21"/>
                <w:szCs w:val="21"/>
              </w:rPr>
              <w:t>信托计划</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3,961,230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0.46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00"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1" w:hRule="exact"/>
        </w:trPr>
        <w:tc>
          <w:tcPr>
            <w:tcW w:w="8824"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36" w:right="0"/>
              <w:jc w:val="left"/>
              <w:rPr>
                <w:rFonts w:ascii="宋体" w:hAnsi="宋体" w:cs="宋体" w:eastAsia="宋体" w:hint="default"/>
                <w:sz w:val="21"/>
                <w:szCs w:val="21"/>
              </w:rPr>
            </w:pPr>
            <w:r>
              <w:rPr>
                <w:rFonts w:ascii="宋体" w:hAnsi="宋体" w:cs="宋体" w:eastAsia="宋体" w:hint="default"/>
                <w:sz w:val="21"/>
                <w:szCs w:val="21"/>
              </w:rPr>
              <w:t>前十名无限售条件股东持股情况</w:t>
            </w:r>
            <w:r>
              <w:rPr>
                <w:rFonts w:ascii="宋体" w:hAnsi="宋体" w:cs="宋体" w:eastAsia="宋体" w:hint="default"/>
                <w:sz w:val="21"/>
                <w:szCs w:val="21"/>
              </w:rPr>
              <w:t> </w:t>
            </w:r>
          </w:p>
        </w:tc>
      </w:tr>
      <w:tr>
        <w:trPr>
          <w:trHeight w:val="283" w:hRule="exact"/>
        </w:trPr>
        <w:tc>
          <w:tcPr>
            <w:tcW w:w="2547" w:type="dxa"/>
            <w:gridSpan w:val="2"/>
            <w:vMerge w:val="restart"/>
            <w:tcBorders>
              <w:top w:val="single" w:sz="4" w:space="0" w:color="000000"/>
              <w:left w:val="single" w:sz="4" w:space="0" w:color="000000"/>
              <w:right w:val="single" w:sz="4" w:space="0" w:color="000000"/>
            </w:tcBorders>
          </w:tcPr>
          <w:p>
            <w:pPr>
              <w:pStyle w:val="TableParagraph"/>
              <w:spacing w:line="240" w:lineRule="auto" w:before="107"/>
              <w:ind w:left="847" w:right="0"/>
              <w:jc w:val="left"/>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3404" w:type="dxa"/>
            <w:gridSpan w:val="3"/>
            <w:vMerge w:val="restart"/>
            <w:tcBorders>
              <w:top w:val="single" w:sz="4" w:space="0" w:color="000000"/>
              <w:left w:val="single" w:sz="4" w:space="0" w:color="000000"/>
              <w:right w:val="single" w:sz="4" w:space="0" w:color="000000"/>
            </w:tcBorders>
          </w:tcPr>
          <w:p>
            <w:pPr>
              <w:pStyle w:val="TableParagraph"/>
              <w:spacing w:line="240" w:lineRule="auto" w:before="107"/>
              <w:ind w:left="331" w:right="0"/>
              <w:jc w:val="left"/>
              <w:rPr>
                <w:rFonts w:ascii="宋体" w:hAnsi="宋体" w:cs="宋体" w:eastAsia="宋体" w:hint="default"/>
                <w:sz w:val="21"/>
                <w:szCs w:val="21"/>
              </w:rPr>
            </w:pPr>
            <w:r>
              <w:rPr>
                <w:rFonts w:ascii="宋体" w:hAnsi="宋体" w:cs="宋体" w:eastAsia="宋体" w:hint="default"/>
                <w:sz w:val="21"/>
                <w:szCs w:val="21"/>
              </w:rPr>
              <w:t>持有无限售条件流通股的数量</w:t>
            </w:r>
            <w:r>
              <w:rPr>
                <w:rFonts w:ascii="宋体" w:hAnsi="宋体" w:cs="宋体" w:eastAsia="宋体" w:hint="default"/>
                <w:sz w:val="21"/>
                <w:szCs w:val="21"/>
              </w:rPr>
              <w:t> </w:t>
            </w:r>
          </w:p>
        </w:tc>
        <w:tc>
          <w:tcPr>
            <w:tcW w:w="287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3" w:right="0"/>
              <w:jc w:val="left"/>
              <w:rPr>
                <w:rFonts w:ascii="宋体" w:hAnsi="宋体" w:cs="宋体" w:eastAsia="宋体" w:hint="default"/>
                <w:sz w:val="21"/>
                <w:szCs w:val="21"/>
              </w:rPr>
            </w:pPr>
            <w:r>
              <w:rPr>
                <w:rFonts w:ascii="宋体" w:hAnsi="宋体" w:cs="宋体" w:eastAsia="宋体" w:hint="default"/>
                <w:sz w:val="21"/>
                <w:szCs w:val="21"/>
              </w:rPr>
              <w:t>股份种类及数量</w:t>
            </w:r>
            <w:r>
              <w:rPr>
                <w:rFonts w:ascii="宋体" w:hAnsi="宋体" w:cs="宋体" w:eastAsia="宋体" w:hint="default"/>
                <w:sz w:val="21"/>
                <w:szCs w:val="21"/>
              </w:rPr>
              <w:t> </w:t>
            </w:r>
          </w:p>
        </w:tc>
      </w:tr>
      <w:tr>
        <w:trPr>
          <w:trHeight w:val="283" w:hRule="exact"/>
        </w:trPr>
        <w:tc>
          <w:tcPr>
            <w:tcW w:w="2547" w:type="dxa"/>
            <w:gridSpan w:val="2"/>
            <w:vMerge/>
            <w:tcBorders>
              <w:left w:val="single" w:sz="4" w:space="0" w:color="000000"/>
              <w:bottom w:val="single" w:sz="4" w:space="0" w:color="000000"/>
              <w:right w:val="single" w:sz="4" w:space="0" w:color="000000"/>
            </w:tcBorders>
          </w:tcPr>
          <w:p>
            <w:pPr/>
          </w:p>
        </w:tc>
        <w:tc>
          <w:tcPr>
            <w:tcW w:w="3404" w:type="dxa"/>
            <w:gridSpan w:val="3"/>
            <w:vMerge/>
            <w:tcBorders>
              <w:left w:val="single" w:sz="4" w:space="0" w:color="000000"/>
              <w:bottom w:val="single" w:sz="4" w:space="0" w:color="000000"/>
              <w:right w:val="single" w:sz="4" w:space="0" w:color="000000"/>
            </w:tcBorders>
          </w:tcPr>
          <w:p>
            <w:pP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4"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r>
      <w:tr>
        <w:trPr>
          <w:trHeight w:val="554" w:hRule="exact"/>
        </w:trPr>
        <w:tc>
          <w:tcPr>
            <w:tcW w:w="25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同方股份有限公司</w:t>
            </w:r>
            <w:r>
              <w:rPr>
                <w:rFonts w:ascii="宋体" w:hAnsi="宋体" w:cs="宋体" w:eastAsia="宋体" w:hint="default"/>
                <w:sz w:val="21"/>
                <w:szCs w:val="21"/>
              </w:rPr>
              <w:t> </w:t>
            </w:r>
          </w:p>
        </w:tc>
        <w:tc>
          <w:tcPr>
            <w:tcW w:w="34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Times New Roman" w:hAnsi="Times New Roman" w:cs="Times New Roman" w:eastAsia="Times New Roman" w:hint="default"/>
                <w:sz w:val="20"/>
                <w:szCs w:val="20"/>
              </w:rPr>
            </w:pPr>
            <w:r>
              <w:rPr>
                <w:rFonts w:ascii="Times New Roman"/>
                <w:w w:val="95"/>
                <w:sz w:val="20"/>
              </w:rPr>
              <w:t>167,315,574</w:t>
            </w:r>
            <w:r>
              <w:rPr>
                <w:rFonts w:ascii="Times New Roman"/>
                <w:sz w:val="20"/>
              </w:rPr>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43" w:right="0"/>
              <w:jc w:val="left"/>
              <w:rPr>
                <w:rFonts w:ascii="Times New Roman" w:hAnsi="Times New Roman" w:cs="Times New Roman" w:eastAsia="Times New Roman" w:hint="default"/>
                <w:sz w:val="20"/>
                <w:szCs w:val="20"/>
              </w:rPr>
            </w:pPr>
            <w:r>
              <w:rPr>
                <w:rFonts w:ascii="Times New Roman"/>
                <w:sz w:val="20"/>
              </w:rPr>
              <w:t>167,315,574</w:t>
            </w:r>
          </w:p>
        </w:tc>
      </w:tr>
      <w:tr>
        <w:trPr>
          <w:trHeight w:val="554" w:hRule="exact"/>
        </w:trPr>
        <w:tc>
          <w:tcPr>
            <w:tcW w:w="25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泰豪集团有限公司</w:t>
            </w:r>
            <w:r>
              <w:rPr>
                <w:rFonts w:ascii="宋体" w:hAnsi="宋体" w:cs="宋体" w:eastAsia="宋体" w:hint="default"/>
                <w:sz w:val="21"/>
                <w:szCs w:val="21"/>
              </w:rPr>
              <w:t> </w:t>
            </w:r>
          </w:p>
        </w:tc>
        <w:tc>
          <w:tcPr>
            <w:tcW w:w="34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Times New Roman" w:hAnsi="Times New Roman" w:cs="Times New Roman" w:eastAsia="Times New Roman" w:hint="default"/>
                <w:sz w:val="20"/>
                <w:szCs w:val="20"/>
              </w:rPr>
            </w:pPr>
            <w:r>
              <w:rPr>
                <w:rFonts w:ascii="Times New Roman"/>
                <w:w w:val="95"/>
                <w:sz w:val="20"/>
              </w:rPr>
              <w:t>128,569,272</w:t>
            </w:r>
            <w:r>
              <w:rPr>
                <w:rFonts w:ascii="Times New Roman"/>
                <w:sz w:val="20"/>
              </w:rPr>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43" w:right="0"/>
              <w:jc w:val="left"/>
              <w:rPr>
                <w:rFonts w:ascii="Times New Roman" w:hAnsi="Times New Roman" w:cs="Times New Roman" w:eastAsia="Times New Roman" w:hint="default"/>
                <w:sz w:val="20"/>
                <w:szCs w:val="20"/>
              </w:rPr>
            </w:pPr>
            <w:r>
              <w:rPr>
                <w:rFonts w:ascii="Times New Roman"/>
                <w:sz w:val="20"/>
              </w:rPr>
              <w:t>128,569,272</w:t>
            </w:r>
          </w:p>
        </w:tc>
      </w:tr>
      <w:tr>
        <w:trPr>
          <w:trHeight w:val="554" w:hRule="exact"/>
        </w:trPr>
        <w:tc>
          <w:tcPr>
            <w:tcW w:w="25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中国海外控股集团有限公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34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20"/>
                <w:szCs w:val="20"/>
              </w:rPr>
            </w:pPr>
            <w:r>
              <w:rPr>
                <w:rFonts w:ascii="Times New Roman"/>
                <w:w w:val="95"/>
                <w:sz w:val="20"/>
              </w:rPr>
              <w:t>51,996,672</w:t>
            </w:r>
            <w:r>
              <w:rPr>
                <w:rFonts w:ascii="Times New Roman"/>
                <w:sz w:val="20"/>
              </w:rPr>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444" w:right="0"/>
              <w:jc w:val="left"/>
              <w:rPr>
                <w:rFonts w:ascii="Times New Roman" w:hAnsi="Times New Roman" w:cs="Times New Roman" w:eastAsia="Times New Roman" w:hint="default"/>
                <w:sz w:val="20"/>
                <w:szCs w:val="20"/>
              </w:rPr>
            </w:pPr>
            <w:r>
              <w:rPr>
                <w:rFonts w:ascii="Times New Roman"/>
                <w:sz w:val="20"/>
              </w:rPr>
              <w:t>51,996,672</w:t>
            </w:r>
          </w:p>
        </w:tc>
      </w:tr>
    </w:tbl>
    <w:p>
      <w:pPr>
        <w:spacing w:after="0" w:line="240" w:lineRule="auto"/>
        <w:jc w:val="left"/>
        <w:rPr>
          <w:rFonts w:ascii="Times New Roman" w:hAnsi="Times New Roman" w:cs="Times New Roman" w:eastAsia="Times New Roman" w:hint="default"/>
          <w:sz w:val="20"/>
          <w:szCs w:val="20"/>
        </w:rPr>
        <w:sectPr>
          <w:type w:val="continuous"/>
          <w:pgSz w:w="11910" w:h="16840"/>
          <w:pgMar w:top="1120" w:bottom="1380" w:left="1140" w:right="1560"/>
        </w:sectPr>
      </w:pPr>
    </w:p>
    <w:p>
      <w:pPr>
        <w:spacing w:line="240" w:lineRule="auto" w:before="3"/>
        <w:rPr>
          <w:rFonts w:ascii="宋体" w:hAnsi="宋体" w:cs="宋体" w:eastAsia="宋体" w:hint="default"/>
          <w:sz w:val="24"/>
          <w:szCs w:val="24"/>
        </w:rPr>
      </w:pPr>
    </w:p>
    <w:tbl>
      <w:tblPr>
        <w:tblW w:w="0" w:type="auto"/>
        <w:jc w:val="left"/>
        <w:tblInd w:w="216" w:type="dxa"/>
        <w:tblLayout w:type="fixed"/>
        <w:tblCellMar>
          <w:top w:w="0" w:type="dxa"/>
          <w:left w:w="0" w:type="dxa"/>
          <w:bottom w:w="0" w:type="dxa"/>
          <w:right w:w="0" w:type="dxa"/>
        </w:tblCellMar>
        <w:tblLook w:val="01E0"/>
      </w:tblPr>
      <w:tblGrid>
        <w:gridCol w:w="2547"/>
        <w:gridCol w:w="3404"/>
        <w:gridCol w:w="1416"/>
        <w:gridCol w:w="1457"/>
      </w:tblGrid>
      <w:tr>
        <w:trPr>
          <w:trHeight w:val="555"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潘红生</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20"/>
                <w:szCs w:val="20"/>
              </w:rPr>
            </w:pPr>
            <w:r>
              <w:rPr>
                <w:rFonts w:ascii="Times New Roman"/>
                <w:w w:val="95"/>
                <w:sz w:val="20"/>
              </w:rPr>
              <w:t>11,930,000</w:t>
            </w:r>
            <w:r>
              <w:rPr>
                <w:rFonts w:ascii="Times New Roman"/>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20"/>
                <w:szCs w:val="20"/>
              </w:rPr>
            </w:pPr>
            <w:r>
              <w:rPr>
                <w:rFonts w:ascii="Times New Roman"/>
                <w:w w:val="95"/>
                <w:sz w:val="20"/>
              </w:rPr>
              <w:t>11,930,000</w:t>
            </w:r>
            <w:r>
              <w:rPr>
                <w:rFonts w:ascii="Times New Roman"/>
                <w:sz w:val="20"/>
              </w:rPr>
            </w:r>
          </w:p>
        </w:tc>
      </w:tr>
      <w:tr>
        <w:trPr>
          <w:trHeight w:val="554"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胡健</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20"/>
                <w:szCs w:val="20"/>
              </w:rPr>
            </w:pPr>
            <w:r>
              <w:rPr>
                <w:rFonts w:ascii="Times New Roman"/>
                <w:w w:val="95"/>
                <w:sz w:val="20"/>
              </w:rPr>
              <w:t>9,331,428</w:t>
            </w:r>
            <w:r>
              <w:rPr>
                <w:rFonts w:ascii="Times New Roman"/>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20"/>
                <w:szCs w:val="20"/>
              </w:rPr>
            </w:pPr>
            <w:r>
              <w:rPr>
                <w:rFonts w:ascii="Times New Roman"/>
                <w:w w:val="95"/>
                <w:sz w:val="20"/>
              </w:rPr>
              <w:t>9,331,428</w:t>
            </w:r>
            <w:r>
              <w:rPr>
                <w:rFonts w:ascii="Times New Roman"/>
                <w:sz w:val="20"/>
              </w:rPr>
            </w:r>
          </w:p>
        </w:tc>
      </w:tr>
      <w:tr>
        <w:trPr>
          <w:trHeight w:val="554"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宁波杰宝投资合伙企业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（有限合伙）</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20"/>
                <w:szCs w:val="20"/>
              </w:rPr>
            </w:pPr>
            <w:r>
              <w:rPr>
                <w:rFonts w:ascii="Times New Roman"/>
                <w:w w:val="95"/>
                <w:sz w:val="20"/>
              </w:rPr>
              <w:t>8,879,662</w:t>
            </w:r>
            <w:r>
              <w:rPr>
                <w:rFonts w:ascii="Times New Roman"/>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20"/>
                <w:szCs w:val="20"/>
              </w:rPr>
            </w:pPr>
            <w:r>
              <w:rPr>
                <w:rFonts w:ascii="Times New Roman"/>
                <w:w w:val="95"/>
                <w:sz w:val="20"/>
              </w:rPr>
              <w:t>8,879,662</w:t>
            </w:r>
            <w:r>
              <w:rPr>
                <w:rFonts w:ascii="Times New Roman"/>
                <w:sz w:val="20"/>
              </w:rPr>
            </w:r>
          </w:p>
        </w:tc>
      </w:tr>
      <w:tr>
        <w:trPr>
          <w:trHeight w:val="554"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杨剑</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0"/>
              <w:jc w:val="right"/>
              <w:rPr>
                <w:rFonts w:ascii="Times New Roman" w:hAnsi="Times New Roman" w:cs="Times New Roman" w:eastAsia="Times New Roman" w:hint="default"/>
                <w:sz w:val="20"/>
                <w:szCs w:val="20"/>
              </w:rPr>
            </w:pPr>
            <w:r>
              <w:rPr>
                <w:rFonts w:ascii="Times New Roman"/>
                <w:w w:val="95"/>
                <w:sz w:val="20"/>
              </w:rPr>
              <w:t>6,370,000</w:t>
            </w:r>
            <w:r>
              <w:rPr>
                <w:rFonts w:ascii="Times New Roman"/>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20"/>
                <w:szCs w:val="20"/>
              </w:rPr>
            </w:pPr>
            <w:r>
              <w:rPr>
                <w:rFonts w:ascii="Times New Roman"/>
                <w:w w:val="95"/>
                <w:sz w:val="20"/>
              </w:rPr>
              <w:t>7,423,000</w:t>
            </w:r>
            <w:r>
              <w:rPr>
                <w:rFonts w:ascii="Times New Roman"/>
                <w:sz w:val="20"/>
              </w:rPr>
            </w:r>
          </w:p>
        </w:tc>
      </w:tr>
      <w:tr>
        <w:trPr>
          <w:trHeight w:val="557"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宁波杰赢投资管理合伙企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业（有限合伙）</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20"/>
                <w:szCs w:val="20"/>
              </w:rPr>
            </w:pPr>
            <w:r>
              <w:rPr>
                <w:rFonts w:ascii="Times New Roman"/>
                <w:w w:val="95"/>
                <w:sz w:val="20"/>
              </w:rPr>
              <w:t>5,246,206</w:t>
            </w:r>
            <w:r>
              <w:rPr>
                <w:rFonts w:ascii="Times New Roman"/>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20"/>
                <w:szCs w:val="20"/>
              </w:rPr>
            </w:pPr>
            <w:r>
              <w:rPr>
                <w:rFonts w:ascii="Times New Roman"/>
                <w:w w:val="95"/>
                <w:sz w:val="20"/>
              </w:rPr>
              <w:t>5,246,206</w:t>
            </w:r>
            <w:r>
              <w:rPr>
                <w:rFonts w:ascii="Times New Roman"/>
                <w:sz w:val="20"/>
              </w:rPr>
            </w:r>
          </w:p>
        </w:tc>
      </w:tr>
      <w:tr>
        <w:trPr>
          <w:trHeight w:val="826"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北方国际信托股份有限公</w:t>
            </w:r>
          </w:p>
          <w:p>
            <w:pPr>
              <w:pStyle w:val="TableParagraph"/>
              <w:spacing w:line="240" w:lineRule="auto"/>
              <w:ind w:left="103" w:right="117"/>
              <w:jc w:val="left"/>
              <w:rPr>
                <w:rFonts w:ascii="宋体" w:hAnsi="宋体" w:cs="宋体" w:eastAsia="宋体" w:hint="default"/>
                <w:sz w:val="21"/>
                <w:szCs w:val="21"/>
              </w:rPr>
            </w:pPr>
            <w:r>
              <w:rPr>
                <w:rFonts w:ascii="宋体" w:hAnsi="宋体" w:cs="宋体" w:eastAsia="宋体" w:hint="default"/>
                <w:spacing w:val="-2"/>
                <w:sz w:val="21"/>
                <w:szCs w:val="21"/>
              </w:rPr>
              <w:t>司－北方信托人中龙证券</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投资集合资金信托计划</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3,961,230</w:t>
            </w:r>
            <w:r>
              <w:rPr>
                <w:rFonts w:ascii="Times New Roman"/>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595" w:right="175" w:hanging="420"/>
              <w:jc w:val="left"/>
              <w:rPr>
                <w:rFonts w:ascii="宋体" w:hAnsi="宋体" w:cs="宋体" w:eastAsia="宋体" w:hint="default"/>
                <w:sz w:val="21"/>
                <w:szCs w:val="21"/>
              </w:rPr>
            </w:pPr>
            <w:r>
              <w:rPr>
                <w:rFonts w:ascii="宋体" w:hAnsi="宋体" w:cs="宋体" w:eastAsia="宋体" w:hint="default"/>
                <w:sz w:val="21"/>
                <w:szCs w:val="21"/>
              </w:rPr>
              <w:t>人民币普通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w w:val="95"/>
                <w:sz w:val="20"/>
              </w:rPr>
              <w:t>3,961,230</w:t>
            </w:r>
            <w:r>
              <w:rPr>
                <w:rFonts w:ascii="Times New Roman"/>
                <w:sz w:val="20"/>
              </w:rPr>
            </w:r>
          </w:p>
        </w:tc>
      </w:tr>
      <w:tr>
        <w:trPr>
          <w:trHeight w:val="555"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罗飞杰</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20"/>
                <w:szCs w:val="20"/>
              </w:rPr>
            </w:pPr>
            <w:r>
              <w:rPr>
                <w:rFonts w:ascii="Times New Roman"/>
                <w:w w:val="95"/>
                <w:sz w:val="20"/>
              </w:rPr>
              <w:t>3,600,000</w:t>
            </w:r>
            <w:r>
              <w:rPr>
                <w:rFonts w:ascii="Times New Roman"/>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01"/>
              <w:jc w:val="right"/>
              <w:rPr>
                <w:rFonts w:ascii="Times New Roman" w:hAnsi="Times New Roman" w:cs="Times New Roman" w:eastAsia="Times New Roman" w:hint="default"/>
                <w:sz w:val="20"/>
                <w:szCs w:val="20"/>
              </w:rPr>
            </w:pPr>
            <w:r>
              <w:rPr>
                <w:rFonts w:ascii="Times New Roman"/>
                <w:w w:val="95"/>
                <w:sz w:val="20"/>
              </w:rPr>
              <w:t>3,600,000</w:t>
            </w:r>
            <w:r>
              <w:rPr>
                <w:rFonts w:ascii="Times New Roman"/>
                <w:sz w:val="20"/>
              </w:rPr>
            </w:r>
          </w:p>
        </w:tc>
      </w:tr>
      <w:tr>
        <w:trPr>
          <w:trHeight w:val="554"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行动的说明</w:t>
            </w:r>
            <w:r>
              <w:rPr>
                <w:rFonts w:ascii="宋体" w:hAnsi="宋体" w:cs="宋体" w:eastAsia="宋体" w:hint="default"/>
                <w:sz w:val="21"/>
                <w:szCs w:val="21"/>
              </w:rPr>
              <w:t> </w:t>
            </w:r>
          </w:p>
        </w:tc>
        <w:tc>
          <w:tcPr>
            <w:tcW w:w="62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上述股东中胡健、宁波杰宝和宁波杰赢系一致行动人；其他股东之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间不存在关联关系或不属于一致行动人。</w:t>
            </w:r>
            <w:r>
              <w:rPr>
                <w:rFonts w:ascii="宋体" w:hAnsi="宋体" w:cs="宋体" w:eastAsia="宋体" w:hint="default"/>
                <w:sz w:val="21"/>
                <w:szCs w:val="21"/>
              </w:rPr>
              <w:t> </w:t>
            </w:r>
          </w:p>
        </w:tc>
      </w:tr>
      <w:tr>
        <w:trPr>
          <w:trHeight w:val="557"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及持股数量的说明</w:t>
            </w:r>
            <w:r>
              <w:rPr>
                <w:rFonts w:ascii="宋体" w:hAnsi="宋体" w:cs="宋体" w:eastAsia="宋体" w:hint="default"/>
                <w:sz w:val="21"/>
                <w:szCs w:val="21"/>
              </w:rPr>
              <w:t> </w:t>
            </w:r>
          </w:p>
        </w:tc>
        <w:tc>
          <w:tcPr>
            <w:tcW w:w="62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pgSz w:w="11910" w:h="16840"/>
          <w:pgMar w:header="880" w:footer="1195" w:top="1120" w:bottom="1380" w:left="1060" w:right="1560"/>
        </w:sectPr>
      </w:pPr>
    </w:p>
    <w:p>
      <w:pPr>
        <w:pStyle w:val="Heading3"/>
        <w:spacing w:line="274" w:lineRule="exact"/>
        <w:ind w:right="0"/>
        <w:jc w:val="left"/>
        <w:rPr>
          <w:rFonts w:ascii="宋体" w:hAnsi="宋体" w:cs="宋体" w:eastAsia="宋体" w:hint="default"/>
        </w:rPr>
      </w:pPr>
      <w:r>
        <w:rPr>
          <w:rFonts w:ascii="宋体"/>
        </w:rPr>
        <w:t> </w:t>
      </w:r>
    </w:p>
    <w:p>
      <w:pPr>
        <w:pStyle w:val="BodyText"/>
        <w:spacing w:line="271" w:lineRule="exact" w:before="1"/>
        <w:ind w:left="216" w:right="0"/>
        <w:jc w:val="left"/>
        <w:rPr>
          <w:rFonts w:ascii="宋体" w:hAnsi="宋体" w:cs="宋体" w:eastAsia="宋体" w:hint="default"/>
        </w:rPr>
      </w:pPr>
      <w:r>
        <w:rPr/>
        <w:t>前十名有限售条件股东持股数量及限售条件</w:t>
      </w:r>
      <w:r>
        <w:rPr>
          <w:rFonts w:ascii="宋体" w:hAnsi="宋体" w:cs="宋体" w:eastAsia="宋体" w:hint="default"/>
        </w:rPr>
        <w:t> </w:t>
      </w:r>
    </w:p>
    <w:p>
      <w:pPr>
        <w:pStyle w:val="Heading3"/>
        <w:spacing w:line="310"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240" w:lineRule="auto"/>
        <w:ind w:left="216"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4315" w:space="3679"/>
            <w:col w:w="1296"/>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720"/>
        <w:gridCol w:w="1457"/>
        <w:gridCol w:w="1745"/>
        <w:gridCol w:w="2180"/>
        <w:gridCol w:w="1747"/>
        <w:gridCol w:w="1201"/>
      </w:tblGrid>
      <w:tr>
        <w:trPr>
          <w:trHeight w:val="283" w:hRule="exact"/>
        </w:trPr>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4" w:right="0"/>
              <w:jc w:val="left"/>
              <w:rPr>
                <w:rFonts w:ascii="宋体" w:hAnsi="宋体" w:cs="宋体" w:eastAsia="宋体" w:hint="default"/>
                <w:sz w:val="21"/>
                <w:szCs w:val="21"/>
              </w:rPr>
            </w:pPr>
            <w:r>
              <w:rPr>
                <w:rFonts w:ascii="宋体" w:hAnsi="宋体" w:cs="宋体" w:eastAsia="宋体" w:hint="default"/>
                <w:sz w:val="21"/>
                <w:szCs w:val="21"/>
              </w:rPr>
              <w:t>序号</w:t>
            </w:r>
            <w:r>
              <w:rPr>
                <w:rFonts w:ascii="宋体" w:hAnsi="宋体" w:cs="宋体" w:eastAsia="宋体" w:hint="default"/>
                <w:sz w:val="21"/>
                <w:szCs w:val="21"/>
              </w:rPr>
              <w:t> </w:t>
            </w:r>
          </w:p>
        </w:tc>
        <w:tc>
          <w:tcPr>
            <w:tcW w:w="1457" w:type="dxa"/>
            <w:vMerge w:val="restart"/>
            <w:tcBorders>
              <w:top w:val="single" w:sz="4" w:space="0" w:color="000000"/>
              <w:left w:val="single" w:sz="4" w:space="0" w:color="000000"/>
              <w:right w:val="single" w:sz="4" w:space="0" w:color="000000"/>
            </w:tcBorders>
          </w:tcPr>
          <w:p>
            <w:pPr>
              <w:pStyle w:val="TableParagraph"/>
              <w:spacing w:line="240" w:lineRule="auto" w:before="107"/>
              <w:ind w:left="302" w:right="194" w:hanging="106"/>
              <w:jc w:val="left"/>
              <w:rPr>
                <w:rFonts w:ascii="宋体" w:hAnsi="宋体" w:cs="宋体" w:eastAsia="宋体" w:hint="default"/>
                <w:sz w:val="21"/>
                <w:szCs w:val="21"/>
              </w:rPr>
            </w:pPr>
            <w:r>
              <w:rPr>
                <w:rFonts w:ascii="宋体" w:hAnsi="宋体" w:cs="宋体" w:eastAsia="宋体" w:hint="default"/>
                <w:sz w:val="21"/>
                <w:szCs w:val="21"/>
              </w:rPr>
              <w:t>有限售条件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股东名称</w:t>
            </w:r>
            <w:r>
              <w:rPr>
                <w:rFonts w:ascii="宋体" w:hAnsi="宋体" w:cs="宋体" w:eastAsia="宋体" w:hint="default"/>
                <w:sz w:val="21"/>
                <w:szCs w:val="21"/>
              </w:rPr>
              <w:t> </w:t>
            </w:r>
          </w:p>
        </w:tc>
        <w:tc>
          <w:tcPr>
            <w:tcW w:w="1745" w:type="dxa"/>
            <w:vMerge w:val="restart"/>
            <w:tcBorders>
              <w:top w:val="single" w:sz="4" w:space="0" w:color="000000"/>
              <w:left w:val="single" w:sz="4" w:space="0" w:color="000000"/>
              <w:right w:val="single" w:sz="4" w:space="0" w:color="000000"/>
            </w:tcBorders>
          </w:tcPr>
          <w:p>
            <w:pPr>
              <w:pStyle w:val="TableParagraph"/>
              <w:spacing w:line="240" w:lineRule="auto" w:before="107"/>
              <w:ind w:left="340" w:right="128" w:hanging="209"/>
              <w:jc w:val="left"/>
              <w:rPr>
                <w:rFonts w:ascii="宋体" w:hAnsi="宋体" w:cs="宋体" w:eastAsia="宋体" w:hint="default"/>
                <w:sz w:val="21"/>
                <w:szCs w:val="21"/>
              </w:rPr>
            </w:pPr>
            <w:r>
              <w:rPr>
                <w:rFonts w:ascii="宋体" w:hAnsi="宋体" w:cs="宋体" w:eastAsia="宋体" w:hint="default"/>
                <w:sz w:val="21"/>
                <w:szCs w:val="21"/>
              </w:rPr>
              <w:t>持有的有限售条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件股份数量</w:t>
            </w:r>
            <w:r>
              <w:rPr>
                <w:rFonts w:ascii="宋体" w:hAnsi="宋体" w:cs="宋体" w:eastAsia="宋体" w:hint="default"/>
                <w:sz w:val="21"/>
                <w:szCs w:val="21"/>
              </w:rPr>
              <w:t> </w:t>
            </w:r>
          </w:p>
        </w:tc>
        <w:tc>
          <w:tcPr>
            <w:tcW w:w="39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r>
              <w:rPr>
                <w:rFonts w:ascii="宋体" w:hAnsi="宋体" w:cs="宋体" w:eastAsia="宋体" w:hint="default"/>
                <w:sz w:val="21"/>
                <w:szCs w:val="21"/>
              </w:rPr>
              <w:t> </w:t>
            </w:r>
          </w:p>
        </w:tc>
        <w:tc>
          <w:tcPr>
            <w:tcW w:w="120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3" w:right="0"/>
              <w:jc w:val="left"/>
              <w:rPr>
                <w:rFonts w:ascii="宋体" w:hAnsi="宋体" w:cs="宋体" w:eastAsia="宋体" w:hint="default"/>
                <w:sz w:val="21"/>
                <w:szCs w:val="21"/>
              </w:rPr>
            </w:pPr>
            <w:r>
              <w:rPr>
                <w:rFonts w:ascii="宋体" w:hAnsi="宋体" w:cs="宋体" w:eastAsia="宋体" w:hint="default"/>
                <w:sz w:val="21"/>
                <w:szCs w:val="21"/>
              </w:rPr>
              <w:t>限售条件</w:t>
            </w:r>
            <w:r>
              <w:rPr>
                <w:rFonts w:ascii="宋体" w:hAnsi="宋体" w:cs="宋体" w:eastAsia="宋体" w:hint="default"/>
                <w:sz w:val="21"/>
                <w:szCs w:val="21"/>
              </w:rPr>
              <w:t> </w:t>
            </w:r>
          </w:p>
        </w:tc>
      </w:tr>
      <w:tr>
        <w:trPr>
          <w:trHeight w:val="554" w:hRule="exact"/>
        </w:trPr>
        <w:tc>
          <w:tcPr>
            <w:tcW w:w="720" w:type="dxa"/>
            <w:vMerge/>
            <w:tcBorders>
              <w:left w:val="single" w:sz="4" w:space="0" w:color="000000"/>
              <w:bottom w:val="single" w:sz="4" w:space="0" w:color="000000"/>
              <w:right w:val="single" w:sz="4" w:space="0" w:color="000000"/>
            </w:tcBorders>
          </w:tcPr>
          <w:p>
            <w:pPr/>
          </w:p>
        </w:tc>
        <w:tc>
          <w:tcPr>
            <w:tcW w:w="1457" w:type="dxa"/>
            <w:vMerge/>
            <w:tcBorders>
              <w:left w:val="single" w:sz="4" w:space="0" w:color="000000"/>
              <w:bottom w:val="single" w:sz="4" w:space="0" w:color="000000"/>
              <w:right w:val="single" w:sz="4" w:space="0" w:color="000000"/>
            </w:tcBorders>
          </w:tcPr>
          <w:p>
            <w:pPr/>
          </w:p>
        </w:tc>
        <w:tc>
          <w:tcPr>
            <w:tcW w:w="1745" w:type="dxa"/>
            <w:vMerge/>
            <w:tcBorders>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7" w:right="0"/>
              <w:jc w:val="left"/>
              <w:rPr>
                <w:rFonts w:ascii="宋体" w:hAnsi="宋体" w:cs="宋体" w:eastAsia="宋体" w:hint="default"/>
                <w:sz w:val="21"/>
                <w:szCs w:val="21"/>
              </w:rPr>
            </w:pPr>
            <w:r>
              <w:rPr>
                <w:rFonts w:ascii="宋体" w:hAnsi="宋体" w:cs="宋体" w:eastAsia="宋体" w:hint="default"/>
                <w:sz w:val="21"/>
                <w:szCs w:val="21"/>
              </w:rPr>
              <w:t>可上市交易时间</w:t>
            </w:r>
            <w:r>
              <w:rPr>
                <w:rFonts w:ascii="宋体" w:hAnsi="宋体" w:cs="宋体" w:eastAsia="宋体" w:hint="default"/>
                <w:sz w:val="21"/>
                <w:szCs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新增可上市交易</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股份数量</w:t>
            </w:r>
            <w:r>
              <w:rPr>
                <w:rFonts w:ascii="宋体" w:hAnsi="宋体" w:cs="宋体" w:eastAsia="宋体" w:hint="default"/>
                <w:sz w:val="21"/>
                <w:szCs w:val="21"/>
              </w:rPr>
              <w:t> </w:t>
            </w:r>
          </w:p>
        </w:tc>
        <w:tc>
          <w:tcPr>
            <w:tcW w:w="1201" w:type="dxa"/>
            <w:vMerge/>
            <w:tcBorders>
              <w:left w:val="single" w:sz="4" w:space="0" w:color="000000"/>
              <w:bottom w:val="single" w:sz="4" w:space="0" w:color="000000"/>
              <w:right w:val="single" w:sz="4" w:space="0" w:color="000000"/>
            </w:tcBorders>
          </w:tcPr>
          <w:p>
            <w:pPr/>
          </w:p>
        </w:tc>
      </w:tr>
      <w:tr>
        <w:trPr>
          <w:trHeight w:val="356" w:hRule="exact"/>
        </w:trPr>
        <w:tc>
          <w:tcPr>
            <w:tcW w:w="7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sz w:val="21"/>
              </w:rPr>
              <w:t>1 </w:t>
            </w:r>
          </w:p>
        </w:tc>
        <w:tc>
          <w:tcPr>
            <w:tcW w:w="14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胡健</w:t>
            </w:r>
            <w:r>
              <w:rPr>
                <w:rFonts w:ascii="宋体" w:hAnsi="宋体" w:cs="宋体" w:eastAsia="宋体" w:hint="default"/>
                <w:sz w:val="21"/>
                <w:szCs w:val="21"/>
              </w:rPr>
              <w:t> </w:t>
            </w:r>
          </w:p>
        </w:tc>
        <w:tc>
          <w:tcPr>
            <w:tcW w:w="17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792" w:right="0"/>
              <w:jc w:val="left"/>
              <w:rPr>
                <w:rFonts w:ascii="Times New Roman" w:hAnsi="Times New Roman" w:cs="Times New Roman" w:eastAsia="Times New Roman" w:hint="default"/>
                <w:sz w:val="21"/>
                <w:szCs w:val="21"/>
              </w:rPr>
            </w:pPr>
            <w:r>
              <w:rPr>
                <w:rFonts w:ascii="Times New Roman"/>
                <w:sz w:val="21"/>
              </w:rPr>
              <w:t>9,300,227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Times New Roman" w:hAnsi="Times New Roman" w:cs="Times New Roman" w:eastAsia="Times New Roman" w:hint="default"/>
                <w:sz w:val="21"/>
                <w:szCs w:val="21"/>
              </w:rPr>
            </w:pPr>
            <w:r>
              <w:rPr>
                <w:rFonts w:ascii="Times New Roman"/>
                <w:spacing w:val="-1"/>
                <w:sz w:val="21"/>
              </w:rPr>
              <w:t>4,638,414</w:t>
            </w:r>
          </w:p>
        </w:tc>
        <w:tc>
          <w:tcPr>
            <w:tcW w:w="1201" w:type="dxa"/>
            <w:vMerge w:val="restart"/>
            <w:tcBorders>
              <w:top w:val="single" w:sz="4" w:space="0" w:color="000000"/>
              <w:left w:val="single" w:sz="4" w:space="0" w:color="000000"/>
              <w:right w:val="single" w:sz="4" w:space="0" w:color="000000"/>
            </w:tcBorders>
          </w:tcPr>
          <w:p>
            <w:pPr>
              <w:pStyle w:val="TableParagraph"/>
              <w:spacing w:line="240" w:lineRule="auto" w:before="180"/>
              <w:ind w:left="101"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pacing w:val="-3"/>
                <w:sz w:val="21"/>
                <w:szCs w:val="21"/>
              </w:rPr>
              <w:t>1</w:t>
            </w:r>
            <w:r>
              <w:rPr>
                <w:rFonts w:ascii="宋体" w:hAnsi="宋体" w:cs="宋体" w:eastAsia="宋体" w:hint="default"/>
                <w:sz w:val="21"/>
                <w:szCs w:val="21"/>
              </w:rPr>
              <w:t> </w:t>
            </w:r>
          </w:p>
        </w:tc>
      </w:tr>
      <w:tr>
        <w:trPr>
          <w:trHeight w:val="355" w:hRule="exact"/>
        </w:trPr>
        <w:tc>
          <w:tcPr>
            <w:tcW w:w="720" w:type="dxa"/>
            <w:vMerge/>
            <w:tcBorders>
              <w:left w:val="single" w:sz="4" w:space="0" w:color="000000"/>
              <w:right w:val="single" w:sz="4" w:space="0" w:color="000000"/>
            </w:tcBorders>
          </w:tcPr>
          <w:p>
            <w:pPr/>
          </w:p>
        </w:tc>
        <w:tc>
          <w:tcPr>
            <w:tcW w:w="1457" w:type="dxa"/>
            <w:vMerge/>
            <w:tcBorders>
              <w:left w:val="single" w:sz="4" w:space="0" w:color="000000"/>
              <w:right w:val="single" w:sz="4" w:space="0" w:color="000000"/>
            </w:tcBorders>
          </w:tcPr>
          <w:p>
            <w:pPr/>
          </w:p>
        </w:tc>
        <w:tc>
          <w:tcPr>
            <w:tcW w:w="1745" w:type="dxa"/>
            <w:vMerge/>
            <w:tcBorders>
              <w:left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4,638,413</w:t>
            </w:r>
          </w:p>
        </w:tc>
        <w:tc>
          <w:tcPr>
            <w:tcW w:w="1201" w:type="dxa"/>
            <w:vMerge/>
            <w:tcBorders>
              <w:left w:val="single" w:sz="4" w:space="0" w:color="000000"/>
              <w:bottom w:val="single" w:sz="4" w:space="0" w:color="000000"/>
              <w:right w:val="single" w:sz="4" w:space="0" w:color="000000"/>
            </w:tcBorders>
          </w:tcPr>
          <w:p>
            <w:pPr/>
          </w:p>
        </w:tc>
      </w:tr>
      <w:tr>
        <w:trPr>
          <w:trHeight w:val="355" w:hRule="exact"/>
        </w:trPr>
        <w:tc>
          <w:tcPr>
            <w:tcW w:w="720" w:type="dxa"/>
            <w:vMerge/>
            <w:tcBorders>
              <w:left w:val="single" w:sz="4" w:space="0" w:color="000000"/>
              <w:right w:val="single" w:sz="4" w:space="0" w:color="000000"/>
            </w:tcBorders>
          </w:tcPr>
          <w:p>
            <w:pPr/>
          </w:p>
        </w:tc>
        <w:tc>
          <w:tcPr>
            <w:tcW w:w="1457" w:type="dxa"/>
            <w:vMerge/>
            <w:tcBorders>
              <w:left w:val="single" w:sz="4" w:space="0" w:color="000000"/>
              <w:right w:val="single" w:sz="4" w:space="0" w:color="000000"/>
            </w:tcBorders>
          </w:tcPr>
          <w:p>
            <w:pPr/>
          </w:p>
        </w:tc>
        <w:tc>
          <w:tcPr>
            <w:tcW w:w="1745" w:type="dxa"/>
            <w:vMerge/>
            <w:tcBorders>
              <w:left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z w:val="21"/>
              </w:rPr>
              <w:t>23,400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1"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pacing w:val="-3"/>
                <w:sz w:val="21"/>
                <w:szCs w:val="21"/>
              </w:rPr>
              <w:t>2</w:t>
            </w:r>
            <w:r>
              <w:rPr>
                <w:rFonts w:ascii="宋体" w:hAnsi="宋体" w:cs="宋体" w:eastAsia="宋体" w:hint="default"/>
                <w:sz w:val="21"/>
                <w:szCs w:val="21"/>
              </w:rPr>
              <w:t> </w:t>
            </w:r>
          </w:p>
        </w:tc>
      </w:tr>
      <w:tr>
        <w:trPr>
          <w:trHeight w:val="353" w:hRule="exact"/>
        </w:trPr>
        <w:tc>
          <w:tcPr>
            <w:tcW w:w="720" w:type="dxa"/>
            <w:vMerge/>
            <w:tcBorders>
              <w:left w:val="single" w:sz="4" w:space="0" w:color="000000"/>
              <w:bottom w:val="single" w:sz="4" w:space="0" w:color="000000"/>
              <w:right w:val="single" w:sz="4" w:space="0" w:color="000000"/>
            </w:tcBorders>
          </w:tcPr>
          <w:p>
            <w:pPr/>
          </w:p>
        </w:tc>
        <w:tc>
          <w:tcPr>
            <w:tcW w:w="1457" w:type="dxa"/>
            <w:vMerge/>
            <w:tcBorders>
              <w:left w:val="single" w:sz="4" w:space="0" w:color="000000"/>
              <w:bottom w:val="single" w:sz="4" w:space="0" w:color="000000"/>
              <w:right w:val="single" w:sz="4" w:space="0" w:color="000000"/>
            </w:tcBorders>
          </w:tcPr>
          <w:p>
            <w:pPr/>
          </w:p>
        </w:tc>
        <w:tc>
          <w:tcPr>
            <w:tcW w:w="1745" w:type="dxa"/>
            <w:vMerge/>
            <w:tcBorders>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9,300,227</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1" w:right="0"/>
              <w:jc w:val="left"/>
              <w:rPr>
                <w:rFonts w:ascii="宋体" w:hAnsi="宋体" w:cs="宋体" w:eastAsia="宋体" w:hint="default"/>
                <w:sz w:val="21"/>
                <w:szCs w:val="21"/>
              </w:rPr>
            </w:pPr>
            <w:r>
              <w:rPr>
                <w:rFonts w:ascii="宋体"/>
                <w:w w:val="100"/>
                <w:sz w:val="21"/>
              </w:rPr>
              <w:t> </w:t>
            </w:r>
          </w:p>
        </w:tc>
      </w:tr>
      <w:tr>
        <w:trPr>
          <w:trHeight w:val="355" w:hRule="exact"/>
        </w:trPr>
        <w:tc>
          <w:tcPr>
            <w:tcW w:w="7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sz w:val="21"/>
              </w:rPr>
              <w:t>2 </w:t>
            </w:r>
          </w:p>
        </w:tc>
        <w:tc>
          <w:tcPr>
            <w:tcW w:w="14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余弓卜</w:t>
            </w:r>
            <w:r>
              <w:rPr>
                <w:rFonts w:ascii="宋体" w:hAnsi="宋体" w:cs="宋体" w:eastAsia="宋体" w:hint="default"/>
                <w:sz w:val="21"/>
                <w:szCs w:val="21"/>
              </w:rPr>
              <w:t> </w:t>
            </w:r>
          </w:p>
        </w:tc>
        <w:tc>
          <w:tcPr>
            <w:tcW w:w="17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792" w:right="0"/>
              <w:jc w:val="left"/>
              <w:rPr>
                <w:rFonts w:ascii="Times New Roman" w:hAnsi="Times New Roman" w:cs="Times New Roman" w:eastAsia="Times New Roman" w:hint="default"/>
                <w:sz w:val="21"/>
                <w:szCs w:val="21"/>
              </w:rPr>
            </w:pPr>
            <w:r>
              <w:rPr>
                <w:rFonts w:ascii="Times New Roman"/>
                <w:sz w:val="21"/>
              </w:rPr>
              <w:t>2,962,493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Times New Roman" w:hAnsi="Times New Roman" w:cs="Times New Roman" w:eastAsia="Times New Roman" w:hint="default"/>
                <w:sz w:val="21"/>
                <w:szCs w:val="21"/>
              </w:rPr>
            </w:pPr>
            <w:r>
              <w:rPr>
                <w:rFonts w:ascii="Times New Roman"/>
                <w:spacing w:val="-1"/>
                <w:sz w:val="21"/>
              </w:rPr>
              <w:t>1,471,496</w:t>
            </w:r>
          </w:p>
        </w:tc>
        <w:tc>
          <w:tcPr>
            <w:tcW w:w="1201" w:type="dxa"/>
            <w:vMerge w:val="restart"/>
            <w:tcBorders>
              <w:top w:val="single" w:sz="4" w:space="0" w:color="000000"/>
              <w:left w:val="single" w:sz="4" w:space="0" w:color="000000"/>
              <w:right w:val="single" w:sz="4" w:space="0" w:color="000000"/>
            </w:tcBorders>
          </w:tcPr>
          <w:p>
            <w:pPr>
              <w:pStyle w:val="TableParagraph"/>
              <w:spacing w:line="273" w:lineRule="exact" w:before="45"/>
              <w:ind w:left="101"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pacing w:val="-3"/>
                <w:sz w:val="21"/>
                <w:szCs w:val="21"/>
              </w:rPr>
              <w:t>1</w:t>
            </w:r>
            <w:r>
              <w:rPr>
                <w:rFonts w:ascii="宋体" w:hAnsi="宋体" w:cs="宋体" w:eastAsia="宋体" w:hint="default"/>
                <w:sz w:val="21"/>
                <w:szCs w:val="21"/>
              </w:rPr>
              <w:t> </w:t>
            </w:r>
          </w:p>
          <w:p>
            <w:pPr>
              <w:pStyle w:val="TableParagraph"/>
              <w:spacing w:line="273" w:lineRule="exact"/>
              <w:ind w:left="101" w:right="0"/>
              <w:jc w:val="left"/>
              <w:rPr>
                <w:rFonts w:ascii="宋体" w:hAnsi="宋体" w:cs="宋体" w:eastAsia="宋体" w:hint="default"/>
                <w:sz w:val="21"/>
                <w:szCs w:val="21"/>
              </w:rPr>
            </w:pPr>
            <w:r>
              <w:rPr>
                <w:rFonts w:ascii="宋体"/>
                <w:w w:val="100"/>
                <w:sz w:val="21"/>
              </w:rPr>
              <w:t> </w:t>
            </w:r>
          </w:p>
        </w:tc>
      </w:tr>
      <w:tr>
        <w:trPr>
          <w:trHeight w:val="355" w:hRule="exact"/>
        </w:trPr>
        <w:tc>
          <w:tcPr>
            <w:tcW w:w="720" w:type="dxa"/>
            <w:vMerge/>
            <w:tcBorders>
              <w:left w:val="single" w:sz="4" w:space="0" w:color="000000"/>
              <w:right w:val="single" w:sz="4" w:space="0" w:color="000000"/>
            </w:tcBorders>
          </w:tcPr>
          <w:p>
            <w:pPr/>
          </w:p>
        </w:tc>
        <w:tc>
          <w:tcPr>
            <w:tcW w:w="1457" w:type="dxa"/>
            <w:vMerge/>
            <w:tcBorders>
              <w:left w:val="single" w:sz="4" w:space="0" w:color="000000"/>
              <w:right w:val="single" w:sz="4" w:space="0" w:color="000000"/>
            </w:tcBorders>
          </w:tcPr>
          <w:p>
            <w:pPr/>
          </w:p>
        </w:tc>
        <w:tc>
          <w:tcPr>
            <w:tcW w:w="1745" w:type="dxa"/>
            <w:vMerge/>
            <w:tcBorders>
              <w:left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Times New Roman" w:hAnsi="Times New Roman" w:cs="Times New Roman" w:eastAsia="Times New Roman" w:hint="default"/>
                <w:sz w:val="21"/>
                <w:szCs w:val="21"/>
              </w:rPr>
            </w:pPr>
            <w:r>
              <w:rPr>
                <w:rFonts w:ascii="Times New Roman"/>
                <w:spacing w:val="-1"/>
                <w:sz w:val="21"/>
              </w:rPr>
              <w:t>1,471,497</w:t>
            </w:r>
          </w:p>
        </w:tc>
        <w:tc>
          <w:tcPr>
            <w:tcW w:w="1201" w:type="dxa"/>
            <w:vMerge/>
            <w:tcBorders>
              <w:left w:val="single" w:sz="4" w:space="0" w:color="000000"/>
              <w:bottom w:val="single" w:sz="4" w:space="0" w:color="000000"/>
              <w:right w:val="single" w:sz="4" w:space="0" w:color="000000"/>
            </w:tcBorders>
          </w:tcPr>
          <w:p>
            <w:pPr/>
          </w:p>
        </w:tc>
      </w:tr>
      <w:tr>
        <w:trPr>
          <w:trHeight w:val="355" w:hRule="exact"/>
        </w:trPr>
        <w:tc>
          <w:tcPr>
            <w:tcW w:w="720" w:type="dxa"/>
            <w:vMerge/>
            <w:tcBorders>
              <w:left w:val="single" w:sz="4" w:space="0" w:color="000000"/>
              <w:right w:val="single" w:sz="4" w:space="0" w:color="000000"/>
            </w:tcBorders>
          </w:tcPr>
          <w:p>
            <w:pPr/>
          </w:p>
        </w:tc>
        <w:tc>
          <w:tcPr>
            <w:tcW w:w="1457" w:type="dxa"/>
            <w:vMerge/>
            <w:tcBorders>
              <w:left w:val="single" w:sz="4" w:space="0" w:color="000000"/>
              <w:right w:val="single" w:sz="4" w:space="0" w:color="000000"/>
            </w:tcBorders>
          </w:tcPr>
          <w:p>
            <w:pPr/>
          </w:p>
        </w:tc>
        <w:tc>
          <w:tcPr>
            <w:tcW w:w="1745" w:type="dxa"/>
            <w:vMerge/>
            <w:tcBorders>
              <w:left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Times New Roman" w:hAnsi="Times New Roman" w:cs="Times New Roman" w:eastAsia="Times New Roman" w:hint="default"/>
                <w:sz w:val="21"/>
                <w:szCs w:val="21"/>
              </w:rPr>
            </w:pPr>
            <w:r>
              <w:rPr>
                <w:rFonts w:ascii="Times New Roman"/>
                <w:sz w:val="21"/>
              </w:rPr>
              <w:t>19,500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1"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pacing w:val="-3"/>
                <w:sz w:val="21"/>
                <w:szCs w:val="21"/>
              </w:rPr>
              <w:t>2</w:t>
            </w:r>
            <w:r>
              <w:rPr>
                <w:rFonts w:ascii="宋体" w:hAnsi="宋体" w:cs="宋体" w:eastAsia="宋体" w:hint="default"/>
                <w:sz w:val="21"/>
                <w:szCs w:val="21"/>
              </w:rPr>
              <w:t> </w:t>
            </w:r>
          </w:p>
        </w:tc>
      </w:tr>
      <w:tr>
        <w:trPr>
          <w:trHeight w:val="355" w:hRule="exact"/>
        </w:trPr>
        <w:tc>
          <w:tcPr>
            <w:tcW w:w="720" w:type="dxa"/>
            <w:vMerge/>
            <w:tcBorders>
              <w:left w:val="single" w:sz="4" w:space="0" w:color="000000"/>
              <w:bottom w:val="single" w:sz="4" w:space="0" w:color="000000"/>
              <w:right w:val="single" w:sz="4" w:space="0" w:color="000000"/>
            </w:tcBorders>
          </w:tcPr>
          <w:p>
            <w:pPr/>
          </w:p>
        </w:tc>
        <w:tc>
          <w:tcPr>
            <w:tcW w:w="1457" w:type="dxa"/>
            <w:vMerge/>
            <w:tcBorders>
              <w:left w:val="single" w:sz="4" w:space="0" w:color="000000"/>
              <w:bottom w:val="single" w:sz="4" w:space="0" w:color="000000"/>
              <w:right w:val="single" w:sz="4" w:space="0" w:color="000000"/>
            </w:tcBorders>
          </w:tcPr>
          <w:p>
            <w:pPr/>
          </w:p>
        </w:tc>
        <w:tc>
          <w:tcPr>
            <w:tcW w:w="1745" w:type="dxa"/>
            <w:vMerge/>
            <w:tcBorders>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Times New Roman" w:hAnsi="Times New Roman" w:cs="Times New Roman" w:eastAsia="Times New Roman" w:hint="default"/>
                <w:sz w:val="21"/>
                <w:szCs w:val="21"/>
              </w:rPr>
            </w:pPr>
            <w:r>
              <w:rPr>
                <w:rFonts w:ascii="Times New Roman"/>
                <w:spacing w:val="-1"/>
                <w:sz w:val="21"/>
              </w:rPr>
              <w:t>2,962,493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1" w:right="0"/>
              <w:jc w:val="left"/>
              <w:rPr>
                <w:rFonts w:ascii="宋体" w:hAnsi="宋体" w:cs="宋体" w:eastAsia="宋体" w:hint="default"/>
                <w:sz w:val="21"/>
                <w:szCs w:val="21"/>
              </w:rPr>
            </w:pPr>
            <w:r>
              <w:rPr>
                <w:rFonts w:ascii="宋体"/>
                <w:w w:val="100"/>
                <w:sz w:val="21"/>
              </w:rPr>
              <w:t> </w:t>
            </w:r>
          </w:p>
        </w:tc>
      </w:tr>
      <w:tr>
        <w:trPr>
          <w:trHeight w:val="355" w:hRule="exact"/>
        </w:trPr>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sz w:val="21"/>
              </w:rPr>
              <w:t>3 </w:t>
            </w:r>
          </w:p>
        </w:tc>
        <w:tc>
          <w:tcPr>
            <w:tcW w:w="145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成海林</w:t>
            </w:r>
            <w:r>
              <w:rPr>
                <w:rFonts w:ascii="宋体" w:hAnsi="宋体" w:cs="宋体" w:eastAsia="宋体" w:hint="default"/>
                <w:sz w:val="21"/>
                <w:szCs w:val="21"/>
              </w:rPr>
              <w:t> </w:t>
            </w:r>
          </w:p>
        </w:tc>
        <w:tc>
          <w:tcPr>
            <w:tcW w:w="17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left="792" w:right="0"/>
              <w:jc w:val="left"/>
              <w:rPr>
                <w:rFonts w:ascii="Times New Roman" w:hAnsi="Times New Roman" w:cs="Times New Roman" w:eastAsia="Times New Roman" w:hint="default"/>
                <w:sz w:val="21"/>
                <w:szCs w:val="21"/>
              </w:rPr>
            </w:pPr>
            <w:r>
              <w:rPr>
                <w:rFonts w:ascii="Times New Roman"/>
                <w:sz w:val="21"/>
              </w:rPr>
              <w:t>1,578,128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Times New Roman" w:hAnsi="Times New Roman" w:cs="Times New Roman" w:eastAsia="Times New Roman" w:hint="default"/>
                <w:sz w:val="21"/>
                <w:szCs w:val="21"/>
              </w:rPr>
            </w:pPr>
            <w:r>
              <w:rPr>
                <w:rFonts w:ascii="Times New Roman"/>
                <w:spacing w:val="-1"/>
                <w:sz w:val="21"/>
              </w:rPr>
              <w:t>789,064</w:t>
            </w:r>
          </w:p>
        </w:tc>
        <w:tc>
          <w:tcPr>
            <w:tcW w:w="1201" w:type="dxa"/>
            <w:vMerge w:val="restart"/>
            <w:tcBorders>
              <w:top w:val="single" w:sz="4" w:space="0" w:color="000000"/>
              <w:left w:val="single" w:sz="4" w:space="0" w:color="000000"/>
              <w:right w:val="single" w:sz="4" w:space="0" w:color="000000"/>
            </w:tcBorders>
          </w:tcPr>
          <w:p>
            <w:pPr>
              <w:pStyle w:val="TableParagraph"/>
              <w:spacing w:line="240" w:lineRule="auto" w:before="179"/>
              <w:ind w:left="101"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pacing w:val="-3"/>
                <w:sz w:val="21"/>
                <w:szCs w:val="21"/>
              </w:rPr>
              <w:t>1</w:t>
            </w:r>
            <w:r>
              <w:rPr>
                <w:rFonts w:ascii="宋体" w:hAnsi="宋体" w:cs="宋体" w:eastAsia="宋体" w:hint="default"/>
                <w:sz w:val="21"/>
                <w:szCs w:val="21"/>
              </w:rPr>
              <w:t> </w:t>
            </w:r>
          </w:p>
        </w:tc>
      </w:tr>
      <w:tr>
        <w:trPr>
          <w:trHeight w:val="356" w:hRule="exact"/>
        </w:trPr>
        <w:tc>
          <w:tcPr>
            <w:tcW w:w="720" w:type="dxa"/>
            <w:vMerge/>
            <w:tcBorders>
              <w:left w:val="single" w:sz="4" w:space="0" w:color="000000"/>
              <w:right w:val="single" w:sz="4" w:space="0" w:color="000000"/>
            </w:tcBorders>
          </w:tcPr>
          <w:p>
            <w:pPr/>
          </w:p>
        </w:tc>
        <w:tc>
          <w:tcPr>
            <w:tcW w:w="1457" w:type="dxa"/>
            <w:vMerge/>
            <w:tcBorders>
              <w:left w:val="single" w:sz="4" w:space="0" w:color="000000"/>
              <w:right w:val="single" w:sz="4" w:space="0" w:color="000000"/>
            </w:tcBorders>
          </w:tcPr>
          <w:p>
            <w:pPr/>
          </w:p>
        </w:tc>
        <w:tc>
          <w:tcPr>
            <w:tcW w:w="1745" w:type="dxa"/>
            <w:vMerge/>
            <w:tcBorders>
              <w:left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Times New Roman" w:hAnsi="Times New Roman" w:cs="Times New Roman" w:eastAsia="Times New Roman" w:hint="default"/>
                <w:sz w:val="21"/>
                <w:szCs w:val="21"/>
              </w:rPr>
            </w:pPr>
            <w:r>
              <w:rPr>
                <w:rFonts w:ascii="Times New Roman"/>
                <w:spacing w:val="-1"/>
                <w:sz w:val="21"/>
              </w:rPr>
              <w:t>789,064</w:t>
            </w:r>
          </w:p>
        </w:tc>
        <w:tc>
          <w:tcPr>
            <w:tcW w:w="1201" w:type="dxa"/>
            <w:vMerge/>
            <w:tcBorders>
              <w:left w:val="single" w:sz="4" w:space="0" w:color="000000"/>
              <w:bottom w:val="single" w:sz="4" w:space="0" w:color="000000"/>
              <w:right w:val="single" w:sz="4" w:space="0" w:color="000000"/>
            </w:tcBorders>
          </w:tcPr>
          <w:p>
            <w:pPr/>
          </w:p>
        </w:tc>
      </w:tr>
      <w:tr>
        <w:trPr>
          <w:trHeight w:val="355" w:hRule="exact"/>
        </w:trPr>
        <w:tc>
          <w:tcPr>
            <w:tcW w:w="720" w:type="dxa"/>
            <w:vMerge/>
            <w:tcBorders>
              <w:left w:val="single" w:sz="4" w:space="0" w:color="000000"/>
              <w:bottom w:val="single" w:sz="4" w:space="0" w:color="000000"/>
              <w:right w:val="single" w:sz="4" w:space="0" w:color="000000"/>
            </w:tcBorders>
          </w:tcPr>
          <w:p>
            <w:pPr/>
          </w:p>
        </w:tc>
        <w:tc>
          <w:tcPr>
            <w:tcW w:w="1457" w:type="dxa"/>
            <w:vMerge/>
            <w:tcBorders>
              <w:left w:val="single" w:sz="4" w:space="0" w:color="000000"/>
              <w:bottom w:val="single" w:sz="4" w:space="0" w:color="000000"/>
              <w:right w:val="single" w:sz="4" w:space="0" w:color="000000"/>
            </w:tcBorders>
          </w:tcPr>
          <w:p>
            <w:pPr/>
          </w:p>
        </w:tc>
        <w:tc>
          <w:tcPr>
            <w:tcW w:w="1745" w:type="dxa"/>
            <w:vMerge/>
            <w:tcBorders>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Times New Roman" w:hAnsi="Times New Roman" w:cs="Times New Roman" w:eastAsia="Times New Roman" w:hint="default"/>
                <w:sz w:val="21"/>
                <w:szCs w:val="21"/>
              </w:rPr>
            </w:pPr>
            <w:r>
              <w:rPr>
                <w:rFonts w:ascii="Times New Roman"/>
                <w:spacing w:val="-1"/>
                <w:sz w:val="21"/>
              </w:rPr>
              <w:t>1,578,128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1" w:right="0"/>
              <w:jc w:val="left"/>
              <w:rPr>
                <w:rFonts w:ascii="宋体" w:hAnsi="宋体" w:cs="宋体" w:eastAsia="宋体" w:hint="default"/>
                <w:sz w:val="21"/>
                <w:szCs w:val="21"/>
              </w:rPr>
            </w:pPr>
            <w:r>
              <w:rPr>
                <w:rFonts w:ascii="宋体"/>
                <w:w w:val="100"/>
                <w:sz w:val="21"/>
              </w:rPr>
              <w:t> </w:t>
            </w:r>
          </w:p>
        </w:tc>
      </w:tr>
      <w:tr>
        <w:trPr>
          <w:trHeight w:val="355"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sz w:val="21"/>
              </w:rPr>
              <w:t>4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杨剑</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Times New Roman" w:hAnsi="Times New Roman" w:cs="Times New Roman" w:eastAsia="Times New Roman" w:hint="default"/>
                <w:sz w:val="21"/>
                <w:szCs w:val="21"/>
              </w:rPr>
            </w:pPr>
            <w:r>
              <w:rPr>
                <w:rFonts w:ascii="Times New Roman"/>
                <w:spacing w:val="-1"/>
                <w:sz w:val="21"/>
              </w:rPr>
              <w:t>1,170,000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Times New Roman" w:hAnsi="Times New Roman" w:cs="Times New Roman" w:eastAsia="Times New Roman" w:hint="default"/>
                <w:sz w:val="21"/>
                <w:szCs w:val="21"/>
              </w:rPr>
            </w:pPr>
            <w:r>
              <w:rPr>
                <w:rFonts w:ascii="Times New Roman"/>
                <w:spacing w:val="-1"/>
                <w:sz w:val="21"/>
              </w:rPr>
              <w:t>1,170,000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1"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pacing w:val="-3"/>
                <w:sz w:val="21"/>
                <w:szCs w:val="21"/>
              </w:rPr>
              <w:t>2</w:t>
            </w:r>
            <w:r>
              <w:rPr>
                <w:rFonts w:ascii="宋体" w:hAnsi="宋体" w:cs="宋体" w:eastAsia="宋体" w:hint="default"/>
                <w:sz w:val="21"/>
                <w:szCs w:val="21"/>
              </w:rPr>
              <w:t> </w:t>
            </w:r>
          </w:p>
        </w:tc>
      </w:tr>
      <w:tr>
        <w:trPr>
          <w:trHeight w:val="355"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sz w:val="21"/>
              </w:rPr>
              <w:t>5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涂彦彬</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Times New Roman" w:hAnsi="Times New Roman" w:cs="Times New Roman" w:eastAsia="Times New Roman" w:hint="default"/>
                <w:sz w:val="21"/>
                <w:szCs w:val="21"/>
              </w:rPr>
            </w:pPr>
            <w:r>
              <w:rPr>
                <w:rFonts w:ascii="Times New Roman"/>
                <w:spacing w:val="-1"/>
                <w:sz w:val="21"/>
              </w:rPr>
              <w:t>195,000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Times New Roman" w:hAnsi="Times New Roman" w:cs="Times New Roman" w:eastAsia="Times New Roman" w:hint="default"/>
                <w:sz w:val="21"/>
                <w:szCs w:val="21"/>
              </w:rPr>
            </w:pPr>
            <w:r>
              <w:rPr>
                <w:rFonts w:ascii="Times New Roman"/>
                <w:spacing w:val="-1"/>
                <w:sz w:val="21"/>
              </w:rPr>
              <w:t>195,000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1"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pacing w:val="-3"/>
                <w:sz w:val="21"/>
                <w:szCs w:val="21"/>
              </w:rPr>
              <w:t>2</w:t>
            </w:r>
            <w:r>
              <w:rPr>
                <w:rFonts w:ascii="宋体" w:hAnsi="宋体" w:cs="宋体" w:eastAsia="宋体" w:hint="default"/>
                <w:sz w:val="21"/>
                <w:szCs w:val="21"/>
              </w:rPr>
              <w:t> </w:t>
            </w:r>
          </w:p>
        </w:tc>
      </w:tr>
      <w:tr>
        <w:trPr>
          <w:trHeight w:val="355"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sz w:val="21"/>
              </w:rPr>
              <w:t>6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曾智杰</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195,000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195,000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1"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pacing w:val="-3"/>
                <w:sz w:val="21"/>
                <w:szCs w:val="21"/>
              </w:rPr>
              <w:t>2</w:t>
            </w:r>
            <w:r>
              <w:rPr>
                <w:rFonts w:ascii="宋体" w:hAnsi="宋体" w:cs="宋体" w:eastAsia="宋体" w:hint="default"/>
                <w:sz w:val="21"/>
                <w:szCs w:val="21"/>
              </w:rPr>
              <w:t> </w:t>
            </w:r>
          </w:p>
        </w:tc>
      </w:tr>
      <w:tr>
        <w:trPr>
          <w:trHeight w:val="355"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sz w:val="21"/>
              </w:rPr>
              <w:t>7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杨骏</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195,000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195,000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1"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pacing w:val="-3"/>
                <w:sz w:val="21"/>
                <w:szCs w:val="21"/>
              </w:rPr>
              <w:t>2</w:t>
            </w:r>
            <w:r>
              <w:rPr>
                <w:rFonts w:ascii="宋体" w:hAnsi="宋体" w:cs="宋体" w:eastAsia="宋体" w:hint="default"/>
                <w:sz w:val="21"/>
                <w:szCs w:val="21"/>
              </w:rPr>
              <w:t> </w:t>
            </w:r>
          </w:p>
        </w:tc>
      </w:tr>
      <w:tr>
        <w:trPr>
          <w:trHeight w:val="35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sz w:val="21"/>
              </w:rPr>
              <w:t>8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熊必成</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167,000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167,000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1"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pacing w:val="-3"/>
                <w:sz w:val="21"/>
                <w:szCs w:val="21"/>
              </w:rPr>
              <w:t>2</w:t>
            </w:r>
            <w:r>
              <w:rPr>
                <w:rFonts w:ascii="宋体" w:hAnsi="宋体" w:cs="宋体" w:eastAsia="宋体" w:hint="default"/>
                <w:sz w:val="21"/>
                <w:szCs w:val="21"/>
              </w:rPr>
              <w:t> </w:t>
            </w:r>
          </w:p>
        </w:tc>
      </w:tr>
      <w:tr>
        <w:trPr>
          <w:trHeight w:val="355"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sz w:val="21"/>
              </w:rPr>
              <w:t>9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查安东</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Times New Roman" w:hAnsi="Times New Roman" w:cs="Times New Roman" w:eastAsia="Times New Roman" w:hint="default"/>
                <w:sz w:val="21"/>
                <w:szCs w:val="21"/>
              </w:rPr>
            </w:pPr>
            <w:r>
              <w:rPr>
                <w:rFonts w:ascii="Times New Roman"/>
                <w:spacing w:val="-1"/>
                <w:sz w:val="21"/>
              </w:rPr>
              <w:t>164,000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Times New Roman" w:hAnsi="Times New Roman" w:cs="Times New Roman" w:eastAsia="Times New Roman" w:hint="default"/>
                <w:sz w:val="21"/>
                <w:szCs w:val="21"/>
              </w:rPr>
            </w:pPr>
            <w:r>
              <w:rPr>
                <w:rFonts w:ascii="Times New Roman"/>
                <w:spacing w:val="-1"/>
                <w:sz w:val="21"/>
              </w:rPr>
              <w:t>164,000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1"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pacing w:val="-3"/>
                <w:sz w:val="21"/>
                <w:szCs w:val="21"/>
              </w:rPr>
              <w:t>2</w:t>
            </w:r>
            <w:r>
              <w:rPr>
                <w:rFonts w:ascii="宋体" w:hAnsi="宋体" w:cs="宋体" w:eastAsia="宋体" w:hint="default"/>
                <w:sz w:val="21"/>
                <w:szCs w:val="21"/>
              </w:rPr>
              <w:t> </w:t>
            </w:r>
          </w:p>
        </w:tc>
      </w:tr>
      <w:tr>
        <w:trPr>
          <w:trHeight w:val="355"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sz w:val="21"/>
              </w:rPr>
              <w:t>10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宋体" w:hAnsi="宋体" w:cs="宋体" w:eastAsia="宋体" w:hint="default"/>
                <w:sz w:val="21"/>
                <w:szCs w:val="21"/>
              </w:rPr>
              <w:t>齐福海</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Times New Roman" w:hAnsi="Times New Roman" w:cs="Times New Roman" w:eastAsia="Times New Roman" w:hint="default"/>
                <w:sz w:val="21"/>
                <w:szCs w:val="21"/>
              </w:rPr>
            </w:pPr>
            <w:r>
              <w:rPr>
                <w:rFonts w:ascii="Times New Roman"/>
                <w:spacing w:val="-1"/>
                <w:sz w:val="21"/>
              </w:rPr>
              <w:t>156,300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Times New Roman" w:hAnsi="Times New Roman" w:cs="Times New Roman" w:eastAsia="Times New Roman" w:hint="default"/>
                <w:sz w:val="21"/>
                <w:szCs w:val="21"/>
              </w:rPr>
            </w:pPr>
            <w:r>
              <w:rPr>
                <w:rFonts w:ascii="Times New Roman"/>
                <w:spacing w:val="-1"/>
                <w:sz w:val="21"/>
              </w:rPr>
              <w:t>156,300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1"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pacing w:val="-3"/>
                <w:sz w:val="21"/>
                <w:szCs w:val="21"/>
              </w:rPr>
              <w:t>2</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type w:val="continuous"/>
          <w:pgSz w:w="11910" w:h="16840"/>
          <w:pgMar w:top="1120" w:bottom="1380" w:left="1060" w:right="1560"/>
        </w:sectPr>
      </w:pPr>
    </w:p>
    <w:p>
      <w:pPr>
        <w:spacing w:line="240" w:lineRule="auto" w:before="3"/>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177"/>
        <w:gridCol w:w="6873"/>
      </w:tblGrid>
      <w:tr>
        <w:trPr>
          <w:trHeight w:val="555"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或一致行动的说明</w:t>
            </w:r>
            <w:r>
              <w:rPr>
                <w:rFonts w:ascii="宋体" w:hAnsi="宋体" w:cs="宋体" w:eastAsia="宋体" w:hint="default"/>
                <w:sz w:val="21"/>
                <w:szCs w:val="21"/>
              </w:rPr>
              <w:t> </w:t>
            </w:r>
          </w:p>
        </w:tc>
        <w:tc>
          <w:tcPr>
            <w:tcW w:w="6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股东之间不存在关联关系或不属于一致行动人。</w:t>
            </w:r>
            <w:r>
              <w:rPr>
                <w:rFonts w:ascii="宋体" w:hAnsi="宋体" w:cs="宋体" w:eastAsia="宋体" w:hint="default"/>
                <w:sz w:val="21"/>
                <w:szCs w:val="21"/>
              </w:rPr>
              <w:t> </w:t>
            </w:r>
          </w:p>
        </w:tc>
      </w:tr>
    </w:tbl>
    <w:p>
      <w:pPr>
        <w:pStyle w:val="BodyText"/>
        <w:spacing w:line="240" w:lineRule="exact"/>
        <w:ind w:left="216" w:right="0"/>
        <w:jc w:val="left"/>
        <w:rPr>
          <w:rFonts w:ascii="宋体" w:hAnsi="宋体" w:cs="宋体" w:eastAsia="宋体" w:hint="default"/>
        </w:rPr>
      </w:pPr>
      <w:r>
        <w:rPr/>
        <w:t>注</w:t>
      </w:r>
      <w:r>
        <w:rPr>
          <w:spacing w:val="8"/>
        </w:rPr>
        <w:t> </w:t>
      </w:r>
      <w:r>
        <w:rPr>
          <w:rFonts w:ascii="宋体" w:hAnsi="宋体" w:cs="宋体" w:eastAsia="宋体" w:hint="default"/>
          <w:spacing w:val="-2"/>
        </w:rPr>
        <w:t>1</w:t>
      </w:r>
      <w:r>
        <w:rPr>
          <w:spacing w:val="-2"/>
        </w:rPr>
        <w:t>：《上市公司重大资产重组管理办法》相关规定、协议双方约定和其承诺；</w:t>
      </w:r>
      <w:r>
        <w:rPr>
          <w:rFonts w:ascii="宋体" w:hAnsi="宋体" w:cs="宋体" w:eastAsia="宋体" w:hint="default"/>
        </w:rPr>
        <w:t> </w:t>
      </w:r>
    </w:p>
    <w:p>
      <w:pPr>
        <w:pStyle w:val="BodyText"/>
        <w:spacing w:line="269" w:lineRule="exact"/>
        <w:ind w:left="216" w:right="0"/>
        <w:jc w:val="left"/>
        <w:rPr>
          <w:rFonts w:ascii="宋体" w:hAnsi="宋体" w:cs="宋体" w:eastAsia="宋体" w:hint="default"/>
          <w:sz w:val="24"/>
          <w:szCs w:val="24"/>
        </w:rPr>
      </w:pPr>
      <w:r>
        <w:rPr/>
        <w:t>注</w:t>
      </w:r>
      <w:r>
        <w:rPr>
          <w:spacing w:val="-57"/>
        </w:rPr>
        <w:t> </w:t>
      </w:r>
      <w:r>
        <w:rPr>
          <w:rFonts w:ascii="宋体" w:hAnsi="宋体" w:cs="宋体" w:eastAsia="宋体" w:hint="default"/>
        </w:rPr>
        <w:t>2</w:t>
      </w:r>
      <w:r>
        <w:rPr/>
        <w:t>：《限制性股票激励计划》相关规定。</w:t>
      </w:r>
      <w:r>
        <w:rPr>
          <w:rFonts w:ascii="宋体" w:hAnsi="宋体" w:cs="宋体" w:eastAsia="宋体" w:hint="default"/>
          <w:sz w:val="24"/>
          <w:szCs w:val="24"/>
        </w:rPr>
        <w:t> </w:t>
      </w:r>
    </w:p>
    <w:p>
      <w:pPr>
        <w:pStyle w:val="Heading3"/>
        <w:spacing w:line="309" w:lineRule="exact"/>
        <w:ind w:right="0"/>
        <w:jc w:val="left"/>
        <w:rPr>
          <w:rFonts w:ascii="宋体" w:hAnsi="宋体" w:cs="宋体" w:eastAsia="宋体" w:hint="default"/>
        </w:rPr>
      </w:pPr>
      <w:r>
        <w:rPr>
          <w:rFonts w:ascii="宋体"/>
        </w:rPr>
        <w:t> </w:t>
      </w:r>
    </w:p>
    <w:p>
      <w:pPr>
        <w:pStyle w:val="Heading5"/>
        <w:tabs>
          <w:tab w:pos="783" w:val="left" w:leader="none"/>
        </w:tabs>
        <w:spacing w:line="240" w:lineRule="auto"/>
        <w:ind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3"/>
        </w:rPr>
        <w:t> </w:t>
      </w:r>
      <w:r>
        <w:rPr/>
        <w:t>名股东</w:t>
      </w:r>
      <w:r>
        <w:rPr>
          <w:b w:val="0"/>
          <w:bCs w:val="0"/>
        </w:rPr>
      </w:r>
    </w:p>
    <w:p>
      <w:pPr>
        <w:pStyle w:val="Heading3"/>
        <w:spacing w:line="240" w:lineRule="auto" w:before="23"/>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216" w:type="dxa"/>
        <w:tblLayout w:type="fixed"/>
        <w:tblCellMar>
          <w:top w:w="0" w:type="dxa"/>
          <w:left w:w="0" w:type="dxa"/>
          <w:bottom w:w="0" w:type="dxa"/>
          <w:right w:w="0" w:type="dxa"/>
        </w:tblCellMar>
        <w:tblLook w:val="01E0"/>
      </w:tblPr>
      <w:tblGrid>
        <w:gridCol w:w="3116"/>
        <w:gridCol w:w="2765"/>
        <w:gridCol w:w="2943"/>
      </w:tblGrid>
      <w:tr>
        <w:trPr>
          <w:trHeight w:val="283"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5" w:right="0"/>
              <w:jc w:val="left"/>
              <w:rPr>
                <w:rFonts w:ascii="宋体" w:hAnsi="宋体" w:cs="宋体" w:eastAsia="宋体" w:hint="default"/>
                <w:sz w:val="21"/>
                <w:szCs w:val="21"/>
              </w:rPr>
            </w:pPr>
            <w:r>
              <w:rPr>
                <w:rFonts w:ascii="宋体" w:hAnsi="宋体" w:cs="宋体" w:eastAsia="宋体" w:hint="default"/>
                <w:sz w:val="21"/>
                <w:szCs w:val="21"/>
              </w:rPr>
              <w:t>战略投资者或一般法人的名称</w:t>
            </w:r>
            <w:r>
              <w:rPr>
                <w:rFonts w:ascii="宋体" w:hAnsi="宋体" w:cs="宋体" w:eastAsia="宋体" w:hint="default"/>
                <w:sz w:val="21"/>
                <w:szCs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5" w:right="0"/>
              <w:jc w:val="left"/>
              <w:rPr>
                <w:rFonts w:ascii="宋体" w:hAnsi="宋体" w:cs="宋体" w:eastAsia="宋体" w:hint="default"/>
                <w:sz w:val="21"/>
                <w:szCs w:val="21"/>
              </w:rPr>
            </w:pPr>
            <w:r>
              <w:rPr>
                <w:rFonts w:ascii="宋体" w:hAnsi="宋体" w:cs="宋体" w:eastAsia="宋体" w:hint="default"/>
                <w:sz w:val="21"/>
                <w:szCs w:val="21"/>
              </w:rPr>
              <w:t>约定持股起始日期</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4" w:right="0"/>
              <w:jc w:val="left"/>
              <w:rPr>
                <w:rFonts w:ascii="宋体" w:hAnsi="宋体" w:cs="宋体" w:eastAsia="宋体" w:hint="default"/>
                <w:sz w:val="21"/>
                <w:szCs w:val="21"/>
              </w:rPr>
            </w:pPr>
            <w:r>
              <w:rPr>
                <w:rFonts w:ascii="宋体" w:hAnsi="宋体" w:cs="宋体" w:eastAsia="宋体" w:hint="default"/>
                <w:sz w:val="21"/>
                <w:szCs w:val="21"/>
              </w:rPr>
              <w:t>约定持股终止日期</w:t>
            </w:r>
            <w:r>
              <w:rPr>
                <w:rFonts w:ascii="宋体" w:hAnsi="宋体" w:cs="宋体" w:eastAsia="宋体" w:hint="default"/>
                <w:sz w:val="21"/>
                <w:szCs w:val="21"/>
              </w:rPr>
              <w:t> </w:t>
            </w:r>
          </w:p>
        </w:tc>
      </w:tr>
      <w:tr>
        <w:trPr>
          <w:trHeight w:val="281"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中国海外控股集团有限公司</w:t>
            </w:r>
            <w:r>
              <w:rPr>
                <w:rFonts w:ascii="宋体" w:hAnsi="宋体" w:cs="宋体" w:eastAsia="宋体" w:hint="default"/>
                <w:sz w:val="21"/>
                <w:szCs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2015-07-07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2018-07-06 </w:t>
            </w:r>
          </w:p>
        </w:tc>
      </w:tr>
      <w:tr>
        <w:trPr>
          <w:trHeight w:val="828"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04"/>
              <w:jc w:val="left"/>
              <w:rPr>
                <w:rFonts w:ascii="宋体" w:hAnsi="宋体" w:cs="宋体" w:eastAsia="宋体" w:hint="default"/>
                <w:sz w:val="21"/>
                <w:szCs w:val="21"/>
              </w:rPr>
            </w:pPr>
            <w:r>
              <w:rPr>
                <w:rFonts w:ascii="宋体" w:hAnsi="宋体" w:cs="宋体" w:eastAsia="宋体" w:hint="default"/>
                <w:spacing w:val="10"/>
                <w:sz w:val="21"/>
                <w:szCs w:val="21"/>
              </w:rPr>
              <w:t>战略投资者或一般法人参与配</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售新股约定持股期限的说明</w:t>
            </w:r>
            <w:r>
              <w:rPr>
                <w:rFonts w:ascii="宋体" w:hAnsi="宋体" w:cs="宋体" w:eastAsia="宋体" w:hint="default"/>
                <w:sz w:val="21"/>
                <w:szCs w:val="21"/>
              </w:rPr>
              <w:t> </w:t>
            </w:r>
          </w:p>
        </w:tc>
        <w:tc>
          <w:tcPr>
            <w:tcW w:w="5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7"/>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7</w:t>
            </w:r>
            <w:r>
              <w:rPr>
                <w:rFonts w:ascii="宋体" w:hAnsi="宋体" w:cs="宋体" w:eastAsia="宋体" w:hint="default"/>
                <w:spacing w:val="-42"/>
                <w:sz w:val="21"/>
                <w:szCs w:val="21"/>
              </w:rPr>
              <w:t> </w:t>
            </w:r>
            <w:r>
              <w:rPr>
                <w:rFonts w:ascii="宋体" w:hAnsi="宋体" w:cs="宋体" w:eastAsia="宋体" w:hint="default"/>
                <w:spacing w:val="-7"/>
                <w:sz w:val="21"/>
                <w:szCs w:val="21"/>
              </w:rPr>
              <w:t>月，公司完成非公开发行股票事项，根据相关规定，</w:t>
            </w:r>
          </w:p>
          <w:p>
            <w:pPr>
              <w:pStyle w:val="TableParagraph"/>
              <w:spacing w:line="272" w:lineRule="exact" w:before="26"/>
              <w:ind w:left="100" w:right="-5"/>
              <w:jc w:val="left"/>
              <w:rPr>
                <w:rFonts w:ascii="宋体" w:hAnsi="宋体" w:cs="宋体" w:eastAsia="宋体" w:hint="default"/>
                <w:sz w:val="21"/>
                <w:szCs w:val="21"/>
              </w:rPr>
            </w:pPr>
            <w:r>
              <w:rPr>
                <w:rFonts w:ascii="宋体" w:hAnsi="宋体" w:cs="宋体" w:eastAsia="宋体" w:hint="default"/>
                <w:spacing w:val="-4"/>
                <w:sz w:val="21"/>
                <w:szCs w:val="21"/>
              </w:rPr>
              <w:t>本次非公开行股票认购对象锁定期限为三年。截至报告期末，</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上述战略投资者持有的股份数已全部解禁。</w:t>
            </w:r>
            <w:r>
              <w:rPr>
                <w:rFonts w:ascii="宋体" w:hAnsi="宋体" w:cs="宋体" w:eastAsia="宋体" w:hint="default"/>
                <w:sz w:val="21"/>
                <w:szCs w:val="21"/>
              </w:rPr>
              <w:t> </w:t>
            </w:r>
          </w:p>
        </w:tc>
      </w:tr>
    </w:tbl>
    <w:p>
      <w:pPr>
        <w:pStyle w:val="Heading3"/>
        <w:spacing w:line="274" w:lineRule="exact"/>
        <w:ind w:right="0"/>
        <w:jc w:val="left"/>
        <w:rPr>
          <w:rFonts w:ascii="宋体" w:hAnsi="宋体" w:cs="宋体" w:eastAsia="宋体" w:hint="default"/>
        </w:rPr>
      </w:pPr>
      <w:r>
        <w:rPr>
          <w:rFonts w:ascii="宋体"/>
        </w:rPr>
        <w:t> </w:t>
      </w:r>
    </w:p>
    <w:p>
      <w:pPr>
        <w:pStyle w:val="Heading5"/>
        <w:spacing w:line="240" w:lineRule="auto"/>
        <w:ind w:right="0"/>
        <w:jc w:val="left"/>
        <w:rPr>
          <w:b w:val="0"/>
          <w:bCs w:val="0"/>
        </w:rPr>
      </w:pPr>
      <w:r>
        <w:rPr/>
        <w:t>四、</w:t>
      </w:r>
      <w:r>
        <w:rPr>
          <w:spacing w:val="-78"/>
        </w:rPr>
        <w:t> </w:t>
      </w:r>
      <w:r>
        <w:rPr>
          <w:rFonts w:ascii="宋体" w:hAnsi="宋体" w:cs="宋体" w:eastAsia="宋体" w:hint="default"/>
          <w:spacing w:val="-78"/>
        </w:rPr>
      </w:r>
      <w:r>
        <w:rPr/>
        <w:t>控股股东及实际控制人情况</w:t>
      </w:r>
      <w:r>
        <w:rPr>
          <w:b w:val="0"/>
          <w:bCs w:val="0"/>
        </w:rPr>
      </w:r>
    </w:p>
    <w:p>
      <w:pPr>
        <w:pStyle w:val="Heading5"/>
        <w:tabs>
          <w:tab w:pos="637" w:val="left" w:leader="none"/>
        </w:tabs>
        <w:spacing w:line="266" w:lineRule="auto" w:before="56"/>
        <w:ind w:right="7379"/>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27"/>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tabs>
          <w:tab w:pos="63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2</w:t>
        <w:tab/>
      </w:r>
      <w:r>
        <w:rPr/>
        <w:t>自然人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tabs>
          <w:tab w:pos="63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3</w:t>
        <w:tab/>
      </w:r>
      <w:r>
        <w:rPr/>
        <w:t>公司不存在控股股东情况的特别说明</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37" w:lineRule="auto" w:before="4"/>
        <w:ind w:left="216" w:right="0" w:firstLine="480"/>
        <w:jc w:val="left"/>
        <w:rPr>
          <w:rFonts w:ascii="宋体" w:hAnsi="宋体" w:cs="宋体" w:eastAsia="宋体" w:hint="default"/>
        </w:rPr>
      </w:pPr>
      <w:r>
        <w:rPr>
          <w:spacing w:val="-3"/>
        </w:rPr>
        <w:t>截至报告期末，公司第一大股东同方股份持有公司股份 </w:t>
      </w:r>
      <w:r>
        <w:rPr>
          <w:rFonts w:ascii="宋体" w:hAnsi="宋体" w:cs="宋体" w:eastAsia="宋体" w:hint="default"/>
        </w:rPr>
        <w:t>167,315,574</w:t>
      </w:r>
      <w:r>
        <w:rPr>
          <w:rFonts w:ascii="宋体" w:hAnsi="宋体" w:cs="宋体" w:eastAsia="宋体" w:hint="default"/>
          <w:spacing w:val="-75"/>
        </w:rPr>
        <w:t> </w:t>
      </w:r>
      <w:r>
        <w:rPr>
          <w:spacing w:val="-5"/>
        </w:rPr>
        <w:t>股，占公司股份总数的</w:t>
      </w:r>
      <w:r>
        <w:rPr>
          <w:rFonts w:ascii="宋体" w:hAnsi="宋体" w:cs="宋体" w:eastAsia="宋体" w:hint="default"/>
          <w:w w:val="100"/>
        </w:rPr>
        <w:t> </w:t>
      </w:r>
      <w:r>
        <w:rPr>
          <w:rFonts w:ascii="宋体" w:hAnsi="宋体" w:cs="宋体" w:eastAsia="宋体" w:hint="default"/>
        </w:rPr>
        <w:t>19.31%</w:t>
      </w:r>
      <w:r>
        <w:rPr/>
        <w:t>，公司第二大股东泰豪集团持有公司股份</w:t>
      </w:r>
      <w:r>
        <w:rPr>
          <w:spacing w:val="-52"/>
        </w:rPr>
        <w:t> </w:t>
      </w:r>
      <w:r>
        <w:rPr>
          <w:rFonts w:ascii="宋体" w:hAnsi="宋体" w:cs="宋体" w:eastAsia="宋体" w:hint="default"/>
        </w:rPr>
        <w:t>128,569,272</w:t>
      </w:r>
      <w:r>
        <w:rPr>
          <w:rFonts w:ascii="宋体" w:hAnsi="宋体" w:cs="宋体" w:eastAsia="宋体" w:hint="default"/>
          <w:spacing w:val="-54"/>
        </w:rPr>
        <w:t> </w:t>
      </w:r>
      <w:r>
        <w:rPr>
          <w:spacing w:val="-3"/>
        </w:rPr>
        <w:t>股，占公司股份总数的</w:t>
      </w:r>
      <w:r>
        <w:rPr>
          <w:spacing w:val="-51"/>
        </w:rPr>
        <w:t> </w:t>
      </w:r>
      <w:r>
        <w:rPr>
          <w:rFonts w:ascii="宋体" w:hAnsi="宋体" w:cs="宋体" w:eastAsia="宋体" w:hint="default"/>
          <w:spacing w:val="-5"/>
        </w:rPr>
        <w:t>14.84%</w:t>
      </w:r>
      <w:r>
        <w:rPr>
          <w:spacing w:val="-5"/>
        </w:rPr>
        <w:t>。公</w:t>
      </w:r>
      <w:r>
        <w:rPr>
          <w:spacing w:val="-103"/>
        </w:rPr>
        <w:t> </w:t>
      </w:r>
      <w:r>
        <w:rPr/>
        <w:t>司董事会共</w:t>
      </w:r>
      <w:r>
        <w:rPr>
          <w:spacing w:val="-51"/>
        </w:rPr>
        <w:t> </w:t>
      </w:r>
      <w:r>
        <w:rPr>
          <w:rFonts w:ascii="宋体" w:hAnsi="宋体" w:cs="宋体" w:eastAsia="宋体" w:hint="default"/>
        </w:rPr>
        <w:t>7</w:t>
      </w:r>
      <w:r>
        <w:rPr>
          <w:rFonts w:ascii="宋体" w:hAnsi="宋体" w:cs="宋体" w:eastAsia="宋体" w:hint="default"/>
          <w:spacing w:val="-54"/>
        </w:rPr>
        <w:t> </w:t>
      </w:r>
      <w:r>
        <w:rPr/>
        <w:t>名董事，其中同方股份和泰豪集团各提名</w:t>
      </w:r>
      <w:r>
        <w:rPr>
          <w:spacing w:val="-51"/>
        </w:rPr>
        <w:t> </w:t>
      </w:r>
      <w:r>
        <w:rPr>
          <w:rFonts w:ascii="宋体" w:hAnsi="宋体" w:cs="宋体" w:eastAsia="宋体" w:hint="default"/>
        </w:rPr>
        <w:t>1</w:t>
      </w:r>
      <w:r>
        <w:rPr>
          <w:rFonts w:ascii="宋体" w:hAnsi="宋体" w:cs="宋体" w:eastAsia="宋体" w:hint="default"/>
          <w:spacing w:val="-51"/>
        </w:rPr>
        <w:t> </w:t>
      </w:r>
      <w:r>
        <w:rPr/>
        <w:t>名董事，同方股份和泰豪集团均不对本</w:t>
      </w:r>
      <w:r>
        <w:rPr>
          <w:w w:val="100"/>
        </w:rPr>
        <w:t> </w:t>
      </w:r>
      <w:r>
        <w:rPr/>
        <w:t>公司财务报表进行合并。因此，本公司不存在控股股东，亦不存在实际控制人。</w:t>
      </w:r>
      <w:r>
        <w:rPr>
          <w:rFonts w:ascii="宋体" w:hAnsi="宋体" w:cs="宋体" w:eastAsia="宋体" w:hint="default"/>
        </w:rPr>
        <w:t> </w:t>
      </w:r>
    </w:p>
    <w:p>
      <w:pPr>
        <w:pStyle w:val="Heading3"/>
        <w:spacing w:line="305" w:lineRule="exact"/>
        <w:ind w:right="0"/>
        <w:jc w:val="left"/>
        <w:rPr>
          <w:rFonts w:ascii="宋体" w:hAnsi="宋体" w:cs="宋体" w:eastAsia="宋体" w:hint="default"/>
        </w:rPr>
      </w:pPr>
      <w:r>
        <w:rPr>
          <w:rFonts w:ascii="宋体"/>
        </w:rPr>
        <w:t> </w:t>
      </w:r>
    </w:p>
    <w:p>
      <w:pPr>
        <w:pStyle w:val="Heading5"/>
        <w:tabs>
          <w:tab w:pos="63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4</w:t>
        <w:tab/>
      </w:r>
      <w:r>
        <w:rPr/>
        <w:t>报告期内控股股东变更情况索引及日期</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5"/>
        <w:tabs>
          <w:tab w:pos="63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5</w:t>
        <w:tab/>
      </w:r>
      <w:r>
        <w:rPr/>
        <w:t>公司与控股股东之间的产权及控制关系的方框图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Heading3"/>
        <w:spacing w:line="312" w:lineRule="exact"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2" w:lineRule="exact"/>
        <w:ind w:right="0"/>
        <w:jc w:val="left"/>
        <w:rPr>
          <w:rFonts w:ascii="宋体" w:hAnsi="宋体" w:cs="宋体" w:eastAsia="宋体" w:hint="default"/>
        </w:rPr>
      </w:pPr>
      <w:r>
        <w:rPr>
          <w:rFonts w:ascii="宋体"/>
        </w:rPr>
        <w:t> </w:t>
      </w:r>
    </w:p>
    <w:p>
      <w:pPr>
        <w:pStyle w:val="Heading5"/>
        <w:tabs>
          <w:tab w:pos="641" w:val="left" w:leader="none"/>
        </w:tabs>
        <w:spacing w:line="264" w:lineRule="auto"/>
        <w:ind w:right="7168"/>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31"/>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tabs>
          <w:tab w:pos="641"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2</w:t>
        <w:tab/>
      </w:r>
      <w:r>
        <w:rPr/>
        <w:t>自然人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tabs>
          <w:tab w:pos="641"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3</w:t>
        <w:tab/>
      </w:r>
      <w:r>
        <w:rPr/>
        <w:t>公司不存在实际控制人情况的特别说明</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37" w:lineRule="auto" w:before="6"/>
        <w:ind w:left="216" w:right="0" w:firstLine="480"/>
        <w:jc w:val="left"/>
        <w:rPr>
          <w:rFonts w:ascii="宋体" w:hAnsi="宋体" w:cs="宋体" w:eastAsia="宋体" w:hint="default"/>
        </w:rPr>
      </w:pPr>
      <w:r>
        <w:rPr>
          <w:spacing w:val="-3"/>
        </w:rPr>
        <w:t>截至报告期末，公司第一大股东同方股份持有公司股份 </w:t>
      </w:r>
      <w:r>
        <w:rPr>
          <w:rFonts w:ascii="宋体" w:hAnsi="宋体" w:cs="宋体" w:eastAsia="宋体" w:hint="default"/>
        </w:rPr>
        <w:t>167,315,574</w:t>
      </w:r>
      <w:r>
        <w:rPr>
          <w:rFonts w:ascii="宋体" w:hAnsi="宋体" w:cs="宋体" w:eastAsia="宋体" w:hint="default"/>
          <w:spacing w:val="-75"/>
        </w:rPr>
        <w:t> </w:t>
      </w:r>
      <w:r>
        <w:rPr>
          <w:spacing w:val="-5"/>
        </w:rPr>
        <w:t>股，占公司股份总数的</w:t>
      </w:r>
      <w:r>
        <w:rPr>
          <w:rFonts w:ascii="宋体" w:hAnsi="宋体" w:cs="宋体" w:eastAsia="宋体" w:hint="default"/>
          <w:w w:val="100"/>
        </w:rPr>
        <w:t> </w:t>
      </w:r>
      <w:r>
        <w:rPr>
          <w:rFonts w:ascii="宋体" w:hAnsi="宋体" w:cs="宋体" w:eastAsia="宋体" w:hint="default"/>
        </w:rPr>
        <w:t>19.31%</w:t>
      </w:r>
      <w:r>
        <w:rPr/>
        <w:t>，公司第二大股东泰豪集团持有公司股份</w:t>
      </w:r>
      <w:r>
        <w:rPr>
          <w:spacing w:val="-52"/>
        </w:rPr>
        <w:t> </w:t>
      </w:r>
      <w:r>
        <w:rPr>
          <w:rFonts w:ascii="宋体" w:hAnsi="宋体" w:cs="宋体" w:eastAsia="宋体" w:hint="default"/>
        </w:rPr>
        <w:t>128,569,272</w:t>
      </w:r>
      <w:r>
        <w:rPr>
          <w:rFonts w:ascii="宋体" w:hAnsi="宋体" w:cs="宋体" w:eastAsia="宋体" w:hint="default"/>
          <w:spacing w:val="-54"/>
        </w:rPr>
        <w:t> </w:t>
      </w:r>
      <w:r>
        <w:rPr>
          <w:spacing w:val="-3"/>
        </w:rPr>
        <w:t>股，占公司股份总数的</w:t>
      </w:r>
      <w:r>
        <w:rPr>
          <w:spacing w:val="-51"/>
        </w:rPr>
        <w:t> </w:t>
      </w:r>
      <w:r>
        <w:rPr>
          <w:rFonts w:ascii="宋体" w:hAnsi="宋体" w:cs="宋体" w:eastAsia="宋体" w:hint="default"/>
          <w:spacing w:val="-5"/>
        </w:rPr>
        <w:t>14.84%</w:t>
      </w:r>
      <w:r>
        <w:rPr>
          <w:spacing w:val="-5"/>
        </w:rPr>
        <w:t>。公</w:t>
      </w:r>
      <w:r>
        <w:rPr>
          <w:spacing w:val="-103"/>
        </w:rPr>
        <w:t> </w:t>
      </w:r>
      <w:r>
        <w:rPr/>
        <w:t>司董事会共</w:t>
      </w:r>
      <w:r>
        <w:rPr>
          <w:spacing w:val="-50"/>
        </w:rPr>
        <w:t> </w:t>
      </w:r>
      <w:r>
        <w:rPr>
          <w:rFonts w:ascii="宋体" w:hAnsi="宋体" w:cs="宋体" w:eastAsia="宋体" w:hint="default"/>
        </w:rPr>
        <w:t>7</w:t>
      </w:r>
      <w:r>
        <w:rPr>
          <w:rFonts w:ascii="宋体" w:hAnsi="宋体" w:cs="宋体" w:eastAsia="宋体" w:hint="default"/>
          <w:spacing w:val="-53"/>
        </w:rPr>
        <w:t> </w:t>
      </w:r>
      <w:r>
        <w:rPr/>
        <w:t>名董事，其中同方股份和泰豪集团各提名了</w:t>
      </w:r>
      <w:r>
        <w:rPr>
          <w:spacing w:val="-50"/>
        </w:rPr>
        <w:t> </w:t>
      </w:r>
      <w:r>
        <w:rPr>
          <w:rFonts w:ascii="宋体" w:hAnsi="宋体" w:cs="宋体" w:eastAsia="宋体" w:hint="default"/>
        </w:rPr>
        <w:t>1</w:t>
      </w:r>
      <w:r>
        <w:rPr>
          <w:rFonts w:ascii="宋体" w:hAnsi="宋体" w:cs="宋体" w:eastAsia="宋体" w:hint="default"/>
          <w:spacing w:val="-53"/>
        </w:rPr>
        <w:t> </w:t>
      </w:r>
      <w:r>
        <w:rPr/>
        <w:t>名董事，同方股份和泰豪集团均不对</w:t>
      </w:r>
      <w:r>
        <w:rPr>
          <w:w w:val="100"/>
        </w:rPr>
        <w:t> </w:t>
      </w:r>
      <w:r>
        <w:rPr/>
        <w:t>本公司财务报表进行合并。因此，本公司不存在控股股东，亦不存在实际控制人。</w:t>
      </w:r>
      <w:r>
        <w:rPr>
          <w:rFonts w:ascii="宋体" w:hAnsi="宋体" w:cs="宋体" w:eastAsia="宋体" w:hint="default"/>
        </w:rPr>
        <w:t> </w:t>
      </w:r>
    </w:p>
    <w:p>
      <w:pPr>
        <w:pStyle w:val="Heading3"/>
        <w:spacing w:line="307" w:lineRule="exact"/>
        <w:ind w:right="0"/>
        <w:jc w:val="left"/>
        <w:rPr>
          <w:rFonts w:ascii="宋体" w:hAnsi="宋体" w:cs="宋体" w:eastAsia="宋体" w:hint="default"/>
        </w:rPr>
      </w:pPr>
      <w:r>
        <w:rPr>
          <w:rFonts w:ascii="宋体"/>
        </w:rPr>
        <w:t> </w:t>
      </w:r>
    </w:p>
    <w:p>
      <w:pPr>
        <w:spacing w:after="0" w:line="307" w:lineRule="exact"/>
        <w:jc w:val="left"/>
        <w:rPr>
          <w:rFonts w:ascii="宋体" w:hAnsi="宋体" w:cs="宋体" w:eastAsia="宋体" w:hint="default"/>
        </w:rPr>
        <w:sectPr>
          <w:footerReference w:type="default" r:id="rId27"/>
          <w:pgSz w:w="11910" w:h="16840"/>
          <w:pgMar w:footer="1195" w:header="880" w:top="1120" w:bottom="1380" w:left="1060" w:right="1560"/>
        </w:sectPr>
      </w:pP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28"/>
          <w:pgSz w:w="11910" w:h="16840"/>
          <w:pgMar w:footer="1195" w:header="880" w:top="1120" w:bottom="1380" w:left="1060" w:right="1560"/>
        </w:sectPr>
      </w:pPr>
    </w:p>
    <w:p>
      <w:pPr>
        <w:pStyle w:val="Heading5"/>
        <w:tabs>
          <w:tab w:pos="641" w:val="left" w:leader="none"/>
        </w:tabs>
        <w:spacing w:line="240" w:lineRule="auto" w:before="36"/>
        <w:ind w:right="0"/>
        <w:jc w:val="left"/>
        <w:rPr>
          <w:rFonts w:ascii="宋体" w:hAnsi="宋体" w:cs="宋体" w:eastAsia="宋体" w:hint="default"/>
          <w:b w:val="0"/>
          <w:bCs w:val="0"/>
        </w:rPr>
      </w:pPr>
      <w:r>
        <w:rPr>
          <w:rFonts w:ascii="宋体" w:hAnsi="宋体" w:cs="宋体" w:eastAsia="宋体" w:hint="default"/>
          <w:w w:val="95"/>
        </w:rPr>
        <w:t>4</w:t>
        <w:tab/>
      </w:r>
      <w:r>
        <w:rPr/>
        <w:t>报告期内实际控制人变更情况索引及日期</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5"/>
        <w:tabs>
          <w:tab w:pos="641"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5</w:t>
        <w:tab/>
      </w:r>
      <w:r>
        <w:rPr/>
        <w:t>公司与实际控制人之间的产权及控制关系的方框图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5"/>
        <w:tabs>
          <w:tab w:pos="641"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6</w:t>
        <w:tab/>
      </w:r>
      <w:r>
        <w:rPr/>
        <w:t>实际控制人通过信托或其他资产管理方式控制公司</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40" w:lineRule="auto"/>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Heading3"/>
        <w:spacing w:line="313" w:lineRule="exact" w:before="23"/>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40" w:lineRule="auto"/>
        <w:ind w:right="0"/>
        <w:jc w:val="left"/>
        <w:rPr>
          <w:b w:val="0"/>
          <w:bCs w:val="0"/>
        </w:rPr>
      </w:pPr>
      <w:r>
        <w:rPr/>
        <w:t>五、</w:t>
      </w:r>
      <w:r>
        <w:rPr>
          <w:spacing w:val="-77"/>
        </w:rPr>
        <w:t> </w:t>
      </w:r>
      <w:r>
        <w:rPr>
          <w:rFonts w:ascii="宋体" w:hAnsi="宋体" w:cs="宋体" w:eastAsia="宋体" w:hint="default"/>
          <w:spacing w:val="-77"/>
        </w:rPr>
      </w:r>
      <w:r>
        <w:rPr/>
        <w:t>其他持股在百分之十以上的法人股东</w:t>
      </w:r>
      <w:r>
        <w:rPr>
          <w:b w:val="0"/>
          <w:bCs w:val="0"/>
        </w:rPr>
      </w:r>
    </w:p>
    <w:p>
      <w:pPr>
        <w:pStyle w:val="Heading3"/>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5"/>
          <w:szCs w:val="25"/>
        </w:rPr>
      </w:pPr>
    </w:p>
    <w:p>
      <w:pPr>
        <w:pStyle w:val="Heading3"/>
        <w:spacing w:line="240" w:lineRule="auto"/>
        <w:ind w:right="0"/>
        <w:jc w:val="left"/>
        <w:rPr>
          <w:rFonts w:ascii="宋体" w:hAnsi="宋体" w:cs="宋体" w:eastAsia="宋体" w:hint="default"/>
        </w:rPr>
      </w:pPr>
      <w:r>
        <w:rPr/>
        <w:t>单位：万元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5386" w:space="568"/>
            <w:col w:w="3336"/>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148"/>
        <w:gridCol w:w="1301"/>
        <w:gridCol w:w="1856"/>
        <w:gridCol w:w="2208"/>
        <w:gridCol w:w="1051"/>
        <w:gridCol w:w="1486"/>
      </w:tblGrid>
      <w:tr>
        <w:trPr>
          <w:trHeight w:val="826"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58" w:right="144" w:hanging="209"/>
              <w:jc w:val="left"/>
              <w:rPr>
                <w:rFonts w:ascii="宋体" w:hAnsi="宋体" w:cs="宋体" w:eastAsia="宋体" w:hint="default"/>
                <w:sz w:val="21"/>
                <w:szCs w:val="21"/>
              </w:rPr>
            </w:pPr>
            <w:r>
              <w:rPr>
                <w:rFonts w:ascii="宋体" w:hAnsi="宋体" w:cs="宋体" w:eastAsia="宋体" w:hint="default"/>
                <w:sz w:val="21"/>
                <w:szCs w:val="21"/>
              </w:rPr>
              <w:t>法人股东</w:t>
            </w:r>
            <w:r>
              <w:rPr>
                <w:rFonts w:ascii="宋体" w:hAnsi="宋体" w:cs="宋体" w:eastAsia="宋体" w:hint="default"/>
                <w:w w:val="100"/>
                <w:sz w:val="21"/>
                <w:szCs w:val="21"/>
              </w:rPr>
              <w:t> </w:t>
            </w:r>
            <w:r>
              <w:rPr>
                <w:rFonts w:ascii="宋体" w:hAnsi="宋体" w:cs="宋体" w:eastAsia="宋体" w:hint="default"/>
                <w:sz w:val="21"/>
                <w:szCs w:val="21"/>
              </w:rPr>
              <w:t>名称</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0" w:right="0"/>
              <w:jc w:val="left"/>
              <w:rPr>
                <w:rFonts w:ascii="宋体" w:hAnsi="宋体" w:cs="宋体" w:eastAsia="宋体" w:hint="default"/>
                <w:sz w:val="21"/>
                <w:szCs w:val="21"/>
              </w:rPr>
            </w:pPr>
            <w:r>
              <w:rPr>
                <w:rFonts w:ascii="宋体" w:hAnsi="宋体" w:cs="宋体" w:eastAsia="宋体" w:hint="default"/>
                <w:sz w:val="21"/>
                <w:szCs w:val="21"/>
              </w:rPr>
              <w:t>单位负责人</w:t>
            </w:r>
          </w:p>
          <w:p>
            <w:pPr>
              <w:pStyle w:val="TableParagraph"/>
              <w:spacing w:line="240" w:lineRule="auto"/>
              <w:ind w:left="540" w:right="115" w:hanging="420"/>
              <w:jc w:val="left"/>
              <w:rPr>
                <w:rFonts w:ascii="宋体" w:hAnsi="宋体" w:cs="宋体" w:eastAsia="宋体" w:hint="default"/>
                <w:sz w:val="21"/>
                <w:szCs w:val="21"/>
              </w:rPr>
            </w:pPr>
            <w:r>
              <w:rPr>
                <w:rFonts w:ascii="宋体" w:hAnsi="宋体" w:cs="宋体" w:eastAsia="宋体" w:hint="default"/>
                <w:sz w:val="21"/>
                <w:szCs w:val="21"/>
              </w:rPr>
              <w:t>或法定代表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人</w:t>
            </w:r>
            <w:r>
              <w:rPr>
                <w:rFonts w:ascii="宋体" w:hAnsi="宋体" w:cs="宋体" w:eastAsia="宋体" w:hint="default"/>
                <w:sz w:val="21"/>
                <w:szCs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成立日期</w:t>
            </w:r>
            <w:r>
              <w:rPr>
                <w:rFonts w:ascii="宋体" w:hAnsi="宋体" w:cs="宋体" w:eastAsia="宋体" w:hint="default"/>
                <w:sz w:val="21"/>
                <w:szCs w:val="21"/>
              </w:rPr>
              <w:t>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87" w:right="571" w:hanging="209"/>
              <w:jc w:val="left"/>
              <w:rPr>
                <w:rFonts w:ascii="宋体" w:hAnsi="宋体" w:cs="宋体" w:eastAsia="宋体" w:hint="default"/>
                <w:sz w:val="21"/>
                <w:szCs w:val="21"/>
              </w:rPr>
            </w:pPr>
            <w:r>
              <w:rPr>
                <w:rFonts w:ascii="宋体" w:hAnsi="宋体" w:cs="宋体" w:eastAsia="宋体" w:hint="default"/>
                <w:sz w:val="21"/>
                <w:szCs w:val="21"/>
              </w:rPr>
              <w:t>组织机构</w:t>
            </w:r>
            <w:r>
              <w:rPr>
                <w:rFonts w:ascii="宋体" w:hAnsi="宋体" w:cs="宋体" w:eastAsia="宋体" w:hint="default"/>
                <w:w w:val="100"/>
                <w:sz w:val="21"/>
                <w:szCs w:val="21"/>
              </w:rPr>
              <w:t> </w:t>
            </w:r>
            <w:r>
              <w:rPr>
                <w:rFonts w:ascii="宋体" w:hAnsi="宋体" w:cs="宋体" w:eastAsia="宋体" w:hint="default"/>
                <w:sz w:val="21"/>
                <w:szCs w:val="21"/>
              </w:rPr>
              <w:t>代码</w:t>
            </w:r>
            <w:r>
              <w:rPr>
                <w:rFonts w:ascii="宋体" w:hAnsi="宋体" w:cs="宋体" w:eastAsia="宋体" w:hint="default"/>
                <w:sz w:val="21"/>
                <w:szCs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15" w:right="203" w:hanging="212"/>
              <w:jc w:val="left"/>
              <w:rPr>
                <w:rFonts w:ascii="宋体" w:hAnsi="宋体" w:cs="宋体" w:eastAsia="宋体" w:hint="default"/>
                <w:sz w:val="21"/>
                <w:szCs w:val="21"/>
              </w:rPr>
            </w:pPr>
            <w:r>
              <w:rPr>
                <w:rFonts w:ascii="宋体" w:hAnsi="宋体" w:cs="宋体" w:eastAsia="宋体" w:hint="default"/>
                <w:sz w:val="21"/>
                <w:szCs w:val="21"/>
              </w:rPr>
              <w:t>注册资</w:t>
            </w:r>
            <w:r>
              <w:rPr>
                <w:rFonts w:ascii="宋体" w:hAnsi="宋体" w:cs="宋体" w:eastAsia="宋体" w:hint="default"/>
                <w:spacing w:val="-102"/>
                <w:sz w:val="21"/>
                <w:szCs w:val="21"/>
              </w:rPr>
              <w:t> </w:t>
            </w:r>
            <w:r>
              <w:rPr>
                <w:rFonts w:ascii="宋体" w:hAnsi="宋体" w:cs="宋体" w:eastAsia="宋体" w:hint="default"/>
                <w:sz w:val="21"/>
                <w:szCs w:val="21"/>
              </w:rPr>
              <w:t>本</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主要经营业务</w:t>
            </w:r>
          </w:p>
          <w:p>
            <w:pPr>
              <w:pStyle w:val="TableParagraph"/>
              <w:spacing w:line="240" w:lineRule="auto"/>
              <w:ind w:left="528" w:right="104" w:hanging="421"/>
              <w:jc w:val="left"/>
              <w:rPr>
                <w:rFonts w:ascii="宋体" w:hAnsi="宋体" w:cs="宋体" w:eastAsia="宋体" w:hint="default"/>
                <w:sz w:val="21"/>
                <w:szCs w:val="21"/>
              </w:rPr>
            </w:pPr>
            <w:r>
              <w:rPr>
                <w:rFonts w:ascii="宋体" w:hAnsi="宋体" w:cs="宋体" w:eastAsia="宋体" w:hint="default"/>
                <w:sz w:val="21"/>
                <w:szCs w:val="21"/>
              </w:rPr>
              <w:t>或管理活动等</w:t>
            </w:r>
            <w:r>
              <w:rPr>
                <w:rFonts w:ascii="宋体" w:hAnsi="宋体" w:cs="宋体" w:eastAsia="宋体" w:hint="default"/>
                <w:w w:val="100"/>
                <w:sz w:val="21"/>
                <w:szCs w:val="21"/>
              </w:rPr>
              <w:t> </w:t>
            </w:r>
            <w:r>
              <w:rPr>
                <w:rFonts w:ascii="宋体" w:hAnsi="宋体" w:cs="宋体" w:eastAsia="宋体" w:hint="default"/>
                <w:sz w:val="21"/>
                <w:szCs w:val="21"/>
              </w:rPr>
              <w:t>情况</w:t>
            </w:r>
            <w:r>
              <w:rPr>
                <w:rFonts w:ascii="宋体" w:hAnsi="宋体" w:cs="宋体" w:eastAsia="宋体" w:hint="default"/>
                <w:sz w:val="21"/>
                <w:szCs w:val="21"/>
              </w:rPr>
              <w:t> </w:t>
            </w:r>
          </w:p>
        </w:tc>
      </w:tr>
      <w:tr>
        <w:trPr>
          <w:trHeight w:val="1099"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86"/>
              <w:jc w:val="left"/>
              <w:rPr>
                <w:rFonts w:ascii="宋体" w:hAnsi="宋体" w:cs="宋体" w:eastAsia="宋体" w:hint="default"/>
                <w:sz w:val="21"/>
                <w:szCs w:val="21"/>
              </w:rPr>
            </w:pPr>
            <w:r>
              <w:rPr>
                <w:rFonts w:ascii="宋体" w:hAnsi="宋体" w:cs="宋体" w:eastAsia="宋体" w:hint="default"/>
                <w:sz w:val="21"/>
                <w:szCs w:val="21"/>
              </w:rPr>
              <w:t>同</w:t>
            </w:r>
            <w:r>
              <w:rPr>
                <w:rFonts w:ascii="宋体" w:hAnsi="宋体" w:cs="宋体" w:eastAsia="宋体" w:hint="default"/>
                <w:spacing w:val="-73"/>
                <w:sz w:val="21"/>
                <w:szCs w:val="21"/>
              </w:rPr>
              <w:t> </w:t>
            </w:r>
            <w:r>
              <w:rPr>
                <w:rFonts w:ascii="宋体" w:hAnsi="宋体" w:cs="宋体" w:eastAsia="宋体" w:hint="default"/>
                <w:sz w:val="21"/>
                <w:szCs w:val="21"/>
              </w:rPr>
              <w:t>方</w:t>
            </w:r>
            <w:r>
              <w:rPr>
                <w:rFonts w:ascii="宋体" w:hAnsi="宋体" w:cs="宋体" w:eastAsia="宋体" w:hint="default"/>
                <w:spacing w:val="-76"/>
                <w:sz w:val="21"/>
                <w:szCs w:val="21"/>
              </w:rPr>
              <w:t> </w:t>
            </w:r>
            <w:r>
              <w:rPr>
                <w:rFonts w:ascii="宋体" w:hAnsi="宋体" w:cs="宋体" w:eastAsia="宋体" w:hint="default"/>
                <w:sz w:val="21"/>
                <w:szCs w:val="21"/>
              </w:rPr>
              <w:t>股</w:t>
            </w:r>
            <w:r>
              <w:rPr>
                <w:rFonts w:ascii="宋体" w:hAnsi="宋体" w:cs="宋体" w:eastAsia="宋体" w:hint="default"/>
                <w:spacing w:val="-76"/>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黄敏刚</w:t>
            </w:r>
            <w:r>
              <w:rPr>
                <w:rFonts w:ascii="宋体" w:hAnsi="宋体" w:cs="宋体" w:eastAsia="宋体" w:hint="default"/>
                <w:sz w:val="21"/>
                <w:szCs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93" w:right="0"/>
              <w:jc w:val="center"/>
              <w:rPr>
                <w:rFonts w:ascii="宋体" w:hAnsi="宋体" w:cs="宋体" w:eastAsia="宋体" w:hint="default"/>
                <w:sz w:val="21"/>
                <w:szCs w:val="21"/>
              </w:rPr>
            </w:pPr>
            <w:r>
              <w:rPr>
                <w:rFonts w:ascii="宋体" w:hAnsi="宋体" w:cs="宋体" w:eastAsia="宋体" w:hint="default"/>
                <w:sz w:val="21"/>
                <w:szCs w:val="21"/>
              </w:rPr>
              <w:t>1997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03" w:right="0"/>
              <w:jc w:val="left"/>
              <w:rPr>
                <w:rFonts w:ascii="Times New Roman" w:hAnsi="Times New Roman" w:cs="Times New Roman" w:eastAsia="Times New Roman" w:hint="default"/>
                <w:sz w:val="21"/>
                <w:szCs w:val="21"/>
              </w:rPr>
            </w:pPr>
            <w:r>
              <w:rPr>
                <w:rFonts w:ascii="Times New Roman"/>
                <w:sz w:val="21"/>
              </w:rPr>
              <w:t>91110000100026793Y</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03" w:right="0"/>
              <w:jc w:val="left"/>
              <w:rPr>
                <w:rFonts w:ascii="Times New Roman" w:hAnsi="Times New Roman" w:cs="Times New Roman" w:eastAsia="Times New Roman" w:hint="default"/>
                <w:sz w:val="21"/>
                <w:szCs w:val="21"/>
              </w:rPr>
            </w:pPr>
            <w:r>
              <w:rPr>
                <w:rFonts w:ascii="Times New Roman"/>
                <w:sz w:val="21"/>
              </w:rPr>
              <w:t>296,390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信息技术、人</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工环境等领域</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产品的生产和</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销售等</w:t>
            </w:r>
            <w:r>
              <w:rPr>
                <w:rFonts w:ascii="宋体" w:hAnsi="宋体" w:cs="宋体" w:eastAsia="宋体" w:hint="default"/>
                <w:sz w:val="21"/>
                <w:szCs w:val="21"/>
              </w:rPr>
              <w:t> </w:t>
            </w:r>
          </w:p>
        </w:tc>
      </w:tr>
      <w:tr>
        <w:trPr>
          <w:trHeight w:val="1100"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86"/>
              <w:jc w:val="left"/>
              <w:rPr>
                <w:rFonts w:ascii="宋体" w:hAnsi="宋体" w:cs="宋体" w:eastAsia="宋体" w:hint="default"/>
                <w:sz w:val="21"/>
                <w:szCs w:val="21"/>
              </w:rPr>
            </w:pPr>
            <w:r>
              <w:rPr>
                <w:rFonts w:ascii="宋体" w:hAnsi="宋体" w:cs="宋体" w:eastAsia="宋体" w:hint="default"/>
                <w:sz w:val="21"/>
                <w:szCs w:val="21"/>
              </w:rPr>
              <w:t>泰</w:t>
            </w:r>
            <w:r>
              <w:rPr>
                <w:rFonts w:ascii="宋体" w:hAnsi="宋体" w:cs="宋体" w:eastAsia="宋体" w:hint="default"/>
                <w:spacing w:val="-73"/>
                <w:sz w:val="21"/>
                <w:szCs w:val="21"/>
              </w:rPr>
              <w:t> </w:t>
            </w:r>
            <w:r>
              <w:rPr>
                <w:rFonts w:ascii="宋体" w:hAnsi="宋体" w:cs="宋体" w:eastAsia="宋体" w:hint="default"/>
                <w:sz w:val="21"/>
                <w:szCs w:val="21"/>
              </w:rPr>
              <w:t>豪</w:t>
            </w:r>
            <w:r>
              <w:rPr>
                <w:rFonts w:ascii="宋体" w:hAnsi="宋体" w:cs="宋体" w:eastAsia="宋体" w:hint="default"/>
                <w:spacing w:val="-76"/>
                <w:sz w:val="21"/>
                <w:szCs w:val="21"/>
              </w:rPr>
              <w:t> </w:t>
            </w:r>
            <w:r>
              <w:rPr>
                <w:rFonts w:ascii="宋体" w:hAnsi="宋体" w:cs="宋体" w:eastAsia="宋体" w:hint="default"/>
                <w:sz w:val="21"/>
                <w:szCs w:val="21"/>
              </w:rPr>
              <w:t>集</w:t>
            </w:r>
            <w:r>
              <w:rPr>
                <w:rFonts w:ascii="宋体" w:hAnsi="宋体" w:cs="宋体" w:eastAsia="宋体" w:hint="default"/>
                <w:spacing w:val="-76"/>
                <w:sz w:val="21"/>
                <w:szCs w:val="21"/>
              </w:rPr>
              <w:t> </w:t>
            </w:r>
            <w:r>
              <w:rPr>
                <w:rFonts w:ascii="宋体" w:hAnsi="宋体" w:cs="宋体" w:eastAsia="宋体" w:hint="default"/>
                <w:sz w:val="21"/>
                <w:szCs w:val="21"/>
              </w:rPr>
              <w:t>团</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李华</w:t>
            </w:r>
            <w:r>
              <w:rPr>
                <w:rFonts w:ascii="宋体" w:hAnsi="宋体" w:cs="宋体" w:eastAsia="宋体" w:hint="default"/>
                <w:sz w:val="21"/>
                <w:szCs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93" w:right="0"/>
              <w:jc w:val="center"/>
              <w:rPr>
                <w:rFonts w:ascii="宋体" w:hAnsi="宋体" w:cs="宋体" w:eastAsia="宋体" w:hint="default"/>
                <w:sz w:val="21"/>
                <w:szCs w:val="21"/>
              </w:rPr>
            </w:pPr>
            <w:r>
              <w:rPr>
                <w:rFonts w:ascii="宋体" w:hAnsi="宋体" w:cs="宋体" w:eastAsia="宋体" w:hint="default"/>
                <w:sz w:val="21"/>
                <w:szCs w:val="21"/>
              </w:rPr>
              <w:t>1993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03" w:right="0"/>
              <w:jc w:val="left"/>
              <w:rPr>
                <w:rFonts w:ascii="Times New Roman" w:hAnsi="Times New Roman" w:cs="Times New Roman" w:eastAsia="Times New Roman" w:hint="default"/>
                <w:sz w:val="21"/>
                <w:szCs w:val="21"/>
              </w:rPr>
            </w:pPr>
            <w:r>
              <w:rPr>
                <w:rFonts w:ascii="Times New Roman"/>
                <w:sz w:val="21"/>
              </w:rPr>
              <w:t>913600001582806049</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03" w:right="0"/>
              <w:jc w:val="left"/>
              <w:rPr>
                <w:rFonts w:ascii="Times New Roman" w:hAnsi="Times New Roman" w:cs="Times New Roman" w:eastAsia="Times New Roman" w:hint="default"/>
                <w:sz w:val="21"/>
                <w:szCs w:val="21"/>
              </w:rPr>
            </w:pPr>
            <w:r>
              <w:rPr>
                <w:rFonts w:ascii="Times New Roman"/>
                <w:sz w:val="21"/>
              </w:rPr>
              <w:t>70,000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高新技术产品</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研发、生产、</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销售和综合技</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术服务等</w:t>
            </w:r>
            <w:r>
              <w:rPr>
                <w:rFonts w:ascii="宋体" w:hAnsi="宋体" w:cs="宋体" w:eastAsia="宋体" w:hint="default"/>
                <w:spacing w:val="-3"/>
                <w:sz w:val="21"/>
                <w:szCs w:val="21"/>
              </w:rPr>
              <w:t> </w:t>
            </w:r>
            <w:r>
              <w:rPr>
                <w:rFonts w:ascii="宋体" w:hAnsi="宋体" w:cs="宋体" w:eastAsia="宋体" w:hint="default"/>
                <w:sz w:val="21"/>
                <w:szCs w:val="21"/>
              </w:rPr>
              <w:t> </w:t>
            </w:r>
          </w:p>
        </w:tc>
      </w:tr>
      <w:tr>
        <w:trPr>
          <w:trHeight w:val="283" w:hRule="exact"/>
        </w:trPr>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情况说明</w:t>
            </w:r>
            <w:r>
              <w:rPr>
                <w:rFonts w:ascii="宋体" w:hAnsi="宋体" w:cs="宋体" w:eastAsia="宋体" w:hint="default"/>
                <w:sz w:val="21"/>
                <w:szCs w:val="21"/>
              </w:rPr>
              <w:t> </w:t>
            </w:r>
          </w:p>
        </w:tc>
        <w:tc>
          <w:tcPr>
            <w:tcW w:w="790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1060" w:right="1560"/>
        </w:sectPr>
      </w:pPr>
    </w:p>
    <w:p>
      <w:pPr>
        <w:pStyle w:val="Heading3"/>
        <w:spacing w:line="274" w:lineRule="exact"/>
        <w:ind w:right="0"/>
        <w:jc w:val="left"/>
        <w:rPr>
          <w:rFonts w:ascii="宋体" w:hAnsi="宋体" w:cs="宋体" w:eastAsia="宋体" w:hint="default"/>
        </w:rPr>
      </w:pPr>
      <w:r>
        <w:rPr>
          <w:rFonts w:ascii="宋体"/>
        </w:rPr>
        <w:t> </w:t>
      </w:r>
    </w:p>
    <w:p>
      <w:pPr>
        <w:pStyle w:val="Heading5"/>
        <w:spacing w:line="240" w:lineRule="auto"/>
        <w:ind w:right="-18"/>
        <w:jc w:val="left"/>
        <w:rPr>
          <w:b w:val="0"/>
          <w:bCs w:val="0"/>
        </w:rPr>
      </w:pPr>
      <w:r>
        <w:rPr/>
        <w:t>六、</w:t>
      </w:r>
      <w:r>
        <w:rPr>
          <w:spacing w:val="-76"/>
        </w:rPr>
        <w:t> </w:t>
      </w:r>
      <w:r>
        <w:rPr>
          <w:rFonts w:ascii="宋体" w:hAnsi="宋体" w:cs="宋体" w:eastAsia="宋体" w:hint="default"/>
          <w:spacing w:val="-76"/>
        </w:rPr>
      </w:r>
      <w:r>
        <w:rPr/>
        <w:t>股份限制减持情况说明</w:t>
      </w:r>
      <w:r>
        <w:rPr>
          <w:b w:val="0"/>
          <w:bCs w:val="0"/>
        </w:rPr>
      </w:r>
    </w:p>
    <w:p>
      <w:pPr>
        <w:pStyle w:val="Heading3"/>
        <w:spacing w:line="313" w:lineRule="exact"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pStyle w:val="Heading1"/>
        <w:tabs>
          <w:tab w:pos="1460" w:val="left" w:leader="none"/>
        </w:tabs>
        <w:spacing w:line="240" w:lineRule="auto" w:before="239"/>
        <w:ind w:left="200" w:right="0"/>
        <w:jc w:val="left"/>
        <w:rPr>
          <w:b w:val="0"/>
          <w:bCs w:val="0"/>
        </w:rPr>
      </w:pPr>
      <w:bookmarkStart w:name="_bookmark6" w:id="9"/>
      <w:bookmarkEnd w:id="9"/>
      <w:r>
        <w:rPr>
          <w:b w:val="0"/>
          <w:bCs w:val="0"/>
        </w:rPr>
      </w:r>
      <w:r>
        <w:rPr>
          <w:w w:val="95"/>
        </w:rPr>
        <w:t>第七节</w:t>
      </w:r>
      <w:r>
        <w:rPr>
          <w:rFonts w:ascii="宋体" w:hAnsi="宋体" w:cs="宋体" w:eastAsia="宋体" w:hint="default"/>
          <w:w w:val="95"/>
        </w:rPr>
        <w:tab/>
      </w:r>
      <w:r>
        <w:rPr/>
        <w:t>优先股相关情况</w:t>
      </w:r>
      <w:r>
        <w:rPr>
          <w:b w:val="0"/>
          <w:bCs w:val="0"/>
        </w:rPr>
      </w:r>
    </w:p>
    <w:p>
      <w:pPr>
        <w:spacing w:after="0" w:line="240" w:lineRule="auto"/>
        <w:jc w:val="left"/>
        <w:sectPr>
          <w:type w:val="continuous"/>
          <w:pgSz w:w="11910" w:h="16840"/>
          <w:pgMar w:top="1120" w:bottom="1380" w:left="1060" w:right="1560"/>
          <w:cols w:num="2" w:equalWidth="0">
            <w:col w:w="2779" w:space="40"/>
            <w:col w:w="6471"/>
          </w:cols>
        </w:sectPr>
      </w:pPr>
    </w:p>
    <w:p>
      <w:pPr>
        <w:spacing w:line="240" w:lineRule="auto" w:before="11"/>
        <w:rPr>
          <w:rFonts w:ascii="黑体" w:hAnsi="黑体" w:cs="黑体" w:eastAsia="黑体" w:hint="default"/>
          <w:b/>
          <w:bCs/>
          <w:sz w:val="16"/>
          <w:szCs w:val="16"/>
        </w:rPr>
      </w:pPr>
    </w:p>
    <w:p>
      <w:pPr>
        <w:pStyle w:val="Heading3"/>
        <w:spacing w:line="312" w:lineRule="exact" w:before="2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right="0"/>
        <w:jc w:val="left"/>
        <w:rPr>
          <w:rFonts w:ascii="宋体" w:hAnsi="宋体" w:cs="宋体" w:eastAsia="宋体" w:hint="default"/>
        </w:rPr>
      </w:pPr>
      <w:r>
        <w:rPr>
          <w:rFonts w:ascii="宋体"/>
        </w:rPr>
        <w:t> </w:t>
      </w:r>
    </w:p>
    <w:p>
      <w:pPr>
        <w:spacing w:after="0" w:line="312" w:lineRule="exact"/>
        <w:jc w:val="left"/>
        <w:rPr>
          <w:rFonts w:ascii="宋体" w:hAnsi="宋体" w:cs="宋体" w:eastAsia="宋体" w:hint="default"/>
        </w:rPr>
        <w:sectPr>
          <w:type w:val="continuous"/>
          <w:pgSz w:w="11910" w:h="16840"/>
          <w:pgMar w:top="1120" w:bottom="1380" w:left="1060" w:right="1560"/>
        </w:sectPr>
      </w:pPr>
    </w:p>
    <w:p>
      <w:pPr>
        <w:pStyle w:val="Heading1"/>
        <w:tabs>
          <w:tab w:pos="5401" w:val="left" w:leader="none"/>
        </w:tabs>
        <w:spacing w:line="240" w:lineRule="auto" w:before="105"/>
        <w:ind w:left="4141" w:right="0"/>
        <w:jc w:val="left"/>
        <w:rPr>
          <w:b w:val="0"/>
          <w:bCs w:val="0"/>
        </w:rPr>
      </w:pPr>
      <w:bookmarkStart w:name="_bookmark7" w:id="10"/>
      <w:bookmarkEnd w:id="10"/>
      <w:r>
        <w:rPr>
          <w:b w:val="0"/>
          <w:bCs w:val="0"/>
        </w:rPr>
      </w:r>
      <w:r>
        <w:rPr>
          <w:w w:val="95"/>
        </w:rPr>
        <w:t>第八节</w:t>
      </w:r>
      <w:r>
        <w:rPr>
          <w:rFonts w:ascii="宋体" w:hAnsi="宋体" w:cs="宋体" w:eastAsia="宋体" w:hint="default"/>
          <w:w w:val="95"/>
        </w:rPr>
        <w:tab/>
      </w:r>
      <w:r>
        <w:rPr/>
        <w:t>董事、监事、高级管理人员和员工情况</w:t>
      </w:r>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9"/>
          <w:footerReference w:type="default" r:id="rId30"/>
          <w:pgSz w:w="16840" w:h="11910" w:orient="landscape"/>
          <w:pgMar w:header="880" w:footer="1195" w:top="1120" w:bottom="1380" w:left="1300" w:right="1200"/>
          <w:pgNumType w:start="52"/>
        </w:sectPr>
      </w:pPr>
    </w:p>
    <w:p>
      <w:pPr>
        <w:pStyle w:val="Heading5"/>
        <w:spacing w:line="240" w:lineRule="auto" w:before="36"/>
        <w:ind w:left="224" w:right="-15"/>
        <w:jc w:val="left"/>
        <w:rPr>
          <w:b w:val="0"/>
          <w:bCs w:val="0"/>
        </w:rPr>
      </w:pPr>
      <w:r>
        <w:rPr/>
        <w:t>一、持股变动情况及报酬情况</w:t>
      </w:r>
      <w:r>
        <w:rPr>
          <w:b w:val="0"/>
          <w:bCs w:val="0"/>
        </w:rPr>
      </w:r>
    </w:p>
    <w:p>
      <w:pPr>
        <w:pStyle w:val="Heading5"/>
        <w:spacing w:line="240" w:lineRule="auto" w:before="56"/>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Heading3"/>
        <w:spacing w:line="240" w:lineRule="auto" w:before="25"/>
        <w:ind w:left="224" w:right="-1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8"/>
          <w:szCs w:val="28"/>
        </w:rPr>
      </w:pPr>
    </w:p>
    <w:p>
      <w:pPr>
        <w:pStyle w:val="Heading3"/>
        <w:spacing w:line="240" w:lineRule="auto"/>
        <w:ind w:left="224"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00" w:right="1200"/>
          <w:cols w:num="2" w:equalWidth="0">
            <w:col w:w="6971" w:space="5943"/>
            <w:col w:w="1426"/>
          </w:cols>
        </w:sectPr>
      </w:pP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989"/>
        <w:gridCol w:w="1274"/>
        <w:gridCol w:w="502"/>
        <w:gridCol w:w="557"/>
        <w:gridCol w:w="1921"/>
        <w:gridCol w:w="1985"/>
        <w:gridCol w:w="1275"/>
        <w:gridCol w:w="1277"/>
        <w:gridCol w:w="991"/>
        <w:gridCol w:w="853"/>
        <w:gridCol w:w="1274"/>
        <w:gridCol w:w="1202"/>
      </w:tblGrid>
      <w:tr>
        <w:trPr>
          <w:trHeight w:val="1100"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8"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41" w:right="31"/>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别</w:t>
            </w:r>
            <w:r>
              <w:rPr>
                <w:rFonts w:ascii="宋体" w:hAnsi="宋体" w:cs="宋体" w:eastAsia="宋体" w:hint="default"/>
                <w:sz w:val="21"/>
                <w:szCs w:val="21"/>
              </w:rPr>
              <w:t> </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68" w:right="6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r>
              <w:rPr>
                <w:rFonts w:ascii="宋体" w:hAnsi="宋体" w:cs="宋体" w:eastAsia="宋体" w:hint="default"/>
                <w:sz w:val="21"/>
                <w:szCs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任期起始日期</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任期终止日期</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年初持股数</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年末持股数</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年度内</w:t>
            </w:r>
          </w:p>
          <w:p>
            <w:pPr>
              <w:pStyle w:val="TableParagraph"/>
              <w:spacing w:line="237" w:lineRule="auto" w:before="2"/>
              <w:ind w:left="175" w:right="170"/>
              <w:jc w:val="center"/>
              <w:rPr>
                <w:rFonts w:ascii="宋体" w:hAnsi="宋体" w:cs="宋体" w:eastAsia="宋体" w:hint="default"/>
                <w:sz w:val="21"/>
                <w:szCs w:val="21"/>
              </w:rPr>
            </w:pPr>
            <w:r>
              <w:rPr>
                <w:rFonts w:ascii="宋体" w:hAnsi="宋体" w:cs="宋体" w:eastAsia="宋体" w:hint="default"/>
                <w:sz w:val="21"/>
                <w:szCs w:val="21"/>
              </w:rPr>
              <w:t>股份增</w:t>
            </w:r>
            <w:r>
              <w:rPr>
                <w:rFonts w:ascii="宋体" w:hAnsi="宋体" w:cs="宋体" w:eastAsia="宋体" w:hint="default"/>
                <w:w w:val="100"/>
                <w:sz w:val="21"/>
                <w:szCs w:val="21"/>
              </w:rPr>
              <w:t> </w:t>
            </w:r>
            <w:r>
              <w:rPr>
                <w:rFonts w:ascii="宋体" w:hAnsi="宋体" w:cs="宋体" w:eastAsia="宋体" w:hint="default"/>
                <w:sz w:val="21"/>
                <w:szCs w:val="21"/>
              </w:rPr>
              <w:t>减变动</w:t>
            </w:r>
            <w:r>
              <w:rPr>
                <w:rFonts w:ascii="宋体" w:hAnsi="宋体" w:cs="宋体" w:eastAsia="宋体" w:hint="default"/>
                <w:w w:val="100"/>
                <w:sz w:val="21"/>
                <w:szCs w:val="21"/>
              </w:rPr>
              <w:t> </w:t>
            </w:r>
            <w:r>
              <w:rPr>
                <w:rFonts w:ascii="宋体" w:hAnsi="宋体" w:cs="宋体" w:eastAsia="宋体" w:hint="default"/>
                <w:sz w:val="21"/>
                <w:szCs w:val="21"/>
              </w:rPr>
              <w:t>量</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6" w:right="-1"/>
              <w:jc w:val="left"/>
              <w:rPr>
                <w:rFonts w:ascii="宋体" w:hAnsi="宋体" w:cs="宋体" w:eastAsia="宋体" w:hint="default"/>
                <w:sz w:val="21"/>
                <w:szCs w:val="21"/>
              </w:rPr>
            </w:pPr>
            <w:r>
              <w:rPr>
                <w:rFonts w:ascii="宋体" w:hAnsi="宋体" w:cs="宋体" w:eastAsia="宋体" w:hint="default"/>
                <w:sz w:val="21"/>
                <w:szCs w:val="21"/>
              </w:rPr>
              <w:t>增减变</w:t>
            </w:r>
            <w:r>
              <w:rPr>
                <w:rFonts w:ascii="宋体" w:hAnsi="宋体" w:cs="宋体" w:eastAsia="宋体" w:hint="default"/>
                <w:spacing w:val="-102"/>
                <w:sz w:val="21"/>
                <w:szCs w:val="21"/>
              </w:rPr>
              <w:t> </w:t>
            </w:r>
            <w:r>
              <w:rPr>
                <w:rFonts w:ascii="宋体" w:hAnsi="宋体" w:cs="宋体" w:eastAsia="宋体" w:hint="default"/>
                <w:sz w:val="21"/>
                <w:szCs w:val="21"/>
              </w:rPr>
              <w:t>动原因</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before="2"/>
              <w:ind w:left="107" w:right="-1"/>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r>
              <w:rPr>
                <w:rFonts w:ascii="宋体" w:hAnsi="宋体" w:cs="宋体" w:eastAsia="宋体" w:hint="default"/>
                <w:sz w:val="21"/>
                <w:szCs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hAnsi="宋体" w:cs="宋体" w:eastAsia="宋体" w:hint="default"/>
                <w:sz w:val="21"/>
                <w:szCs w:val="21"/>
              </w:rPr>
              <w:t>是否在公</w:t>
            </w:r>
          </w:p>
          <w:p>
            <w:pPr>
              <w:pStyle w:val="TableParagraph"/>
              <w:spacing w:line="272" w:lineRule="exact" w:before="27"/>
              <w:ind w:left="177" w:right="67"/>
              <w:jc w:val="left"/>
              <w:rPr>
                <w:rFonts w:ascii="宋体" w:hAnsi="宋体" w:cs="宋体" w:eastAsia="宋体" w:hint="default"/>
                <w:sz w:val="21"/>
                <w:szCs w:val="21"/>
              </w:rPr>
            </w:pPr>
            <w:r>
              <w:rPr>
                <w:rFonts w:ascii="宋体" w:hAnsi="宋体" w:cs="宋体" w:eastAsia="宋体" w:hint="default"/>
                <w:sz w:val="21"/>
                <w:szCs w:val="21"/>
              </w:rPr>
              <w:t>司关联方</w:t>
            </w:r>
            <w:r>
              <w:rPr>
                <w:rFonts w:ascii="宋体" w:hAnsi="宋体" w:cs="宋体" w:eastAsia="宋体" w:hint="default"/>
                <w:w w:val="100"/>
                <w:sz w:val="21"/>
                <w:szCs w:val="21"/>
              </w:rPr>
              <w:t> </w:t>
            </w:r>
            <w:r>
              <w:rPr>
                <w:rFonts w:ascii="宋体" w:hAnsi="宋体" w:cs="宋体" w:eastAsia="宋体" w:hint="default"/>
                <w:sz w:val="21"/>
                <w:szCs w:val="21"/>
              </w:rPr>
              <w:t>获取报酬</w:t>
            </w:r>
            <w:r>
              <w:rPr>
                <w:rFonts w:ascii="宋体" w:hAnsi="宋体" w:cs="宋体" w:eastAsia="宋体" w:hint="default"/>
                <w:sz w:val="21"/>
                <w:szCs w:val="21"/>
              </w:rPr>
              <w:t> </w:t>
            </w:r>
          </w:p>
        </w:tc>
      </w:tr>
      <w:tr>
        <w:trPr>
          <w:trHeight w:val="28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黄代放</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
              <w:jc w:val="right"/>
              <w:rPr>
                <w:rFonts w:ascii="宋体" w:hAnsi="宋体" w:cs="宋体" w:eastAsia="宋体" w:hint="default"/>
                <w:sz w:val="21"/>
                <w:szCs w:val="21"/>
              </w:rPr>
            </w:pPr>
            <w:r>
              <w:rPr>
                <w:rFonts w:ascii="宋体"/>
                <w:sz w:val="21"/>
              </w:rPr>
              <w:t>57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3" w:right="0"/>
              <w:jc w:val="left"/>
              <w:rPr>
                <w:rFonts w:ascii="Times New Roman" w:hAnsi="Times New Roman" w:cs="Times New Roman" w:eastAsia="Times New Roman" w:hint="default"/>
                <w:sz w:val="20"/>
                <w:szCs w:val="20"/>
              </w:rPr>
            </w:pPr>
            <w:r>
              <w:rPr>
                <w:rFonts w:ascii="Times New Roman"/>
                <w:sz w:val="20"/>
              </w:rPr>
              <w:t>2,625,699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2" w:right="0"/>
              <w:jc w:val="left"/>
              <w:rPr>
                <w:rFonts w:ascii="Times New Roman" w:hAnsi="Times New Roman" w:cs="Times New Roman" w:eastAsia="Times New Roman" w:hint="default"/>
                <w:sz w:val="20"/>
                <w:szCs w:val="20"/>
              </w:rPr>
            </w:pPr>
            <w:r>
              <w:rPr>
                <w:rFonts w:ascii="Times New Roman"/>
                <w:sz w:val="20"/>
              </w:rPr>
              <w:t>2,625,699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Times New Roman" w:hAnsi="Times New Roman" w:cs="Times New Roman" w:eastAsia="Times New Roman" w:hint="default"/>
                <w:sz w:val="20"/>
                <w:szCs w:val="20"/>
              </w:rPr>
            </w:pPr>
            <w:r>
              <w:rPr>
                <w:rFonts w:ascii="Times New Roman"/>
                <w:sz w:val="20"/>
              </w:rPr>
              <w:t>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1"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张兴虎</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
              <w:jc w:val="right"/>
              <w:rPr>
                <w:rFonts w:ascii="宋体" w:hAnsi="宋体" w:cs="宋体" w:eastAsia="宋体" w:hint="default"/>
                <w:sz w:val="21"/>
                <w:szCs w:val="21"/>
              </w:rPr>
            </w:pPr>
            <w:r>
              <w:rPr>
                <w:rFonts w:ascii="宋体"/>
                <w:sz w:val="21"/>
              </w:rPr>
              <w:t>43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Times New Roman" w:hAnsi="Times New Roman" w:cs="Times New Roman" w:eastAsia="Times New Roman" w:hint="default"/>
                <w:sz w:val="20"/>
                <w:szCs w:val="20"/>
              </w:rPr>
            </w:pPr>
            <w:r>
              <w:rPr>
                <w:rFonts w:ascii="Times New Roman"/>
                <w:sz w:val="20"/>
              </w:rPr>
              <w:t>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杨剑</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董事兼总裁</w:t>
            </w:r>
            <w:r>
              <w:rPr>
                <w:rFonts w:ascii="宋体" w:hAnsi="宋体" w:cs="宋体" w:eastAsia="宋体" w:hint="default"/>
                <w:sz w:val="21"/>
                <w:szCs w:val="21"/>
              </w:rPr>
              <w:t> </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
              <w:jc w:val="right"/>
              <w:rPr>
                <w:rFonts w:ascii="宋体" w:hAnsi="宋体" w:cs="宋体" w:eastAsia="宋体" w:hint="default"/>
                <w:sz w:val="21"/>
                <w:szCs w:val="21"/>
              </w:rPr>
            </w:pPr>
            <w:r>
              <w:rPr>
                <w:rFonts w:ascii="宋体"/>
                <w:sz w:val="21"/>
              </w:rPr>
              <w:t>41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3" w:right="0"/>
              <w:jc w:val="left"/>
              <w:rPr>
                <w:rFonts w:ascii="Times New Roman" w:hAnsi="Times New Roman" w:cs="Times New Roman" w:eastAsia="Times New Roman" w:hint="default"/>
                <w:sz w:val="20"/>
                <w:szCs w:val="20"/>
              </w:rPr>
            </w:pPr>
            <w:r>
              <w:rPr>
                <w:rFonts w:ascii="Times New Roman"/>
                <w:sz w:val="20"/>
              </w:rPr>
              <w:t>7,540,000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2" w:right="0"/>
              <w:jc w:val="left"/>
              <w:rPr>
                <w:rFonts w:ascii="Times New Roman" w:hAnsi="Times New Roman" w:cs="Times New Roman" w:eastAsia="Times New Roman" w:hint="default"/>
                <w:sz w:val="20"/>
                <w:szCs w:val="20"/>
              </w:rPr>
            </w:pPr>
            <w:r>
              <w:rPr>
                <w:rFonts w:ascii="Times New Roman"/>
                <w:sz w:val="20"/>
              </w:rPr>
              <w:t>7,540,000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57" w:right="0"/>
              <w:jc w:val="left"/>
              <w:rPr>
                <w:rFonts w:ascii="Times New Roman" w:hAnsi="Times New Roman" w:cs="Times New Roman" w:eastAsia="Times New Roman" w:hint="default"/>
                <w:sz w:val="20"/>
                <w:szCs w:val="20"/>
              </w:rPr>
            </w:pPr>
            <w:r>
              <w:rPr>
                <w:rFonts w:ascii="Times New Roman"/>
                <w:sz w:val="20"/>
              </w:rPr>
              <w:t>179.60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hAnsi="宋体" w:cs="宋体" w:eastAsia="宋体" w:hint="default"/>
                <w:sz w:val="21"/>
                <w:szCs w:val="21"/>
              </w:rPr>
              <w:t>刘挺</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董事兼副总</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裁</w:t>
            </w:r>
            <w:r>
              <w:rPr>
                <w:rFonts w:ascii="宋体" w:hAnsi="宋体" w:cs="宋体" w:eastAsia="宋体" w:hint="default"/>
                <w:sz w:val="21"/>
                <w:szCs w:val="21"/>
              </w:rPr>
              <w:t> </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1"/>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0"/>
              <w:jc w:val="right"/>
              <w:rPr>
                <w:rFonts w:ascii="宋体" w:hAnsi="宋体" w:cs="宋体" w:eastAsia="宋体" w:hint="default"/>
                <w:sz w:val="21"/>
                <w:szCs w:val="21"/>
              </w:rPr>
            </w:pPr>
            <w:r>
              <w:rPr>
                <w:rFonts w:ascii="宋体"/>
                <w:sz w:val="21"/>
              </w:rPr>
              <w:t>37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07" w:right="0"/>
              <w:jc w:val="left"/>
              <w:rPr>
                <w:rFonts w:ascii="Times New Roman" w:hAnsi="Times New Roman" w:cs="Times New Roman" w:eastAsia="Times New Roman" w:hint="default"/>
                <w:sz w:val="20"/>
                <w:szCs w:val="20"/>
              </w:rPr>
            </w:pPr>
            <w:r>
              <w:rPr>
                <w:rFonts w:ascii="Times New Roman"/>
                <w:sz w:val="20"/>
              </w:rPr>
              <w:t>455,000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07" w:right="0"/>
              <w:jc w:val="left"/>
              <w:rPr>
                <w:rFonts w:ascii="Times New Roman" w:hAnsi="Times New Roman" w:cs="Times New Roman" w:eastAsia="Times New Roman" w:hint="default"/>
                <w:sz w:val="20"/>
                <w:szCs w:val="20"/>
              </w:rPr>
            </w:pPr>
            <w:r>
              <w:rPr>
                <w:rFonts w:ascii="Times New Roman"/>
                <w:sz w:val="20"/>
              </w:rPr>
              <w:t>455,000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57" w:right="0"/>
              <w:jc w:val="left"/>
              <w:rPr>
                <w:rFonts w:ascii="Times New Roman" w:hAnsi="Times New Roman" w:cs="Times New Roman" w:eastAsia="Times New Roman" w:hint="default"/>
                <w:sz w:val="20"/>
                <w:szCs w:val="20"/>
              </w:rPr>
            </w:pPr>
            <w:r>
              <w:rPr>
                <w:rFonts w:ascii="Times New Roman"/>
                <w:sz w:val="20"/>
              </w:rPr>
              <w:t>109.70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2"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王晋勇</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
              <w:jc w:val="right"/>
              <w:rPr>
                <w:rFonts w:ascii="宋体" w:hAnsi="宋体" w:cs="宋体" w:eastAsia="宋体" w:hint="default"/>
                <w:sz w:val="21"/>
                <w:szCs w:val="21"/>
              </w:rPr>
            </w:pPr>
            <w:r>
              <w:rPr>
                <w:rFonts w:ascii="宋体"/>
                <w:sz w:val="21"/>
              </w:rPr>
              <w:t>55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07" w:right="0"/>
              <w:jc w:val="left"/>
              <w:rPr>
                <w:rFonts w:ascii="Times New Roman" w:hAnsi="Times New Roman" w:cs="Times New Roman" w:eastAsia="Times New Roman" w:hint="default"/>
                <w:sz w:val="20"/>
                <w:szCs w:val="20"/>
              </w:rPr>
            </w:pPr>
            <w:r>
              <w:rPr>
                <w:rFonts w:ascii="Times New Roman"/>
                <w:sz w:val="20"/>
              </w:rPr>
              <w:t>12.00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夏清</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
              <w:jc w:val="right"/>
              <w:rPr>
                <w:rFonts w:ascii="宋体" w:hAnsi="宋体" w:cs="宋体" w:eastAsia="宋体" w:hint="default"/>
                <w:sz w:val="21"/>
                <w:szCs w:val="21"/>
              </w:rPr>
            </w:pPr>
            <w:r>
              <w:rPr>
                <w:rFonts w:ascii="宋体"/>
                <w:sz w:val="21"/>
              </w:rPr>
              <w:t>63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07" w:right="0"/>
              <w:jc w:val="left"/>
              <w:rPr>
                <w:rFonts w:ascii="Times New Roman" w:hAnsi="Times New Roman" w:cs="Times New Roman" w:eastAsia="Times New Roman" w:hint="default"/>
                <w:sz w:val="20"/>
                <w:szCs w:val="20"/>
              </w:rPr>
            </w:pPr>
            <w:r>
              <w:rPr>
                <w:rFonts w:ascii="Times New Roman"/>
                <w:sz w:val="20"/>
              </w:rPr>
              <w:t>12.00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储一昀</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1"/>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0"/>
              <w:jc w:val="right"/>
              <w:rPr>
                <w:rFonts w:ascii="宋体" w:hAnsi="宋体" w:cs="宋体" w:eastAsia="宋体" w:hint="default"/>
                <w:sz w:val="21"/>
                <w:szCs w:val="21"/>
              </w:rPr>
            </w:pPr>
            <w:r>
              <w:rPr>
                <w:rFonts w:ascii="宋体"/>
                <w:sz w:val="21"/>
              </w:rPr>
              <w:t>56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07" w:right="0"/>
              <w:jc w:val="left"/>
              <w:rPr>
                <w:rFonts w:ascii="Times New Roman" w:hAnsi="Times New Roman" w:cs="Times New Roman" w:eastAsia="Times New Roman" w:hint="default"/>
                <w:sz w:val="20"/>
                <w:szCs w:val="20"/>
              </w:rPr>
            </w:pPr>
            <w:r>
              <w:rPr>
                <w:rFonts w:ascii="Times New Roman"/>
                <w:sz w:val="20"/>
              </w:rPr>
              <w:t>12.00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2"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李自强</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监事会主席</w:t>
            </w:r>
            <w:r>
              <w:rPr>
                <w:rFonts w:ascii="宋体" w:hAnsi="宋体" w:cs="宋体" w:eastAsia="宋体" w:hint="default"/>
                <w:sz w:val="21"/>
                <w:szCs w:val="21"/>
              </w:rPr>
              <w:t> </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
              <w:jc w:val="right"/>
              <w:rPr>
                <w:rFonts w:ascii="宋体" w:hAnsi="宋体" w:cs="宋体" w:eastAsia="宋体" w:hint="default"/>
                <w:sz w:val="21"/>
                <w:szCs w:val="21"/>
              </w:rPr>
            </w:pPr>
            <w:r>
              <w:rPr>
                <w:rFonts w:ascii="宋体"/>
                <w:sz w:val="21"/>
              </w:rPr>
              <w:t>49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Times New Roman" w:hAnsi="Times New Roman" w:cs="Times New Roman" w:eastAsia="Times New Roman" w:hint="default"/>
                <w:sz w:val="20"/>
                <w:szCs w:val="20"/>
              </w:rPr>
            </w:pPr>
            <w:r>
              <w:rPr>
                <w:rFonts w:ascii="Times New Roman"/>
                <w:sz w:val="20"/>
              </w:rPr>
              <w:t>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1"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周海英</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
              <w:jc w:val="right"/>
              <w:rPr>
                <w:rFonts w:ascii="宋体" w:hAnsi="宋体" w:cs="宋体" w:eastAsia="宋体" w:hint="default"/>
                <w:sz w:val="21"/>
                <w:szCs w:val="21"/>
              </w:rPr>
            </w:pPr>
            <w:r>
              <w:rPr>
                <w:rFonts w:ascii="宋体"/>
                <w:sz w:val="21"/>
              </w:rPr>
              <w:t>49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Times New Roman" w:hAnsi="Times New Roman" w:cs="Times New Roman" w:eastAsia="Times New Roman" w:hint="default"/>
                <w:sz w:val="20"/>
                <w:szCs w:val="20"/>
              </w:rPr>
            </w:pPr>
            <w:r>
              <w:rPr>
                <w:rFonts w:ascii="Times New Roman"/>
                <w:sz w:val="20"/>
              </w:rPr>
              <w:t>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张小兵</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
              <w:jc w:val="right"/>
              <w:rPr>
                <w:rFonts w:ascii="宋体" w:hAnsi="宋体" w:cs="宋体" w:eastAsia="宋体" w:hint="default"/>
                <w:sz w:val="21"/>
                <w:szCs w:val="21"/>
              </w:rPr>
            </w:pPr>
            <w:r>
              <w:rPr>
                <w:rFonts w:ascii="宋体"/>
                <w:sz w:val="21"/>
              </w:rPr>
              <w:t>37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07" w:right="0"/>
              <w:jc w:val="left"/>
              <w:rPr>
                <w:rFonts w:ascii="Times New Roman" w:hAnsi="Times New Roman" w:cs="Times New Roman" w:eastAsia="Times New Roman" w:hint="default"/>
                <w:sz w:val="20"/>
                <w:szCs w:val="20"/>
              </w:rPr>
            </w:pPr>
            <w:r>
              <w:rPr>
                <w:rFonts w:ascii="Times New Roman"/>
                <w:sz w:val="20"/>
              </w:rPr>
              <w:t>40.77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李 结</w:t>
            </w:r>
            <w:r>
              <w:rPr>
                <w:rFonts w:ascii="宋体" w:hAnsi="宋体" w:cs="宋体" w:eastAsia="宋体" w:hint="default"/>
                <w:spacing w:val="-67"/>
                <w:sz w:val="21"/>
                <w:szCs w:val="21"/>
              </w:rPr>
              <w:t> </w:t>
            </w:r>
            <w:r>
              <w:rPr>
                <w:rFonts w:ascii="宋体" w:hAnsi="宋体" w:cs="宋体" w:eastAsia="宋体" w:hint="default"/>
                <w:sz w:val="21"/>
                <w:szCs w:val="21"/>
              </w:rPr>
              <w:t>平</w:t>
            </w:r>
          </w:p>
          <w:p>
            <w:pPr>
              <w:pStyle w:val="TableParagraph"/>
              <w:spacing w:line="274" w:lineRule="exact"/>
              <w:ind w:left="105" w:right="-5"/>
              <w:jc w:val="left"/>
              <w:rPr>
                <w:rFonts w:ascii="宋体" w:hAnsi="宋体" w:cs="宋体" w:eastAsia="宋体" w:hint="default"/>
                <w:sz w:val="21"/>
                <w:szCs w:val="21"/>
              </w:rPr>
            </w:pPr>
            <w:r>
              <w:rPr>
                <w:rFonts w:ascii="宋体" w:hAnsi="宋体" w:cs="宋体" w:eastAsia="宋体" w:hint="default"/>
                <w:spacing w:val="-19"/>
                <w:sz w:val="21"/>
                <w:szCs w:val="21"/>
              </w:rPr>
              <w:t>（离任）</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副总裁</w:t>
            </w:r>
            <w:r>
              <w:rPr>
                <w:rFonts w:ascii="宋体" w:hAnsi="宋体" w:cs="宋体" w:eastAsia="宋体" w:hint="default"/>
                <w:sz w:val="21"/>
                <w:szCs w:val="21"/>
              </w:rPr>
              <w:t> </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1"/>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0"/>
              <w:jc w:val="right"/>
              <w:rPr>
                <w:rFonts w:ascii="宋体" w:hAnsi="宋体" w:cs="宋体" w:eastAsia="宋体" w:hint="default"/>
                <w:sz w:val="21"/>
                <w:szCs w:val="21"/>
              </w:rPr>
            </w:pPr>
            <w:r>
              <w:rPr>
                <w:rFonts w:ascii="宋体"/>
                <w:sz w:val="21"/>
              </w:rPr>
              <w:t>41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07" w:right="0"/>
              <w:jc w:val="left"/>
              <w:rPr>
                <w:rFonts w:ascii="Times New Roman" w:hAnsi="Times New Roman" w:cs="Times New Roman" w:eastAsia="Times New Roman" w:hint="default"/>
                <w:sz w:val="20"/>
                <w:szCs w:val="20"/>
              </w:rPr>
            </w:pPr>
            <w:r>
              <w:rPr>
                <w:rFonts w:ascii="Times New Roman"/>
                <w:sz w:val="20"/>
              </w:rPr>
              <w:t>880,750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07" w:right="0"/>
              <w:jc w:val="left"/>
              <w:rPr>
                <w:rFonts w:ascii="Times New Roman" w:hAnsi="Times New Roman" w:cs="Times New Roman" w:eastAsia="Times New Roman" w:hint="default"/>
                <w:sz w:val="20"/>
                <w:szCs w:val="20"/>
              </w:rPr>
            </w:pPr>
            <w:r>
              <w:rPr>
                <w:rFonts w:ascii="Times New Roman"/>
                <w:sz w:val="20"/>
              </w:rPr>
              <w:t>880,750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57" w:right="0"/>
              <w:jc w:val="left"/>
              <w:rPr>
                <w:rFonts w:ascii="Times New Roman" w:hAnsi="Times New Roman" w:cs="Times New Roman" w:eastAsia="Times New Roman" w:hint="default"/>
                <w:sz w:val="20"/>
                <w:szCs w:val="20"/>
              </w:rPr>
            </w:pPr>
            <w:r>
              <w:rPr>
                <w:rFonts w:ascii="Times New Roman"/>
                <w:sz w:val="20"/>
              </w:rPr>
              <w:t>118.50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2"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汪华艳</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副总裁</w:t>
            </w:r>
            <w:r>
              <w:rPr>
                <w:rFonts w:ascii="宋体" w:hAnsi="宋体" w:cs="宋体" w:eastAsia="宋体" w:hint="default"/>
                <w:sz w:val="21"/>
                <w:szCs w:val="21"/>
              </w:rPr>
              <w:t> </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righ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
              <w:jc w:val="right"/>
              <w:rPr>
                <w:rFonts w:ascii="宋体" w:hAnsi="宋体" w:cs="宋体" w:eastAsia="宋体" w:hint="default"/>
                <w:sz w:val="21"/>
                <w:szCs w:val="21"/>
              </w:rPr>
            </w:pPr>
            <w:r>
              <w:rPr>
                <w:rFonts w:ascii="宋体"/>
                <w:sz w:val="21"/>
              </w:rPr>
              <w:t>41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07" w:right="0"/>
              <w:jc w:val="left"/>
              <w:rPr>
                <w:rFonts w:ascii="Times New Roman" w:hAnsi="Times New Roman" w:cs="Times New Roman" w:eastAsia="Times New Roman" w:hint="default"/>
                <w:sz w:val="20"/>
                <w:szCs w:val="20"/>
              </w:rPr>
            </w:pPr>
            <w:r>
              <w:rPr>
                <w:rFonts w:ascii="Times New Roman"/>
                <w:sz w:val="20"/>
              </w:rPr>
              <w:t>650,000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07" w:right="0"/>
              <w:jc w:val="left"/>
              <w:rPr>
                <w:rFonts w:ascii="Times New Roman" w:hAnsi="Times New Roman" w:cs="Times New Roman" w:eastAsia="Times New Roman" w:hint="default"/>
                <w:sz w:val="20"/>
                <w:szCs w:val="20"/>
              </w:rPr>
            </w:pPr>
            <w:r>
              <w:rPr>
                <w:rFonts w:ascii="Times New Roman"/>
                <w:sz w:val="20"/>
              </w:rPr>
              <w:t>650,000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07" w:right="0"/>
              <w:jc w:val="left"/>
              <w:rPr>
                <w:rFonts w:ascii="Times New Roman" w:hAnsi="Times New Roman" w:cs="Times New Roman" w:eastAsia="Times New Roman" w:hint="default"/>
                <w:sz w:val="20"/>
                <w:szCs w:val="20"/>
              </w:rPr>
            </w:pPr>
            <w:r>
              <w:rPr>
                <w:rFonts w:ascii="Times New Roman"/>
                <w:sz w:val="20"/>
              </w:rPr>
              <w:t>96.60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hAnsi="宋体" w:cs="宋体" w:eastAsia="宋体" w:hint="default"/>
                <w:sz w:val="21"/>
                <w:szCs w:val="21"/>
              </w:rPr>
              <w:t>朱宇华</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副总裁兼财</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务总监</w:t>
            </w:r>
            <w:r>
              <w:rPr>
                <w:rFonts w:ascii="宋体" w:hAnsi="宋体" w:cs="宋体" w:eastAsia="宋体" w:hint="default"/>
                <w:sz w:val="21"/>
                <w:szCs w:val="21"/>
              </w:rPr>
              <w:t> </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1"/>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0"/>
              <w:jc w:val="right"/>
              <w:rPr>
                <w:rFonts w:ascii="宋体" w:hAnsi="宋体" w:cs="宋体" w:eastAsia="宋体" w:hint="default"/>
                <w:sz w:val="21"/>
                <w:szCs w:val="21"/>
              </w:rPr>
            </w:pPr>
            <w:r>
              <w:rPr>
                <w:rFonts w:ascii="宋体"/>
                <w:sz w:val="21"/>
              </w:rPr>
              <w:t>40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07" w:right="0"/>
              <w:jc w:val="left"/>
              <w:rPr>
                <w:rFonts w:ascii="Times New Roman" w:hAnsi="Times New Roman" w:cs="Times New Roman" w:eastAsia="Times New Roman" w:hint="default"/>
                <w:sz w:val="20"/>
                <w:szCs w:val="20"/>
              </w:rPr>
            </w:pPr>
            <w:r>
              <w:rPr>
                <w:rFonts w:ascii="Times New Roman"/>
                <w:sz w:val="20"/>
              </w:rPr>
              <w:t>455,000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07" w:right="0"/>
              <w:jc w:val="left"/>
              <w:rPr>
                <w:rFonts w:ascii="Times New Roman" w:hAnsi="Times New Roman" w:cs="Times New Roman" w:eastAsia="Times New Roman" w:hint="default"/>
                <w:sz w:val="20"/>
                <w:szCs w:val="20"/>
              </w:rPr>
            </w:pPr>
            <w:r>
              <w:rPr>
                <w:rFonts w:ascii="Times New Roman"/>
                <w:sz w:val="20"/>
              </w:rPr>
              <w:t>455,000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57" w:right="0"/>
              <w:jc w:val="left"/>
              <w:rPr>
                <w:rFonts w:ascii="Times New Roman" w:hAnsi="Times New Roman" w:cs="Times New Roman" w:eastAsia="Times New Roman" w:hint="default"/>
                <w:sz w:val="20"/>
                <w:szCs w:val="20"/>
              </w:rPr>
            </w:pPr>
            <w:r>
              <w:rPr>
                <w:rFonts w:ascii="Times New Roman"/>
                <w:sz w:val="20"/>
              </w:rPr>
              <w:t>120.60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2"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5"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18"/>
                <w:sz w:val="21"/>
                <w:szCs w:val="21"/>
              </w:rPr>
              <w:t>廖宇（离</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任）</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center"/>
              <w:rPr>
                <w:rFonts w:ascii="宋体" w:hAnsi="宋体" w:cs="宋体" w:eastAsia="宋体" w:hint="default"/>
                <w:sz w:val="21"/>
                <w:szCs w:val="21"/>
              </w:rPr>
            </w:pPr>
            <w:r>
              <w:rPr>
                <w:rFonts w:ascii="宋体" w:hAnsi="宋体" w:cs="宋体" w:eastAsia="宋体" w:hint="default"/>
                <w:sz w:val="21"/>
                <w:szCs w:val="21"/>
              </w:rPr>
              <w:t>副总裁</w:t>
            </w:r>
            <w:r>
              <w:rPr>
                <w:rFonts w:ascii="宋体" w:hAnsi="宋体" w:cs="宋体" w:eastAsia="宋体" w:hint="default"/>
                <w:sz w:val="21"/>
                <w:szCs w:val="21"/>
              </w:rPr>
              <w:t> </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1"/>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60"/>
              <w:jc w:val="right"/>
              <w:rPr>
                <w:rFonts w:ascii="宋体" w:hAnsi="宋体" w:cs="宋体" w:eastAsia="宋体" w:hint="default"/>
                <w:sz w:val="21"/>
                <w:szCs w:val="21"/>
              </w:rPr>
            </w:pPr>
            <w:r>
              <w:rPr>
                <w:rFonts w:ascii="宋体"/>
                <w:sz w:val="21"/>
              </w:rPr>
              <w:t>41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58" w:right="0"/>
              <w:jc w:val="left"/>
              <w:rPr>
                <w:rFonts w:ascii="Times New Roman" w:hAnsi="Times New Roman" w:cs="Times New Roman" w:eastAsia="Times New Roman" w:hint="default"/>
                <w:sz w:val="20"/>
                <w:szCs w:val="20"/>
              </w:rPr>
            </w:pPr>
            <w:r>
              <w:rPr>
                <w:rFonts w:ascii="Times New Roman"/>
                <w:sz w:val="20"/>
              </w:rPr>
              <w:t>52,000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57" w:right="0"/>
              <w:jc w:val="left"/>
              <w:rPr>
                <w:rFonts w:ascii="Times New Roman" w:hAnsi="Times New Roman" w:cs="Times New Roman" w:eastAsia="Times New Roman" w:hint="default"/>
                <w:sz w:val="20"/>
                <w:szCs w:val="20"/>
              </w:rPr>
            </w:pPr>
            <w:r>
              <w:rPr>
                <w:rFonts w:ascii="Times New Roman"/>
                <w:sz w:val="20"/>
              </w:rPr>
              <w:t>41,600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82" w:right="0"/>
              <w:jc w:val="left"/>
              <w:rPr>
                <w:rFonts w:ascii="Times New Roman" w:hAnsi="Times New Roman" w:cs="Times New Roman" w:eastAsia="Times New Roman" w:hint="default"/>
                <w:sz w:val="20"/>
                <w:szCs w:val="20"/>
              </w:rPr>
            </w:pPr>
            <w:r>
              <w:rPr>
                <w:rFonts w:ascii="Times New Roman"/>
                <w:sz w:val="20"/>
              </w:rPr>
              <w:t>-10,400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6" w:right="-1"/>
              <w:jc w:val="left"/>
              <w:rPr>
                <w:rFonts w:ascii="宋体" w:hAnsi="宋体" w:cs="宋体" w:eastAsia="宋体" w:hint="default"/>
                <w:sz w:val="21"/>
                <w:szCs w:val="21"/>
              </w:rPr>
            </w:pPr>
            <w:r>
              <w:rPr>
                <w:rFonts w:ascii="宋体" w:hAnsi="宋体" w:cs="宋体" w:eastAsia="宋体" w:hint="default"/>
                <w:sz w:val="21"/>
                <w:szCs w:val="21"/>
              </w:rPr>
              <w:t>个人资</w:t>
            </w:r>
          </w:p>
          <w:p>
            <w:pPr>
              <w:pStyle w:val="TableParagraph"/>
              <w:spacing w:line="273" w:lineRule="exact"/>
              <w:ind w:left="106" w:right="-1"/>
              <w:jc w:val="left"/>
              <w:rPr>
                <w:rFonts w:ascii="宋体" w:hAnsi="宋体" w:cs="宋体" w:eastAsia="宋体" w:hint="default"/>
                <w:sz w:val="21"/>
                <w:szCs w:val="21"/>
              </w:rPr>
            </w:pPr>
            <w:r>
              <w:rPr>
                <w:rFonts w:ascii="宋体" w:hAnsi="宋体" w:cs="宋体" w:eastAsia="宋体" w:hint="default"/>
                <w:sz w:val="21"/>
                <w:szCs w:val="21"/>
              </w:rPr>
              <w:t>金需要</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07" w:right="0"/>
              <w:jc w:val="left"/>
              <w:rPr>
                <w:rFonts w:ascii="Times New Roman" w:hAnsi="Times New Roman" w:cs="Times New Roman" w:eastAsia="Times New Roman" w:hint="default"/>
                <w:sz w:val="20"/>
                <w:szCs w:val="20"/>
              </w:rPr>
            </w:pPr>
            <w:r>
              <w:rPr>
                <w:rFonts w:ascii="Times New Roman"/>
                <w:sz w:val="20"/>
              </w:rPr>
              <w:t>36.00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92"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尹玮</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sz w:val="21"/>
                <w:szCs w:val="21"/>
              </w:rPr>
              <w:t> </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
              <w:jc w:val="right"/>
              <w:rPr>
                <w:rFonts w:ascii="宋体" w:hAnsi="宋体" w:cs="宋体" w:eastAsia="宋体" w:hint="default"/>
                <w:sz w:val="21"/>
                <w:szCs w:val="21"/>
              </w:rPr>
            </w:pPr>
            <w:r>
              <w:rPr>
                <w:rFonts w:ascii="宋体"/>
                <w:sz w:val="21"/>
              </w:rPr>
              <w:t>39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07" w:right="0"/>
              <w:jc w:val="left"/>
              <w:rPr>
                <w:rFonts w:ascii="Times New Roman" w:hAnsi="Times New Roman" w:cs="Times New Roman" w:eastAsia="Times New Roman" w:hint="default"/>
                <w:sz w:val="20"/>
                <w:szCs w:val="20"/>
              </w:rPr>
            </w:pPr>
            <w:r>
              <w:rPr>
                <w:rFonts w:ascii="Times New Roman"/>
                <w:sz w:val="20"/>
              </w:rPr>
              <w:t>377,000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07" w:right="0"/>
              <w:jc w:val="left"/>
              <w:rPr>
                <w:rFonts w:ascii="Times New Roman" w:hAnsi="Times New Roman" w:cs="Times New Roman" w:eastAsia="Times New Roman" w:hint="default"/>
                <w:sz w:val="20"/>
                <w:szCs w:val="20"/>
              </w:rPr>
            </w:pPr>
            <w:r>
              <w:rPr>
                <w:rFonts w:ascii="Times New Roman"/>
                <w:sz w:val="20"/>
              </w:rPr>
              <w:t>377,000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07" w:right="0"/>
              <w:jc w:val="left"/>
              <w:rPr>
                <w:rFonts w:ascii="Times New Roman" w:hAnsi="Times New Roman" w:cs="Times New Roman" w:eastAsia="Times New Roman" w:hint="default"/>
                <w:sz w:val="20"/>
                <w:szCs w:val="20"/>
              </w:rPr>
            </w:pPr>
            <w:r>
              <w:rPr>
                <w:rFonts w:ascii="Times New Roman"/>
                <w:sz w:val="20"/>
              </w:rPr>
              <w:t>61.81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4"/>
              <w:jc w:val="right"/>
              <w:rPr>
                <w:rFonts w:ascii="宋体" w:hAnsi="宋体" w:cs="宋体" w:eastAsia="宋体" w:hint="default"/>
                <w:sz w:val="21"/>
                <w:szCs w:val="21"/>
              </w:rPr>
            </w:pPr>
            <w:r>
              <w:rPr>
                <w:rFonts w:ascii="宋体"/>
                <w:sz w:val="21"/>
              </w:rPr>
              <w:t>/ </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
              <w:jc w:val="right"/>
              <w:rPr>
                <w:rFonts w:ascii="宋体" w:hAnsi="宋体" w:cs="宋体" w:eastAsia="宋体" w:hint="default"/>
                <w:sz w:val="21"/>
                <w:szCs w:val="21"/>
              </w:rPr>
            </w:pPr>
            <w:r>
              <w:rPr>
                <w:rFonts w:ascii="宋体"/>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62" w:right="0"/>
              <w:jc w:val="left"/>
              <w:rPr>
                <w:rFonts w:ascii="Times New Roman" w:hAnsi="Times New Roman" w:cs="Times New Roman" w:eastAsia="Times New Roman" w:hint="default"/>
                <w:sz w:val="20"/>
                <w:szCs w:val="20"/>
              </w:rPr>
            </w:pPr>
            <w:r>
              <w:rPr>
                <w:rFonts w:ascii="Times New Roman"/>
                <w:sz w:val="20"/>
              </w:rPr>
              <w:t>13,035,449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63" w:right="0"/>
              <w:jc w:val="left"/>
              <w:rPr>
                <w:rFonts w:ascii="Times New Roman" w:hAnsi="Times New Roman" w:cs="Times New Roman" w:eastAsia="Times New Roman" w:hint="default"/>
                <w:sz w:val="20"/>
                <w:szCs w:val="20"/>
              </w:rPr>
            </w:pPr>
            <w:r>
              <w:rPr>
                <w:rFonts w:ascii="Times New Roman"/>
                <w:sz w:val="20"/>
              </w:rPr>
              <w:t>13,025,049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61" w:right="0"/>
              <w:jc w:val="left"/>
              <w:rPr>
                <w:rFonts w:ascii="Times New Roman" w:hAnsi="Times New Roman" w:cs="Times New Roman" w:eastAsia="Times New Roman" w:hint="default"/>
                <w:sz w:val="20"/>
                <w:szCs w:val="20"/>
              </w:rPr>
            </w:pPr>
            <w:r>
              <w:rPr>
                <w:rFonts w:ascii="Times New Roman"/>
                <w:sz w:val="20"/>
              </w:rPr>
              <w:t>-10,400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614" w:right="0"/>
              <w:jc w:val="left"/>
              <w:rPr>
                <w:rFonts w:ascii="Times New Roman" w:hAnsi="Times New Roman" w:cs="Times New Roman" w:eastAsia="Times New Roman" w:hint="default"/>
                <w:sz w:val="20"/>
                <w:szCs w:val="20"/>
              </w:rPr>
            </w:pPr>
            <w:r>
              <w:rPr>
                <w:rFonts w:ascii="Times New Roman"/>
                <w:sz w:val="20"/>
              </w:rPr>
              <w:t>799.58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sz w:val="21"/>
              </w:rPr>
              <w:t>/ </w:t>
            </w:r>
          </w:p>
        </w:tc>
      </w:tr>
    </w:tbl>
    <w:p>
      <w:pPr>
        <w:spacing w:after="0" w:line="241" w:lineRule="exact"/>
        <w:jc w:val="left"/>
        <w:rPr>
          <w:rFonts w:ascii="宋体" w:hAnsi="宋体" w:cs="宋体" w:eastAsia="宋体" w:hint="default"/>
          <w:sz w:val="21"/>
          <w:szCs w:val="21"/>
        </w:rPr>
        <w:sectPr>
          <w:type w:val="continuous"/>
          <w:pgSz w:w="16840" w:h="11910" w:orient="landscape"/>
          <w:pgMar w:top="1120" w:bottom="1380" w:left="1300" w:right="1200"/>
        </w:sectPr>
      </w:pPr>
    </w:p>
    <w:p>
      <w:pPr>
        <w:spacing w:line="240" w:lineRule="auto" w:before="10"/>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1556"/>
        <w:gridCol w:w="12311"/>
      </w:tblGrid>
      <w:tr>
        <w:trPr>
          <w:trHeight w:val="296"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54" w:right="0"/>
              <w:jc w:val="left"/>
              <w:rPr>
                <w:rFonts w:ascii="宋体" w:hAnsi="宋体" w:cs="宋体" w:eastAsia="宋体" w:hint="default"/>
                <w:sz w:val="22"/>
                <w:szCs w:val="22"/>
              </w:rPr>
            </w:pPr>
            <w:r>
              <w:rPr>
                <w:rFonts w:ascii="宋体" w:hAnsi="宋体" w:cs="宋体" w:eastAsia="宋体" w:hint="default"/>
                <w:sz w:val="22"/>
                <w:szCs w:val="22"/>
              </w:rPr>
              <w:t>姓名</w:t>
            </w:r>
            <w:r>
              <w:rPr>
                <w:rFonts w:ascii="宋体" w:hAnsi="宋体" w:cs="宋体" w:eastAsia="宋体" w:hint="default"/>
                <w:sz w:val="22"/>
                <w:szCs w:val="22"/>
              </w:rPr>
              <w:t> </w:t>
            </w:r>
          </w:p>
        </w:tc>
        <w:tc>
          <w:tcPr>
            <w:tcW w:w="123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12" w:right="0"/>
              <w:jc w:val="center"/>
              <w:rPr>
                <w:rFonts w:ascii="宋体" w:hAnsi="宋体" w:cs="宋体" w:eastAsia="宋体" w:hint="default"/>
                <w:sz w:val="22"/>
                <w:szCs w:val="22"/>
              </w:rPr>
            </w:pPr>
            <w:r>
              <w:rPr>
                <w:rFonts w:ascii="宋体" w:hAnsi="宋体" w:cs="宋体" w:eastAsia="宋体" w:hint="default"/>
                <w:sz w:val="22"/>
                <w:szCs w:val="22"/>
              </w:rPr>
              <w:t>主要工作经历</w:t>
            </w:r>
            <w:r>
              <w:rPr>
                <w:rFonts w:ascii="宋体" w:hAnsi="宋体" w:cs="宋体" w:eastAsia="宋体" w:hint="default"/>
                <w:sz w:val="22"/>
                <w:szCs w:val="22"/>
              </w:rPr>
              <w:t> </w:t>
            </w:r>
          </w:p>
        </w:tc>
      </w:tr>
      <w:tr>
        <w:trPr>
          <w:trHeight w:val="295"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hAnsi="宋体" w:cs="宋体" w:eastAsia="宋体" w:hint="default"/>
                <w:sz w:val="22"/>
                <w:szCs w:val="22"/>
              </w:rPr>
              <w:t>黄代放</w:t>
            </w:r>
            <w:r>
              <w:rPr>
                <w:rFonts w:ascii="宋体" w:hAnsi="宋体" w:cs="宋体" w:eastAsia="宋体" w:hint="default"/>
                <w:sz w:val="22"/>
                <w:szCs w:val="22"/>
              </w:rPr>
              <w:t> </w:t>
            </w:r>
          </w:p>
        </w:tc>
        <w:tc>
          <w:tcPr>
            <w:tcW w:w="123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hAnsi="宋体" w:cs="宋体" w:eastAsia="宋体" w:hint="default"/>
                <w:sz w:val="22"/>
                <w:szCs w:val="22"/>
              </w:rPr>
              <w:t>2007</w:t>
            </w:r>
            <w:r>
              <w:rPr>
                <w:rFonts w:ascii="宋体" w:hAnsi="宋体" w:cs="宋体" w:eastAsia="宋体" w:hint="default"/>
                <w:spacing w:val="-55"/>
                <w:sz w:val="22"/>
                <w:szCs w:val="22"/>
              </w:rPr>
              <w:t> </w:t>
            </w:r>
            <w:r>
              <w:rPr>
                <w:rFonts w:ascii="宋体" w:hAnsi="宋体" w:cs="宋体" w:eastAsia="宋体" w:hint="default"/>
                <w:sz w:val="22"/>
                <w:szCs w:val="22"/>
              </w:rPr>
              <w:t>年至今任泰豪集团有限公司董事长，</w:t>
            </w:r>
            <w:r>
              <w:rPr>
                <w:rFonts w:ascii="宋体" w:hAnsi="宋体" w:cs="宋体" w:eastAsia="宋体" w:hint="default"/>
                <w:sz w:val="22"/>
                <w:szCs w:val="22"/>
              </w:rPr>
              <w:t>2009</w:t>
            </w:r>
            <w:r>
              <w:rPr>
                <w:rFonts w:ascii="宋体" w:hAnsi="宋体" w:cs="宋体" w:eastAsia="宋体" w:hint="default"/>
                <w:spacing w:val="-58"/>
                <w:sz w:val="22"/>
                <w:szCs w:val="22"/>
              </w:rPr>
              <w:t> </w:t>
            </w:r>
            <w:r>
              <w:rPr>
                <w:rFonts w:ascii="宋体" w:hAnsi="宋体" w:cs="宋体" w:eastAsia="宋体" w:hint="default"/>
                <w:sz w:val="22"/>
                <w:szCs w:val="22"/>
              </w:rPr>
              <w:t>年至</w:t>
            </w:r>
            <w:r>
              <w:rPr>
                <w:rFonts w:ascii="宋体" w:hAnsi="宋体" w:cs="宋体" w:eastAsia="宋体" w:hint="default"/>
                <w:spacing w:val="-55"/>
                <w:sz w:val="22"/>
                <w:szCs w:val="22"/>
              </w:rPr>
              <w:t> </w:t>
            </w:r>
            <w:r>
              <w:rPr>
                <w:rFonts w:ascii="宋体" w:hAnsi="宋体" w:cs="宋体" w:eastAsia="宋体" w:hint="default"/>
                <w:sz w:val="22"/>
                <w:szCs w:val="22"/>
              </w:rPr>
              <w:t>2015</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8</w:t>
            </w:r>
            <w:r>
              <w:rPr>
                <w:rFonts w:ascii="宋体" w:hAnsi="宋体" w:cs="宋体" w:eastAsia="宋体" w:hint="default"/>
                <w:spacing w:val="-55"/>
                <w:sz w:val="22"/>
                <w:szCs w:val="22"/>
              </w:rPr>
              <w:t> </w:t>
            </w:r>
            <w:r>
              <w:rPr>
                <w:rFonts w:ascii="宋体" w:hAnsi="宋体" w:cs="宋体" w:eastAsia="宋体" w:hint="default"/>
                <w:sz w:val="22"/>
                <w:szCs w:val="22"/>
              </w:rPr>
              <w:t>月任本公司副董事长，</w:t>
            </w:r>
            <w:r>
              <w:rPr>
                <w:rFonts w:ascii="宋体" w:hAnsi="宋体" w:cs="宋体" w:eastAsia="宋体" w:hint="default"/>
                <w:sz w:val="22"/>
                <w:szCs w:val="22"/>
              </w:rPr>
              <w:t>2015</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8</w:t>
            </w:r>
            <w:r>
              <w:rPr>
                <w:rFonts w:ascii="宋体" w:hAnsi="宋体" w:cs="宋体" w:eastAsia="宋体" w:hint="default"/>
                <w:spacing w:val="-58"/>
                <w:sz w:val="22"/>
                <w:szCs w:val="22"/>
              </w:rPr>
              <w:t> </w:t>
            </w:r>
            <w:r>
              <w:rPr>
                <w:rFonts w:ascii="宋体" w:hAnsi="宋体" w:cs="宋体" w:eastAsia="宋体" w:hint="default"/>
                <w:sz w:val="22"/>
                <w:szCs w:val="22"/>
              </w:rPr>
              <w:t>月至今任本公司董事长。</w:t>
            </w:r>
            <w:r>
              <w:rPr>
                <w:rFonts w:ascii="宋体" w:hAnsi="宋体" w:cs="宋体" w:eastAsia="宋体" w:hint="default"/>
                <w:sz w:val="22"/>
                <w:szCs w:val="22"/>
              </w:rPr>
              <w:t> </w:t>
            </w:r>
          </w:p>
        </w:tc>
      </w:tr>
      <w:tr>
        <w:trPr>
          <w:trHeight w:val="581"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left"/>
              <w:rPr>
                <w:rFonts w:ascii="宋体" w:hAnsi="宋体" w:cs="宋体" w:eastAsia="宋体" w:hint="default"/>
                <w:sz w:val="22"/>
                <w:szCs w:val="22"/>
              </w:rPr>
            </w:pPr>
            <w:r>
              <w:rPr>
                <w:rFonts w:ascii="宋体" w:hAnsi="宋体" w:cs="宋体" w:eastAsia="宋体" w:hint="default"/>
                <w:sz w:val="22"/>
                <w:szCs w:val="22"/>
              </w:rPr>
              <w:t>张兴虎</w:t>
            </w:r>
            <w:r>
              <w:rPr>
                <w:rFonts w:ascii="宋体" w:hAnsi="宋体" w:cs="宋体" w:eastAsia="宋体" w:hint="default"/>
                <w:sz w:val="22"/>
                <w:szCs w:val="22"/>
              </w:rPr>
              <w:t> </w:t>
            </w:r>
          </w:p>
        </w:tc>
        <w:tc>
          <w:tcPr>
            <w:tcW w:w="123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宋体" w:hAnsi="宋体" w:cs="宋体" w:eastAsia="宋体" w:hint="default"/>
                <w:sz w:val="22"/>
                <w:szCs w:val="22"/>
              </w:rPr>
            </w:pPr>
            <w:r>
              <w:rPr>
                <w:rFonts w:ascii="宋体" w:hAnsi="宋体" w:cs="宋体" w:eastAsia="宋体" w:hint="default"/>
                <w:sz w:val="22"/>
                <w:szCs w:val="22"/>
              </w:rPr>
              <w:t>2008</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11</w:t>
            </w:r>
            <w:r>
              <w:rPr>
                <w:rFonts w:ascii="宋体" w:hAnsi="宋体" w:cs="宋体" w:eastAsia="宋体" w:hint="default"/>
                <w:spacing w:val="-56"/>
                <w:sz w:val="22"/>
                <w:szCs w:val="22"/>
              </w:rPr>
              <w:t> </w:t>
            </w:r>
            <w:r>
              <w:rPr>
                <w:rFonts w:ascii="宋体" w:hAnsi="宋体" w:cs="宋体" w:eastAsia="宋体" w:hint="default"/>
                <w:sz w:val="22"/>
                <w:szCs w:val="22"/>
              </w:rPr>
              <w:t>月至</w:t>
            </w:r>
            <w:r>
              <w:rPr>
                <w:rFonts w:ascii="宋体" w:hAnsi="宋体" w:cs="宋体" w:eastAsia="宋体" w:hint="default"/>
                <w:spacing w:val="-56"/>
                <w:sz w:val="22"/>
                <w:szCs w:val="22"/>
              </w:rPr>
              <w:t> </w:t>
            </w:r>
            <w:r>
              <w:rPr>
                <w:rFonts w:ascii="宋体" w:hAnsi="宋体" w:cs="宋体" w:eastAsia="宋体" w:hint="default"/>
                <w:sz w:val="22"/>
                <w:szCs w:val="22"/>
              </w:rPr>
              <w:t>2017</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2</w:t>
            </w:r>
            <w:r>
              <w:rPr>
                <w:rFonts w:ascii="宋体" w:hAnsi="宋体" w:cs="宋体" w:eastAsia="宋体" w:hint="default"/>
                <w:spacing w:val="-56"/>
                <w:sz w:val="22"/>
                <w:szCs w:val="22"/>
              </w:rPr>
              <w:t> </w:t>
            </w:r>
            <w:r>
              <w:rPr>
                <w:rFonts w:ascii="宋体" w:hAnsi="宋体" w:cs="宋体" w:eastAsia="宋体" w:hint="default"/>
                <w:sz w:val="22"/>
                <w:szCs w:val="22"/>
              </w:rPr>
              <w:t>月任北京同方凌讯科技有限公司常务副总经理；</w:t>
            </w:r>
            <w:r>
              <w:rPr>
                <w:rFonts w:ascii="宋体" w:hAnsi="宋体" w:cs="宋体" w:eastAsia="宋体" w:hint="default"/>
                <w:sz w:val="22"/>
                <w:szCs w:val="22"/>
              </w:rPr>
              <w:t>2017</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2</w:t>
            </w:r>
            <w:r>
              <w:rPr>
                <w:rFonts w:ascii="宋体" w:hAnsi="宋体" w:cs="宋体" w:eastAsia="宋体" w:hint="default"/>
                <w:spacing w:val="-59"/>
                <w:sz w:val="22"/>
                <w:szCs w:val="22"/>
              </w:rPr>
              <w:t> </w:t>
            </w:r>
            <w:r>
              <w:rPr>
                <w:rFonts w:ascii="宋体" w:hAnsi="宋体" w:cs="宋体" w:eastAsia="宋体" w:hint="default"/>
                <w:sz w:val="22"/>
                <w:szCs w:val="22"/>
              </w:rPr>
              <w:t>月至</w:t>
            </w:r>
            <w:r>
              <w:rPr>
                <w:rFonts w:ascii="宋体" w:hAnsi="宋体" w:cs="宋体" w:eastAsia="宋体" w:hint="default"/>
                <w:spacing w:val="-56"/>
                <w:sz w:val="22"/>
                <w:szCs w:val="22"/>
              </w:rPr>
              <w:t> </w:t>
            </w:r>
            <w:r>
              <w:rPr>
                <w:rFonts w:ascii="宋体" w:hAnsi="宋体" w:cs="宋体" w:eastAsia="宋体" w:hint="default"/>
                <w:sz w:val="22"/>
                <w:szCs w:val="22"/>
              </w:rPr>
              <w:t>2018</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4</w:t>
            </w:r>
            <w:r>
              <w:rPr>
                <w:rFonts w:ascii="宋体" w:hAnsi="宋体" w:cs="宋体" w:eastAsia="宋体" w:hint="default"/>
                <w:spacing w:val="-59"/>
                <w:sz w:val="22"/>
                <w:szCs w:val="22"/>
              </w:rPr>
              <w:t> </w:t>
            </w:r>
            <w:r>
              <w:rPr>
                <w:rFonts w:ascii="宋体" w:hAnsi="宋体" w:cs="宋体" w:eastAsia="宋体" w:hint="default"/>
                <w:sz w:val="22"/>
                <w:szCs w:val="22"/>
              </w:rPr>
              <w:t>月任同方股份有限公司董事</w:t>
            </w:r>
          </w:p>
          <w:p>
            <w:pPr>
              <w:pStyle w:val="TableParagraph"/>
              <w:spacing w:line="287" w:lineRule="exact"/>
              <w:ind w:left="105" w:right="0"/>
              <w:jc w:val="left"/>
              <w:rPr>
                <w:rFonts w:ascii="宋体" w:hAnsi="宋体" w:cs="宋体" w:eastAsia="宋体" w:hint="default"/>
                <w:sz w:val="22"/>
                <w:szCs w:val="22"/>
              </w:rPr>
            </w:pPr>
            <w:r>
              <w:rPr>
                <w:rFonts w:ascii="宋体" w:hAnsi="宋体" w:cs="宋体" w:eastAsia="宋体" w:hint="default"/>
                <w:sz w:val="22"/>
                <w:szCs w:val="22"/>
              </w:rPr>
              <w:t>长助理；</w:t>
            </w:r>
            <w:r>
              <w:rPr>
                <w:rFonts w:ascii="宋体" w:hAnsi="宋体" w:cs="宋体" w:eastAsia="宋体" w:hint="default"/>
                <w:sz w:val="22"/>
                <w:szCs w:val="22"/>
              </w:rPr>
              <w:t>2018</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宋体" w:hAnsi="宋体" w:cs="宋体" w:eastAsia="宋体" w:hint="default"/>
                <w:sz w:val="22"/>
                <w:szCs w:val="22"/>
              </w:rPr>
              <w:t>4</w:t>
            </w:r>
            <w:r>
              <w:rPr>
                <w:rFonts w:ascii="宋体" w:hAnsi="宋体" w:cs="宋体" w:eastAsia="宋体" w:hint="default"/>
                <w:spacing w:val="-56"/>
                <w:sz w:val="22"/>
                <w:szCs w:val="22"/>
              </w:rPr>
              <w:t> </w:t>
            </w:r>
            <w:r>
              <w:rPr>
                <w:rFonts w:ascii="宋体" w:hAnsi="宋体" w:cs="宋体" w:eastAsia="宋体" w:hint="default"/>
                <w:sz w:val="22"/>
                <w:szCs w:val="22"/>
              </w:rPr>
              <w:t>月至今任同方股份有限公司副总裁。</w:t>
            </w:r>
            <w:r>
              <w:rPr>
                <w:rFonts w:ascii="宋体" w:hAnsi="宋体" w:cs="宋体" w:eastAsia="宋体" w:hint="default"/>
                <w:sz w:val="22"/>
                <w:szCs w:val="22"/>
              </w:rPr>
              <w:t>2018</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4</w:t>
            </w:r>
            <w:r>
              <w:rPr>
                <w:rFonts w:ascii="宋体" w:hAnsi="宋体" w:cs="宋体" w:eastAsia="宋体" w:hint="default"/>
                <w:spacing w:val="-59"/>
                <w:sz w:val="22"/>
                <w:szCs w:val="22"/>
              </w:rPr>
              <w:t> </w:t>
            </w:r>
            <w:r>
              <w:rPr>
                <w:rFonts w:ascii="宋体" w:hAnsi="宋体" w:cs="宋体" w:eastAsia="宋体" w:hint="default"/>
                <w:sz w:val="22"/>
                <w:szCs w:val="22"/>
              </w:rPr>
              <w:t>月任本公司副董事长。</w:t>
            </w:r>
            <w:r>
              <w:rPr>
                <w:rFonts w:ascii="宋体" w:hAnsi="宋体" w:cs="宋体" w:eastAsia="宋体" w:hint="default"/>
                <w:sz w:val="22"/>
                <w:szCs w:val="22"/>
              </w:rPr>
              <w:t> </w:t>
            </w:r>
          </w:p>
        </w:tc>
      </w:tr>
      <w:tr>
        <w:trPr>
          <w:trHeight w:val="581"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left"/>
              <w:rPr>
                <w:rFonts w:ascii="宋体" w:hAnsi="宋体" w:cs="宋体" w:eastAsia="宋体" w:hint="default"/>
                <w:sz w:val="22"/>
                <w:szCs w:val="22"/>
              </w:rPr>
            </w:pPr>
            <w:r>
              <w:rPr>
                <w:rFonts w:ascii="宋体" w:hAnsi="宋体" w:cs="宋体" w:eastAsia="宋体" w:hint="default"/>
                <w:sz w:val="22"/>
                <w:szCs w:val="22"/>
              </w:rPr>
              <w:t>杨剑</w:t>
            </w:r>
            <w:r>
              <w:rPr>
                <w:rFonts w:ascii="宋体" w:hAnsi="宋体" w:cs="宋体" w:eastAsia="宋体" w:hint="default"/>
                <w:sz w:val="22"/>
                <w:szCs w:val="22"/>
              </w:rPr>
              <w:t> </w:t>
            </w:r>
          </w:p>
        </w:tc>
        <w:tc>
          <w:tcPr>
            <w:tcW w:w="123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宋体" w:hAnsi="宋体" w:cs="宋体" w:eastAsia="宋体" w:hint="default"/>
                <w:sz w:val="22"/>
                <w:szCs w:val="22"/>
              </w:rPr>
            </w:pPr>
            <w:r>
              <w:rPr>
                <w:rFonts w:ascii="宋体" w:hAnsi="宋体" w:cs="宋体" w:eastAsia="宋体" w:hint="default"/>
                <w:sz w:val="22"/>
                <w:szCs w:val="22"/>
              </w:rPr>
              <w:t>2009</w:t>
            </w:r>
            <w:r>
              <w:rPr>
                <w:rFonts w:ascii="宋体" w:hAnsi="宋体" w:cs="宋体" w:eastAsia="宋体" w:hint="default"/>
                <w:spacing w:val="-53"/>
                <w:sz w:val="22"/>
                <w:szCs w:val="22"/>
              </w:rPr>
              <w:t> </w:t>
            </w:r>
            <w:r>
              <w:rPr>
                <w:rFonts w:ascii="宋体" w:hAnsi="宋体" w:cs="宋体" w:eastAsia="宋体" w:hint="default"/>
                <w:sz w:val="22"/>
                <w:szCs w:val="22"/>
              </w:rPr>
              <w:t>年</w:t>
            </w:r>
            <w:r>
              <w:rPr>
                <w:rFonts w:ascii="宋体" w:hAnsi="宋体" w:cs="宋体" w:eastAsia="宋体" w:hint="default"/>
                <w:spacing w:val="-53"/>
                <w:sz w:val="22"/>
                <w:szCs w:val="22"/>
              </w:rPr>
              <w:t> </w:t>
            </w:r>
            <w:r>
              <w:rPr>
                <w:rFonts w:ascii="宋体" w:hAnsi="宋体" w:cs="宋体" w:eastAsia="宋体" w:hint="default"/>
                <w:sz w:val="22"/>
                <w:szCs w:val="22"/>
              </w:rPr>
              <w:t>10</w:t>
            </w:r>
            <w:r>
              <w:rPr>
                <w:rFonts w:ascii="宋体" w:hAnsi="宋体" w:cs="宋体" w:eastAsia="宋体" w:hint="default"/>
                <w:spacing w:val="-53"/>
                <w:sz w:val="22"/>
                <w:szCs w:val="22"/>
              </w:rPr>
              <w:t> </w:t>
            </w:r>
            <w:r>
              <w:rPr>
                <w:rFonts w:ascii="宋体" w:hAnsi="宋体" w:cs="宋体" w:eastAsia="宋体" w:hint="default"/>
                <w:sz w:val="22"/>
                <w:szCs w:val="22"/>
              </w:rPr>
              <w:t>月至</w:t>
            </w:r>
            <w:r>
              <w:rPr>
                <w:rFonts w:ascii="宋体" w:hAnsi="宋体" w:cs="宋体" w:eastAsia="宋体" w:hint="default"/>
                <w:spacing w:val="-53"/>
                <w:sz w:val="22"/>
                <w:szCs w:val="22"/>
              </w:rPr>
              <w:t> </w:t>
            </w:r>
            <w:r>
              <w:rPr>
                <w:rFonts w:ascii="宋体" w:hAnsi="宋体" w:cs="宋体" w:eastAsia="宋体" w:hint="default"/>
                <w:sz w:val="22"/>
                <w:szCs w:val="22"/>
              </w:rPr>
              <w:t>2012</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8</w:t>
            </w:r>
            <w:r>
              <w:rPr>
                <w:rFonts w:ascii="宋体" w:hAnsi="宋体" w:cs="宋体" w:eastAsia="宋体" w:hint="default"/>
                <w:spacing w:val="-53"/>
                <w:sz w:val="22"/>
                <w:szCs w:val="22"/>
              </w:rPr>
              <w:t> </w:t>
            </w:r>
            <w:r>
              <w:rPr>
                <w:rFonts w:ascii="宋体" w:hAnsi="宋体" w:cs="宋体" w:eastAsia="宋体" w:hint="default"/>
                <w:sz w:val="22"/>
                <w:szCs w:val="22"/>
              </w:rPr>
              <w:t>月任公司总裁助理，</w:t>
            </w:r>
            <w:r>
              <w:rPr>
                <w:rFonts w:ascii="宋体" w:hAnsi="宋体" w:cs="宋体" w:eastAsia="宋体" w:hint="default"/>
                <w:sz w:val="22"/>
                <w:szCs w:val="22"/>
              </w:rPr>
              <w:t>2012</w:t>
            </w:r>
            <w:r>
              <w:rPr>
                <w:rFonts w:ascii="宋体" w:hAnsi="宋体" w:cs="宋体" w:eastAsia="宋体" w:hint="default"/>
                <w:spacing w:val="-53"/>
                <w:sz w:val="22"/>
                <w:szCs w:val="22"/>
              </w:rPr>
              <w:t> </w:t>
            </w:r>
            <w:r>
              <w:rPr>
                <w:rFonts w:ascii="宋体" w:hAnsi="宋体" w:cs="宋体" w:eastAsia="宋体" w:hint="default"/>
                <w:sz w:val="22"/>
                <w:szCs w:val="22"/>
              </w:rPr>
              <w:t>年</w:t>
            </w:r>
            <w:r>
              <w:rPr>
                <w:rFonts w:ascii="宋体" w:hAnsi="宋体" w:cs="宋体" w:eastAsia="宋体" w:hint="default"/>
                <w:spacing w:val="-53"/>
                <w:sz w:val="22"/>
                <w:szCs w:val="22"/>
              </w:rPr>
              <w:t> </w:t>
            </w:r>
            <w:r>
              <w:rPr>
                <w:rFonts w:ascii="宋体" w:hAnsi="宋体" w:cs="宋体" w:eastAsia="宋体" w:hint="default"/>
                <w:sz w:val="22"/>
                <w:szCs w:val="22"/>
              </w:rPr>
              <w:t>8</w:t>
            </w:r>
            <w:r>
              <w:rPr>
                <w:rFonts w:ascii="宋体" w:hAnsi="宋体" w:cs="宋体" w:eastAsia="宋体" w:hint="default"/>
                <w:spacing w:val="-55"/>
                <w:sz w:val="22"/>
                <w:szCs w:val="22"/>
              </w:rPr>
              <w:t> </w:t>
            </w:r>
            <w:r>
              <w:rPr>
                <w:rFonts w:ascii="宋体" w:hAnsi="宋体" w:cs="宋体" w:eastAsia="宋体" w:hint="default"/>
                <w:sz w:val="22"/>
                <w:szCs w:val="22"/>
              </w:rPr>
              <w:t>月至</w:t>
            </w:r>
            <w:r>
              <w:rPr>
                <w:rFonts w:ascii="宋体" w:hAnsi="宋体" w:cs="宋体" w:eastAsia="宋体" w:hint="default"/>
                <w:spacing w:val="-52"/>
                <w:sz w:val="22"/>
                <w:szCs w:val="22"/>
              </w:rPr>
              <w:t> </w:t>
            </w:r>
            <w:r>
              <w:rPr>
                <w:rFonts w:ascii="宋体" w:hAnsi="宋体" w:cs="宋体" w:eastAsia="宋体" w:hint="default"/>
                <w:sz w:val="22"/>
                <w:szCs w:val="22"/>
              </w:rPr>
              <w:t>2013</w:t>
            </w:r>
            <w:r>
              <w:rPr>
                <w:rFonts w:ascii="宋体" w:hAnsi="宋体" w:cs="宋体" w:eastAsia="宋体" w:hint="default"/>
                <w:spacing w:val="-53"/>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11</w:t>
            </w:r>
            <w:r>
              <w:rPr>
                <w:rFonts w:ascii="宋体" w:hAnsi="宋体" w:cs="宋体" w:eastAsia="宋体" w:hint="default"/>
                <w:spacing w:val="-55"/>
                <w:sz w:val="22"/>
                <w:szCs w:val="22"/>
              </w:rPr>
              <w:t> </w:t>
            </w:r>
            <w:r>
              <w:rPr>
                <w:rFonts w:ascii="宋体" w:hAnsi="宋体" w:cs="宋体" w:eastAsia="宋体" w:hint="default"/>
                <w:sz w:val="22"/>
                <w:szCs w:val="22"/>
              </w:rPr>
              <w:t>月任公司副总裁，</w:t>
            </w:r>
            <w:r>
              <w:rPr>
                <w:rFonts w:ascii="宋体" w:hAnsi="宋体" w:cs="宋体" w:eastAsia="宋体" w:hint="default"/>
                <w:sz w:val="22"/>
                <w:szCs w:val="22"/>
              </w:rPr>
              <w:t>2013</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3"/>
                <w:sz w:val="22"/>
                <w:szCs w:val="22"/>
              </w:rPr>
              <w:t> </w:t>
            </w:r>
            <w:r>
              <w:rPr>
                <w:rFonts w:ascii="宋体" w:hAnsi="宋体" w:cs="宋体" w:eastAsia="宋体" w:hint="default"/>
                <w:sz w:val="22"/>
                <w:szCs w:val="22"/>
              </w:rPr>
              <w:t>11</w:t>
            </w:r>
            <w:r>
              <w:rPr>
                <w:rFonts w:ascii="宋体" w:hAnsi="宋体" w:cs="宋体" w:eastAsia="宋体" w:hint="default"/>
                <w:spacing w:val="-53"/>
                <w:sz w:val="22"/>
                <w:szCs w:val="22"/>
              </w:rPr>
              <w:t> </w:t>
            </w:r>
            <w:r>
              <w:rPr>
                <w:rFonts w:ascii="宋体" w:hAnsi="宋体" w:cs="宋体" w:eastAsia="宋体" w:hint="default"/>
                <w:sz w:val="22"/>
                <w:szCs w:val="22"/>
              </w:rPr>
              <w:t>月至</w:t>
            </w:r>
            <w:r>
              <w:rPr>
                <w:rFonts w:ascii="宋体" w:hAnsi="宋体" w:cs="宋体" w:eastAsia="宋体" w:hint="default"/>
                <w:spacing w:val="-53"/>
                <w:sz w:val="22"/>
                <w:szCs w:val="22"/>
              </w:rPr>
              <w:t> </w:t>
            </w:r>
            <w:r>
              <w:rPr>
                <w:rFonts w:ascii="宋体" w:hAnsi="宋体" w:cs="宋体" w:eastAsia="宋体" w:hint="default"/>
                <w:sz w:val="22"/>
                <w:szCs w:val="22"/>
              </w:rPr>
              <w:t>2014</w:t>
            </w:r>
            <w:r>
              <w:rPr>
                <w:rFonts w:ascii="宋体" w:hAnsi="宋体" w:cs="宋体" w:eastAsia="宋体" w:hint="default"/>
                <w:spacing w:val="-53"/>
                <w:sz w:val="22"/>
                <w:szCs w:val="22"/>
              </w:rPr>
              <w:t> </w:t>
            </w:r>
            <w:r>
              <w:rPr>
                <w:rFonts w:ascii="宋体" w:hAnsi="宋体" w:cs="宋体" w:eastAsia="宋体" w:hint="default"/>
                <w:sz w:val="22"/>
                <w:szCs w:val="22"/>
              </w:rPr>
              <w:t>年</w:t>
            </w:r>
            <w:r>
              <w:rPr>
                <w:rFonts w:ascii="宋体" w:hAnsi="宋体" w:cs="宋体" w:eastAsia="宋体" w:hint="default"/>
                <w:spacing w:val="-53"/>
                <w:sz w:val="22"/>
                <w:szCs w:val="22"/>
              </w:rPr>
              <w:t> </w:t>
            </w:r>
            <w:r>
              <w:rPr>
                <w:rFonts w:ascii="宋体" w:hAnsi="宋体" w:cs="宋体" w:eastAsia="宋体" w:hint="default"/>
                <w:sz w:val="22"/>
                <w:szCs w:val="22"/>
              </w:rPr>
              <w:t>6</w:t>
            </w:r>
            <w:r>
              <w:rPr>
                <w:rFonts w:ascii="宋体" w:hAnsi="宋体" w:cs="宋体" w:eastAsia="宋体" w:hint="default"/>
                <w:spacing w:val="-55"/>
                <w:sz w:val="22"/>
                <w:szCs w:val="22"/>
              </w:rPr>
              <w:t> </w:t>
            </w:r>
            <w:r>
              <w:rPr>
                <w:rFonts w:ascii="宋体" w:hAnsi="宋体" w:cs="宋体" w:eastAsia="宋体" w:hint="default"/>
                <w:sz w:val="22"/>
                <w:szCs w:val="22"/>
              </w:rPr>
              <w:t>月任公司</w:t>
            </w:r>
          </w:p>
          <w:p>
            <w:pPr>
              <w:pStyle w:val="TableParagraph"/>
              <w:spacing w:line="287" w:lineRule="exact"/>
              <w:ind w:left="105" w:right="0"/>
              <w:jc w:val="left"/>
              <w:rPr>
                <w:rFonts w:ascii="宋体" w:hAnsi="宋体" w:cs="宋体" w:eastAsia="宋体" w:hint="default"/>
                <w:sz w:val="22"/>
                <w:szCs w:val="22"/>
              </w:rPr>
            </w:pPr>
            <w:r>
              <w:rPr>
                <w:rFonts w:ascii="宋体" w:hAnsi="宋体" w:cs="宋体" w:eastAsia="宋体" w:hint="default"/>
                <w:sz w:val="22"/>
                <w:szCs w:val="22"/>
              </w:rPr>
              <w:t>总裁，</w:t>
            </w:r>
            <w:r>
              <w:rPr>
                <w:rFonts w:ascii="宋体" w:hAnsi="宋体" w:cs="宋体" w:eastAsia="宋体" w:hint="default"/>
                <w:sz w:val="22"/>
                <w:szCs w:val="22"/>
              </w:rPr>
              <w:t>2014</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6</w:t>
            </w:r>
            <w:r>
              <w:rPr>
                <w:rFonts w:ascii="宋体" w:hAnsi="宋体" w:cs="宋体" w:eastAsia="宋体" w:hint="default"/>
                <w:spacing w:val="-58"/>
                <w:sz w:val="22"/>
                <w:szCs w:val="22"/>
              </w:rPr>
              <w:t> </w:t>
            </w:r>
            <w:r>
              <w:rPr>
                <w:rFonts w:ascii="宋体" w:hAnsi="宋体" w:cs="宋体" w:eastAsia="宋体" w:hint="default"/>
                <w:sz w:val="22"/>
                <w:szCs w:val="22"/>
              </w:rPr>
              <w:t>月至今任公司董事兼总裁。</w:t>
            </w:r>
            <w:r>
              <w:rPr>
                <w:rFonts w:ascii="宋体" w:hAnsi="宋体" w:cs="宋体" w:eastAsia="宋体" w:hint="default"/>
                <w:sz w:val="22"/>
                <w:szCs w:val="22"/>
              </w:rPr>
              <w:t> </w:t>
            </w:r>
          </w:p>
        </w:tc>
      </w:tr>
      <w:tr>
        <w:trPr>
          <w:trHeight w:val="295"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hAnsi="宋体" w:cs="宋体" w:eastAsia="宋体" w:hint="default"/>
                <w:sz w:val="22"/>
                <w:szCs w:val="22"/>
              </w:rPr>
              <w:t>夏清</w:t>
            </w:r>
            <w:r>
              <w:rPr>
                <w:rFonts w:ascii="宋体" w:hAnsi="宋体" w:cs="宋体" w:eastAsia="宋体" w:hint="default"/>
                <w:sz w:val="22"/>
                <w:szCs w:val="22"/>
              </w:rPr>
              <w:t> </w:t>
            </w:r>
          </w:p>
        </w:tc>
        <w:tc>
          <w:tcPr>
            <w:tcW w:w="123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hAnsi="宋体" w:cs="宋体" w:eastAsia="宋体" w:hint="default"/>
                <w:sz w:val="22"/>
                <w:szCs w:val="22"/>
              </w:rPr>
              <w:t>1999</w:t>
            </w:r>
            <w:r>
              <w:rPr>
                <w:rFonts w:ascii="宋体" w:hAnsi="宋体" w:cs="宋体" w:eastAsia="宋体" w:hint="default"/>
                <w:spacing w:val="-56"/>
                <w:sz w:val="22"/>
                <w:szCs w:val="22"/>
              </w:rPr>
              <w:t> </w:t>
            </w:r>
            <w:r>
              <w:rPr>
                <w:rFonts w:ascii="宋体" w:hAnsi="宋体" w:cs="宋体" w:eastAsia="宋体" w:hint="default"/>
                <w:sz w:val="22"/>
                <w:szCs w:val="22"/>
              </w:rPr>
              <w:t>年至今任清华大学教授，</w:t>
            </w:r>
            <w:r>
              <w:rPr>
                <w:rFonts w:ascii="宋体" w:hAnsi="宋体" w:cs="宋体" w:eastAsia="宋体" w:hint="default"/>
                <w:sz w:val="22"/>
                <w:szCs w:val="22"/>
              </w:rPr>
              <w:t>2015</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8</w:t>
            </w:r>
            <w:r>
              <w:rPr>
                <w:rFonts w:ascii="宋体" w:hAnsi="宋体" w:cs="宋体" w:eastAsia="宋体" w:hint="default"/>
                <w:spacing w:val="-59"/>
                <w:sz w:val="22"/>
                <w:szCs w:val="22"/>
              </w:rPr>
              <w:t> </w:t>
            </w:r>
            <w:r>
              <w:rPr>
                <w:rFonts w:ascii="宋体" w:hAnsi="宋体" w:cs="宋体" w:eastAsia="宋体" w:hint="default"/>
                <w:sz w:val="22"/>
                <w:szCs w:val="22"/>
              </w:rPr>
              <w:t>月至今任公司独立董事。</w:t>
            </w:r>
            <w:r>
              <w:rPr>
                <w:rFonts w:ascii="宋体" w:hAnsi="宋体" w:cs="宋体" w:eastAsia="宋体" w:hint="default"/>
                <w:sz w:val="22"/>
                <w:szCs w:val="22"/>
              </w:rPr>
              <w:t> </w:t>
            </w:r>
          </w:p>
        </w:tc>
      </w:tr>
      <w:tr>
        <w:trPr>
          <w:trHeight w:val="295"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hAnsi="宋体" w:cs="宋体" w:eastAsia="宋体" w:hint="default"/>
                <w:sz w:val="22"/>
                <w:szCs w:val="22"/>
              </w:rPr>
              <w:t>储一昀</w:t>
            </w:r>
            <w:r>
              <w:rPr>
                <w:rFonts w:ascii="宋体" w:hAnsi="宋体" w:cs="宋体" w:eastAsia="宋体" w:hint="default"/>
                <w:sz w:val="22"/>
                <w:szCs w:val="22"/>
              </w:rPr>
              <w:t> </w:t>
            </w:r>
          </w:p>
        </w:tc>
        <w:tc>
          <w:tcPr>
            <w:tcW w:w="123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hAnsi="宋体" w:cs="宋体" w:eastAsia="宋体" w:hint="default"/>
                <w:sz w:val="22"/>
                <w:szCs w:val="22"/>
              </w:rPr>
              <w:t>2003</w:t>
            </w:r>
            <w:r>
              <w:rPr>
                <w:rFonts w:ascii="宋体" w:hAnsi="宋体" w:cs="宋体" w:eastAsia="宋体" w:hint="default"/>
                <w:spacing w:val="-57"/>
                <w:sz w:val="22"/>
                <w:szCs w:val="22"/>
              </w:rPr>
              <w:t> </w:t>
            </w:r>
            <w:r>
              <w:rPr>
                <w:rFonts w:ascii="宋体" w:hAnsi="宋体" w:cs="宋体" w:eastAsia="宋体" w:hint="default"/>
                <w:sz w:val="22"/>
                <w:szCs w:val="22"/>
              </w:rPr>
              <w:t>年至今任上海财经大学教授，现任上海财经大学会计学教授、博士生导师；</w:t>
            </w:r>
            <w:r>
              <w:rPr>
                <w:rFonts w:ascii="宋体" w:hAnsi="宋体" w:cs="宋体" w:eastAsia="宋体" w:hint="default"/>
                <w:sz w:val="22"/>
                <w:szCs w:val="22"/>
              </w:rPr>
              <w:t>2015</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8</w:t>
            </w:r>
            <w:r>
              <w:rPr>
                <w:rFonts w:ascii="宋体" w:hAnsi="宋体" w:cs="宋体" w:eastAsia="宋体" w:hint="default"/>
                <w:spacing w:val="-60"/>
                <w:sz w:val="22"/>
                <w:szCs w:val="22"/>
              </w:rPr>
              <w:t> </w:t>
            </w:r>
            <w:r>
              <w:rPr>
                <w:rFonts w:ascii="宋体" w:hAnsi="宋体" w:cs="宋体" w:eastAsia="宋体" w:hint="default"/>
                <w:sz w:val="22"/>
                <w:szCs w:val="22"/>
              </w:rPr>
              <w:t>月至今任公司独立董事。</w:t>
            </w:r>
            <w:r>
              <w:rPr>
                <w:rFonts w:ascii="宋体" w:hAnsi="宋体" w:cs="宋体" w:eastAsia="宋体" w:hint="default"/>
                <w:sz w:val="22"/>
                <w:szCs w:val="22"/>
              </w:rPr>
              <w:t> </w:t>
            </w:r>
          </w:p>
        </w:tc>
      </w:tr>
      <w:tr>
        <w:trPr>
          <w:trHeight w:val="1150"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05" w:right="0"/>
              <w:jc w:val="left"/>
              <w:rPr>
                <w:rFonts w:ascii="宋体" w:hAnsi="宋体" w:cs="宋体" w:eastAsia="宋体" w:hint="default"/>
                <w:sz w:val="22"/>
                <w:szCs w:val="22"/>
              </w:rPr>
            </w:pPr>
            <w:r>
              <w:rPr>
                <w:rFonts w:ascii="宋体" w:hAnsi="宋体" w:cs="宋体" w:eastAsia="宋体" w:hint="default"/>
                <w:sz w:val="22"/>
                <w:szCs w:val="22"/>
              </w:rPr>
              <w:t>王晋勇</w:t>
            </w:r>
            <w:r>
              <w:rPr>
                <w:rFonts w:ascii="宋体" w:hAnsi="宋体" w:cs="宋体" w:eastAsia="宋体" w:hint="default"/>
                <w:sz w:val="22"/>
                <w:szCs w:val="22"/>
              </w:rPr>
              <w:t> </w:t>
            </w:r>
          </w:p>
        </w:tc>
        <w:tc>
          <w:tcPr>
            <w:tcW w:w="123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6"/>
              <w:jc w:val="left"/>
              <w:rPr>
                <w:rFonts w:ascii="宋体" w:hAnsi="宋体" w:cs="宋体" w:eastAsia="宋体" w:hint="default"/>
                <w:sz w:val="22"/>
                <w:szCs w:val="22"/>
              </w:rPr>
            </w:pPr>
            <w:r>
              <w:rPr>
                <w:rFonts w:ascii="宋体" w:hAnsi="宋体" w:cs="宋体" w:eastAsia="宋体" w:hint="default"/>
                <w:sz w:val="22"/>
                <w:szCs w:val="22"/>
              </w:rPr>
              <w:t>曾任中国证监会发行部处长、兴业证券副总裁、国金证券副董事长，国金鼎兴投资有限公司董事长等职，兼任西部证券股份有</w:t>
            </w:r>
          </w:p>
          <w:p>
            <w:pPr>
              <w:pStyle w:val="TableParagraph"/>
              <w:spacing w:line="286" w:lineRule="exact" w:before="27"/>
              <w:ind w:left="105" w:right="-6"/>
              <w:jc w:val="left"/>
              <w:rPr>
                <w:rFonts w:ascii="宋体" w:hAnsi="宋体" w:cs="宋体" w:eastAsia="宋体" w:hint="default"/>
                <w:sz w:val="22"/>
                <w:szCs w:val="22"/>
              </w:rPr>
            </w:pPr>
            <w:r>
              <w:rPr>
                <w:rFonts w:ascii="宋体" w:hAnsi="宋体" w:cs="宋体" w:eastAsia="宋体" w:hint="default"/>
                <w:spacing w:val="-4"/>
                <w:sz w:val="22"/>
                <w:szCs w:val="22"/>
              </w:rPr>
              <w:t>限公司独立董事、浙江精功科技股份有限公司独立董事、利亚德光电股份有限公司独立董事、华金证券股份有限公司（非上市）</w:t>
            </w:r>
            <w:r>
              <w:rPr>
                <w:rFonts w:ascii="宋体" w:hAnsi="宋体" w:cs="宋体" w:eastAsia="宋体" w:hint="default"/>
                <w:spacing w:val="-17"/>
                <w:sz w:val="22"/>
                <w:szCs w:val="22"/>
              </w:rPr>
              <w:t> </w:t>
            </w:r>
            <w:r>
              <w:rPr>
                <w:rFonts w:ascii="宋体" w:hAnsi="宋体" w:cs="宋体" w:eastAsia="宋体" w:hint="default"/>
                <w:spacing w:val="-17"/>
                <w:sz w:val="22"/>
                <w:szCs w:val="22"/>
              </w:rPr>
            </w:r>
            <w:r>
              <w:rPr>
                <w:rFonts w:ascii="宋体" w:hAnsi="宋体" w:cs="宋体" w:eastAsia="宋体" w:hint="default"/>
                <w:spacing w:val="-2"/>
                <w:sz w:val="22"/>
                <w:szCs w:val="22"/>
              </w:rPr>
              <w:t>独立董事、吉大正元信息股份有限公司（非上市）独立董事，北京国金鼎兴投资有限公司董事长，京冀资本外部董事，</w:t>
            </w:r>
            <w:r>
              <w:rPr>
                <w:rFonts w:ascii="宋体" w:hAnsi="宋体" w:cs="宋体" w:eastAsia="宋体" w:hint="default"/>
                <w:spacing w:val="-2"/>
                <w:sz w:val="22"/>
                <w:szCs w:val="22"/>
              </w:rPr>
              <w:t>2018</w:t>
            </w:r>
            <w:r>
              <w:rPr>
                <w:rFonts w:ascii="宋体" w:hAnsi="宋体" w:cs="宋体" w:eastAsia="宋体" w:hint="default"/>
                <w:spacing w:val="4"/>
                <w:sz w:val="22"/>
                <w:szCs w:val="22"/>
              </w:rPr>
              <w:t> </w:t>
            </w:r>
            <w:r>
              <w:rPr>
                <w:rFonts w:ascii="宋体" w:hAnsi="宋体" w:cs="宋体" w:eastAsia="宋体" w:hint="default"/>
                <w:sz w:val="22"/>
                <w:szCs w:val="22"/>
              </w:rPr>
              <w:t>年</w:t>
            </w:r>
            <w:r>
              <w:rPr>
                <w:rFonts w:ascii="宋体" w:hAnsi="宋体" w:cs="宋体" w:eastAsia="宋体" w:hint="default"/>
                <w:w w:val="100"/>
                <w:sz w:val="22"/>
                <w:szCs w:val="22"/>
              </w:rPr>
              <w:t> </w:t>
            </w:r>
            <w:r>
              <w:rPr>
                <w:rFonts w:ascii="宋体" w:hAnsi="宋体" w:cs="宋体" w:eastAsia="宋体" w:hint="default"/>
                <w:sz w:val="22"/>
                <w:szCs w:val="22"/>
              </w:rPr>
              <w:t>7</w:t>
            </w:r>
            <w:r>
              <w:rPr>
                <w:rFonts w:ascii="宋体" w:hAnsi="宋体" w:cs="宋体" w:eastAsia="宋体" w:hint="default"/>
                <w:spacing w:val="-58"/>
                <w:sz w:val="22"/>
                <w:szCs w:val="22"/>
              </w:rPr>
              <w:t> </w:t>
            </w:r>
            <w:r>
              <w:rPr>
                <w:rFonts w:ascii="宋体" w:hAnsi="宋体" w:cs="宋体" w:eastAsia="宋体" w:hint="default"/>
                <w:sz w:val="22"/>
                <w:szCs w:val="22"/>
              </w:rPr>
              <w:t>月至今任公司独立董事。</w:t>
            </w:r>
            <w:r>
              <w:rPr>
                <w:rFonts w:ascii="宋体" w:hAnsi="宋体" w:cs="宋体" w:eastAsia="宋体" w:hint="default"/>
                <w:sz w:val="22"/>
                <w:szCs w:val="22"/>
              </w:rPr>
              <w:t> </w:t>
            </w:r>
          </w:p>
        </w:tc>
      </w:tr>
      <w:tr>
        <w:trPr>
          <w:trHeight w:val="581"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5" w:right="0"/>
              <w:jc w:val="left"/>
              <w:rPr>
                <w:rFonts w:ascii="宋体" w:hAnsi="宋体" w:cs="宋体" w:eastAsia="宋体" w:hint="default"/>
                <w:sz w:val="22"/>
                <w:szCs w:val="22"/>
              </w:rPr>
            </w:pPr>
            <w:r>
              <w:rPr>
                <w:rFonts w:ascii="宋体" w:hAnsi="宋体" w:cs="宋体" w:eastAsia="宋体" w:hint="default"/>
                <w:sz w:val="22"/>
                <w:szCs w:val="22"/>
              </w:rPr>
              <w:t>刘挺</w:t>
            </w:r>
            <w:r>
              <w:rPr>
                <w:rFonts w:ascii="宋体" w:hAnsi="宋体" w:cs="宋体" w:eastAsia="宋体" w:hint="default"/>
                <w:sz w:val="22"/>
                <w:szCs w:val="22"/>
              </w:rPr>
              <w:t> </w:t>
            </w:r>
          </w:p>
        </w:tc>
        <w:tc>
          <w:tcPr>
            <w:tcW w:w="123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7"/>
              <w:jc w:val="left"/>
              <w:rPr>
                <w:rFonts w:ascii="宋体" w:hAnsi="宋体" w:cs="宋体" w:eastAsia="宋体" w:hint="default"/>
                <w:sz w:val="22"/>
                <w:szCs w:val="22"/>
              </w:rPr>
            </w:pPr>
            <w:r>
              <w:rPr>
                <w:rFonts w:ascii="宋体" w:hAnsi="宋体" w:cs="宋体" w:eastAsia="宋体" w:hint="default"/>
                <w:sz w:val="22"/>
                <w:szCs w:val="22"/>
              </w:rPr>
              <w:t>2009</w:t>
            </w:r>
            <w:r>
              <w:rPr>
                <w:rFonts w:ascii="宋体" w:hAnsi="宋体" w:cs="宋体" w:eastAsia="宋体" w:hint="default"/>
                <w:spacing w:val="-46"/>
                <w:sz w:val="22"/>
                <w:szCs w:val="22"/>
              </w:rPr>
              <w:t> </w:t>
            </w:r>
            <w:r>
              <w:rPr>
                <w:rFonts w:ascii="宋体" w:hAnsi="宋体" w:cs="宋体" w:eastAsia="宋体" w:hint="default"/>
                <w:sz w:val="22"/>
                <w:szCs w:val="22"/>
              </w:rPr>
              <w:t>年至</w:t>
            </w:r>
            <w:r>
              <w:rPr>
                <w:rFonts w:ascii="宋体" w:hAnsi="宋体" w:cs="宋体" w:eastAsia="宋体" w:hint="default"/>
                <w:spacing w:val="-50"/>
                <w:sz w:val="22"/>
                <w:szCs w:val="22"/>
              </w:rPr>
              <w:t> </w:t>
            </w:r>
            <w:r>
              <w:rPr>
                <w:rFonts w:ascii="宋体" w:hAnsi="宋体" w:cs="宋体" w:eastAsia="宋体" w:hint="default"/>
                <w:sz w:val="22"/>
                <w:szCs w:val="22"/>
              </w:rPr>
              <w:t>2014</w:t>
            </w:r>
            <w:r>
              <w:rPr>
                <w:rFonts w:ascii="宋体" w:hAnsi="宋体" w:cs="宋体" w:eastAsia="宋体" w:hint="default"/>
                <w:spacing w:val="-50"/>
                <w:sz w:val="22"/>
                <w:szCs w:val="22"/>
              </w:rPr>
              <w:t> </w:t>
            </w:r>
            <w:r>
              <w:rPr>
                <w:rFonts w:ascii="宋体" w:hAnsi="宋体" w:cs="宋体" w:eastAsia="宋体" w:hint="default"/>
                <w:spacing w:val="-5"/>
                <w:sz w:val="22"/>
                <w:szCs w:val="22"/>
              </w:rPr>
              <w:t>年历任泰豪电源技术有限公司技术支持部经理、商务部经理等，</w:t>
            </w:r>
            <w:r>
              <w:rPr>
                <w:rFonts w:ascii="宋体" w:hAnsi="宋体" w:cs="宋体" w:eastAsia="宋体" w:hint="default"/>
                <w:spacing w:val="-5"/>
                <w:sz w:val="22"/>
                <w:szCs w:val="22"/>
              </w:rPr>
              <w:t>2014</w:t>
            </w:r>
            <w:r>
              <w:rPr>
                <w:rFonts w:ascii="宋体" w:hAnsi="宋体" w:cs="宋体" w:eastAsia="宋体" w:hint="default"/>
                <w:spacing w:val="-46"/>
                <w:sz w:val="22"/>
                <w:szCs w:val="22"/>
              </w:rPr>
              <w:t> </w:t>
            </w:r>
            <w:r>
              <w:rPr>
                <w:rFonts w:ascii="宋体" w:hAnsi="宋体" w:cs="宋体" w:eastAsia="宋体" w:hint="default"/>
                <w:sz w:val="22"/>
                <w:szCs w:val="22"/>
              </w:rPr>
              <w:t>年起至今任泰豪电源技术有限公司总经理，</w:t>
            </w:r>
          </w:p>
          <w:p>
            <w:pPr>
              <w:pStyle w:val="TableParagraph"/>
              <w:spacing w:line="286" w:lineRule="exact"/>
              <w:ind w:left="105" w:right="0"/>
              <w:jc w:val="left"/>
              <w:rPr>
                <w:rFonts w:ascii="宋体" w:hAnsi="宋体" w:cs="宋体" w:eastAsia="宋体" w:hint="default"/>
                <w:sz w:val="22"/>
                <w:szCs w:val="22"/>
              </w:rPr>
            </w:pPr>
            <w:r>
              <w:rPr>
                <w:rFonts w:ascii="宋体" w:hAnsi="宋体" w:cs="宋体" w:eastAsia="宋体" w:hint="default"/>
                <w:sz w:val="22"/>
                <w:szCs w:val="22"/>
              </w:rPr>
              <w:t>2018</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7</w:t>
            </w:r>
            <w:r>
              <w:rPr>
                <w:rFonts w:ascii="宋体" w:hAnsi="宋体" w:cs="宋体" w:eastAsia="宋体" w:hint="default"/>
                <w:spacing w:val="-58"/>
                <w:sz w:val="22"/>
                <w:szCs w:val="22"/>
              </w:rPr>
              <w:t> </w:t>
            </w:r>
            <w:r>
              <w:rPr>
                <w:rFonts w:ascii="宋体" w:hAnsi="宋体" w:cs="宋体" w:eastAsia="宋体" w:hint="default"/>
                <w:sz w:val="22"/>
                <w:szCs w:val="22"/>
              </w:rPr>
              <w:t>月起任公司董事兼副总裁。</w:t>
            </w:r>
            <w:r>
              <w:rPr>
                <w:rFonts w:ascii="宋体" w:hAnsi="宋体" w:cs="宋体" w:eastAsia="宋体" w:hint="default"/>
                <w:sz w:val="22"/>
                <w:szCs w:val="22"/>
              </w:rPr>
              <w:t> </w:t>
            </w:r>
          </w:p>
        </w:tc>
      </w:tr>
      <w:tr>
        <w:trPr>
          <w:trHeight w:val="295"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hAnsi="宋体" w:cs="宋体" w:eastAsia="宋体" w:hint="default"/>
                <w:sz w:val="22"/>
                <w:szCs w:val="22"/>
              </w:rPr>
              <w:t>李自强</w:t>
            </w:r>
            <w:r>
              <w:rPr>
                <w:rFonts w:ascii="宋体" w:hAnsi="宋体" w:cs="宋体" w:eastAsia="宋体" w:hint="default"/>
                <w:sz w:val="22"/>
                <w:szCs w:val="22"/>
              </w:rPr>
              <w:t> </w:t>
            </w:r>
          </w:p>
        </w:tc>
        <w:tc>
          <w:tcPr>
            <w:tcW w:w="123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hAnsi="宋体" w:cs="宋体" w:eastAsia="宋体" w:hint="default"/>
                <w:sz w:val="22"/>
                <w:szCs w:val="22"/>
              </w:rPr>
              <w:t>2010</w:t>
            </w:r>
            <w:r>
              <w:rPr>
                <w:rFonts w:ascii="宋体" w:hAnsi="宋体" w:cs="宋体" w:eastAsia="宋体" w:hint="default"/>
                <w:spacing w:val="-56"/>
                <w:sz w:val="22"/>
                <w:szCs w:val="22"/>
              </w:rPr>
              <w:t> </w:t>
            </w:r>
            <w:r>
              <w:rPr>
                <w:rFonts w:ascii="宋体" w:hAnsi="宋体" w:cs="宋体" w:eastAsia="宋体" w:hint="default"/>
                <w:sz w:val="22"/>
                <w:szCs w:val="22"/>
              </w:rPr>
              <w:t>年至今任泰豪集团有限公司副总裁，</w:t>
            </w:r>
            <w:r>
              <w:rPr>
                <w:rFonts w:ascii="宋体" w:hAnsi="宋体" w:cs="宋体" w:eastAsia="宋体" w:hint="default"/>
                <w:sz w:val="22"/>
                <w:szCs w:val="22"/>
              </w:rPr>
              <w:t>2015</w:t>
            </w:r>
            <w:r>
              <w:rPr>
                <w:rFonts w:ascii="宋体" w:hAnsi="宋体" w:cs="宋体" w:eastAsia="宋体" w:hint="default"/>
                <w:spacing w:val="-59"/>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8</w:t>
            </w:r>
            <w:r>
              <w:rPr>
                <w:rFonts w:ascii="宋体" w:hAnsi="宋体" w:cs="宋体" w:eastAsia="宋体" w:hint="default"/>
                <w:spacing w:val="-56"/>
                <w:sz w:val="22"/>
                <w:szCs w:val="22"/>
              </w:rPr>
              <w:t> </w:t>
            </w:r>
            <w:r>
              <w:rPr>
                <w:rFonts w:ascii="宋体" w:hAnsi="宋体" w:cs="宋体" w:eastAsia="宋体" w:hint="default"/>
                <w:sz w:val="22"/>
                <w:szCs w:val="22"/>
              </w:rPr>
              <w:t>月至今任公司监事会主席。</w:t>
            </w:r>
            <w:r>
              <w:rPr>
                <w:rFonts w:ascii="宋体" w:hAnsi="宋体" w:cs="宋体" w:eastAsia="宋体" w:hint="default"/>
                <w:sz w:val="22"/>
                <w:szCs w:val="22"/>
              </w:rPr>
              <w:t> </w:t>
            </w:r>
          </w:p>
        </w:tc>
      </w:tr>
      <w:tr>
        <w:trPr>
          <w:trHeight w:val="867"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2"/>
                <w:szCs w:val="22"/>
              </w:rPr>
            </w:pPr>
            <w:r>
              <w:rPr>
                <w:rFonts w:ascii="宋体" w:hAnsi="宋体" w:cs="宋体" w:eastAsia="宋体" w:hint="default"/>
                <w:sz w:val="22"/>
                <w:szCs w:val="22"/>
              </w:rPr>
              <w:t>周海英</w:t>
            </w:r>
            <w:r>
              <w:rPr>
                <w:rFonts w:ascii="宋体" w:hAnsi="宋体" w:cs="宋体" w:eastAsia="宋体" w:hint="default"/>
                <w:sz w:val="22"/>
                <w:szCs w:val="22"/>
              </w:rPr>
              <w:t> </w:t>
            </w:r>
          </w:p>
        </w:tc>
        <w:tc>
          <w:tcPr>
            <w:tcW w:w="123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hAnsi="宋体" w:cs="宋体" w:eastAsia="宋体" w:hint="default"/>
                <w:sz w:val="22"/>
                <w:szCs w:val="22"/>
              </w:rPr>
              <w:t>2003</w:t>
            </w:r>
            <w:r>
              <w:rPr>
                <w:rFonts w:ascii="宋体" w:hAnsi="宋体" w:cs="宋体" w:eastAsia="宋体" w:hint="default"/>
                <w:spacing w:val="-52"/>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宋体" w:hAnsi="宋体" w:cs="宋体" w:eastAsia="宋体" w:hint="default"/>
                <w:sz w:val="22"/>
                <w:szCs w:val="22"/>
              </w:rPr>
              <w:t>6</w:t>
            </w:r>
            <w:r>
              <w:rPr>
                <w:rFonts w:ascii="宋体" w:hAnsi="宋体" w:cs="宋体" w:eastAsia="宋体" w:hint="default"/>
                <w:spacing w:val="-50"/>
                <w:sz w:val="22"/>
                <w:szCs w:val="22"/>
              </w:rPr>
              <w:t> </w:t>
            </w:r>
            <w:r>
              <w:rPr>
                <w:rFonts w:ascii="宋体" w:hAnsi="宋体" w:cs="宋体" w:eastAsia="宋体" w:hint="default"/>
                <w:sz w:val="22"/>
                <w:szCs w:val="22"/>
              </w:rPr>
              <w:t>月至</w:t>
            </w:r>
            <w:r>
              <w:rPr>
                <w:rFonts w:ascii="宋体" w:hAnsi="宋体" w:cs="宋体" w:eastAsia="宋体" w:hint="default"/>
                <w:spacing w:val="-50"/>
                <w:sz w:val="22"/>
                <w:szCs w:val="22"/>
              </w:rPr>
              <w:t> </w:t>
            </w:r>
            <w:r>
              <w:rPr>
                <w:rFonts w:ascii="宋体" w:hAnsi="宋体" w:cs="宋体" w:eastAsia="宋体" w:hint="default"/>
                <w:sz w:val="22"/>
                <w:szCs w:val="22"/>
              </w:rPr>
              <w:t>2018</w:t>
            </w:r>
            <w:r>
              <w:rPr>
                <w:rFonts w:ascii="宋体" w:hAnsi="宋体" w:cs="宋体" w:eastAsia="宋体" w:hint="default"/>
                <w:spacing w:val="-50"/>
                <w:sz w:val="22"/>
                <w:szCs w:val="22"/>
              </w:rPr>
              <w:t> </w:t>
            </w:r>
            <w:r>
              <w:rPr>
                <w:rFonts w:ascii="宋体" w:hAnsi="宋体" w:cs="宋体" w:eastAsia="宋体" w:hint="default"/>
                <w:sz w:val="22"/>
                <w:szCs w:val="22"/>
              </w:rPr>
              <w:t>年</w:t>
            </w:r>
            <w:r>
              <w:rPr>
                <w:rFonts w:ascii="宋体" w:hAnsi="宋体" w:cs="宋体" w:eastAsia="宋体" w:hint="default"/>
                <w:spacing w:val="-52"/>
                <w:sz w:val="22"/>
                <w:szCs w:val="22"/>
              </w:rPr>
              <w:t> </w:t>
            </w:r>
            <w:r>
              <w:rPr>
                <w:rFonts w:ascii="宋体" w:hAnsi="宋体" w:cs="宋体" w:eastAsia="宋体" w:hint="default"/>
                <w:sz w:val="22"/>
                <w:szCs w:val="22"/>
              </w:rPr>
              <w:t>1</w:t>
            </w:r>
            <w:r>
              <w:rPr>
                <w:rFonts w:ascii="宋体" w:hAnsi="宋体" w:cs="宋体" w:eastAsia="宋体" w:hint="default"/>
                <w:spacing w:val="-52"/>
                <w:sz w:val="22"/>
                <w:szCs w:val="22"/>
              </w:rPr>
              <w:t> </w:t>
            </w:r>
            <w:r>
              <w:rPr>
                <w:rFonts w:ascii="宋体" w:hAnsi="宋体" w:cs="宋体" w:eastAsia="宋体" w:hint="default"/>
                <w:sz w:val="22"/>
                <w:szCs w:val="22"/>
              </w:rPr>
              <w:t>月历任清华控股有限公司财务部高级经理、副部长、资产财务管理部部长、资金财务部总经理、总裁</w:t>
            </w:r>
          </w:p>
          <w:p>
            <w:pPr>
              <w:pStyle w:val="TableParagraph"/>
              <w:spacing w:line="286" w:lineRule="exact" w:before="26"/>
              <w:ind w:left="105" w:right="98"/>
              <w:jc w:val="left"/>
              <w:rPr>
                <w:rFonts w:ascii="宋体" w:hAnsi="宋体" w:cs="宋体" w:eastAsia="宋体" w:hint="default"/>
                <w:sz w:val="22"/>
                <w:szCs w:val="22"/>
              </w:rPr>
            </w:pPr>
            <w:r>
              <w:rPr>
                <w:rFonts w:ascii="宋体" w:hAnsi="宋体" w:cs="宋体" w:eastAsia="宋体" w:hint="default"/>
                <w:sz w:val="22"/>
                <w:szCs w:val="22"/>
              </w:rPr>
              <w:t>助理。</w:t>
            </w:r>
            <w:r>
              <w:rPr>
                <w:rFonts w:ascii="宋体" w:hAnsi="宋体" w:cs="宋体" w:eastAsia="宋体" w:hint="default"/>
                <w:sz w:val="22"/>
                <w:szCs w:val="22"/>
              </w:rPr>
              <w:t>2018</w:t>
            </w:r>
            <w:r>
              <w:rPr>
                <w:rFonts w:ascii="宋体" w:hAnsi="宋体" w:cs="宋体" w:eastAsia="宋体" w:hint="default"/>
                <w:spacing w:val="-51"/>
                <w:sz w:val="22"/>
                <w:szCs w:val="22"/>
              </w:rPr>
              <w:t> </w:t>
            </w:r>
            <w:r>
              <w:rPr>
                <w:rFonts w:ascii="宋体" w:hAnsi="宋体" w:cs="宋体" w:eastAsia="宋体" w:hint="default"/>
                <w:sz w:val="22"/>
                <w:szCs w:val="22"/>
              </w:rPr>
              <w:t>年</w:t>
            </w:r>
            <w:r>
              <w:rPr>
                <w:rFonts w:ascii="宋体" w:hAnsi="宋体" w:cs="宋体" w:eastAsia="宋体" w:hint="default"/>
                <w:spacing w:val="-49"/>
                <w:sz w:val="22"/>
                <w:szCs w:val="22"/>
              </w:rPr>
              <w:t> </w:t>
            </w:r>
            <w:r>
              <w:rPr>
                <w:rFonts w:ascii="宋体" w:hAnsi="宋体" w:cs="宋体" w:eastAsia="宋体" w:hint="default"/>
                <w:sz w:val="22"/>
                <w:szCs w:val="22"/>
              </w:rPr>
              <w:t>1</w:t>
            </w:r>
            <w:r>
              <w:rPr>
                <w:rFonts w:ascii="宋体" w:hAnsi="宋体" w:cs="宋体" w:eastAsia="宋体" w:hint="default"/>
                <w:spacing w:val="-51"/>
                <w:sz w:val="22"/>
                <w:szCs w:val="22"/>
              </w:rPr>
              <w:t> </w:t>
            </w:r>
            <w:r>
              <w:rPr>
                <w:rFonts w:ascii="宋体" w:hAnsi="宋体" w:cs="宋体" w:eastAsia="宋体" w:hint="default"/>
                <w:sz w:val="22"/>
                <w:szCs w:val="22"/>
              </w:rPr>
              <w:t>月</w:t>
            </w:r>
            <w:r>
              <w:rPr>
                <w:rFonts w:ascii="宋体" w:hAnsi="宋体" w:cs="宋体" w:eastAsia="宋体" w:hint="default"/>
                <w:spacing w:val="-49"/>
                <w:sz w:val="22"/>
                <w:szCs w:val="22"/>
              </w:rPr>
              <w:t> </w:t>
            </w:r>
            <w:r>
              <w:rPr>
                <w:rFonts w:ascii="宋体" w:hAnsi="宋体" w:cs="宋体" w:eastAsia="宋体" w:hint="default"/>
                <w:sz w:val="22"/>
                <w:szCs w:val="22"/>
              </w:rPr>
              <w:t>16</w:t>
            </w:r>
            <w:r>
              <w:rPr>
                <w:rFonts w:ascii="宋体" w:hAnsi="宋体" w:cs="宋体" w:eastAsia="宋体" w:hint="default"/>
                <w:spacing w:val="-48"/>
                <w:sz w:val="22"/>
                <w:szCs w:val="22"/>
              </w:rPr>
              <w:t> </w:t>
            </w:r>
            <w:r>
              <w:rPr>
                <w:rFonts w:ascii="宋体" w:hAnsi="宋体" w:cs="宋体" w:eastAsia="宋体" w:hint="default"/>
                <w:sz w:val="22"/>
                <w:szCs w:val="22"/>
              </w:rPr>
              <w:t>日至</w:t>
            </w:r>
            <w:r>
              <w:rPr>
                <w:rFonts w:ascii="宋体" w:hAnsi="宋体" w:cs="宋体" w:eastAsia="宋体" w:hint="default"/>
                <w:spacing w:val="-49"/>
                <w:sz w:val="22"/>
                <w:szCs w:val="22"/>
              </w:rPr>
              <w:t> </w:t>
            </w:r>
            <w:r>
              <w:rPr>
                <w:rFonts w:ascii="宋体" w:hAnsi="宋体" w:cs="宋体" w:eastAsia="宋体" w:hint="default"/>
                <w:sz w:val="22"/>
                <w:szCs w:val="22"/>
              </w:rPr>
              <w:t>2020</w:t>
            </w:r>
            <w:r>
              <w:rPr>
                <w:rFonts w:ascii="宋体" w:hAnsi="宋体" w:cs="宋体" w:eastAsia="宋体" w:hint="default"/>
                <w:spacing w:val="-51"/>
                <w:sz w:val="22"/>
                <w:szCs w:val="22"/>
              </w:rPr>
              <w:t> </w:t>
            </w:r>
            <w:r>
              <w:rPr>
                <w:rFonts w:ascii="宋体" w:hAnsi="宋体" w:cs="宋体" w:eastAsia="宋体" w:hint="default"/>
                <w:sz w:val="22"/>
                <w:szCs w:val="22"/>
              </w:rPr>
              <w:t>年</w:t>
            </w:r>
            <w:r>
              <w:rPr>
                <w:rFonts w:ascii="宋体" w:hAnsi="宋体" w:cs="宋体" w:eastAsia="宋体" w:hint="default"/>
                <w:spacing w:val="-49"/>
                <w:sz w:val="22"/>
                <w:szCs w:val="22"/>
              </w:rPr>
              <w:t> </w:t>
            </w:r>
            <w:r>
              <w:rPr>
                <w:rFonts w:ascii="宋体" w:hAnsi="宋体" w:cs="宋体" w:eastAsia="宋体" w:hint="default"/>
                <w:sz w:val="22"/>
                <w:szCs w:val="22"/>
              </w:rPr>
              <w:t>2</w:t>
            </w:r>
            <w:r>
              <w:rPr>
                <w:rFonts w:ascii="宋体" w:hAnsi="宋体" w:cs="宋体" w:eastAsia="宋体" w:hint="default"/>
                <w:spacing w:val="-51"/>
                <w:sz w:val="22"/>
                <w:szCs w:val="22"/>
              </w:rPr>
              <w:t> </w:t>
            </w:r>
            <w:r>
              <w:rPr>
                <w:rFonts w:ascii="宋体" w:hAnsi="宋体" w:cs="宋体" w:eastAsia="宋体" w:hint="default"/>
                <w:sz w:val="22"/>
                <w:szCs w:val="22"/>
              </w:rPr>
              <w:t>月</w:t>
            </w:r>
            <w:r>
              <w:rPr>
                <w:rFonts w:ascii="宋体" w:hAnsi="宋体" w:cs="宋体" w:eastAsia="宋体" w:hint="default"/>
                <w:spacing w:val="-49"/>
                <w:sz w:val="22"/>
                <w:szCs w:val="22"/>
              </w:rPr>
              <w:t> </w:t>
            </w:r>
            <w:r>
              <w:rPr>
                <w:rFonts w:ascii="宋体" w:hAnsi="宋体" w:cs="宋体" w:eastAsia="宋体" w:hint="default"/>
                <w:sz w:val="22"/>
                <w:szCs w:val="22"/>
              </w:rPr>
              <w:t>25</w:t>
            </w:r>
            <w:r>
              <w:rPr>
                <w:rFonts w:ascii="宋体" w:hAnsi="宋体" w:cs="宋体" w:eastAsia="宋体" w:hint="default"/>
                <w:spacing w:val="-49"/>
                <w:sz w:val="22"/>
                <w:szCs w:val="22"/>
              </w:rPr>
              <w:t> </w:t>
            </w:r>
            <w:r>
              <w:rPr>
                <w:rFonts w:ascii="宋体" w:hAnsi="宋体" w:cs="宋体" w:eastAsia="宋体" w:hint="default"/>
                <w:sz w:val="22"/>
                <w:szCs w:val="22"/>
              </w:rPr>
              <w:t>日任同方股份有限公司财务总监、财务负责人。</w:t>
            </w:r>
            <w:r>
              <w:rPr>
                <w:rFonts w:ascii="宋体" w:hAnsi="宋体" w:cs="宋体" w:eastAsia="宋体" w:hint="default"/>
                <w:sz w:val="22"/>
                <w:szCs w:val="22"/>
              </w:rPr>
              <w:t>2020</w:t>
            </w:r>
            <w:r>
              <w:rPr>
                <w:rFonts w:ascii="宋体" w:hAnsi="宋体" w:cs="宋体" w:eastAsia="宋体" w:hint="default"/>
                <w:spacing w:val="-51"/>
                <w:sz w:val="22"/>
                <w:szCs w:val="22"/>
              </w:rPr>
              <w:t> </w:t>
            </w:r>
            <w:r>
              <w:rPr>
                <w:rFonts w:ascii="宋体" w:hAnsi="宋体" w:cs="宋体" w:eastAsia="宋体" w:hint="default"/>
                <w:sz w:val="22"/>
                <w:szCs w:val="22"/>
              </w:rPr>
              <w:t>年</w:t>
            </w:r>
            <w:r>
              <w:rPr>
                <w:rFonts w:ascii="宋体" w:hAnsi="宋体" w:cs="宋体" w:eastAsia="宋体" w:hint="default"/>
                <w:spacing w:val="-49"/>
                <w:sz w:val="22"/>
                <w:szCs w:val="22"/>
              </w:rPr>
              <w:t> </w:t>
            </w:r>
            <w:r>
              <w:rPr>
                <w:rFonts w:ascii="宋体" w:hAnsi="宋体" w:cs="宋体" w:eastAsia="宋体" w:hint="default"/>
                <w:sz w:val="22"/>
                <w:szCs w:val="22"/>
              </w:rPr>
              <w:t>2</w:t>
            </w:r>
            <w:r>
              <w:rPr>
                <w:rFonts w:ascii="宋体" w:hAnsi="宋体" w:cs="宋体" w:eastAsia="宋体" w:hint="default"/>
                <w:spacing w:val="-51"/>
                <w:sz w:val="22"/>
                <w:szCs w:val="22"/>
              </w:rPr>
              <w:t> </w:t>
            </w:r>
            <w:r>
              <w:rPr>
                <w:rFonts w:ascii="宋体" w:hAnsi="宋体" w:cs="宋体" w:eastAsia="宋体" w:hint="default"/>
                <w:sz w:val="22"/>
                <w:szCs w:val="22"/>
              </w:rPr>
              <w:t>月</w:t>
            </w:r>
            <w:r>
              <w:rPr>
                <w:rFonts w:ascii="宋体" w:hAnsi="宋体" w:cs="宋体" w:eastAsia="宋体" w:hint="default"/>
                <w:spacing w:val="-49"/>
                <w:sz w:val="22"/>
                <w:szCs w:val="22"/>
              </w:rPr>
              <w:t> </w:t>
            </w:r>
            <w:r>
              <w:rPr>
                <w:rFonts w:ascii="宋体" w:hAnsi="宋体" w:cs="宋体" w:eastAsia="宋体" w:hint="default"/>
                <w:sz w:val="22"/>
                <w:szCs w:val="22"/>
              </w:rPr>
              <w:t>26</w:t>
            </w:r>
            <w:r>
              <w:rPr>
                <w:rFonts w:ascii="宋体" w:hAnsi="宋体" w:cs="宋体" w:eastAsia="宋体" w:hint="default"/>
                <w:spacing w:val="-49"/>
                <w:sz w:val="22"/>
                <w:szCs w:val="22"/>
              </w:rPr>
              <w:t> </w:t>
            </w:r>
            <w:r>
              <w:rPr>
                <w:rFonts w:ascii="宋体" w:hAnsi="宋体" w:cs="宋体" w:eastAsia="宋体" w:hint="default"/>
                <w:sz w:val="22"/>
                <w:szCs w:val="22"/>
              </w:rPr>
              <w:t>日至今，任同方股</w:t>
            </w:r>
            <w:r>
              <w:rPr>
                <w:rFonts w:ascii="宋体" w:hAnsi="宋体" w:cs="宋体" w:eastAsia="宋体" w:hint="default"/>
                <w:w w:val="100"/>
                <w:sz w:val="22"/>
                <w:szCs w:val="22"/>
              </w:rPr>
              <w:t> </w:t>
            </w:r>
            <w:r>
              <w:rPr>
                <w:rFonts w:ascii="宋体" w:hAnsi="宋体" w:cs="宋体" w:eastAsia="宋体" w:hint="default"/>
                <w:sz w:val="22"/>
                <w:szCs w:val="22"/>
              </w:rPr>
              <w:t>份有限公司经营管理总监兼经营管理部总经理。</w:t>
            </w:r>
            <w:r>
              <w:rPr>
                <w:rFonts w:ascii="宋体" w:hAnsi="宋体" w:cs="宋体" w:eastAsia="宋体" w:hint="default"/>
                <w:sz w:val="22"/>
                <w:szCs w:val="22"/>
              </w:rPr>
              <w:t>2018</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7</w:t>
            </w:r>
            <w:r>
              <w:rPr>
                <w:rFonts w:ascii="宋体" w:hAnsi="宋体" w:cs="宋体" w:eastAsia="宋体" w:hint="default"/>
                <w:spacing w:val="-58"/>
                <w:sz w:val="22"/>
                <w:szCs w:val="22"/>
              </w:rPr>
              <w:t> </w:t>
            </w:r>
            <w:r>
              <w:rPr>
                <w:rFonts w:ascii="宋体" w:hAnsi="宋体" w:cs="宋体" w:eastAsia="宋体" w:hint="default"/>
                <w:sz w:val="22"/>
                <w:szCs w:val="22"/>
              </w:rPr>
              <w:t>月至今任公司监事。</w:t>
            </w:r>
            <w:r>
              <w:rPr>
                <w:rFonts w:ascii="宋体" w:hAnsi="宋体" w:cs="宋体" w:eastAsia="宋体" w:hint="default"/>
                <w:sz w:val="22"/>
                <w:szCs w:val="22"/>
              </w:rPr>
              <w:t> </w:t>
            </w:r>
          </w:p>
        </w:tc>
      </w:tr>
      <w:tr>
        <w:trPr>
          <w:trHeight w:val="581"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5" w:right="0"/>
              <w:jc w:val="left"/>
              <w:rPr>
                <w:rFonts w:ascii="宋体" w:hAnsi="宋体" w:cs="宋体" w:eastAsia="宋体" w:hint="default"/>
                <w:sz w:val="22"/>
                <w:szCs w:val="22"/>
              </w:rPr>
            </w:pPr>
            <w:r>
              <w:rPr>
                <w:rFonts w:ascii="宋体" w:hAnsi="宋体" w:cs="宋体" w:eastAsia="宋体" w:hint="default"/>
                <w:sz w:val="22"/>
                <w:szCs w:val="22"/>
              </w:rPr>
              <w:t>张小兵</w:t>
            </w:r>
            <w:r>
              <w:rPr>
                <w:rFonts w:ascii="宋体" w:hAnsi="宋体" w:cs="宋体" w:eastAsia="宋体" w:hint="default"/>
                <w:sz w:val="22"/>
                <w:szCs w:val="22"/>
              </w:rPr>
              <w:t> </w:t>
            </w:r>
          </w:p>
        </w:tc>
        <w:tc>
          <w:tcPr>
            <w:tcW w:w="123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宋体" w:hAnsi="宋体" w:cs="宋体" w:eastAsia="宋体" w:hint="default"/>
                <w:sz w:val="22"/>
                <w:szCs w:val="22"/>
              </w:rPr>
            </w:pPr>
            <w:r>
              <w:rPr>
                <w:rFonts w:ascii="宋体" w:hAnsi="宋体" w:cs="宋体" w:eastAsia="宋体" w:hint="default"/>
                <w:sz w:val="22"/>
                <w:szCs w:val="22"/>
              </w:rPr>
              <w:t>2013</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8</w:t>
            </w:r>
            <w:r>
              <w:rPr>
                <w:rFonts w:ascii="宋体" w:hAnsi="宋体" w:cs="宋体" w:eastAsia="宋体" w:hint="default"/>
                <w:spacing w:val="-59"/>
                <w:sz w:val="22"/>
                <w:szCs w:val="22"/>
              </w:rPr>
              <w:t> </w:t>
            </w:r>
            <w:r>
              <w:rPr>
                <w:rFonts w:ascii="宋体" w:hAnsi="宋体" w:cs="宋体" w:eastAsia="宋体" w:hint="default"/>
                <w:sz w:val="22"/>
                <w:szCs w:val="22"/>
              </w:rPr>
              <w:t>月至</w:t>
            </w:r>
            <w:r>
              <w:rPr>
                <w:rFonts w:ascii="宋体" w:hAnsi="宋体" w:cs="宋体" w:eastAsia="宋体" w:hint="default"/>
                <w:spacing w:val="-56"/>
                <w:sz w:val="22"/>
                <w:szCs w:val="22"/>
              </w:rPr>
              <w:t> </w:t>
            </w:r>
            <w:r>
              <w:rPr>
                <w:rFonts w:ascii="宋体" w:hAnsi="宋体" w:cs="宋体" w:eastAsia="宋体" w:hint="default"/>
                <w:sz w:val="22"/>
                <w:szCs w:val="22"/>
              </w:rPr>
              <w:t>2018</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11</w:t>
            </w:r>
            <w:r>
              <w:rPr>
                <w:rFonts w:ascii="宋体" w:hAnsi="宋体" w:cs="宋体" w:eastAsia="宋体" w:hint="default"/>
                <w:spacing w:val="-56"/>
                <w:sz w:val="22"/>
                <w:szCs w:val="22"/>
              </w:rPr>
              <w:t> </w:t>
            </w:r>
            <w:r>
              <w:rPr>
                <w:rFonts w:ascii="宋体" w:hAnsi="宋体" w:cs="宋体" w:eastAsia="宋体" w:hint="default"/>
                <w:sz w:val="22"/>
                <w:szCs w:val="22"/>
              </w:rPr>
              <w:t>月历任公司产业投资部项目经理、经理助理、副经理、经理，</w:t>
            </w:r>
            <w:r>
              <w:rPr>
                <w:rFonts w:ascii="宋体" w:hAnsi="宋体" w:cs="宋体" w:eastAsia="宋体" w:hint="default"/>
                <w:sz w:val="22"/>
                <w:szCs w:val="22"/>
              </w:rPr>
              <w:t>2018</w:t>
            </w:r>
            <w:r>
              <w:rPr>
                <w:rFonts w:ascii="宋体" w:hAnsi="宋体" w:cs="宋体" w:eastAsia="宋体" w:hint="default"/>
                <w:spacing w:val="-59"/>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11</w:t>
            </w:r>
            <w:r>
              <w:rPr>
                <w:rFonts w:ascii="宋体" w:hAnsi="宋体" w:cs="宋体" w:eastAsia="宋体" w:hint="default"/>
                <w:spacing w:val="-59"/>
                <w:sz w:val="22"/>
                <w:szCs w:val="22"/>
              </w:rPr>
              <w:t> </w:t>
            </w:r>
            <w:r>
              <w:rPr>
                <w:rFonts w:ascii="宋体" w:hAnsi="宋体" w:cs="宋体" w:eastAsia="宋体" w:hint="default"/>
                <w:sz w:val="22"/>
                <w:szCs w:val="22"/>
              </w:rPr>
              <w:t>月至今任上海博辕信息技术</w:t>
            </w:r>
          </w:p>
          <w:p>
            <w:pPr>
              <w:pStyle w:val="TableParagraph"/>
              <w:spacing w:line="287" w:lineRule="exact"/>
              <w:ind w:left="105" w:right="0"/>
              <w:jc w:val="left"/>
              <w:rPr>
                <w:rFonts w:ascii="宋体" w:hAnsi="宋体" w:cs="宋体" w:eastAsia="宋体" w:hint="default"/>
                <w:sz w:val="22"/>
                <w:szCs w:val="22"/>
              </w:rPr>
            </w:pPr>
            <w:r>
              <w:rPr>
                <w:rFonts w:ascii="宋体" w:hAnsi="宋体" w:cs="宋体" w:eastAsia="宋体" w:hint="default"/>
                <w:sz w:val="22"/>
                <w:szCs w:val="22"/>
              </w:rPr>
              <w:t>有限公司副总经理，</w:t>
            </w:r>
            <w:r>
              <w:rPr>
                <w:rFonts w:ascii="宋体" w:hAnsi="宋体" w:cs="宋体" w:eastAsia="宋体" w:hint="default"/>
                <w:sz w:val="22"/>
                <w:szCs w:val="22"/>
              </w:rPr>
              <w:t>2018</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7</w:t>
            </w:r>
            <w:r>
              <w:rPr>
                <w:rFonts w:ascii="宋体" w:hAnsi="宋体" w:cs="宋体" w:eastAsia="宋体" w:hint="default"/>
                <w:spacing w:val="-57"/>
                <w:sz w:val="22"/>
                <w:szCs w:val="22"/>
              </w:rPr>
              <w:t> </w:t>
            </w:r>
            <w:r>
              <w:rPr>
                <w:rFonts w:ascii="宋体" w:hAnsi="宋体" w:cs="宋体" w:eastAsia="宋体" w:hint="default"/>
                <w:sz w:val="22"/>
                <w:szCs w:val="22"/>
              </w:rPr>
              <w:t>月起至今任公司监事。</w:t>
            </w:r>
            <w:r>
              <w:rPr>
                <w:rFonts w:ascii="宋体" w:hAnsi="宋体" w:cs="宋体" w:eastAsia="宋体" w:hint="default"/>
                <w:sz w:val="22"/>
                <w:szCs w:val="22"/>
              </w:rPr>
              <w:t> </w:t>
            </w:r>
          </w:p>
        </w:tc>
      </w:tr>
      <w:tr>
        <w:trPr>
          <w:trHeight w:val="581"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5" w:right="-10"/>
              <w:jc w:val="left"/>
              <w:rPr>
                <w:rFonts w:ascii="宋体" w:hAnsi="宋体" w:cs="宋体" w:eastAsia="宋体" w:hint="default"/>
                <w:sz w:val="22"/>
                <w:szCs w:val="22"/>
              </w:rPr>
            </w:pPr>
            <w:r>
              <w:rPr>
                <w:rFonts w:ascii="宋体" w:hAnsi="宋体" w:cs="宋体" w:eastAsia="宋体" w:hint="default"/>
                <w:w w:val="100"/>
                <w:sz w:val="22"/>
                <w:szCs w:val="22"/>
              </w:rPr>
              <w:t>李结</w:t>
            </w:r>
            <w:r>
              <w:rPr>
                <w:rFonts w:ascii="宋体" w:hAnsi="宋体" w:cs="宋体" w:eastAsia="宋体" w:hint="default"/>
                <w:spacing w:val="-91"/>
                <w:w w:val="100"/>
                <w:sz w:val="22"/>
                <w:szCs w:val="22"/>
              </w:rPr>
              <w:t>平</w:t>
            </w:r>
            <w:r>
              <w:rPr>
                <w:rFonts w:ascii="宋体" w:hAnsi="宋体" w:cs="宋体" w:eastAsia="宋体" w:hint="default"/>
                <w:spacing w:val="-3"/>
                <w:w w:val="100"/>
                <w:sz w:val="22"/>
                <w:szCs w:val="22"/>
              </w:rPr>
              <w:t>（</w:t>
            </w:r>
            <w:r>
              <w:rPr>
                <w:rFonts w:ascii="宋体" w:hAnsi="宋体" w:cs="宋体" w:eastAsia="宋体" w:hint="default"/>
                <w:w w:val="100"/>
                <w:sz w:val="22"/>
                <w:szCs w:val="22"/>
              </w:rPr>
              <w:t>离任</w:t>
            </w:r>
            <w:r>
              <w:rPr>
                <w:rFonts w:ascii="宋体" w:hAnsi="宋体" w:cs="宋体" w:eastAsia="宋体" w:hint="default"/>
                <w:spacing w:val="-113"/>
                <w:w w:val="100"/>
                <w:sz w:val="22"/>
                <w:szCs w:val="22"/>
              </w:rPr>
              <w:t>）</w:t>
            </w:r>
            <w:r>
              <w:rPr>
                <w:rFonts w:ascii="宋体" w:hAnsi="宋体" w:cs="宋体" w:eastAsia="宋体" w:hint="default"/>
                <w:w w:val="100"/>
                <w:sz w:val="22"/>
                <w:szCs w:val="22"/>
              </w:rPr>
              <w:t> </w:t>
            </w:r>
          </w:p>
        </w:tc>
        <w:tc>
          <w:tcPr>
            <w:tcW w:w="123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宋体" w:hAnsi="宋体" w:cs="宋体" w:eastAsia="宋体" w:hint="default"/>
                <w:sz w:val="22"/>
                <w:szCs w:val="22"/>
              </w:rPr>
            </w:pPr>
            <w:r>
              <w:rPr>
                <w:rFonts w:ascii="宋体" w:hAnsi="宋体" w:cs="宋体" w:eastAsia="宋体" w:hint="default"/>
                <w:sz w:val="22"/>
                <w:szCs w:val="22"/>
              </w:rPr>
              <w:t>2009</w:t>
            </w:r>
            <w:r>
              <w:rPr>
                <w:rFonts w:ascii="宋体" w:hAnsi="宋体" w:cs="宋体" w:eastAsia="宋体" w:hint="default"/>
                <w:spacing w:val="-53"/>
                <w:sz w:val="22"/>
                <w:szCs w:val="22"/>
              </w:rPr>
              <w:t> </w:t>
            </w:r>
            <w:r>
              <w:rPr>
                <w:rFonts w:ascii="宋体" w:hAnsi="宋体" w:cs="宋体" w:eastAsia="宋体" w:hint="default"/>
                <w:sz w:val="22"/>
                <w:szCs w:val="22"/>
              </w:rPr>
              <w:t>年</w:t>
            </w:r>
            <w:r>
              <w:rPr>
                <w:rFonts w:ascii="宋体" w:hAnsi="宋体" w:cs="宋体" w:eastAsia="宋体" w:hint="default"/>
                <w:spacing w:val="-53"/>
                <w:sz w:val="22"/>
                <w:szCs w:val="22"/>
              </w:rPr>
              <w:t> </w:t>
            </w:r>
            <w:r>
              <w:rPr>
                <w:rFonts w:ascii="宋体" w:hAnsi="宋体" w:cs="宋体" w:eastAsia="宋体" w:hint="default"/>
                <w:sz w:val="22"/>
                <w:szCs w:val="22"/>
              </w:rPr>
              <w:t>5</w:t>
            </w:r>
            <w:r>
              <w:rPr>
                <w:rFonts w:ascii="宋体" w:hAnsi="宋体" w:cs="宋体" w:eastAsia="宋体" w:hint="default"/>
                <w:spacing w:val="-56"/>
                <w:sz w:val="22"/>
                <w:szCs w:val="22"/>
              </w:rPr>
              <w:t> </w:t>
            </w:r>
            <w:r>
              <w:rPr>
                <w:rFonts w:ascii="宋体" w:hAnsi="宋体" w:cs="宋体" w:eastAsia="宋体" w:hint="default"/>
                <w:sz w:val="22"/>
                <w:szCs w:val="22"/>
              </w:rPr>
              <w:t>月至</w:t>
            </w:r>
            <w:r>
              <w:rPr>
                <w:rFonts w:ascii="宋体" w:hAnsi="宋体" w:cs="宋体" w:eastAsia="宋体" w:hint="default"/>
                <w:spacing w:val="-53"/>
                <w:sz w:val="22"/>
                <w:szCs w:val="22"/>
              </w:rPr>
              <w:t> </w:t>
            </w:r>
            <w:r>
              <w:rPr>
                <w:rFonts w:ascii="宋体" w:hAnsi="宋体" w:cs="宋体" w:eastAsia="宋体" w:hint="default"/>
                <w:sz w:val="22"/>
                <w:szCs w:val="22"/>
              </w:rPr>
              <w:t>2012</w:t>
            </w:r>
            <w:r>
              <w:rPr>
                <w:rFonts w:ascii="宋体" w:hAnsi="宋体" w:cs="宋体" w:eastAsia="宋体" w:hint="default"/>
                <w:spacing w:val="-53"/>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8</w:t>
            </w:r>
            <w:r>
              <w:rPr>
                <w:rFonts w:ascii="宋体" w:hAnsi="宋体" w:cs="宋体" w:eastAsia="宋体" w:hint="default"/>
                <w:spacing w:val="-56"/>
                <w:sz w:val="22"/>
                <w:szCs w:val="22"/>
              </w:rPr>
              <w:t> </w:t>
            </w:r>
            <w:r>
              <w:rPr>
                <w:rFonts w:ascii="宋体" w:hAnsi="宋体" w:cs="宋体" w:eastAsia="宋体" w:hint="default"/>
                <w:spacing w:val="-4"/>
                <w:sz w:val="22"/>
                <w:szCs w:val="22"/>
              </w:rPr>
              <w:t>月任本公司产业投资部</w:t>
            </w:r>
            <w:r>
              <w:rPr>
                <w:rFonts w:ascii="宋体" w:hAnsi="宋体" w:cs="宋体" w:eastAsia="宋体" w:hint="default"/>
                <w:spacing w:val="-4"/>
                <w:sz w:val="22"/>
                <w:szCs w:val="22"/>
              </w:rPr>
              <w:t>/</w:t>
            </w:r>
            <w:r>
              <w:rPr>
                <w:rFonts w:ascii="宋体" w:hAnsi="宋体" w:cs="宋体" w:eastAsia="宋体" w:hint="default"/>
                <w:spacing w:val="-4"/>
                <w:sz w:val="22"/>
                <w:szCs w:val="22"/>
              </w:rPr>
              <w:t>证券部经理，</w:t>
            </w:r>
            <w:r>
              <w:rPr>
                <w:rFonts w:ascii="宋体" w:hAnsi="宋体" w:cs="宋体" w:eastAsia="宋体" w:hint="default"/>
                <w:spacing w:val="-4"/>
                <w:sz w:val="22"/>
                <w:szCs w:val="22"/>
              </w:rPr>
              <w:t>2013</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3"/>
                <w:sz w:val="22"/>
                <w:szCs w:val="22"/>
              </w:rPr>
              <w:t> </w:t>
            </w:r>
            <w:r>
              <w:rPr>
                <w:rFonts w:ascii="宋体" w:hAnsi="宋体" w:cs="宋体" w:eastAsia="宋体" w:hint="default"/>
                <w:sz w:val="22"/>
                <w:szCs w:val="22"/>
              </w:rPr>
              <w:t>3</w:t>
            </w:r>
            <w:r>
              <w:rPr>
                <w:rFonts w:ascii="宋体" w:hAnsi="宋体" w:cs="宋体" w:eastAsia="宋体" w:hint="default"/>
                <w:spacing w:val="-53"/>
                <w:sz w:val="22"/>
                <w:szCs w:val="22"/>
              </w:rPr>
              <w:t> </w:t>
            </w:r>
            <w:r>
              <w:rPr>
                <w:rFonts w:ascii="宋体" w:hAnsi="宋体" w:cs="宋体" w:eastAsia="宋体" w:hint="default"/>
                <w:sz w:val="22"/>
                <w:szCs w:val="22"/>
              </w:rPr>
              <w:t>月至</w:t>
            </w:r>
            <w:r>
              <w:rPr>
                <w:rFonts w:ascii="宋体" w:hAnsi="宋体" w:cs="宋体" w:eastAsia="宋体" w:hint="default"/>
                <w:spacing w:val="-53"/>
                <w:sz w:val="22"/>
                <w:szCs w:val="22"/>
              </w:rPr>
              <w:t> </w:t>
            </w:r>
            <w:r>
              <w:rPr>
                <w:rFonts w:ascii="宋体" w:hAnsi="宋体" w:cs="宋体" w:eastAsia="宋体" w:hint="default"/>
                <w:sz w:val="22"/>
                <w:szCs w:val="22"/>
              </w:rPr>
              <w:t>2015</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3"/>
                <w:sz w:val="22"/>
                <w:szCs w:val="22"/>
              </w:rPr>
              <w:t> </w:t>
            </w:r>
            <w:r>
              <w:rPr>
                <w:rFonts w:ascii="宋体" w:hAnsi="宋体" w:cs="宋体" w:eastAsia="宋体" w:hint="default"/>
                <w:sz w:val="22"/>
                <w:szCs w:val="22"/>
              </w:rPr>
              <w:t>8</w:t>
            </w:r>
            <w:r>
              <w:rPr>
                <w:rFonts w:ascii="宋体" w:hAnsi="宋体" w:cs="宋体" w:eastAsia="宋体" w:hint="default"/>
                <w:spacing w:val="-53"/>
                <w:sz w:val="22"/>
                <w:szCs w:val="22"/>
              </w:rPr>
              <w:t> </w:t>
            </w:r>
            <w:r>
              <w:rPr>
                <w:rFonts w:ascii="宋体" w:hAnsi="宋体" w:cs="宋体" w:eastAsia="宋体" w:hint="default"/>
                <w:spacing w:val="-6"/>
                <w:sz w:val="22"/>
                <w:szCs w:val="22"/>
              </w:rPr>
              <w:t>月任公司总裁助理，</w:t>
            </w:r>
            <w:r>
              <w:rPr>
                <w:rFonts w:ascii="宋体" w:hAnsi="宋体" w:cs="宋体" w:eastAsia="宋体" w:hint="default"/>
                <w:spacing w:val="-6"/>
                <w:sz w:val="22"/>
                <w:szCs w:val="22"/>
              </w:rPr>
              <w:t>2012</w:t>
            </w:r>
            <w:r>
              <w:rPr>
                <w:rFonts w:ascii="宋体" w:hAnsi="宋体" w:cs="宋体" w:eastAsia="宋体" w:hint="default"/>
                <w:spacing w:val="-53"/>
                <w:sz w:val="22"/>
                <w:szCs w:val="22"/>
              </w:rPr>
              <w:t> </w:t>
            </w:r>
            <w:r>
              <w:rPr>
                <w:rFonts w:ascii="宋体" w:hAnsi="宋体" w:cs="宋体" w:eastAsia="宋体" w:hint="default"/>
                <w:sz w:val="22"/>
                <w:szCs w:val="22"/>
              </w:rPr>
              <w:t>年</w:t>
            </w:r>
            <w:r>
              <w:rPr>
                <w:rFonts w:ascii="宋体" w:hAnsi="宋体" w:cs="宋体" w:eastAsia="宋体" w:hint="default"/>
                <w:spacing w:val="-53"/>
                <w:sz w:val="22"/>
                <w:szCs w:val="22"/>
              </w:rPr>
              <w:t> </w:t>
            </w:r>
            <w:r>
              <w:rPr>
                <w:rFonts w:ascii="宋体" w:hAnsi="宋体" w:cs="宋体" w:eastAsia="宋体" w:hint="default"/>
                <w:sz w:val="22"/>
                <w:szCs w:val="22"/>
              </w:rPr>
              <w:t>8</w:t>
            </w:r>
            <w:r>
              <w:rPr>
                <w:rFonts w:ascii="宋体" w:hAnsi="宋体" w:cs="宋体" w:eastAsia="宋体" w:hint="default"/>
                <w:spacing w:val="-56"/>
                <w:sz w:val="22"/>
                <w:szCs w:val="22"/>
              </w:rPr>
              <w:t> </w:t>
            </w:r>
            <w:r>
              <w:rPr>
                <w:rFonts w:ascii="宋体" w:hAnsi="宋体" w:cs="宋体" w:eastAsia="宋体" w:hint="default"/>
                <w:sz w:val="22"/>
                <w:szCs w:val="22"/>
              </w:rPr>
              <w:t>月至</w:t>
            </w:r>
            <w:r>
              <w:rPr>
                <w:rFonts w:ascii="宋体" w:hAnsi="宋体" w:cs="宋体" w:eastAsia="宋体" w:hint="default"/>
                <w:spacing w:val="-53"/>
                <w:sz w:val="22"/>
                <w:szCs w:val="22"/>
              </w:rPr>
              <w:t> </w:t>
            </w:r>
            <w:r>
              <w:rPr>
                <w:rFonts w:ascii="宋体" w:hAnsi="宋体" w:cs="宋体" w:eastAsia="宋体" w:hint="default"/>
                <w:sz w:val="22"/>
                <w:szCs w:val="22"/>
              </w:rPr>
              <w:t>2016</w:t>
            </w:r>
          </w:p>
          <w:p>
            <w:pPr>
              <w:pStyle w:val="TableParagraph"/>
              <w:spacing w:line="287" w:lineRule="exact"/>
              <w:ind w:left="105" w:right="-8"/>
              <w:jc w:val="left"/>
              <w:rPr>
                <w:rFonts w:ascii="宋体" w:hAnsi="宋体" w:cs="宋体" w:eastAsia="宋体" w:hint="default"/>
                <w:sz w:val="22"/>
                <w:szCs w:val="22"/>
              </w:rPr>
            </w:pPr>
            <w:r>
              <w:rPr>
                <w:rFonts w:ascii="宋体" w:hAnsi="宋体" w:cs="宋体" w:eastAsia="宋体" w:hint="default"/>
                <w:w w:val="100"/>
                <w:sz w:val="22"/>
                <w:szCs w:val="22"/>
              </w:rPr>
              <w:t>年</w:t>
            </w:r>
            <w:r>
              <w:rPr>
                <w:rFonts w:ascii="宋体" w:hAnsi="宋体" w:cs="宋体" w:eastAsia="宋体" w:hint="default"/>
                <w:spacing w:val="-55"/>
                <w:sz w:val="22"/>
                <w:szCs w:val="22"/>
              </w:rPr>
              <w:t> </w:t>
            </w:r>
            <w:r>
              <w:rPr>
                <w:rFonts w:ascii="宋体" w:hAnsi="宋体" w:cs="宋体" w:eastAsia="宋体" w:hint="default"/>
                <w:w w:val="100"/>
                <w:sz w:val="22"/>
                <w:szCs w:val="22"/>
              </w:rPr>
              <w:t>5</w:t>
            </w:r>
            <w:r>
              <w:rPr>
                <w:rFonts w:ascii="宋体" w:hAnsi="宋体" w:cs="宋体" w:eastAsia="宋体" w:hint="default"/>
                <w:spacing w:val="-55"/>
                <w:sz w:val="22"/>
                <w:szCs w:val="22"/>
              </w:rPr>
              <w:t> </w:t>
            </w:r>
            <w:r>
              <w:rPr>
                <w:rFonts w:ascii="宋体" w:hAnsi="宋体" w:cs="宋体" w:eastAsia="宋体" w:hint="default"/>
                <w:w w:val="100"/>
                <w:sz w:val="22"/>
                <w:szCs w:val="22"/>
              </w:rPr>
              <w:t>月</w:t>
            </w:r>
            <w:r>
              <w:rPr>
                <w:rFonts w:ascii="宋体" w:hAnsi="宋体" w:cs="宋体" w:eastAsia="宋体" w:hint="default"/>
                <w:spacing w:val="-3"/>
                <w:w w:val="100"/>
                <w:sz w:val="22"/>
                <w:szCs w:val="22"/>
              </w:rPr>
              <w:t>任</w:t>
            </w:r>
            <w:r>
              <w:rPr>
                <w:rFonts w:ascii="宋体" w:hAnsi="宋体" w:cs="宋体" w:eastAsia="宋体" w:hint="default"/>
                <w:w w:val="100"/>
                <w:sz w:val="22"/>
                <w:szCs w:val="22"/>
              </w:rPr>
              <w:t>公司</w:t>
            </w:r>
            <w:r>
              <w:rPr>
                <w:rFonts w:ascii="宋体" w:hAnsi="宋体" w:cs="宋体" w:eastAsia="宋体" w:hint="default"/>
                <w:spacing w:val="-3"/>
                <w:w w:val="100"/>
                <w:sz w:val="22"/>
                <w:szCs w:val="22"/>
              </w:rPr>
              <w:t>董</w:t>
            </w:r>
            <w:r>
              <w:rPr>
                <w:rFonts w:ascii="宋体" w:hAnsi="宋体" w:cs="宋体" w:eastAsia="宋体" w:hint="default"/>
                <w:w w:val="100"/>
                <w:sz w:val="22"/>
                <w:szCs w:val="22"/>
              </w:rPr>
              <w:t>事会</w:t>
            </w:r>
            <w:r>
              <w:rPr>
                <w:rFonts w:ascii="宋体" w:hAnsi="宋体" w:cs="宋体" w:eastAsia="宋体" w:hint="default"/>
                <w:spacing w:val="-3"/>
                <w:w w:val="100"/>
                <w:sz w:val="22"/>
                <w:szCs w:val="22"/>
              </w:rPr>
              <w:t>秘书</w:t>
            </w:r>
            <w:r>
              <w:rPr>
                <w:rFonts w:ascii="宋体" w:hAnsi="宋体" w:cs="宋体" w:eastAsia="宋体" w:hint="default"/>
                <w:spacing w:val="-5"/>
                <w:w w:val="100"/>
                <w:sz w:val="22"/>
                <w:szCs w:val="22"/>
              </w:rPr>
              <w:t>，</w:t>
            </w:r>
            <w:r>
              <w:rPr>
                <w:rFonts w:ascii="宋体" w:hAnsi="宋体" w:cs="宋体" w:eastAsia="宋体" w:hint="default"/>
                <w:w w:val="100"/>
                <w:sz w:val="22"/>
                <w:szCs w:val="22"/>
              </w:rPr>
              <w:t>2016</w:t>
            </w:r>
            <w:r>
              <w:rPr>
                <w:rFonts w:ascii="宋体" w:hAnsi="宋体" w:cs="宋体" w:eastAsia="宋体" w:hint="default"/>
                <w:spacing w:val="-55"/>
                <w:sz w:val="22"/>
                <w:szCs w:val="22"/>
              </w:rPr>
              <w:t> </w:t>
            </w:r>
            <w:r>
              <w:rPr>
                <w:rFonts w:ascii="宋体" w:hAnsi="宋体" w:cs="宋体" w:eastAsia="宋体" w:hint="default"/>
                <w:w w:val="100"/>
                <w:sz w:val="22"/>
                <w:szCs w:val="22"/>
              </w:rPr>
              <w:t>年</w:t>
            </w:r>
            <w:r>
              <w:rPr>
                <w:rFonts w:ascii="宋体" w:hAnsi="宋体" w:cs="宋体" w:eastAsia="宋体" w:hint="default"/>
                <w:spacing w:val="-55"/>
                <w:sz w:val="22"/>
                <w:szCs w:val="22"/>
              </w:rPr>
              <w:t> </w:t>
            </w:r>
            <w:r>
              <w:rPr>
                <w:rFonts w:ascii="宋体" w:hAnsi="宋体" w:cs="宋体" w:eastAsia="宋体" w:hint="default"/>
                <w:w w:val="100"/>
                <w:sz w:val="22"/>
                <w:szCs w:val="22"/>
              </w:rPr>
              <w:t>5</w:t>
            </w:r>
            <w:r>
              <w:rPr>
                <w:rFonts w:ascii="宋体" w:hAnsi="宋体" w:cs="宋体" w:eastAsia="宋体" w:hint="default"/>
                <w:spacing w:val="-58"/>
                <w:sz w:val="22"/>
                <w:szCs w:val="22"/>
              </w:rPr>
              <w:t> </w:t>
            </w:r>
            <w:r>
              <w:rPr>
                <w:rFonts w:ascii="宋体" w:hAnsi="宋体" w:cs="宋体" w:eastAsia="宋体" w:hint="default"/>
                <w:w w:val="100"/>
                <w:sz w:val="22"/>
                <w:szCs w:val="22"/>
              </w:rPr>
              <w:t>月至</w:t>
            </w:r>
            <w:r>
              <w:rPr>
                <w:rFonts w:ascii="宋体" w:hAnsi="宋体" w:cs="宋体" w:eastAsia="宋体" w:hint="default"/>
                <w:spacing w:val="-55"/>
                <w:sz w:val="22"/>
                <w:szCs w:val="22"/>
              </w:rPr>
              <w:t> </w:t>
            </w:r>
            <w:r>
              <w:rPr>
                <w:rFonts w:ascii="宋体" w:hAnsi="宋体" w:cs="宋体" w:eastAsia="宋体" w:hint="default"/>
                <w:w w:val="100"/>
                <w:sz w:val="22"/>
                <w:szCs w:val="22"/>
              </w:rPr>
              <w:t>2</w:t>
            </w:r>
            <w:r>
              <w:rPr>
                <w:rFonts w:ascii="宋体" w:hAnsi="宋体" w:cs="宋体" w:eastAsia="宋体" w:hint="default"/>
                <w:spacing w:val="-3"/>
                <w:w w:val="100"/>
                <w:sz w:val="22"/>
                <w:szCs w:val="22"/>
              </w:rPr>
              <w:t>0</w:t>
            </w:r>
            <w:r>
              <w:rPr>
                <w:rFonts w:ascii="宋体" w:hAnsi="宋体" w:cs="宋体" w:eastAsia="宋体" w:hint="default"/>
                <w:w w:val="100"/>
                <w:sz w:val="22"/>
                <w:szCs w:val="22"/>
              </w:rPr>
              <w:t>18</w:t>
            </w:r>
            <w:r>
              <w:rPr>
                <w:rFonts w:ascii="宋体" w:hAnsi="宋体" w:cs="宋体" w:eastAsia="宋体" w:hint="default"/>
                <w:spacing w:val="-55"/>
                <w:sz w:val="22"/>
                <w:szCs w:val="22"/>
              </w:rPr>
              <w:t> </w:t>
            </w:r>
            <w:r>
              <w:rPr>
                <w:rFonts w:ascii="宋体" w:hAnsi="宋体" w:cs="宋体" w:eastAsia="宋体" w:hint="default"/>
                <w:w w:val="100"/>
                <w:sz w:val="22"/>
                <w:szCs w:val="22"/>
              </w:rPr>
              <w:t>年</w:t>
            </w:r>
            <w:r>
              <w:rPr>
                <w:rFonts w:ascii="宋体" w:hAnsi="宋体" w:cs="宋体" w:eastAsia="宋体" w:hint="default"/>
                <w:spacing w:val="-58"/>
                <w:sz w:val="22"/>
                <w:szCs w:val="22"/>
              </w:rPr>
              <w:t> </w:t>
            </w:r>
            <w:r>
              <w:rPr>
                <w:rFonts w:ascii="宋体" w:hAnsi="宋体" w:cs="宋体" w:eastAsia="宋体" w:hint="default"/>
                <w:w w:val="100"/>
                <w:sz w:val="22"/>
                <w:szCs w:val="22"/>
              </w:rPr>
              <w:t>7</w:t>
            </w:r>
            <w:r>
              <w:rPr>
                <w:rFonts w:ascii="宋体" w:hAnsi="宋体" w:cs="宋体" w:eastAsia="宋体" w:hint="default"/>
                <w:spacing w:val="-55"/>
                <w:sz w:val="22"/>
                <w:szCs w:val="22"/>
              </w:rPr>
              <w:t> </w:t>
            </w:r>
            <w:r>
              <w:rPr>
                <w:rFonts w:ascii="宋体" w:hAnsi="宋体" w:cs="宋体" w:eastAsia="宋体" w:hint="default"/>
                <w:w w:val="100"/>
                <w:sz w:val="22"/>
                <w:szCs w:val="22"/>
              </w:rPr>
              <w:t>月任</w:t>
            </w:r>
            <w:r>
              <w:rPr>
                <w:rFonts w:ascii="宋体" w:hAnsi="宋体" w:cs="宋体" w:eastAsia="宋体" w:hint="default"/>
                <w:spacing w:val="-3"/>
                <w:w w:val="100"/>
                <w:sz w:val="22"/>
                <w:szCs w:val="22"/>
              </w:rPr>
              <w:t>公</w:t>
            </w:r>
            <w:r>
              <w:rPr>
                <w:rFonts w:ascii="宋体" w:hAnsi="宋体" w:cs="宋体" w:eastAsia="宋体" w:hint="default"/>
                <w:w w:val="100"/>
                <w:sz w:val="22"/>
                <w:szCs w:val="22"/>
              </w:rPr>
              <w:t>司副</w:t>
            </w:r>
            <w:r>
              <w:rPr>
                <w:rFonts w:ascii="宋体" w:hAnsi="宋体" w:cs="宋体" w:eastAsia="宋体" w:hint="default"/>
                <w:spacing w:val="-3"/>
                <w:w w:val="100"/>
                <w:sz w:val="22"/>
                <w:szCs w:val="22"/>
              </w:rPr>
              <w:t>总</w:t>
            </w:r>
            <w:r>
              <w:rPr>
                <w:rFonts w:ascii="宋体" w:hAnsi="宋体" w:cs="宋体" w:eastAsia="宋体" w:hint="default"/>
                <w:w w:val="100"/>
                <w:sz w:val="22"/>
                <w:szCs w:val="22"/>
              </w:rPr>
              <w:t>裁兼</w:t>
            </w:r>
            <w:r>
              <w:rPr>
                <w:rFonts w:ascii="宋体" w:hAnsi="宋体" w:cs="宋体" w:eastAsia="宋体" w:hint="default"/>
                <w:spacing w:val="-3"/>
                <w:w w:val="100"/>
                <w:sz w:val="22"/>
                <w:szCs w:val="22"/>
              </w:rPr>
              <w:t>董事</w:t>
            </w:r>
            <w:r>
              <w:rPr>
                <w:rFonts w:ascii="宋体" w:hAnsi="宋体" w:cs="宋体" w:eastAsia="宋体" w:hint="default"/>
                <w:w w:val="100"/>
                <w:sz w:val="22"/>
                <w:szCs w:val="22"/>
              </w:rPr>
              <w:t>会秘书</w:t>
            </w:r>
            <w:r>
              <w:rPr>
                <w:rFonts w:ascii="宋体" w:hAnsi="宋体" w:cs="宋体" w:eastAsia="宋体" w:hint="default"/>
                <w:spacing w:val="-5"/>
                <w:w w:val="100"/>
                <w:sz w:val="22"/>
                <w:szCs w:val="22"/>
              </w:rPr>
              <w:t>，</w:t>
            </w:r>
            <w:r>
              <w:rPr>
                <w:rFonts w:ascii="宋体" w:hAnsi="宋体" w:cs="宋体" w:eastAsia="宋体" w:hint="default"/>
                <w:w w:val="100"/>
                <w:sz w:val="22"/>
                <w:szCs w:val="22"/>
              </w:rPr>
              <w:t>20</w:t>
            </w:r>
            <w:r>
              <w:rPr>
                <w:rFonts w:ascii="宋体" w:hAnsi="宋体" w:cs="宋体" w:eastAsia="宋体" w:hint="default"/>
                <w:spacing w:val="-3"/>
                <w:w w:val="100"/>
                <w:sz w:val="22"/>
                <w:szCs w:val="22"/>
              </w:rPr>
              <w:t>1</w:t>
            </w:r>
            <w:r>
              <w:rPr>
                <w:rFonts w:ascii="宋体" w:hAnsi="宋体" w:cs="宋体" w:eastAsia="宋体" w:hint="default"/>
                <w:w w:val="100"/>
                <w:sz w:val="22"/>
                <w:szCs w:val="22"/>
              </w:rPr>
              <w:t>8</w:t>
            </w:r>
            <w:r>
              <w:rPr>
                <w:rFonts w:ascii="宋体" w:hAnsi="宋体" w:cs="宋体" w:eastAsia="宋体" w:hint="default"/>
                <w:spacing w:val="-55"/>
                <w:sz w:val="22"/>
                <w:szCs w:val="22"/>
              </w:rPr>
              <w:t> </w:t>
            </w:r>
            <w:r>
              <w:rPr>
                <w:rFonts w:ascii="宋体" w:hAnsi="宋体" w:cs="宋体" w:eastAsia="宋体" w:hint="default"/>
                <w:w w:val="100"/>
                <w:sz w:val="22"/>
                <w:szCs w:val="22"/>
              </w:rPr>
              <w:t>年</w:t>
            </w:r>
            <w:r>
              <w:rPr>
                <w:rFonts w:ascii="宋体" w:hAnsi="宋体" w:cs="宋体" w:eastAsia="宋体" w:hint="default"/>
                <w:spacing w:val="-55"/>
                <w:sz w:val="22"/>
                <w:szCs w:val="22"/>
              </w:rPr>
              <w:t> </w:t>
            </w:r>
            <w:r>
              <w:rPr>
                <w:rFonts w:ascii="宋体" w:hAnsi="宋体" w:cs="宋体" w:eastAsia="宋体" w:hint="default"/>
                <w:w w:val="100"/>
                <w:sz w:val="22"/>
                <w:szCs w:val="22"/>
              </w:rPr>
              <w:t>7</w:t>
            </w:r>
            <w:r>
              <w:rPr>
                <w:rFonts w:ascii="宋体" w:hAnsi="宋体" w:cs="宋体" w:eastAsia="宋体" w:hint="default"/>
                <w:spacing w:val="-58"/>
                <w:sz w:val="22"/>
                <w:szCs w:val="22"/>
              </w:rPr>
              <w:t> </w:t>
            </w:r>
            <w:r>
              <w:rPr>
                <w:rFonts w:ascii="宋体" w:hAnsi="宋体" w:cs="宋体" w:eastAsia="宋体" w:hint="default"/>
                <w:w w:val="100"/>
                <w:sz w:val="22"/>
                <w:szCs w:val="22"/>
              </w:rPr>
              <w:t>月至</w:t>
            </w:r>
            <w:r>
              <w:rPr>
                <w:rFonts w:ascii="宋体" w:hAnsi="宋体" w:cs="宋体" w:eastAsia="宋体" w:hint="default"/>
                <w:spacing w:val="-55"/>
                <w:sz w:val="22"/>
                <w:szCs w:val="22"/>
              </w:rPr>
              <w:t> </w:t>
            </w:r>
            <w:r>
              <w:rPr>
                <w:rFonts w:ascii="宋体" w:hAnsi="宋体" w:cs="宋体" w:eastAsia="宋体" w:hint="default"/>
                <w:spacing w:val="-3"/>
                <w:w w:val="100"/>
                <w:sz w:val="22"/>
                <w:szCs w:val="22"/>
              </w:rPr>
              <w:t>2</w:t>
            </w:r>
            <w:r>
              <w:rPr>
                <w:rFonts w:ascii="宋体" w:hAnsi="宋体" w:cs="宋体" w:eastAsia="宋体" w:hint="default"/>
                <w:w w:val="100"/>
                <w:sz w:val="22"/>
                <w:szCs w:val="22"/>
              </w:rPr>
              <w:t>020</w:t>
            </w:r>
            <w:r>
              <w:rPr>
                <w:rFonts w:ascii="宋体" w:hAnsi="宋体" w:cs="宋体" w:eastAsia="宋体" w:hint="default"/>
                <w:spacing w:val="-55"/>
                <w:sz w:val="22"/>
                <w:szCs w:val="22"/>
              </w:rPr>
              <w:t> </w:t>
            </w:r>
            <w:r>
              <w:rPr>
                <w:rFonts w:ascii="宋体" w:hAnsi="宋体" w:cs="宋体" w:eastAsia="宋体" w:hint="default"/>
                <w:w w:val="100"/>
                <w:sz w:val="22"/>
                <w:szCs w:val="22"/>
              </w:rPr>
              <w:t>年</w:t>
            </w:r>
            <w:r>
              <w:rPr>
                <w:rFonts w:ascii="宋体" w:hAnsi="宋体" w:cs="宋体" w:eastAsia="宋体" w:hint="default"/>
                <w:spacing w:val="-55"/>
                <w:sz w:val="22"/>
                <w:szCs w:val="22"/>
              </w:rPr>
              <w:t> </w:t>
            </w:r>
            <w:r>
              <w:rPr>
                <w:rFonts w:ascii="宋体" w:hAnsi="宋体" w:cs="宋体" w:eastAsia="宋体" w:hint="default"/>
                <w:w w:val="100"/>
                <w:sz w:val="22"/>
                <w:szCs w:val="22"/>
              </w:rPr>
              <w:t>1</w:t>
            </w:r>
            <w:r>
              <w:rPr>
                <w:rFonts w:ascii="宋体" w:hAnsi="宋体" w:cs="宋体" w:eastAsia="宋体" w:hint="default"/>
                <w:spacing w:val="-58"/>
                <w:sz w:val="22"/>
                <w:szCs w:val="22"/>
              </w:rPr>
              <w:t> </w:t>
            </w:r>
            <w:r>
              <w:rPr>
                <w:rFonts w:ascii="宋体" w:hAnsi="宋体" w:cs="宋体" w:eastAsia="宋体" w:hint="default"/>
                <w:w w:val="100"/>
                <w:sz w:val="22"/>
                <w:szCs w:val="22"/>
              </w:rPr>
              <w:t>月任</w:t>
            </w:r>
            <w:r>
              <w:rPr>
                <w:rFonts w:ascii="宋体" w:hAnsi="宋体" w:cs="宋体" w:eastAsia="宋体" w:hint="default"/>
                <w:spacing w:val="-3"/>
                <w:w w:val="100"/>
                <w:sz w:val="22"/>
                <w:szCs w:val="22"/>
              </w:rPr>
              <w:t>公</w:t>
            </w:r>
            <w:r>
              <w:rPr>
                <w:rFonts w:ascii="宋体" w:hAnsi="宋体" w:cs="宋体" w:eastAsia="宋体" w:hint="default"/>
                <w:w w:val="100"/>
                <w:sz w:val="22"/>
                <w:szCs w:val="22"/>
              </w:rPr>
              <w:t>司副</w:t>
            </w:r>
            <w:r>
              <w:rPr>
                <w:rFonts w:ascii="宋体" w:hAnsi="宋体" w:cs="宋体" w:eastAsia="宋体" w:hint="default"/>
                <w:spacing w:val="-3"/>
                <w:w w:val="100"/>
                <w:sz w:val="22"/>
                <w:szCs w:val="22"/>
              </w:rPr>
              <w:t>总裁</w:t>
            </w:r>
            <w:r>
              <w:rPr>
                <w:rFonts w:ascii="宋体" w:hAnsi="宋体" w:cs="宋体" w:eastAsia="宋体" w:hint="default"/>
                <w:spacing w:val="-111"/>
                <w:w w:val="100"/>
                <w:sz w:val="22"/>
                <w:szCs w:val="22"/>
              </w:rPr>
              <w:t>。</w:t>
            </w:r>
            <w:r>
              <w:rPr>
                <w:rFonts w:ascii="宋体" w:hAnsi="宋体" w:cs="宋体" w:eastAsia="宋体" w:hint="default"/>
                <w:w w:val="100"/>
                <w:sz w:val="22"/>
                <w:szCs w:val="22"/>
              </w:rPr>
              <w:t> </w:t>
            </w:r>
          </w:p>
        </w:tc>
      </w:tr>
      <w:tr>
        <w:trPr>
          <w:trHeight w:val="295"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hAnsi="宋体" w:cs="宋体" w:eastAsia="宋体" w:hint="default"/>
                <w:sz w:val="22"/>
                <w:szCs w:val="22"/>
              </w:rPr>
              <w:t>汪华艳</w:t>
            </w:r>
            <w:r>
              <w:rPr>
                <w:rFonts w:ascii="宋体" w:hAnsi="宋体" w:cs="宋体" w:eastAsia="宋体" w:hint="default"/>
                <w:sz w:val="22"/>
                <w:szCs w:val="22"/>
              </w:rPr>
              <w:t> </w:t>
            </w:r>
          </w:p>
        </w:tc>
        <w:tc>
          <w:tcPr>
            <w:tcW w:w="123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left"/>
              <w:rPr>
                <w:rFonts w:ascii="宋体" w:hAnsi="宋体" w:cs="宋体" w:eastAsia="宋体" w:hint="default"/>
                <w:sz w:val="22"/>
                <w:szCs w:val="22"/>
              </w:rPr>
            </w:pPr>
            <w:r>
              <w:rPr>
                <w:rFonts w:ascii="宋体" w:hAnsi="宋体" w:cs="宋体" w:eastAsia="宋体" w:hint="default"/>
                <w:sz w:val="22"/>
                <w:szCs w:val="22"/>
              </w:rPr>
              <w:t>1999</w:t>
            </w:r>
            <w:r>
              <w:rPr>
                <w:rFonts w:ascii="宋体" w:hAnsi="宋体" w:cs="宋体" w:eastAsia="宋体" w:hint="default"/>
                <w:spacing w:val="-56"/>
                <w:sz w:val="22"/>
                <w:szCs w:val="22"/>
              </w:rPr>
              <w:t> </w:t>
            </w:r>
            <w:r>
              <w:rPr>
                <w:rFonts w:ascii="宋体" w:hAnsi="宋体" w:cs="宋体" w:eastAsia="宋体" w:hint="default"/>
                <w:sz w:val="22"/>
                <w:szCs w:val="22"/>
              </w:rPr>
              <w:t>年至</w:t>
            </w:r>
            <w:r>
              <w:rPr>
                <w:rFonts w:ascii="宋体" w:hAnsi="宋体" w:cs="宋体" w:eastAsia="宋体" w:hint="default"/>
                <w:spacing w:val="-59"/>
                <w:sz w:val="22"/>
                <w:szCs w:val="22"/>
              </w:rPr>
              <w:t> </w:t>
            </w:r>
            <w:r>
              <w:rPr>
                <w:rFonts w:ascii="宋体" w:hAnsi="宋体" w:cs="宋体" w:eastAsia="宋体" w:hint="default"/>
                <w:sz w:val="22"/>
                <w:szCs w:val="22"/>
              </w:rPr>
              <w:t>2017</w:t>
            </w:r>
            <w:r>
              <w:rPr>
                <w:rFonts w:ascii="宋体" w:hAnsi="宋体" w:cs="宋体" w:eastAsia="宋体" w:hint="default"/>
                <w:spacing w:val="-59"/>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4</w:t>
            </w:r>
            <w:r>
              <w:rPr>
                <w:rFonts w:ascii="宋体" w:hAnsi="宋体" w:cs="宋体" w:eastAsia="宋体" w:hint="default"/>
                <w:spacing w:val="-56"/>
                <w:sz w:val="22"/>
                <w:szCs w:val="22"/>
              </w:rPr>
              <w:t> </w:t>
            </w:r>
            <w:r>
              <w:rPr>
                <w:rFonts w:ascii="宋体" w:hAnsi="宋体" w:cs="宋体" w:eastAsia="宋体" w:hint="default"/>
                <w:sz w:val="22"/>
                <w:szCs w:val="22"/>
              </w:rPr>
              <w:t>月历任公司总裁办副经理、经理、总裁助理兼行政部经理，</w:t>
            </w:r>
            <w:r>
              <w:rPr>
                <w:rFonts w:ascii="宋体" w:hAnsi="宋体" w:cs="宋体" w:eastAsia="宋体" w:hint="default"/>
                <w:sz w:val="22"/>
                <w:szCs w:val="22"/>
              </w:rPr>
              <w:t>2017</w:t>
            </w:r>
            <w:r>
              <w:rPr>
                <w:rFonts w:ascii="宋体" w:hAnsi="宋体" w:cs="宋体" w:eastAsia="宋体" w:hint="default"/>
                <w:spacing w:val="-59"/>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4</w:t>
            </w:r>
            <w:r>
              <w:rPr>
                <w:rFonts w:ascii="宋体" w:hAnsi="宋体" w:cs="宋体" w:eastAsia="宋体" w:hint="default"/>
                <w:spacing w:val="-56"/>
                <w:sz w:val="22"/>
                <w:szCs w:val="22"/>
              </w:rPr>
              <w:t> </w:t>
            </w:r>
            <w:r>
              <w:rPr>
                <w:rFonts w:ascii="宋体" w:hAnsi="宋体" w:cs="宋体" w:eastAsia="宋体" w:hint="default"/>
                <w:sz w:val="22"/>
                <w:szCs w:val="22"/>
              </w:rPr>
              <w:t>月起至今任公司副总裁。</w:t>
            </w:r>
            <w:r>
              <w:rPr>
                <w:rFonts w:ascii="宋体" w:hAnsi="宋体" w:cs="宋体" w:eastAsia="宋体" w:hint="default"/>
                <w:sz w:val="22"/>
                <w:szCs w:val="22"/>
              </w:rPr>
              <w:t> </w:t>
            </w:r>
          </w:p>
        </w:tc>
      </w:tr>
      <w:tr>
        <w:trPr>
          <w:trHeight w:val="581"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5" w:right="0"/>
              <w:jc w:val="left"/>
              <w:rPr>
                <w:rFonts w:ascii="宋体" w:hAnsi="宋体" w:cs="宋体" w:eastAsia="宋体" w:hint="default"/>
                <w:sz w:val="22"/>
                <w:szCs w:val="22"/>
              </w:rPr>
            </w:pPr>
            <w:r>
              <w:rPr>
                <w:rFonts w:ascii="宋体" w:hAnsi="宋体" w:cs="宋体" w:eastAsia="宋体" w:hint="default"/>
                <w:sz w:val="22"/>
                <w:szCs w:val="22"/>
              </w:rPr>
              <w:t>朱宇华</w:t>
            </w:r>
            <w:r>
              <w:rPr>
                <w:rFonts w:ascii="宋体" w:hAnsi="宋体" w:cs="宋体" w:eastAsia="宋体" w:hint="default"/>
                <w:sz w:val="22"/>
                <w:szCs w:val="22"/>
              </w:rPr>
              <w:t> </w:t>
            </w:r>
          </w:p>
        </w:tc>
        <w:tc>
          <w:tcPr>
            <w:tcW w:w="123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宋体" w:hAnsi="宋体" w:cs="宋体" w:eastAsia="宋体" w:hint="default"/>
                <w:sz w:val="22"/>
                <w:szCs w:val="22"/>
              </w:rPr>
            </w:pPr>
            <w:r>
              <w:rPr>
                <w:rFonts w:ascii="宋体" w:hAnsi="宋体" w:cs="宋体" w:eastAsia="宋体" w:hint="default"/>
                <w:sz w:val="22"/>
                <w:szCs w:val="22"/>
              </w:rPr>
              <w:t>2002</w:t>
            </w:r>
            <w:r>
              <w:rPr>
                <w:rFonts w:ascii="宋体" w:hAnsi="宋体" w:cs="宋体" w:eastAsia="宋体" w:hint="default"/>
                <w:spacing w:val="-48"/>
                <w:sz w:val="22"/>
                <w:szCs w:val="22"/>
              </w:rPr>
              <w:t> </w:t>
            </w:r>
            <w:r>
              <w:rPr>
                <w:rFonts w:ascii="宋体" w:hAnsi="宋体" w:cs="宋体" w:eastAsia="宋体" w:hint="default"/>
                <w:sz w:val="22"/>
                <w:szCs w:val="22"/>
              </w:rPr>
              <w:t>年至</w:t>
            </w:r>
            <w:r>
              <w:rPr>
                <w:rFonts w:ascii="宋体" w:hAnsi="宋体" w:cs="宋体" w:eastAsia="宋体" w:hint="default"/>
                <w:spacing w:val="-48"/>
                <w:sz w:val="22"/>
                <w:szCs w:val="22"/>
              </w:rPr>
              <w:t> </w:t>
            </w:r>
            <w:r>
              <w:rPr>
                <w:rFonts w:ascii="宋体" w:hAnsi="宋体" w:cs="宋体" w:eastAsia="宋体" w:hint="default"/>
                <w:sz w:val="22"/>
                <w:szCs w:val="22"/>
              </w:rPr>
              <w:t>2017</w:t>
            </w:r>
            <w:r>
              <w:rPr>
                <w:rFonts w:ascii="宋体" w:hAnsi="宋体" w:cs="宋体" w:eastAsia="宋体" w:hint="default"/>
                <w:spacing w:val="-50"/>
                <w:sz w:val="22"/>
                <w:szCs w:val="22"/>
              </w:rPr>
              <w:t> </w:t>
            </w:r>
            <w:r>
              <w:rPr>
                <w:rFonts w:ascii="宋体" w:hAnsi="宋体" w:cs="宋体" w:eastAsia="宋体" w:hint="default"/>
                <w:sz w:val="22"/>
                <w:szCs w:val="22"/>
              </w:rPr>
              <w:t>年</w:t>
            </w:r>
            <w:r>
              <w:rPr>
                <w:rFonts w:ascii="宋体" w:hAnsi="宋体" w:cs="宋体" w:eastAsia="宋体" w:hint="default"/>
                <w:spacing w:val="-48"/>
                <w:sz w:val="22"/>
                <w:szCs w:val="22"/>
              </w:rPr>
              <w:t> </w:t>
            </w:r>
            <w:r>
              <w:rPr>
                <w:rFonts w:ascii="宋体" w:hAnsi="宋体" w:cs="宋体" w:eastAsia="宋体" w:hint="default"/>
                <w:sz w:val="22"/>
                <w:szCs w:val="22"/>
              </w:rPr>
              <w:t>4</w:t>
            </w:r>
            <w:r>
              <w:rPr>
                <w:rFonts w:ascii="宋体" w:hAnsi="宋体" w:cs="宋体" w:eastAsia="宋体" w:hint="default"/>
                <w:spacing w:val="-50"/>
                <w:sz w:val="22"/>
                <w:szCs w:val="22"/>
              </w:rPr>
              <w:t> </w:t>
            </w:r>
            <w:r>
              <w:rPr>
                <w:rFonts w:ascii="宋体" w:hAnsi="宋体" w:cs="宋体" w:eastAsia="宋体" w:hint="default"/>
                <w:sz w:val="22"/>
                <w:szCs w:val="22"/>
              </w:rPr>
              <w:t>月历任公司电机事业部财务负责人、公司财务部主办会计、公司财务部副经理、总裁助理兼财务部经理，</w:t>
            </w:r>
          </w:p>
          <w:p>
            <w:pPr>
              <w:pStyle w:val="TableParagraph"/>
              <w:spacing w:line="287" w:lineRule="exact"/>
              <w:ind w:left="105" w:right="0"/>
              <w:jc w:val="left"/>
              <w:rPr>
                <w:rFonts w:ascii="宋体" w:hAnsi="宋体" w:cs="宋体" w:eastAsia="宋体" w:hint="default"/>
                <w:sz w:val="22"/>
                <w:szCs w:val="22"/>
              </w:rPr>
            </w:pPr>
            <w:r>
              <w:rPr>
                <w:rFonts w:ascii="宋体" w:hAnsi="宋体" w:cs="宋体" w:eastAsia="宋体" w:hint="default"/>
                <w:sz w:val="22"/>
                <w:szCs w:val="22"/>
              </w:rPr>
              <w:t>2017</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4</w:t>
            </w:r>
            <w:r>
              <w:rPr>
                <w:rFonts w:ascii="宋体" w:hAnsi="宋体" w:cs="宋体" w:eastAsia="宋体" w:hint="default"/>
                <w:spacing w:val="-59"/>
                <w:sz w:val="22"/>
                <w:szCs w:val="22"/>
              </w:rPr>
              <w:t> </w:t>
            </w:r>
            <w:r>
              <w:rPr>
                <w:rFonts w:ascii="宋体" w:hAnsi="宋体" w:cs="宋体" w:eastAsia="宋体" w:hint="default"/>
                <w:sz w:val="22"/>
                <w:szCs w:val="22"/>
              </w:rPr>
              <w:t>月至</w:t>
            </w:r>
            <w:r>
              <w:rPr>
                <w:rFonts w:ascii="宋体" w:hAnsi="宋体" w:cs="宋体" w:eastAsia="宋体" w:hint="default"/>
                <w:spacing w:val="-56"/>
                <w:sz w:val="22"/>
                <w:szCs w:val="22"/>
              </w:rPr>
              <w:t> </w:t>
            </w:r>
            <w:r>
              <w:rPr>
                <w:rFonts w:ascii="宋体" w:hAnsi="宋体" w:cs="宋体" w:eastAsia="宋体" w:hint="default"/>
                <w:sz w:val="22"/>
                <w:szCs w:val="22"/>
              </w:rPr>
              <w:t>2018</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7</w:t>
            </w:r>
            <w:r>
              <w:rPr>
                <w:rFonts w:ascii="宋体" w:hAnsi="宋体" w:cs="宋体" w:eastAsia="宋体" w:hint="default"/>
                <w:spacing w:val="-59"/>
                <w:sz w:val="22"/>
                <w:szCs w:val="22"/>
              </w:rPr>
              <w:t> </w:t>
            </w:r>
            <w:r>
              <w:rPr>
                <w:rFonts w:ascii="宋体" w:hAnsi="宋体" w:cs="宋体" w:eastAsia="宋体" w:hint="default"/>
                <w:sz w:val="22"/>
                <w:szCs w:val="22"/>
              </w:rPr>
              <w:t>月任公司财务总监（财务负责人），</w:t>
            </w:r>
            <w:r>
              <w:rPr>
                <w:rFonts w:ascii="宋体" w:hAnsi="宋体" w:cs="宋体" w:eastAsia="宋体" w:hint="default"/>
                <w:sz w:val="22"/>
                <w:szCs w:val="22"/>
              </w:rPr>
              <w:t>2018</w:t>
            </w:r>
            <w:r>
              <w:rPr>
                <w:rFonts w:ascii="宋体" w:hAnsi="宋体" w:cs="宋体" w:eastAsia="宋体" w:hint="default"/>
                <w:spacing w:val="-59"/>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7</w:t>
            </w:r>
            <w:r>
              <w:rPr>
                <w:rFonts w:ascii="宋体" w:hAnsi="宋体" w:cs="宋体" w:eastAsia="宋体" w:hint="default"/>
                <w:spacing w:val="-56"/>
                <w:sz w:val="22"/>
                <w:szCs w:val="22"/>
              </w:rPr>
              <w:t> </w:t>
            </w:r>
            <w:r>
              <w:rPr>
                <w:rFonts w:ascii="宋体" w:hAnsi="宋体" w:cs="宋体" w:eastAsia="宋体" w:hint="default"/>
                <w:sz w:val="22"/>
                <w:szCs w:val="22"/>
              </w:rPr>
              <w:t>月至今任公司副总裁兼财务总监（财务负责人）。</w:t>
            </w:r>
            <w:r>
              <w:rPr>
                <w:rFonts w:ascii="宋体" w:hAnsi="宋体" w:cs="宋体" w:eastAsia="宋体" w:hint="default"/>
                <w:sz w:val="22"/>
                <w:szCs w:val="22"/>
              </w:rPr>
              <w:t> </w:t>
            </w:r>
          </w:p>
        </w:tc>
      </w:tr>
      <w:tr>
        <w:trPr>
          <w:trHeight w:val="581"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5" w:right="0"/>
              <w:jc w:val="left"/>
              <w:rPr>
                <w:rFonts w:ascii="宋体" w:hAnsi="宋体" w:cs="宋体" w:eastAsia="宋体" w:hint="default"/>
                <w:sz w:val="22"/>
                <w:szCs w:val="22"/>
              </w:rPr>
            </w:pPr>
            <w:r>
              <w:rPr>
                <w:rFonts w:ascii="宋体" w:hAnsi="宋体" w:cs="宋体" w:eastAsia="宋体" w:hint="default"/>
                <w:sz w:val="22"/>
                <w:szCs w:val="22"/>
              </w:rPr>
              <w:t>廖宇（离任）</w:t>
            </w:r>
            <w:r>
              <w:rPr>
                <w:rFonts w:ascii="宋体" w:hAnsi="宋体" w:cs="宋体" w:eastAsia="宋体" w:hint="default"/>
                <w:sz w:val="22"/>
                <w:szCs w:val="22"/>
              </w:rPr>
              <w:t> </w:t>
            </w:r>
          </w:p>
        </w:tc>
        <w:tc>
          <w:tcPr>
            <w:tcW w:w="123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宋体" w:hAnsi="宋体" w:cs="宋体" w:eastAsia="宋体" w:hint="default"/>
                <w:sz w:val="22"/>
                <w:szCs w:val="22"/>
              </w:rPr>
            </w:pPr>
            <w:r>
              <w:rPr>
                <w:rFonts w:ascii="宋体" w:hAnsi="宋体" w:cs="宋体" w:eastAsia="宋体" w:hint="default"/>
                <w:sz w:val="22"/>
                <w:szCs w:val="22"/>
              </w:rPr>
              <w:t>2017</w:t>
            </w:r>
            <w:r>
              <w:rPr>
                <w:rFonts w:ascii="宋体" w:hAnsi="宋体" w:cs="宋体" w:eastAsia="宋体" w:hint="default"/>
                <w:spacing w:val="-48"/>
                <w:sz w:val="22"/>
                <w:szCs w:val="22"/>
              </w:rPr>
              <w:t> </w:t>
            </w:r>
            <w:r>
              <w:rPr>
                <w:rFonts w:ascii="宋体" w:hAnsi="宋体" w:cs="宋体" w:eastAsia="宋体" w:hint="default"/>
                <w:sz w:val="22"/>
                <w:szCs w:val="22"/>
              </w:rPr>
              <w:t>年</w:t>
            </w:r>
            <w:r>
              <w:rPr>
                <w:rFonts w:ascii="宋体" w:hAnsi="宋体" w:cs="宋体" w:eastAsia="宋体" w:hint="default"/>
                <w:spacing w:val="-48"/>
                <w:sz w:val="22"/>
                <w:szCs w:val="22"/>
              </w:rPr>
              <w:t> </w:t>
            </w:r>
            <w:r>
              <w:rPr>
                <w:rFonts w:ascii="宋体" w:hAnsi="宋体" w:cs="宋体" w:eastAsia="宋体" w:hint="default"/>
                <w:sz w:val="22"/>
                <w:szCs w:val="22"/>
              </w:rPr>
              <w:t>1</w:t>
            </w:r>
            <w:r>
              <w:rPr>
                <w:rFonts w:ascii="宋体" w:hAnsi="宋体" w:cs="宋体" w:eastAsia="宋体" w:hint="default"/>
                <w:spacing w:val="-50"/>
                <w:sz w:val="22"/>
                <w:szCs w:val="22"/>
              </w:rPr>
              <w:t> </w:t>
            </w:r>
            <w:r>
              <w:rPr>
                <w:rFonts w:ascii="宋体" w:hAnsi="宋体" w:cs="宋体" w:eastAsia="宋体" w:hint="default"/>
                <w:sz w:val="22"/>
                <w:szCs w:val="22"/>
              </w:rPr>
              <w:t>月至</w:t>
            </w:r>
            <w:r>
              <w:rPr>
                <w:rFonts w:ascii="宋体" w:hAnsi="宋体" w:cs="宋体" w:eastAsia="宋体" w:hint="default"/>
                <w:spacing w:val="-48"/>
                <w:sz w:val="22"/>
                <w:szCs w:val="22"/>
              </w:rPr>
              <w:t> </w:t>
            </w:r>
            <w:r>
              <w:rPr>
                <w:rFonts w:ascii="宋体" w:hAnsi="宋体" w:cs="宋体" w:eastAsia="宋体" w:hint="default"/>
                <w:sz w:val="22"/>
                <w:szCs w:val="22"/>
              </w:rPr>
              <w:t>2018</w:t>
            </w:r>
            <w:r>
              <w:rPr>
                <w:rFonts w:ascii="宋体" w:hAnsi="宋体" w:cs="宋体" w:eastAsia="宋体" w:hint="default"/>
                <w:spacing w:val="-48"/>
                <w:sz w:val="22"/>
                <w:szCs w:val="22"/>
              </w:rPr>
              <w:t> </w:t>
            </w:r>
            <w:r>
              <w:rPr>
                <w:rFonts w:ascii="宋体" w:hAnsi="宋体" w:cs="宋体" w:eastAsia="宋体" w:hint="default"/>
                <w:sz w:val="22"/>
                <w:szCs w:val="22"/>
              </w:rPr>
              <w:t>年</w:t>
            </w:r>
            <w:r>
              <w:rPr>
                <w:rFonts w:ascii="宋体" w:hAnsi="宋体" w:cs="宋体" w:eastAsia="宋体" w:hint="default"/>
                <w:spacing w:val="-47"/>
                <w:sz w:val="22"/>
                <w:szCs w:val="22"/>
              </w:rPr>
              <w:t> </w:t>
            </w:r>
            <w:r>
              <w:rPr>
                <w:rFonts w:ascii="宋体" w:hAnsi="宋体" w:cs="宋体" w:eastAsia="宋体" w:hint="default"/>
                <w:sz w:val="22"/>
                <w:szCs w:val="22"/>
              </w:rPr>
              <w:t>7</w:t>
            </w:r>
            <w:r>
              <w:rPr>
                <w:rFonts w:ascii="宋体" w:hAnsi="宋体" w:cs="宋体" w:eastAsia="宋体" w:hint="default"/>
                <w:spacing w:val="-50"/>
                <w:sz w:val="22"/>
                <w:szCs w:val="22"/>
              </w:rPr>
              <w:t> </w:t>
            </w:r>
            <w:r>
              <w:rPr>
                <w:rFonts w:ascii="宋体" w:hAnsi="宋体" w:cs="宋体" w:eastAsia="宋体" w:hint="default"/>
                <w:sz w:val="22"/>
                <w:szCs w:val="22"/>
              </w:rPr>
              <w:t>月历任公司首席技术官、上海泰豪迈能能源科技有限公司首席执行官，</w:t>
            </w:r>
            <w:r>
              <w:rPr>
                <w:rFonts w:ascii="宋体" w:hAnsi="宋体" w:cs="宋体" w:eastAsia="宋体" w:hint="default"/>
                <w:sz w:val="22"/>
                <w:szCs w:val="22"/>
              </w:rPr>
              <w:t>2018</w:t>
            </w:r>
            <w:r>
              <w:rPr>
                <w:rFonts w:ascii="宋体" w:hAnsi="宋体" w:cs="宋体" w:eastAsia="宋体" w:hint="default"/>
                <w:spacing w:val="-48"/>
                <w:sz w:val="22"/>
                <w:szCs w:val="22"/>
              </w:rPr>
              <w:t> </w:t>
            </w:r>
            <w:r>
              <w:rPr>
                <w:rFonts w:ascii="宋体" w:hAnsi="宋体" w:cs="宋体" w:eastAsia="宋体" w:hint="default"/>
                <w:sz w:val="22"/>
                <w:szCs w:val="22"/>
              </w:rPr>
              <w:t>年</w:t>
            </w:r>
            <w:r>
              <w:rPr>
                <w:rFonts w:ascii="宋体" w:hAnsi="宋体" w:cs="宋体" w:eastAsia="宋体" w:hint="default"/>
                <w:spacing w:val="-48"/>
                <w:sz w:val="22"/>
                <w:szCs w:val="22"/>
              </w:rPr>
              <w:t> </w:t>
            </w:r>
            <w:r>
              <w:rPr>
                <w:rFonts w:ascii="宋体" w:hAnsi="宋体" w:cs="宋体" w:eastAsia="宋体" w:hint="default"/>
                <w:sz w:val="22"/>
                <w:szCs w:val="22"/>
              </w:rPr>
              <w:t>7</w:t>
            </w:r>
            <w:r>
              <w:rPr>
                <w:rFonts w:ascii="宋体" w:hAnsi="宋体" w:cs="宋体" w:eastAsia="宋体" w:hint="default"/>
                <w:spacing w:val="-48"/>
                <w:sz w:val="22"/>
                <w:szCs w:val="22"/>
              </w:rPr>
              <w:t> </w:t>
            </w:r>
            <w:r>
              <w:rPr>
                <w:rFonts w:ascii="宋体" w:hAnsi="宋体" w:cs="宋体" w:eastAsia="宋体" w:hint="default"/>
                <w:sz w:val="22"/>
                <w:szCs w:val="22"/>
              </w:rPr>
              <w:t>月至</w:t>
            </w:r>
            <w:r>
              <w:rPr>
                <w:rFonts w:ascii="宋体" w:hAnsi="宋体" w:cs="宋体" w:eastAsia="宋体" w:hint="default"/>
                <w:spacing w:val="-50"/>
                <w:sz w:val="22"/>
                <w:szCs w:val="22"/>
              </w:rPr>
              <w:t> </w:t>
            </w:r>
            <w:r>
              <w:rPr>
                <w:rFonts w:ascii="宋体" w:hAnsi="宋体" w:cs="宋体" w:eastAsia="宋体" w:hint="default"/>
                <w:sz w:val="22"/>
                <w:szCs w:val="22"/>
              </w:rPr>
              <w:t>2019</w:t>
            </w:r>
            <w:r>
              <w:rPr>
                <w:rFonts w:ascii="宋体" w:hAnsi="宋体" w:cs="宋体" w:eastAsia="宋体" w:hint="default"/>
                <w:spacing w:val="-50"/>
                <w:sz w:val="22"/>
                <w:szCs w:val="22"/>
              </w:rPr>
              <w:t> </w:t>
            </w:r>
            <w:r>
              <w:rPr>
                <w:rFonts w:ascii="宋体" w:hAnsi="宋体" w:cs="宋体" w:eastAsia="宋体" w:hint="default"/>
                <w:sz w:val="22"/>
                <w:szCs w:val="22"/>
              </w:rPr>
              <w:t>年</w:t>
            </w:r>
            <w:r>
              <w:rPr>
                <w:rFonts w:ascii="宋体" w:hAnsi="宋体" w:cs="宋体" w:eastAsia="宋体" w:hint="default"/>
                <w:spacing w:val="-48"/>
                <w:sz w:val="22"/>
                <w:szCs w:val="22"/>
              </w:rPr>
              <w:t> </w:t>
            </w:r>
            <w:r>
              <w:rPr>
                <w:rFonts w:ascii="宋体" w:hAnsi="宋体" w:cs="宋体" w:eastAsia="宋体" w:hint="default"/>
                <w:sz w:val="22"/>
                <w:szCs w:val="22"/>
              </w:rPr>
              <w:t>4</w:t>
            </w:r>
            <w:r>
              <w:rPr>
                <w:rFonts w:ascii="宋体" w:hAnsi="宋体" w:cs="宋体" w:eastAsia="宋体" w:hint="default"/>
                <w:spacing w:val="-48"/>
                <w:sz w:val="22"/>
                <w:szCs w:val="22"/>
              </w:rPr>
              <w:t> </w:t>
            </w:r>
            <w:r>
              <w:rPr>
                <w:rFonts w:ascii="宋体" w:hAnsi="宋体" w:cs="宋体" w:eastAsia="宋体" w:hint="default"/>
                <w:sz w:val="22"/>
                <w:szCs w:val="22"/>
              </w:rPr>
              <w:t>月任</w:t>
            </w:r>
          </w:p>
          <w:p>
            <w:pPr>
              <w:pStyle w:val="TableParagraph"/>
              <w:spacing w:line="287" w:lineRule="exact"/>
              <w:ind w:left="105" w:right="0"/>
              <w:jc w:val="left"/>
              <w:rPr>
                <w:rFonts w:ascii="宋体" w:hAnsi="宋体" w:cs="宋体" w:eastAsia="宋体" w:hint="default"/>
                <w:sz w:val="22"/>
                <w:szCs w:val="22"/>
              </w:rPr>
            </w:pPr>
            <w:r>
              <w:rPr>
                <w:rFonts w:ascii="宋体" w:hAnsi="宋体" w:cs="宋体" w:eastAsia="宋体" w:hint="default"/>
                <w:sz w:val="22"/>
                <w:szCs w:val="22"/>
              </w:rPr>
              <w:t>公司副总裁。</w:t>
            </w:r>
            <w:r>
              <w:rPr>
                <w:rFonts w:ascii="宋体" w:hAnsi="宋体" w:cs="宋体" w:eastAsia="宋体" w:hint="default"/>
                <w:sz w:val="22"/>
                <w:szCs w:val="22"/>
              </w:rPr>
              <w:t> </w:t>
            </w:r>
          </w:p>
        </w:tc>
      </w:tr>
      <w:tr>
        <w:trPr>
          <w:trHeight w:val="581"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5" w:right="0"/>
              <w:jc w:val="left"/>
              <w:rPr>
                <w:rFonts w:ascii="宋体" w:hAnsi="宋体" w:cs="宋体" w:eastAsia="宋体" w:hint="default"/>
                <w:sz w:val="22"/>
                <w:szCs w:val="22"/>
              </w:rPr>
            </w:pPr>
            <w:r>
              <w:rPr>
                <w:rFonts w:ascii="宋体" w:hAnsi="宋体" w:cs="宋体" w:eastAsia="宋体" w:hint="default"/>
                <w:sz w:val="22"/>
                <w:szCs w:val="22"/>
              </w:rPr>
              <w:t>尹玮</w:t>
            </w:r>
            <w:r>
              <w:rPr>
                <w:rFonts w:ascii="宋体" w:hAnsi="宋体" w:cs="宋体" w:eastAsia="宋体" w:hint="default"/>
                <w:sz w:val="22"/>
                <w:szCs w:val="22"/>
              </w:rPr>
              <w:t> </w:t>
            </w:r>
          </w:p>
        </w:tc>
        <w:tc>
          <w:tcPr>
            <w:tcW w:w="1231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left"/>
              <w:rPr>
                <w:rFonts w:ascii="宋体" w:hAnsi="宋体" w:cs="宋体" w:eastAsia="宋体" w:hint="default"/>
                <w:sz w:val="22"/>
                <w:szCs w:val="22"/>
              </w:rPr>
            </w:pPr>
            <w:r>
              <w:rPr>
                <w:rFonts w:ascii="宋体" w:hAnsi="宋体" w:cs="宋体" w:eastAsia="宋体" w:hint="default"/>
                <w:sz w:val="22"/>
                <w:szCs w:val="22"/>
              </w:rPr>
              <w:t>2010</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4</w:t>
            </w:r>
            <w:r>
              <w:rPr>
                <w:rFonts w:ascii="宋体" w:hAnsi="宋体" w:cs="宋体" w:eastAsia="宋体" w:hint="default"/>
                <w:spacing w:val="-59"/>
                <w:sz w:val="22"/>
                <w:szCs w:val="22"/>
              </w:rPr>
              <w:t> </w:t>
            </w:r>
            <w:r>
              <w:rPr>
                <w:rFonts w:ascii="宋体" w:hAnsi="宋体" w:cs="宋体" w:eastAsia="宋体" w:hint="default"/>
                <w:sz w:val="22"/>
                <w:szCs w:val="22"/>
              </w:rPr>
              <w:t>月至</w:t>
            </w:r>
            <w:r>
              <w:rPr>
                <w:rFonts w:ascii="宋体" w:hAnsi="宋体" w:cs="宋体" w:eastAsia="宋体" w:hint="default"/>
                <w:spacing w:val="-56"/>
                <w:sz w:val="22"/>
                <w:szCs w:val="22"/>
              </w:rPr>
              <w:t> </w:t>
            </w:r>
            <w:r>
              <w:rPr>
                <w:rFonts w:ascii="宋体" w:hAnsi="宋体" w:cs="宋体" w:eastAsia="宋体" w:hint="default"/>
                <w:sz w:val="22"/>
                <w:szCs w:val="22"/>
              </w:rPr>
              <w:t>2018</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7</w:t>
            </w:r>
            <w:r>
              <w:rPr>
                <w:rFonts w:ascii="宋体" w:hAnsi="宋体" w:cs="宋体" w:eastAsia="宋体" w:hint="default"/>
                <w:spacing w:val="-59"/>
                <w:sz w:val="22"/>
                <w:szCs w:val="22"/>
              </w:rPr>
              <w:t> </w:t>
            </w:r>
            <w:r>
              <w:rPr>
                <w:rFonts w:ascii="宋体" w:hAnsi="宋体" w:cs="宋体" w:eastAsia="宋体" w:hint="default"/>
                <w:sz w:val="22"/>
                <w:szCs w:val="22"/>
              </w:rPr>
              <w:t>月历任公司产业投资部项目经理、副经理、经理，公司投资者关系总监，</w:t>
            </w:r>
            <w:r>
              <w:rPr>
                <w:rFonts w:ascii="宋体" w:hAnsi="宋体" w:cs="宋体" w:eastAsia="宋体" w:hint="default"/>
                <w:sz w:val="22"/>
                <w:szCs w:val="22"/>
              </w:rPr>
              <w:t>2018</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7</w:t>
            </w:r>
            <w:r>
              <w:rPr>
                <w:rFonts w:ascii="宋体" w:hAnsi="宋体" w:cs="宋体" w:eastAsia="宋体" w:hint="default"/>
                <w:spacing w:val="-56"/>
                <w:sz w:val="22"/>
                <w:szCs w:val="22"/>
              </w:rPr>
              <w:t> </w:t>
            </w:r>
            <w:r>
              <w:rPr>
                <w:rFonts w:ascii="宋体" w:hAnsi="宋体" w:cs="宋体" w:eastAsia="宋体" w:hint="default"/>
                <w:sz w:val="22"/>
                <w:szCs w:val="22"/>
              </w:rPr>
              <w:t>月至今任公司董事</w:t>
            </w:r>
          </w:p>
          <w:p>
            <w:pPr>
              <w:pStyle w:val="TableParagraph"/>
              <w:spacing w:line="287" w:lineRule="exact"/>
              <w:ind w:left="105" w:right="0"/>
              <w:jc w:val="left"/>
              <w:rPr>
                <w:rFonts w:ascii="宋体" w:hAnsi="宋体" w:cs="宋体" w:eastAsia="宋体" w:hint="default"/>
                <w:sz w:val="22"/>
                <w:szCs w:val="22"/>
              </w:rPr>
            </w:pPr>
            <w:r>
              <w:rPr>
                <w:rFonts w:ascii="宋体" w:hAnsi="宋体" w:cs="宋体" w:eastAsia="宋体" w:hint="default"/>
                <w:sz w:val="22"/>
                <w:szCs w:val="22"/>
              </w:rPr>
              <w:t>会秘书。</w:t>
            </w:r>
            <w:r>
              <w:rPr>
                <w:rFonts w:ascii="宋体" w:hAnsi="宋体" w:cs="宋体" w:eastAsia="宋体" w:hint="default"/>
                <w:sz w:val="22"/>
                <w:szCs w:val="22"/>
              </w:rPr>
              <w:t> </w:t>
            </w:r>
          </w:p>
        </w:tc>
      </w:tr>
    </w:tbl>
    <w:p>
      <w:pPr>
        <w:pStyle w:val="Heading4"/>
        <w:spacing w:line="249" w:lineRule="exact"/>
        <w:ind w:right="0"/>
        <w:jc w:val="left"/>
        <w:rPr>
          <w:rFonts w:ascii="宋体" w:hAnsi="宋体" w:cs="宋体" w:eastAsia="宋体" w:hint="default"/>
        </w:rPr>
      </w:pPr>
      <w:r>
        <w:rPr/>
        <w:t>其它情况说明</w:t>
      </w:r>
      <w:r>
        <w:rPr>
          <w:rFonts w:ascii="宋体" w:hAnsi="宋体" w:cs="宋体" w:eastAsia="宋体" w:hint="default"/>
        </w:rPr>
        <w:t> </w:t>
      </w:r>
    </w:p>
    <w:p>
      <w:pPr>
        <w:spacing w:after="0" w:line="249" w:lineRule="exact"/>
        <w:jc w:val="left"/>
        <w:rPr>
          <w:rFonts w:ascii="宋体" w:hAnsi="宋体" w:cs="宋体" w:eastAsia="宋体" w:hint="default"/>
        </w:rPr>
        <w:sectPr>
          <w:pgSz w:w="16840" w:h="11910" w:orient="landscape"/>
          <w:pgMar w:header="880" w:footer="1195" w:top="1120" w:bottom="1380" w:left="1300" w:right="1320"/>
        </w:sectPr>
      </w:pPr>
    </w:p>
    <w:p>
      <w:pPr>
        <w:pStyle w:val="Heading3"/>
        <w:spacing w:line="313" w:lineRule="exact" w:before="113"/>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286" w:lineRule="exact" w:before="27"/>
        <w:ind w:right="149" w:firstLine="480"/>
        <w:jc w:val="right"/>
      </w:pPr>
      <w:r>
        <w:rPr>
          <w:rFonts w:ascii="宋体" w:hAnsi="宋体" w:cs="宋体" w:eastAsia="宋体" w:hint="default"/>
        </w:rPr>
        <w:t>2019</w:t>
      </w:r>
      <w:r>
        <w:rPr>
          <w:rFonts w:ascii="宋体" w:hAnsi="宋体" w:cs="宋体" w:eastAsia="宋体" w:hint="default"/>
          <w:spacing w:val="-57"/>
        </w:rPr>
        <w:t> </w:t>
      </w:r>
      <w:r>
        <w:rPr/>
        <w:t>年</w:t>
      </w:r>
      <w:r>
        <w:rPr>
          <w:spacing w:val="-57"/>
        </w:rPr>
        <w:t> </w:t>
      </w:r>
      <w:r>
        <w:rPr>
          <w:rFonts w:ascii="宋体" w:hAnsi="宋体" w:cs="宋体" w:eastAsia="宋体" w:hint="default"/>
        </w:rPr>
        <w:t>4</w:t>
      </w:r>
      <w:r>
        <w:rPr>
          <w:rFonts w:ascii="宋体" w:hAnsi="宋体" w:cs="宋体" w:eastAsia="宋体" w:hint="default"/>
          <w:spacing w:val="-60"/>
        </w:rPr>
        <w:t> </w:t>
      </w:r>
      <w:r>
        <w:rPr/>
        <w:t>月</w:t>
      </w:r>
      <w:r>
        <w:rPr>
          <w:spacing w:val="-57"/>
        </w:rPr>
        <w:t> </w:t>
      </w:r>
      <w:r>
        <w:rPr>
          <w:rFonts w:ascii="宋体" w:hAnsi="宋体" w:cs="宋体" w:eastAsia="宋体" w:hint="default"/>
        </w:rPr>
        <w:t>19</w:t>
      </w:r>
      <w:r>
        <w:rPr>
          <w:rFonts w:ascii="宋体" w:hAnsi="宋体" w:cs="宋体" w:eastAsia="宋体" w:hint="default"/>
          <w:spacing w:val="-60"/>
        </w:rPr>
        <w:t> </w:t>
      </w:r>
      <w:r>
        <w:rPr/>
        <w:t>日，公司董事会收到公司副总裁廖宇先生递交的辞职报告，因个人原因，廖宇先生申请辞去公司副总裁职务。廖宇先生辞职</w:t>
      </w:r>
      <w:r>
        <w:rPr>
          <w:w w:val="100"/>
        </w:rPr>
        <w:t> </w:t>
      </w:r>
      <w:r>
        <w:rPr>
          <w:spacing w:val="-2"/>
        </w:rPr>
        <w:t>后，将不再担任公司高级管理人员职务。具体详见《泰豪科技股份有限公司关于公司高级管理人员辞职的公告》（公告编号：临</w:t>
      </w:r>
      <w:r>
        <w:rPr>
          <w:spacing w:val="52"/>
        </w:rPr>
        <w:t> </w:t>
      </w:r>
      <w:r>
        <w:rPr>
          <w:rFonts w:ascii="宋体" w:hAnsi="宋体" w:cs="宋体" w:eastAsia="宋体" w:hint="default"/>
          <w:spacing w:val="-1"/>
        </w:rPr>
        <w:t>2019-029</w:t>
      </w:r>
      <w:r>
        <w:rPr>
          <w:spacing w:val="-1"/>
        </w:rPr>
        <w:t>）。</w:t>
      </w:r>
      <w:r>
        <w:rPr>
          <w:rFonts w:ascii="宋体" w:hAnsi="宋体" w:cs="宋体" w:eastAsia="宋体" w:hint="default"/>
          <w:w w:val="100"/>
        </w:rPr>
        <w:t> </w:t>
      </w:r>
      <w:r>
        <w:rPr>
          <w:rFonts w:ascii="宋体" w:hAnsi="宋体" w:cs="宋体" w:eastAsia="宋体" w:hint="default"/>
        </w:rPr>
        <w:t>2020</w:t>
      </w:r>
      <w:r>
        <w:rPr>
          <w:rFonts w:ascii="宋体" w:hAnsi="宋体" w:cs="宋体" w:eastAsia="宋体" w:hint="default"/>
          <w:spacing w:val="-57"/>
        </w:rPr>
        <w:t> </w:t>
      </w:r>
      <w:r>
        <w:rPr/>
        <w:t>年</w:t>
      </w:r>
      <w:r>
        <w:rPr>
          <w:spacing w:val="-57"/>
        </w:rPr>
        <w:t> </w:t>
      </w:r>
      <w:r>
        <w:rPr>
          <w:rFonts w:ascii="宋体" w:hAnsi="宋体" w:cs="宋体" w:eastAsia="宋体" w:hint="default"/>
        </w:rPr>
        <w:t>1</w:t>
      </w:r>
      <w:r>
        <w:rPr>
          <w:rFonts w:ascii="宋体" w:hAnsi="宋体" w:cs="宋体" w:eastAsia="宋体" w:hint="default"/>
          <w:spacing w:val="-60"/>
        </w:rPr>
        <w:t> </w:t>
      </w:r>
      <w:r>
        <w:rPr/>
        <w:t>月</w:t>
      </w:r>
      <w:r>
        <w:rPr>
          <w:spacing w:val="-57"/>
        </w:rPr>
        <w:t> </w:t>
      </w:r>
      <w:r>
        <w:rPr>
          <w:rFonts w:ascii="宋体" w:hAnsi="宋体" w:cs="宋体" w:eastAsia="宋体" w:hint="default"/>
        </w:rPr>
        <w:t>23</w:t>
      </w:r>
      <w:r>
        <w:rPr>
          <w:rFonts w:ascii="宋体" w:hAnsi="宋体" w:cs="宋体" w:eastAsia="宋体" w:hint="default"/>
          <w:spacing w:val="-60"/>
        </w:rPr>
        <w:t> </w:t>
      </w:r>
      <w:r>
        <w:rPr/>
        <w:t>日，公司董事会收到公司副总裁李结平先生递交的辞职报告，因工作变动，李结平先生申请辞去公司副总裁职务，辞职后仍</w:t>
      </w:r>
    </w:p>
    <w:p>
      <w:pPr>
        <w:pStyle w:val="Heading4"/>
        <w:spacing w:line="257" w:lineRule="exact"/>
        <w:ind w:right="0"/>
        <w:jc w:val="left"/>
        <w:rPr>
          <w:rFonts w:ascii="宋体" w:hAnsi="宋体" w:cs="宋体" w:eastAsia="宋体" w:hint="default"/>
          <w:sz w:val="24"/>
          <w:szCs w:val="24"/>
        </w:rPr>
      </w:pPr>
      <w:r>
        <w:rPr>
          <w:spacing w:val="-1"/>
        </w:rPr>
        <w:t>在公司担任其他职务。具体详见《泰豪科技股份有限公司关于公司高级管理人员辞职的公告》（公告编号：临</w:t>
      </w:r>
      <w:r>
        <w:rPr>
          <w:spacing w:val="-9"/>
        </w:rPr>
        <w:t> </w:t>
      </w:r>
      <w:r>
        <w:rPr>
          <w:rFonts w:ascii="宋体" w:hAnsi="宋体" w:cs="宋体" w:eastAsia="宋体" w:hint="default"/>
          <w:spacing w:val="-1"/>
        </w:rPr>
        <w:t>2020-004</w:t>
      </w:r>
      <w:r>
        <w:rPr>
          <w:spacing w:val="-1"/>
        </w:rPr>
        <w:t>）。</w:t>
      </w:r>
      <w:r>
        <w:rPr>
          <w:rFonts w:ascii="宋体" w:hAnsi="宋体" w:cs="宋体" w:eastAsia="宋体" w:hint="default"/>
          <w:sz w:val="24"/>
          <w:szCs w:val="24"/>
        </w:rPr>
        <w:t> </w:t>
      </w:r>
    </w:p>
    <w:p>
      <w:pPr>
        <w:pStyle w:val="Heading3"/>
        <w:spacing w:line="312" w:lineRule="exact"/>
        <w:ind w:left="224" w:right="0"/>
        <w:jc w:val="left"/>
        <w:rPr>
          <w:rFonts w:ascii="宋体" w:hAnsi="宋体" w:cs="宋体" w:eastAsia="宋体" w:hint="default"/>
        </w:rPr>
      </w:pPr>
      <w:r>
        <w:rPr>
          <w:rFonts w:ascii="宋体"/>
        </w:rPr>
        <w:t> </w:t>
      </w:r>
    </w:p>
    <w:p>
      <w:pPr>
        <w:pStyle w:val="Heading5"/>
        <w:spacing w:line="240" w:lineRule="auto"/>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5"/>
        </w:rPr>
        <w:t> </w:t>
      </w:r>
      <w:r>
        <w:rPr/>
        <w:t>董事、高级管理人员报告期内被授予的股权激励情况</w:t>
      </w:r>
      <w:r>
        <w:rPr>
          <w:b w:val="0"/>
          <w:bCs w:val="0"/>
        </w:rPr>
      </w:r>
    </w:p>
    <w:p>
      <w:pPr>
        <w:pStyle w:val="Heading5"/>
        <w:spacing w:line="290" w:lineRule="auto" w:before="23"/>
        <w:ind w:left="224" w:right="7797"/>
        <w:jc w:val="left"/>
        <w:rPr>
          <w:b w:val="0"/>
          <w:bCs w:val="0"/>
        </w:rPr>
      </w:pPr>
      <w:r>
        <w:rPr>
          <w:rFonts w:ascii="宋体" w:hAnsi="宋体" w:cs="宋体" w:eastAsia="宋体" w:hint="default"/>
          <w:b w:val="0"/>
          <w:bCs w:val="0"/>
          <w:sz w:val="24"/>
          <w:szCs w:val="24"/>
        </w:rPr>
        <w:t>□适用</w:t>
      </w:r>
      <w:r>
        <w:rPr>
          <w:rFonts w:ascii="宋体" w:hAnsi="宋体" w:cs="宋体" w:eastAsia="宋体" w:hint="default"/>
          <w:b w:val="0"/>
          <w:bCs w:val="0"/>
          <w:spacing w:val="-1"/>
          <w:sz w:val="24"/>
          <w:szCs w:val="24"/>
        </w:rPr>
        <w:t> </w:t>
      </w:r>
      <w:r>
        <w:rPr>
          <w:rFonts w:ascii="宋体" w:hAnsi="宋体" w:cs="宋体" w:eastAsia="宋体" w:hint="default"/>
          <w:b w:val="0"/>
          <w:bCs w:val="0"/>
          <w:spacing w:val="-1"/>
          <w:sz w:val="24"/>
          <w:szCs w:val="24"/>
        </w:rPr>
      </w:r>
      <w:r>
        <w:rPr>
          <w:rFonts w:ascii="宋体" w:hAnsi="宋体" w:cs="宋体" w:eastAsia="宋体" w:hint="default"/>
          <w:b w:val="0"/>
          <w:bCs w:val="0"/>
          <w:sz w:val="24"/>
          <w:szCs w:val="24"/>
        </w:rPr>
        <w:t>√不适用</w:t>
      </w:r>
      <w:r>
        <w:rPr>
          <w:rFonts w:ascii="宋体" w:hAnsi="宋体" w:cs="宋体" w:eastAsia="宋体" w:hint="default"/>
          <w:b w:val="0"/>
          <w:bCs w:val="0"/>
          <w:sz w:val="24"/>
          <w:szCs w:val="24"/>
        </w:rPr>
        <w:t>  </w:t>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Heading3"/>
        <w:spacing w:line="286" w:lineRule="exact"/>
        <w:ind w:left="224"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10"/>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116"/>
        <w:gridCol w:w="2693"/>
        <w:gridCol w:w="4112"/>
        <w:gridCol w:w="2269"/>
        <w:gridCol w:w="1675"/>
      </w:tblGrid>
      <w:tr>
        <w:trPr>
          <w:trHeight w:val="283"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1" w:right="0"/>
              <w:jc w:val="left"/>
              <w:rPr>
                <w:rFonts w:ascii="宋体" w:hAnsi="宋体" w:cs="宋体" w:eastAsia="宋体" w:hint="default"/>
                <w:sz w:val="21"/>
                <w:szCs w:val="21"/>
              </w:rPr>
            </w:pPr>
            <w:r>
              <w:rPr>
                <w:rFonts w:ascii="宋体" w:hAnsi="宋体" w:cs="宋体" w:eastAsia="宋体" w:hint="default"/>
                <w:sz w:val="21"/>
                <w:szCs w:val="21"/>
              </w:rPr>
              <w:t>任职人员姓名</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10" w:right="0"/>
              <w:jc w:val="left"/>
              <w:rPr>
                <w:rFonts w:ascii="宋体" w:hAnsi="宋体" w:cs="宋体" w:eastAsia="宋体" w:hint="default"/>
                <w:sz w:val="21"/>
                <w:szCs w:val="21"/>
              </w:rPr>
            </w:pPr>
            <w:r>
              <w:rPr>
                <w:rFonts w:ascii="宋体" w:hAnsi="宋体" w:cs="宋体" w:eastAsia="宋体" w:hint="default"/>
                <w:sz w:val="21"/>
                <w:szCs w:val="21"/>
              </w:rPr>
              <w:t>股东单位名称</w:t>
            </w:r>
            <w:r>
              <w:rPr>
                <w:rFonts w:ascii="宋体" w:hAnsi="宋体" w:cs="宋体" w:eastAsia="宋体" w:hint="default"/>
                <w:sz w:val="21"/>
                <w:szCs w:val="21"/>
              </w:rPr>
              <w:t> </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0"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9" w:right="0"/>
              <w:jc w:val="left"/>
              <w:rPr>
                <w:rFonts w:ascii="宋体" w:hAnsi="宋体" w:cs="宋体" w:eastAsia="宋体" w:hint="default"/>
                <w:sz w:val="21"/>
                <w:szCs w:val="21"/>
              </w:rPr>
            </w:pPr>
            <w:r>
              <w:rPr>
                <w:rFonts w:ascii="宋体" w:hAnsi="宋体" w:cs="宋体" w:eastAsia="宋体" w:hint="default"/>
                <w:sz w:val="21"/>
                <w:szCs w:val="21"/>
              </w:rPr>
              <w:t>任期起始日期</w:t>
            </w:r>
            <w:r>
              <w:rPr>
                <w:rFonts w:ascii="宋体" w:hAnsi="宋体" w:cs="宋体" w:eastAsia="宋体" w:hint="default"/>
                <w:sz w:val="21"/>
                <w:szCs w:val="21"/>
              </w:rPr>
              <w:t> </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3" w:right="0"/>
              <w:jc w:val="left"/>
              <w:rPr>
                <w:rFonts w:ascii="宋体" w:hAnsi="宋体" w:cs="宋体" w:eastAsia="宋体" w:hint="default"/>
                <w:sz w:val="21"/>
                <w:szCs w:val="21"/>
              </w:rPr>
            </w:pPr>
            <w:r>
              <w:rPr>
                <w:rFonts w:ascii="宋体" w:hAnsi="宋体" w:cs="宋体" w:eastAsia="宋体" w:hint="default"/>
                <w:sz w:val="21"/>
                <w:szCs w:val="21"/>
              </w:rPr>
              <w:t>任期终止日期</w:t>
            </w:r>
            <w:r>
              <w:rPr>
                <w:rFonts w:ascii="宋体" w:hAnsi="宋体" w:cs="宋体" w:eastAsia="宋体" w:hint="default"/>
                <w:sz w:val="21"/>
                <w:szCs w:val="21"/>
              </w:rPr>
              <w:t> </w:t>
            </w:r>
          </w:p>
        </w:tc>
      </w:tr>
      <w:tr>
        <w:trPr>
          <w:trHeight w:val="283"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黄代放</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泰豪集团有限公司</w:t>
            </w:r>
            <w:r>
              <w:rPr>
                <w:rFonts w:ascii="宋体" w:hAnsi="宋体" w:cs="宋体" w:eastAsia="宋体" w:hint="default"/>
                <w:sz w:val="21"/>
                <w:szCs w:val="21"/>
              </w:rPr>
              <w:t> </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张兴虎</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同方股份有限公司</w:t>
            </w:r>
            <w:r>
              <w:rPr>
                <w:rFonts w:ascii="宋体" w:hAnsi="宋体" w:cs="宋体" w:eastAsia="宋体" w:hint="default"/>
                <w:sz w:val="21"/>
                <w:szCs w:val="21"/>
              </w:rPr>
              <w:t> </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周海英</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同方股份有限公司</w:t>
            </w:r>
            <w:r>
              <w:rPr>
                <w:rFonts w:ascii="宋体" w:hAnsi="宋体" w:cs="宋体" w:eastAsia="宋体" w:hint="default"/>
                <w:sz w:val="21"/>
                <w:szCs w:val="21"/>
              </w:rPr>
              <w:t> </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经营管理总监兼经营管理部总经理</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r>
              <w:rPr>
                <w:rFonts w:ascii="宋体" w:hAnsi="宋体" w:cs="宋体" w:eastAsia="宋体" w:hint="default"/>
                <w:sz w:val="21"/>
                <w:szCs w:val="21"/>
              </w:rPr>
              <w:t> </w:t>
            </w:r>
          </w:p>
        </w:tc>
        <w:tc>
          <w:tcPr>
            <w:tcW w:w="1074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Heading3"/>
        <w:spacing w:line="274" w:lineRule="exact"/>
        <w:ind w:left="224" w:right="0"/>
        <w:jc w:val="left"/>
        <w:rPr>
          <w:rFonts w:ascii="宋体" w:hAnsi="宋体" w:cs="宋体" w:eastAsia="宋体" w:hint="default"/>
        </w:rPr>
      </w:pPr>
      <w:r>
        <w:rPr>
          <w:rFonts w:ascii="宋体"/>
        </w:rPr>
        <w:t> </w:t>
      </w:r>
    </w:p>
    <w:p>
      <w:pPr>
        <w:pStyle w:val="Heading5"/>
        <w:spacing w:line="240" w:lineRule="auto" w:before="62"/>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Heading3"/>
        <w:spacing w:line="240" w:lineRule="auto" w:before="25"/>
        <w:ind w:left="224"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839"/>
        <w:gridCol w:w="5103"/>
        <w:gridCol w:w="2693"/>
        <w:gridCol w:w="2127"/>
        <w:gridCol w:w="2102"/>
      </w:tblGrid>
      <w:tr>
        <w:trPr>
          <w:trHeight w:val="281"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任职人员姓名</w:t>
            </w:r>
            <w:r>
              <w:rPr>
                <w:rFonts w:ascii="宋体" w:hAnsi="宋体" w:cs="宋体" w:eastAsia="宋体" w:hint="default"/>
                <w:sz w:val="21"/>
                <w:szCs w:val="21"/>
              </w:rPr>
              <w:t> </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其他单位名称</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9" w:right="0"/>
              <w:jc w:val="left"/>
              <w:rPr>
                <w:rFonts w:ascii="宋体" w:hAnsi="宋体" w:cs="宋体" w:eastAsia="宋体" w:hint="default"/>
                <w:sz w:val="21"/>
                <w:szCs w:val="21"/>
              </w:rPr>
            </w:pPr>
            <w:r>
              <w:rPr>
                <w:rFonts w:ascii="宋体" w:hAnsi="宋体" w:cs="宋体" w:eastAsia="宋体" w:hint="default"/>
                <w:sz w:val="21"/>
                <w:szCs w:val="21"/>
              </w:rPr>
              <w:t>任期起始日期</w:t>
            </w:r>
            <w:r>
              <w:rPr>
                <w:rFonts w:ascii="宋体" w:hAnsi="宋体" w:cs="宋体" w:eastAsia="宋体" w:hint="default"/>
                <w:sz w:val="21"/>
                <w:szCs w:val="21"/>
              </w:rPr>
              <w:t> </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任期终止日期</w:t>
            </w:r>
            <w:r>
              <w:rPr>
                <w:rFonts w:ascii="宋体" w:hAnsi="宋体" w:cs="宋体" w:eastAsia="宋体" w:hint="default"/>
                <w:sz w:val="21"/>
                <w:szCs w:val="21"/>
              </w:rPr>
              <w:t> </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黄代放</w:t>
            </w:r>
            <w:r>
              <w:rPr>
                <w:rFonts w:ascii="宋体" w:hAnsi="宋体" w:cs="宋体" w:eastAsia="宋体" w:hint="default"/>
                <w:sz w:val="21"/>
                <w:szCs w:val="21"/>
              </w:rPr>
              <w:t> </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南昌</w:t>
            </w:r>
            <w:r>
              <w:rPr>
                <w:rFonts w:ascii="宋体" w:hAnsi="宋体" w:cs="宋体" w:eastAsia="宋体" w:hint="default"/>
                <w:spacing w:val="-55"/>
                <w:sz w:val="21"/>
                <w:szCs w:val="21"/>
              </w:rPr>
              <w:t> </w:t>
            </w:r>
            <w:r>
              <w:rPr>
                <w:rFonts w:ascii="宋体" w:hAnsi="宋体" w:cs="宋体" w:eastAsia="宋体" w:hint="default"/>
                <w:sz w:val="21"/>
                <w:szCs w:val="21"/>
              </w:rPr>
              <w:t>ABB</w:t>
            </w:r>
            <w:r>
              <w:rPr>
                <w:rFonts w:ascii="宋体" w:hAnsi="宋体" w:cs="宋体" w:eastAsia="宋体" w:hint="default"/>
                <w:spacing w:val="-55"/>
                <w:sz w:val="21"/>
                <w:szCs w:val="21"/>
              </w:rPr>
              <w:t> </w:t>
            </w:r>
            <w:r>
              <w:rPr>
                <w:rFonts w:ascii="宋体" w:hAnsi="宋体" w:cs="宋体" w:eastAsia="宋体" w:hint="default"/>
                <w:sz w:val="21"/>
                <w:szCs w:val="21"/>
              </w:rPr>
              <w:t>发电机有限公司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z w:val="21"/>
                <w:szCs w:val="21"/>
              </w:rPr>
              <w:t> </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江西赣锋锂业股份有限公司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1"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南昌珝泰投资中心（有限合伙）</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z w:val="21"/>
                <w:szCs w:val="21"/>
              </w:rPr>
              <w:t> </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清华大学江西校友会</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法定代表人兼会长</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z w:val="21"/>
                <w:szCs w:val="21"/>
              </w:rPr>
              <w:t> </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夏清</w:t>
            </w:r>
            <w:r>
              <w:rPr>
                <w:rFonts w:ascii="宋体" w:hAnsi="宋体" w:cs="宋体" w:eastAsia="宋体" w:hint="default"/>
                <w:sz w:val="21"/>
                <w:szCs w:val="21"/>
              </w:rPr>
              <w:t> </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上海置信电气股份有限公司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4"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储一昀</w:t>
            </w:r>
            <w:r>
              <w:rPr>
                <w:rFonts w:ascii="宋体" w:hAnsi="宋体" w:cs="宋体" w:eastAsia="宋体" w:hint="default"/>
                <w:sz w:val="21"/>
                <w:szCs w:val="21"/>
              </w:rPr>
              <w:t> </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上海财经大学</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教授</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z w:val="21"/>
                <w:szCs w:val="21"/>
              </w:rPr>
              <w:t> </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环旭电子股份有限公司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1"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中国巨石股份有限公司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上海同济科技股份有限公司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bl>
    <w:p>
      <w:pPr>
        <w:spacing w:after="0" w:line="243" w:lineRule="exact"/>
        <w:jc w:val="left"/>
        <w:rPr>
          <w:rFonts w:ascii="宋体" w:hAnsi="宋体" w:cs="宋体" w:eastAsia="宋体" w:hint="default"/>
          <w:sz w:val="21"/>
          <w:szCs w:val="21"/>
        </w:rPr>
        <w:sectPr>
          <w:pgSz w:w="16840" w:h="11910" w:orient="landscape"/>
          <w:pgMar w:header="880" w:footer="1195" w:top="1120" w:bottom="1380" w:left="1300" w:right="13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839"/>
        <w:gridCol w:w="5103"/>
        <w:gridCol w:w="2693"/>
        <w:gridCol w:w="2127"/>
        <w:gridCol w:w="2102"/>
      </w:tblGrid>
      <w:tr>
        <w:trPr>
          <w:trHeight w:val="281"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平安银行股份有限公司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外部监事</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嘉兴银行股份有限公司（非上市公司）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王晋勇</w:t>
            </w:r>
            <w:r>
              <w:rPr>
                <w:rFonts w:ascii="宋体" w:hAnsi="宋体" w:cs="宋体" w:eastAsia="宋体" w:hint="default"/>
                <w:sz w:val="21"/>
                <w:szCs w:val="21"/>
              </w:rPr>
              <w:t> </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西部证券股份有限公司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z w:val="21"/>
                <w:szCs w:val="21"/>
              </w:rPr>
              <w:t> </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1"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浙江精功科技股份有限公司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z w:val="21"/>
                <w:szCs w:val="21"/>
              </w:rPr>
              <w:t> </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利亚德光电股份有限公司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z w:val="21"/>
                <w:szCs w:val="21"/>
              </w:rPr>
              <w:t> </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湖北仰帆控股股份有限公司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z w:val="21"/>
                <w:szCs w:val="21"/>
              </w:rPr>
              <w:t> </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1"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华金证券股份有限公司（非上市公司）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z w:val="21"/>
                <w:szCs w:val="21"/>
              </w:rPr>
              <w:t> </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吉大正元信息股份有限公司（非上市公司）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z w:val="21"/>
                <w:szCs w:val="21"/>
              </w:rPr>
              <w:t> </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北京国金鼎兴投资有限公司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z w:val="21"/>
                <w:szCs w:val="21"/>
              </w:rPr>
              <w:t> </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4"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李自强</w:t>
            </w:r>
            <w:r>
              <w:rPr>
                <w:rFonts w:ascii="宋体" w:hAnsi="宋体" w:cs="宋体" w:eastAsia="宋体" w:hint="default"/>
                <w:sz w:val="21"/>
                <w:szCs w:val="21"/>
              </w:rPr>
              <w:t> </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南昌</w:t>
            </w:r>
            <w:r>
              <w:rPr>
                <w:rFonts w:ascii="宋体" w:hAnsi="宋体" w:cs="宋体" w:eastAsia="宋体" w:hint="default"/>
                <w:spacing w:val="-55"/>
                <w:sz w:val="21"/>
                <w:szCs w:val="21"/>
              </w:rPr>
              <w:t> </w:t>
            </w:r>
            <w:r>
              <w:rPr>
                <w:rFonts w:ascii="宋体" w:hAnsi="宋体" w:cs="宋体" w:eastAsia="宋体" w:hint="default"/>
                <w:sz w:val="21"/>
                <w:szCs w:val="21"/>
              </w:rPr>
              <w:t>ABB</w:t>
            </w:r>
            <w:r>
              <w:rPr>
                <w:rFonts w:ascii="宋体" w:hAnsi="宋体" w:cs="宋体" w:eastAsia="宋体" w:hint="default"/>
                <w:spacing w:val="-55"/>
                <w:sz w:val="21"/>
                <w:szCs w:val="21"/>
              </w:rPr>
              <w:t> </w:t>
            </w:r>
            <w:r>
              <w:rPr>
                <w:rFonts w:ascii="宋体" w:hAnsi="宋体" w:cs="宋体" w:eastAsia="宋体" w:hint="default"/>
                <w:sz w:val="21"/>
                <w:szCs w:val="21"/>
              </w:rPr>
              <w:t>发电机有限公司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z w:val="21"/>
                <w:szCs w:val="21"/>
              </w:rPr>
              <w:t> </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泰豪沈阳电机有限公司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李结平</w:t>
            </w:r>
            <w:r>
              <w:rPr>
                <w:rFonts w:ascii="宋体" w:hAnsi="宋体" w:cs="宋体" w:eastAsia="宋体" w:hint="default"/>
                <w:sz w:val="21"/>
                <w:szCs w:val="21"/>
              </w:rPr>
              <w:t> </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江西国科军工集团股份有限公司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z w:val="21"/>
                <w:szCs w:val="21"/>
              </w:rPr>
              <w:t> </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7"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在其他单位任</w:t>
            </w:r>
            <w:r>
              <w:rPr>
                <w:rFonts w:ascii="宋体" w:hAnsi="宋体" w:cs="宋体" w:eastAsia="宋体" w:hint="default"/>
                <w:spacing w:val="-64"/>
                <w:sz w:val="21"/>
                <w:szCs w:val="21"/>
              </w:rPr>
              <w:t> </w:t>
            </w:r>
            <w:r>
              <w:rPr>
                <w:rFonts w:ascii="宋体" w:hAnsi="宋体" w:cs="宋体" w:eastAsia="宋体" w:hint="default"/>
                <w:sz w:val="21"/>
                <w:szCs w:val="21"/>
              </w:rPr>
              <w:t>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情况的说明</w:t>
            </w:r>
            <w:r>
              <w:rPr>
                <w:rFonts w:ascii="宋体" w:hAnsi="宋体" w:cs="宋体" w:eastAsia="宋体" w:hint="default"/>
                <w:sz w:val="21"/>
                <w:szCs w:val="21"/>
              </w:rPr>
              <w:t> </w:t>
            </w:r>
          </w:p>
        </w:tc>
        <w:tc>
          <w:tcPr>
            <w:tcW w:w="1202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Heading3"/>
        <w:spacing w:line="274" w:lineRule="exact"/>
        <w:ind w:left="224" w:right="0"/>
        <w:jc w:val="left"/>
        <w:rPr>
          <w:rFonts w:ascii="宋体" w:hAnsi="宋体" w:cs="宋体" w:eastAsia="宋体" w:hint="default"/>
        </w:rPr>
      </w:pPr>
      <w:r>
        <w:rPr>
          <w:rFonts w:ascii="宋体"/>
        </w:rPr>
        <w:t> </w:t>
      </w:r>
    </w:p>
    <w:p>
      <w:pPr>
        <w:pStyle w:val="Heading5"/>
        <w:spacing w:line="240" w:lineRule="auto" w:before="61"/>
        <w:ind w:left="224" w:right="0"/>
        <w:jc w:val="left"/>
        <w:rPr>
          <w:b w:val="0"/>
          <w:bCs w:val="0"/>
        </w:rPr>
      </w:pPr>
      <w:r>
        <w:rPr/>
        <w:t>三、董事、监事、高级管理人员报酬情况</w:t>
      </w:r>
      <w:r>
        <w:rPr>
          <w:b w:val="0"/>
          <w:bCs w:val="0"/>
        </w:rPr>
      </w:r>
    </w:p>
    <w:p>
      <w:pPr>
        <w:pStyle w:val="Heading3"/>
        <w:spacing w:line="240" w:lineRule="auto" w:before="52"/>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223" w:type="dxa"/>
        <w:tblLayout w:type="fixed"/>
        <w:tblCellMar>
          <w:top w:w="0" w:type="dxa"/>
          <w:left w:w="0" w:type="dxa"/>
          <w:bottom w:w="0" w:type="dxa"/>
          <w:right w:w="0" w:type="dxa"/>
        </w:tblCellMar>
        <w:tblLook w:val="01E0"/>
      </w:tblPr>
      <w:tblGrid>
        <w:gridCol w:w="4297"/>
        <w:gridCol w:w="9567"/>
      </w:tblGrid>
      <w:tr>
        <w:trPr>
          <w:trHeight w:val="555"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r>
              <w:rPr>
                <w:rFonts w:ascii="宋体" w:hAnsi="宋体" w:cs="宋体" w:eastAsia="宋体" w:hint="default"/>
                <w:sz w:val="21"/>
                <w:szCs w:val="21"/>
              </w:rPr>
              <w:t> </w:t>
            </w:r>
          </w:p>
        </w:tc>
        <w:tc>
          <w:tcPr>
            <w:tcW w:w="95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公司独立董事的薪酬计划由公司薪酬与考核委员会提出，报董事会审议通过后，提交股东大会审议通过</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后实施；公司高级管理人员的薪酬方案由公司薪酬与考核委员会提出，报董事会批准。</w:t>
            </w:r>
            <w:r>
              <w:rPr>
                <w:rFonts w:ascii="宋体" w:hAnsi="宋体" w:cs="宋体" w:eastAsia="宋体" w:hint="default"/>
                <w:sz w:val="21"/>
                <w:szCs w:val="21"/>
              </w:rPr>
              <w:t> </w:t>
            </w:r>
          </w:p>
        </w:tc>
      </w:tr>
      <w:tr>
        <w:trPr>
          <w:trHeight w:val="554"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r>
              <w:rPr>
                <w:rFonts w:ascii="宋体" w:hAnsi="宋体" w:cs="宋体" w:eastAsia="宋体" w:hint="default"/>
                <w:sz w:val="21"/>
                <w:szCs w:val="21"/>
              </w:rPr>
              <w:t> </w:t>
            </w:r>
          </w:p>
        </w:tc>
        <w:tc>
          <w:tcPr>
            <w:tcW w:w="95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按公司资产规模、经营业绩和工作职责等维度对高级管理人员绩效进行考核，由公司薪酬与考核委员会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确定标准。</w:t>
            </w:r>
            <w:r>
              <w:rPr>
                <w:rFonts w:ascii="宋体" w:hAnsi="宋体" w:cs="宋体" w:eastAsia="宋体" w:hint="default"/>
                <w:spacing w:val="-3"/>
                <w:sz w:val="21"/>
                <w:szCs w:val="21"/>
              </w:rPr>
              <w:t> </w:t>
            </w:r>
            <w:r>
              <w:rPr>
                <w:rFonts w:ascii="宋体" w:hAnsi="宋体" w:cs="宋体" w:eastAsia="宋体" w:hint="default"/>
                <w:sz w:val="21"/>
                <w:szCs w:val="21"/>
              </w:rPr>
              <w:t> </w:t>
            </w:r>
          </w:p>
        </w:tc>
      </w:tr>
      <w:tr>
        <w:trPr>
          <w:trHeight w:val="554"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董事、监事和高级管理人员报酬的实际支付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z w:val="21"/>
                <w:szCs w:val="21"/>
              </w:rPr>
              <w:t> </w:t>
            </w:r>
          </w:p>
        </w:tc>
        <w:tc>
          <w:tcPr>
            <w:tcW w:w="9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按规定支付</w:t>
            </w:r>
            <w:r>
              <w:rPr>
                <w:rFonts w:ascii="宋体" w:hAnsi="宋体" w:cs="宋体" w:eastAsia="宋体" w:hint="default"/>
                <w:sz w:val="21"/>
                <w:szCs w:val="21"/>
              </w:rPr>
              <w:t> </w:t>
            </w:r>
          </w:p>
        </w:tc>
      </w:tr>
      <w:tr>
        <w:trPr>
          <w:trHeight w:val="554"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报告期末全体董事、监事和高级管理人员实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际获得的报酬合计</w:t>
            </w:r>
            <w:r>
              <w:rPr>
                <w:rFonts w:ascii="宋体" w:hAnsi="宋体" w:cs="宋体" w:eastAsia="宋体" w:hint="default"/>
                <w:sz w:val="21"/>
                <w:szCs w:val="21"/>
              </w:rPr>
              <w:t> </w:t>
            </w:r>
          </w:p>
        </w:tc>
        <w:tc>
          <w:tcPr>
            <w:tcW w:w="9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799.58</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pgSz w:w="16840" w:h="11910" w:orient="landscape"/>
          <w:pgMar w:header="880" w:footer="1195" w:top="1120" w:bottom="1380" w:left="1300" w:right="1320"/>
        </w:sectPr>
      </w:pPr>
    </w:p>
    <w:p>
      <w:pPr>
        <w:spacing w:line="240" w:lineRule="auto" w:before="10"/>
        <w:rPr>
          <w:rFonts w:ascii="宋体" w:hAnsi="宋体" w:cs="宋体" w:eastAsia="宋体" w:hint="default"/>
          <w:sz w:val="23"/>
          <w:szCs w:val="23"/>
        </w:rPr>
      </w:pPr>
    </w:p>
    <w:p>
      <w:pPr>
        <w:pStyle w:val="Heading5"/>
        <w:spacing w:line="240" w:lineRule="auto" w:before="36"/>
        <w:ind w:right="0"/>
        <w:jc w:val="left"/>
        <w:rPr>
          <w:b w:val="0"/>
          <w:bCs w:val="0"/>
        </w:rPr>
      </w:pPr>
      <w:r>
        <w:rPr/>
        <w:t>四、公司董事、监事、高级管理人员变动情况</w:t>
      </w:r>
      <w:r>
        <w:rPr>
          <w:b w:val="0"/>
          <w:bCs w:val="0"/>
        </w:rPr>
      </w:r>
    </w:p>
    <w:p>
      <w:pPr>
        <w:pStyle w:val="Heading3"/>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64"/>
        <w:gridCol w:w="2261"/>
        <w:gridCol w:w="2264"/>
        <w:gridCol w:w="2261"/>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担任的职务</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变动情形</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99"/>
              <w:jc w:val="right"/>
              <w:rPr>
                <w:rFonts w:ascii="宋体" w:hAnsi="宋体" w:cs="宋体" w:eastAsia="宋体" w:hint="default"/>
                <w:sz w:val="21"/>
                <w:szCs w:val="21"/>
              </w:rPr>
            </w:pPr>
            <w:r>
              <w:rPr>
                <w:rFonts w:ascii="宋体" w:hAnsi="宋体" w:cs="宋体" w:eastAsia="宋体" w:hint="default"/>
                <w:spacing w:val="-2"/>
                <w:sz w:val="21"/>
                <w:szCs w:val="21"/>
              </w:rPr>
              <w:t>变动原因</w:t>
            </w:r>
            <w:r>
              <w:rPr>
                <w:rFonts w:ascii="宋体" w:hAnsi="宋体" w:cs="宋体" w:eastAsia="宋体" w:hint="default"/>
                <w:sz w:val="21"/>
                <w:szCs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廖宇</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副总裁</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99"/>
              <w:jc w:val="right"/>
              <w:rPr>
                <w:rFonts w:ascii="宋体" w:hAnsi="宋体" w:cs="宋体" w:eastAsia="宋体" w:hint="default"/>
                <w:sz w:val="21"/>
                <w:szCs w:val="21"/>
              </w:rPr>
            </w:pPr>
            <w:r>
              <w:rPr>
                <w:rFonts w:ascii="宋体" w:hAnsi="宋体" w:cs="宋体" w:eastAsia="宋体" w:hint="default"/>
                <w:spacing w:val="-2"/>
                <w:sz w:val="21"/>
                <w:szCs w:val="21"/>
              </w:rPr>
              <w:t>个人原因</w:t>
            </w:r>
            <w:r>
              <w:rPr>
                <w:rFonts w:ascii="宋体" w:hAnsi="宋体" w:cs="宋体" w:eastAsia="宋体" w:hint="default"/>
                <w:sz w:val="21"/>
                <w:szCs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李结平</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副总裁</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99"/>
              <w:jc w:val="right"/>
              <w:rPr>
                <w:rFonts w:ascii="宋体" w:hAnsi="宋体" w:cs="宋体" w:eastAsia="宋体" w:hint="default"/>
                <w:sz w:val="21"/>
                <w:szCs w:val="21"/>
              </w:rPr>
            </w:pPr>
            <w:r>
              <w:rPr>
                <w:rFonts w:ascii="宋体" w:hAnsi="宋体" w:cs="宋体" w:eastAsia="宋体" w:hint="default"/>
                <w:spacing w:val="-2"/>
                <w:sz w:val="21"/>
                <w:szCs w:val="21"/>
              </w:rPr>
              <w:t>工作变动</w:t>
            </w:r>
            <w:r>
              <w:rPr>
                <w:rFonts w:ascii="宋体" w:hAnsi="宋体" w:cs="宋体" w:eastAsia="宋体" w:hint="default"/>
                <w:sz w:val="21"/>
                <w:szCs w:val="21"/>
              </w:rPr>
              <w:t> </w:t>
            </w:r>
          </w:p>
        </w:tc>
      </w:tr>
    </w:tbl>
    <w:p>
      <w:pPr>
        <w:pStyle w:val="Heading3"/>
        <w:spacing w:line="274" w:lineRule="exact"/>
        <w:ind w:right="0"/>
        <w:jc w:val="left"/>
        <w:rPr>
          <w:rFonts w:ascii="宋体" w:hAnsi="宋体" w:cs="宋体" w:eastAsia="宋体" w:hint="default"/>
        </w:rPr>
      </w:pPr>
      <w:r>
        <w:rPr>
          <w:rFonts w:ascii="宋体"/>
        </w:rPr>
        <w:t> </w:t>
      </w:r>
    </w:p>
    <w:p>
      <w:pPr>
        <w:pStyle w:val="Heading5"/>
        <w:spacing w:line="240" w:lineRule="auto"/>
        <w:ind w:right="0"/>
        <w:jc w:val="left"/>
        <w:rPr>
          <w:b w:val="0"/>
          <w:bCs w:val="0"/>
        </w:rPr>
      </w:pPr>
      <w:r>
        <w:rPr/>
        <w:t>五、近三年受证券监管机构处罚的情况说明</w:t>
      </w:r>
      <w:r>
        <w:rPr>
          <w:b w:val="0"/>
          <w:bCs w:val="0"/>
        </w:rPr>
      </w:r>
    </w:p>
    <w:p>
      <w:pPr>
        <w:spacing w:line="290" w:lineRule="auto" w:before="50"/>
        <w:ind w:left="216" w:right="5634" w:firstLine="0"/>
        <w:jc w:val="left"/>
        <w:rPr>
          <w:rFonts w:ascii="宋体" w:hAnsi="宋体" w:cs="宋体" w:eastAsia="宋体" w:hint="default"/>
          <w:sz w:val="21"/>
          <w:szCs w:val="21"/>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pacing w:val="-1"/>
          <w:sz w:val="21"/>
          <w:szCs w:val="21"/>
        </w:rPr>
        <w:t>六、母公司和主要子公司的员工情况</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6"/>
          <w:sz w:val="21"/>
          <w:szCs w:val="21"/>
        </w:rPr>
        <w:t> </w:t>
      </w:r>
      <w:r>
        <w:rPr>
          <w:rFonts w:ascii="宋体" w:hAnsi="宋体" w:cs="宋体" w:eastAsia="宋体" w:hint="default"/>
          <w:b/>
          <w:bCs/>
          <w:sz w:val="21"/>
          <w:szCs w:val="21"/>
        </w:rPr>
        <w:t>员工情况</w:t>
      </w:r>
      <w:r>
        <w:rPr>
          <w:rFonts w:ascii="宋体" w:hAnsi="宋体" w:cs="宋体" w:eastAsia="宋体" w:hint="default"/>
          <w:sz w:val="21"/>
          <w:szCs w:val="21"/>
        </w:rPr>
      </w:r>
    </w:p>
    <w:tbl>
      <w:tblPr>
        <w:tblW w:w="0" w:type="auto"/>
        <w:jc w:val="left"/>
        <w:tblInd w:w="103" w:type="dxa"/>
        <w:tblLayout w:type="fixed"/>
        <w:tblCellMar>
          <w:top w:w="0" w:type="dxa"/>
          <w:left w:w="0" w:type="dxa"/>
          <w:bottom w:w="0" w:type="dxa"/>
          <w:right w:w="0" w:type="dxa"/>
        </w:tblCellMar>
        <w:tblLook w:val="01E0"/>
      </w:tblPr>
      <w:tblGrid>
        <w:gridCol w:w="5084"/>
        <w:gridCol w:w="3966"/>
      </w:tblGrid>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r>
              <w:rPr>
                <w:rFonts w:ascii="宋体" w:hAnsi="宋体" w:cs="宋体" w:eastAsia="宋体" w:hint="default"/>
                <w:sz w:val="21"/>
                <w:szCs w:val="21"/>
              </w:rPr>
              <w:t> </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126</w:t>
            </w:r>
          </w:p>
        </w:tc>
      </w:tr>
      <w:tr>
        <w:trPr>
          <w:trHeight w:val="281"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r>
              <w:rPr>
                <w:rFonts w:ascii="宋体" w:hAnsi="宋体" w:cs="宋体" w:eastAsia="宋体" w:hint="default"/>
                <w:sz w:val="21"/>
                <w:szCs w:val="21"/>
              </w:rPr>
              <w:t> </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2,785</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r>
              <w:rPr>
                <w:rFonts w:ascii="宋体" w:hAnsi="宋体" w:cs="宋体" w:eastAsia="宋体" w:hint="default"/>
                <w:sz w:val="21"/>
                <w:szCs w:val="21"/>
              </w:rPr>
              <w:t> </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2,911</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w:t>
            </w:r>
            <w:r>
              <w:rPr>
                <w:rFonts w:ascii="宋体" w:hAnsi="宋体" w:cs="宋体" w:eastAsia="宋体" w:hint="default"/>
                <w:sz w:val="21"/>
                <w:szCs w:val="21"/>
              </w:rPr>
              <w:t> </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专业构成</w:t>
            </w:r>
            <w:r>
              <w:rPr>
                <w:rFonts w:ascii="宋体" w:hAnsi="宋体" w:cs="宋体" w:eastAsia="宋体" w:hint="default"/>
                <w:sz w:val="21"/>
                <w:szCs w:val="21"/>
              </w:rPr>
              <w:t> </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专业构成类别</w:t>
            </w:r>
            <w:r>
              <w:rPr>
                <w:rFonts w:ascii="宋体" w:hAnsi="宋体" w:cs="宋体" w:eastAsia="宋体" w:hint="default"/>
                <w:sz w:val="21"/>
                <w:szCs w:val="21"/>
              </w:rPr>
              <w:t> </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6" w:right="0"/>
              <w:jc w:val="left"/>
              <w:rPr>
                <w:rFonts w:ascii="宋体" w:hAnsi="宋体" w:cs="宋体" w:eastAsia="宋体" w:hint="default"/>
                <w:sz w:val="21"/>
                <w:szCs w:val="21"/>
              </w:rPr>
            </w:pPr>
            <w:r>
              <w:rPr>
                <w:rFonts w:ascii="宋体" w:hAnsi="宋体" w:cs="宋体" w:eastAsia="宋体" w:hint="default"/>
                <w:sz w:val="21"/>
                <w:szCs w:val="21"/>
              </w:rPr>
              <w:t>专业构成人数</w:t>
            </w:r>
            <w:r>
              <w:rPr>
                <w:rFonts w:ascii="宋体" w:hAnsi="宋体" w:cs="宋体" w:eastAsia="宋体" w:hint="default"/>
                <w:sz w:val="21"/>
                <w:szCs w:val="21"/>
              </w:rPr>
              <w:t> </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生产人员</w:t>
            </w:r>
            <w:r>
              <w:rPr>
                <w:rFonts w:ascii="宋体" w:hAnsi="宋体" w:cs="宋体" w:eastAsia="宋体" w:hint="default"/>
                <w:sz w:val="21"/>
                <w:szCs w:val="21"/>
              </w:rPr>
              <w:t> </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649</w:t>
            </w:r>
          </w:p>
        </w:tc>
      </w:tr>
      <w:tr>
        <w:trPr>
          <w:trHeight w:val="281"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销售人员</w:t>
            </w:r>
            <w:r>
              <w:rPr>
                <w:rFonts w:ascii="宋体" w:hAnsi="宋体" w:cs="宋体" w:eastAsia="宋体" w:hint="default"/>
                <w:sz w:val="21"/>
                <w:szCs w:val="21"/>
              </w:rPr>
              <w:t> </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493</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技术人员</w:t>
            </w:r>
            <w:r>
              <w:rPr>
                <w:rFonts w:ascii="宋体" w:hAnsi="宋体" w:cs="宋体" w:eastAsia="宋体" w:hint="default"/>
                <w:sz w:val="21"/>
                <w:szCs w:val="21"/>
              </w:rPr>
              <w:t> </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1,238</w:t>
            </w:r>
          </w:p>
        </w:tc>
      </w:tr>
      <w:tr>
        <w:trPr>
          <w:trHeight w:val="281"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财务人员</w:t>
            </w:r>
            <w:r>
              <w:rPr>
                <w:rFonts w:ascii="宋体" w:hAnsi="宋体" w:cs="宋体" w:eastAsia="宋体" w:hint="default"/>
                <w:sz w:val="21"/>
                <w:szCs w:val="21"/>
              </w:rPr>
              <w:t> </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94</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行政人员</w:t>
            </w:r>
            <w:r>
              <w:rPr>
                <w:rFonts w:ascii="宋体" w:hAnsi="宋体" w:cs="宋体" w:eastAsia="宋体" w:hint="default"/>
                <w:sz w:val="21"/>
                <w:szCs w:val="21"/>
              </w:rPr>
              <w:t> </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437</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2,911</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教育程度</w:t>
            </w:r>
            <w:r>
              <w:rPr>
                <w:rFonts w:ascii="宋体" w:hAnsi="宋体" w:cs="宋体" w:eastAsia="宋体" w:hint="default"/>
                <w:sz w:val="21"/>
                <w:szCs w:val="21"/>
              </w:rPr>
              <w:t> </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教育程度类别</w:t>
            </w:r>
            <w:r>
              <w:rPr>
                <w:rFonts w:ascii="宋体" w:hAnsi="宋体" w:cs="宋体" w:eastAsia="宋体" w:hint="default"/>
                <w:sz w:val="21"/>
                <w:szCs w:val="21"/>
              </w:rPr>
              <w:t> </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数量（人）</w:t>
            </w:r>
            <w:r>
              <w:rPr>
                <w:rFonts w:ascii="宋体" w:hAnsi="宋体" w:cs="宋体" w:eastAsia="宋体" w:hint="default"/>
                <w:sz w:val="21"/>
                <w:szCs w:val="21"/>
              </w:rPr>
              <w:t> </w:t>
            </w:r>
          </w:p>
        </w:tc>
      </w:tr>
      <w:tr>
        <w:trPr>
          <w:trHeight w:val="284"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硕士研究生及以上</w:t>
            </w:r>
            <w:r>
              <w:rPr>
                <w:rFonts w:ascii="宋体" w:hAnsi="宋体" w:cs="宋体" w:eastAsia="宋体" w:hint="default"/>
                <w:sz w:val="21"/>
                <w:szCs w:val="21"/>
              </w:rPr>
              <w:t> </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211</w:t>
            </w:r>
          </w:p>
        </w:tc>
      </w:tr>
      <w:tr>
        <w:trPr>
          <w:trHeight w:val="281"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大学本科</w:t>
            </w:r>
            <w:r>
              <w:rPr>
                <w:rFonts w:ascii="宋体" w:hAnsi="宋体" w:cs="宋体" w:eastAsia="宋体" w:hint="default"/>
                <w:sz w:val="21"/>
                <w:szCs w:val="21"/>
              </w:rPr>
              <w:t> </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1,616</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w:t>
            </w:r>
            <w:r>
              <w:rPr>
                <w:rFonts w:ascii="宋体" w:hAnsi="宋体" w:cs="宋体" w:eastAsia="宋体" w:hint="default"/>
                <w:sz w:val="21"/>
                <w:szCs w:val="21"/>
              </w:rPr>
              <w:t> </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641</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中专</w:t>
            </w:r>
            <w:r>
              <w:rPr>
                <w:rFonts w:ascii="宋体" w:hAnsi="宋体" w:cs="宋体" w:eastAsia="宋体" w:hint="default"/>
                <w:sz w:val="21"/>
                <w:szCs w:val="21"/>
              </w:rPr>
              <w:t>/</w:t>
            </w:r>
            <w:r>
              <w:rPr>
                <w:rFonts w:ascii="宋体" w:hAnsi="宋体" w:cs="宋体" w:eastAsia="宋体" w:hint="default"/>
                <w:sz w:val="21"/>
                <w:szCs w:val="21"/>
              </w:rPr>
              <w:t>中技</w:t>
            </w:r>
            <w:r>
              <w:rPr>
                <w:rFonts w:ascii="宋体" w:hAnsi="宋体" w:cs="宋体" w:eastAsia="宋体" w:hint="default"/>
                <w:sz w:val="21"/>
                <w:szCs w:val="21"/>
              </w:rPr>
              <w:t> </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326</w:t>
            </w:r>
          </w:p>
        </w:tc>
      </w:tr>
      <w:tr>
        <w:trPr>
          <w:trHeight w:val="281"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高中及以下</w:t>
            </w:r>
            <w:r>
              <w:rPr>
                <w:rFonts w:ascii="宋体" w:hAnsi="宋体" w:cs="宋体" w:eastAsia="宋体" w:hint="default"/>
                <w:sz w:val="21"/>
                <w:szCs w:val="21"/>
              </w:rPr>
              <w:t> </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117</w:t>
            </w:r>
          </w:p>
        </w:tc>
      </w:tr>
      <w:tr>
        <w:trPr>
          <w:trHeight w:val="283"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2,911</w:t>
            </w:r>
          </w:p>
        </w:tc>
      </w:tr>
    </w:tbl>
    <w:p>
      <w:pPr>
        <w:pStyle w:val="Heading3"/>
        <w:spacing w:line="284" w:lineRule="exact"/>
        <w:ind w:right="0"/>
        <w:jc w:val="left"/>
        <w:rPr>
          <w:rFonts w:ascii="宋体" w:hAnsi="宋体" w:cs="宋体" w:eastAsia="宋体" w:hint="default"/>
        </w:rPr>
      </w:pPr>
      <w:r>
        <w:rPr>
          <w:rFonts w:ascii="宋体"/>
        </w:rPr>
        <w:t> </w:t>
      </w:r>
    </w:p>
    <w:p>
      <w:pPr>
        <w:pStyle w:val="Heading5"/>
        <w:spacing w:line="240"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Heading3"/>
        <w:spacing w:line="240" w:lineRule="auto" w:before="23"/>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37" w:lineRule="auto" w:before="6"/>
        <w:ind w:left="216" w:right="229" w:firstLine="480"/>
        <w:jc w:val="both"/>
        <w:rPr>
          <w:rFonts w:ascii="宋体" w:hAnsi="宋体" w:cs="宋体" w:eastAsia="宋体" w:hint="default"/>
        </w:rPr>
      </w:pPr>
      <w:r>
        <w:rPr>
          <w:spacing w:val="-3"/>
        </w:rPr>
        <w:t>公司根据“工资凭岗位、奖励凭绩效”的原则，制定员工薪酬管理办法，包含基准工资、绩</w:t>
      </w:r>
      <w:r>
        <w:rPr>
          <w:w w:val="100"/>
        </w:rPr>
        <w:t> </w:t>
      </w:r>
      <w:r>
        <w:rPr>
          <w:spacing w:val="-1"/>
        </w:rPr>
        <w:t>效补贴、年度奖励、股权激励等短期、中、长期激励措施。结合年度“三考”结果和员工的绩效</w:t>
      </w:r>
      <w:r>
        <w:rPr>
          <w:spacing w:val="-54"/>
        </w:rPr>
        <w:t> </w:t>
      </w:r>
      <w:r>
        <w:rPr>
          <w:spacing w:val="-54"/>
        </w:rPr>
      </w:r>
      <w:r>
        <w:rPr/>
        <w:t>表现评定员工的薪酬，充分调动员工的积极性和竞争意识，保障公司健康、持续发展。</w:t>
      </w:r>
      <w:r>
        <w:rPr>
          <w:rFonts w:ascii="宋体" w:hAnsi="宋体" w:cs="宋体" w:eastAsia="宋体" w:hint="default"/>
        </w:rPr>
        <w:t> </w:t>
      </w:r>
    </w:p>
    <w:p>
      <w:pPr>
        <w:pStyle w:val="Heading3"/>
        <w:spacing w:line="305" w:lineRule="exact"/>
        <w:ind w:right="0"/>
        <w:jc w:val="left"/>
        <w:rPr>
          <w:rFonts w:ascii="宋体" w:hAnsi="宋体" w:cs="宋体" w:eastAsia="宋体" w:hint="default"/>
        </w:rPr>
      </w:pPr>
      <w:r>
        <w:rPr>
          <w:rFonts w:ascii="宋体"/>
        </w:rPr>
        <w:t> </w:t>
      </w:r>
    </w:p>
    <w:p>
      <w:pPr>
        <w:pStyle w:val="Heading5"/>
        <w:spacing w:line="240" w:lineRule="auto"/>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Heading3"/>
        <w:spacing w:line="240" w:lineRule="auto" w:before="25"/>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37" w:lineRule="auto" w:before="4"/>
        <w:ind w:left="216" w:right="229" w:firstLine="480"/>
        <w:jc w:val="both"/>
      </w:pPr>
      <w:r>
        <w:rPr>
          <w:spacing w:val="-3"/>
        </w:rPr>
        <w:t>公司基于战略规划、业务发展和员工职业发展，在年初制定全年培训计划，包括内部培训和</w:t>
      </w:r>
      <w:r>
        <w:rPr>
          <w:w w:val="100"/>
        </w:rPr>
        <w:t> </w:t>
      </w:r>
      <w:r>
        <w:rPr>
          <w:spacing w:val="-1"/>
        </w:rPr>
        <w:t>外部培训。按管理、专业发展方向，匹配新员工、管理人员、骨干人员能力提升等相应的培训体</w:t>
      </w:r>
      <w:r>
        <w:rPr>
          <w:spacing w:val="-55"/>
        </w:rPr>
        <w:t> </w:t>
      </w:r>
      <w:r>
        <w:rPr>
          <w:spacing w:val="-55"/>
        </w:rPr>
      </w:r>
      <w:r>
        <w:rPr>
          <w:spacing w:val="-1"/>
        </w:rPr>
        <w:t>系，设计了新员工培训、人力资源、财务商务、领导力等十大门类的课程体系。对入司不满三年</w:t>
      </w:r>
      <w:r>
        <w:rPr>
          <w:spacing w:val="-55"/>
        </w:rPr>
        <w:t> </w:t>
      </w:r>
      <w:r>
        <w:rPr>
          <w:spacing w:val="-55"/>
        </w:rPr>
      </w:r>
      <w:r>
        <w:rPr>
          <w:spacing w:val="-1"/>
        </w:rPr>
        <w:t>的应届毕业生安排“绿色人才”三年成才培养计划，实行一对一导师培养机制，公司高层、单位</w:t>
      </w:r>
      <w:r>
        <w:rPr>
          <w:spacing w:val="-55"/>
        </w:rPr>
        <w:t> </w:t>
      </w:r>
      <w:r>
        <w:rPr>
          <w:spacing w:val="-55"/>
        </w:rPr>
      </w:r>
      <w:r>
        <w:rPr>
          <w:spacing w:val="-3"/>
        </w:rPr>
        <w:t>责任人和人力资源负责人定期交流和跟踪培养机制；对表现优秀的</w:t>
      </w:r>
      <w:r>
        <w:rPr>
          <w:spacing w:val="-35"/>
        </w:rPr>
        <w:t> </w:t>
      </w:r>
      <w:r>
        <w:rPr>
          <w:rFonts w:ascii="宋体" w:hAnsi="宋体" w:cs="宋体" w:eastAsia="宋体" w:hint="default"/>
          <w:spacing w:val="-11"/>
        </w:rPr>
        <w:t>80</w:t>
      </w:r>
      <w:r>
        <w:rPr>
          <w:spacing w:val="-11"/>
        </w:rPr>
        <w:t>、</w:t>
      </w:r>
      <w:r>
        <w:rPr>
          <w:rFonts w:ascii="宋体" w:hAnsi="宋体" w:cs="宋体" w:eastAsia="宋体" w:hint="default"/>
          <w:spacing w:val="-11"/>
        </w:rPr>
        <w:t>90</w:t>
      </w:r>
      <w:r>
        <w:rPr>
          <w:rFonts w:ascii="宋体" w:hAnsi="宋体" w:cs="宋体" w:eastAsia="宋体" w:hint="default"/>
          <w:spacing w:val="-37"/>
        </w:rPr>
        <w:t> </w:t>
      </w:r>
      <w:r>
        <w:rPr/>
        <w:t>后员工安排泰豪经理人</w:t>
      </w:r>
      <w:r>
        <w:rPr>
          <w:spacing w:val="-99"/>
        </w:rPr>
        <w:t> </w:t>
      </w:r>
      <w:r>
        <w:rPr>
          <w:spacing w:val="-99"/>
        </w:rPr>
      </w:r>
      <w:r>
        <w:rPr>
          <w:rFonts w:ascii="宋体" w:hAnsi="宋体" w:cs="宋体" w:eastAsia="宋体" w:hint="default"/>
        </w:rPr>
        <w:t>MBA</w:t>
      </w:r>
      <w:r>
        <w:rPr>
          <w:rFonts w:ascii="宋体" w:hAnsi="宋体" w:cs="宋体" w:eastAsia="宋体" w:hint="default"/>
          <w:spacing w:val="8"/>
        </w:rPr>
        <w:t> </w:t>
      </w:r>
      <w:r>
        <w:rPr/>
        <w:t>课程，系统学习战略管理、人力资源、财务商务、市场营销等管理知识，并寓教于实践，提</w:t>
      </w:r>
    </w:p>
    <w:p>
      <w:pPr>
        <w:spacing w:after="0" w:line="237" w:lineRule="auto"/>
        <w:jc w:val="both"/>
        <w:sectPr>
          <w:headerReference w:type="default" r:id="rId31"/>
          <w:footerReference w:type="default" r:id="rId32"/>
          <w:pgSz w:w="11910" w:h="16840"/>
          <w:pgMar w:header="877" w:footer="1195" w:top="1100" w:bottom="1380" w:left="1060" w:right="1560"/>
          <w:pgNumType w:start="56"/>
        </w:sectPr>
      </w:pPr>
    </w:p>
    <w:p>
      <w:pPr>
        <w:spacing w:line="240" w:lineRule="auto" w:before="3"/>
        <w:rPr>
          <w:rFonts w:ascii="宋体" w:hAnsi="宋体" w:cs="宋体" w:eastAsia="宋体" w:hint="default"/>
          <w:sz w:val="19"/>
          <w:szCs w:val="19"/>
        </w:rPr>
      </w:pPr>
    </w:p>
    <w:p>
      <w:pPr>
        <w:pStyle w:val="BodyText"/>
        <w:spacing w:line="272" w:lineRule="exact" w:before="64"/>
        <w:ind w:left="216" w:right="225"/>
        <w:jc w:val="left"/>
        <w:rPr>
          <w:rFonts w:ascii="宋体" w:hAnsi="宋体" w:cs="宋体" w:eastAsia="宋体" w:hint="default"/>
        </w:rPr>
      </w:pPr>
      <w:r>
        <w:rPr/>
        <w:t>高年轻后备管理人员的管理能力；对中高层管理人员提供知名院校的</w:t>
      </w:r>
      <w:r>
        <w:rPr>
          <w:spacing w:val="-48"/>
        </w:rPr>
        <w:t> </w:t>
      </w:r>
      <w:r>
        <w:rPr>
          <w:rFonts w:ascii="宋体" w:hAnsi="宋体" w:cs="宋体" w:eastAsia="宋体" w:hint="default"/>
        </w:rPr>
        <w:t>MBA</w:t>
      </w:r>
      <w:r>
        <w:rPr>
          <w:rFonts w:ascii="宋体" w:hAnsi="宋体" w:cs="宋体" w:eastAsia="宋体" w:hint="default"/>
          <w:spacing w:val="-2"/>
        </w:rPr>
        <w:t> </w:t>
      </w:r>
      <w:r>
        <w:rPr/>
        <w:t>或</w:t>
      </w:r>
      <w:r>
        <w:rPr>
          <w:spacing w:val="-48"/>
        </w:rPr>
        <w:t> </w:t>
      </w:r>
      <w:r>
        <w:rPr>
          <w:rFonts w:ascii="宋体" w:hAnsi="宋体" w:cs="宋体" w:eastAsia="宋体" w:hint="default"/>
        </w:rPr>
        <w:t>EMBA</w:t>
      </w:r>
      <w:r>
        <w:rPr>
          <w:rFonts w:ascii="宋体" w:hAnsi="宋体" w:cs="宋体" w:eastAsia="宋体" w:hint="default"/>
          <w:spacing w:val="-2"/>
        </w:rPr>
        <w:t> </w:t>
      </w:r>
      <w:r>
        <w:rPr/>
        <w:t>课程，在工作</w:t>
      </w:r>
      <w:r>
        <w:rPr>
          <w:w w:val="100"/>
        </w:rPr>
        <w:t> </w:t>
      </w:r>
      <w:r>
        <w:rPr/>
        <w:t>中进一步提高管理能力。</w:t>
      </w:r>
      <w:r>
        <w:rPr>
          <w:rFonts w:ascii="宋体" w:hAnsi="宋体" w:cs="宋体" w:eastAsia="宋体" w:hint="default"/>
        </w:rPr>
        <w:t> </w:t>
      </w:r>
    </w:p>
    <w:p>
      <w:pPr>
        <w:pStyle w:val="BodyText"/>
        <w:spacing w:line="272" w:lineRule="exact" w:before="1"/>
        <w:ind w:left="216" w:right="0" w:firstLine="420"/>
        <w:jc w:val="left"/>
      </w:pPr>
      <w:r>
        <w:rPr>
          <w:spacing w:val="-7"/>
        </w:rPr>
        <w:t>通过不同层次的培训，员工更加明确了工作任务、职责和目标，提高了知识技能和综合素养，</w:t>
      </w:r>
      <w:r>
        <w:rPr>
          <w:w w:val="100"/>
        </w:rPr>
        <w:t> </w:t>
      </w:r>
      <w:r>
        <w:rPr>
          <w:spacing w:val="-1"/>
        </w:rPr>
        <w:t>确立了清晰的职业发展规划，建立了符合公司战略发展需要的人才梯队。通过公司高层、骨干员</w:t>
      </w:r>
    </w:p>
    <w:p>
      <w:pPr>
        <w:pStyle w:val="BodyText"/>
        <w:spacing w:line="244" w:lineRule="exact"/>
        <w:ind w:left="216" w:right="0"/>
        <w:jc w:val="left"/>
        <w:rPr>
          <w:rFonts w:ascii="宋体" w:hAnsi="宋体" w:cs="宋体" w:eastAsia="宋体" w:hint="default"/>
        </w:rPr>
      </w:pPr>
      <w:r>
        <w:rPr/>
        <w:t>工参与授课，打造了高素质的内训师队伍，传承了公司的知识和文化。</w:t>
      </w:r>
      <w:r>
        <w:rPr>
          <w:rFonts w:ascii="宋体" w:hAnsi="宋体" w:cs="宋体" w:eastAsia="宋体" w:hint="default"/>
        </w:rPr>
        <w:t> </w:t>
      </w:r>
    </w:p>
    <w:p>
      <w:pPr>
        <w:pStyle w:val="Heading3"/>
        <w:spacing w:line="309" w:lineRule="exact"/>
        <w:ind w:right="0"/>
        <w:jc w:val="left"/>
        <w:rPr>
          <w:rFonts w:ascii="宋体" w:hAnsi="宋体" w:cs="宋体" w:eastAsia="宋体" w:hint="default"/>
        </w:rPr>
      </w:pPr>
      <w:r>
        <w:rPr>
          <w:rFonts w:ascii="宋体"/>
        </w:rPr>
        <w:t> </w:t>
      </w:r>
    </w:p>
    <w:p>
      <w:pPr>
        <w:pStyle w:val="Heading5"/>
        <w:spacing w:line="240" w:lineRule="auto"/>
        <w:ind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pStyle w:val="Heading3"/>
        <w:spacing w:line="240" w:lineRule="auto" w:before="25"/>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40" w:lineRule="auto" w:before="61"/>
        <w:ind w:right="0"/>
        <w:jc w:val="left"/>
        <w:rPr>
          <w:b w:val="0"/>
          <w:bCs w:val="0"/>
        </w:rPr>
      </w:pPr>
      <w:r>
        <w:rPr/>
        <w:t>七、其他</w:t>
      </w:r>
      <w:r>
        <w:rPr>
          <w:b w:val="0"/>
          <w:bCs w:val="0"/>
        </w:rPr>
      </w:r>
    </w:p>
    <w:p>
      <w:pPr>
        <w:pStyle w:val="Heading3"/>
        <w:spacing w:line="240" w:lineRule="auto"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1"/>
        <w:tabs>
          <w:tab w:pos="1259" w:val="left" w:leader="none"/>
        </w:tabs>
        <w:spacing w:line="354" w:lineRule="exact"/>
        <w:ind w:right="16"/>
        <w:jc w:val="center"/>
        <w:rPr>
          <w:b w:val="0"/>
          <w:bCs w:val="0"/>
        </w:rPr>
      </w:pPr>
      <w:bookmarkStart w:name="_bookmark8" w:id="11"/>
      <w:bookmarkEnd w:id="11"/>
      <w:r>
        <w:rPr>
          <w:b w:val="0"/>
          <w:bCs w:val="0"/>
        </w:rPr>
      </w:r>
      <w:r>
        <w:rPr>
          <w:w w:val="95"/>
        </w:rPr>
        <w:t>第九节</w:t>
      </w:r>
      <w:r>
        <w:rPr>
          <w:rFonts w:ascii="宋体" w:hAnsi="宋体" w:cs="宋体" w:eastAsia="宋体" w:hint="default"/>
          <w:w w:val="95"/>
        </w:rPr>
        <w:tab/>
      </w:r>
      <w:r>
        <w:rPr/>
        <w:t>公司治理</w:t>
      </w:r>
      <w:r>
        <w:rPr>
          <w:b w:val="0"/>
          <w:bCs w:val="0"/>
        </w:rPr>
      </w:r>
    </w:p>
    <w:p>
      <w:pPr>
        <w:spacing w:line="240" w:lineRule="auto" w:before="5"/>
        <w:rPr>
          <w:rFonts w:ascii="黑体" w:hAnsi="黑体" w:cs="黑体" w:eastAsia="黑体" w:hint="default"/>
          <w:b/>
          <w:bCs/>
          <w:sz w:val="19"/>
          <w:szCs w:val="19"/>
        </w:rPr>
      </w:pPr>
    </w:p>
    <w:p>
      <w:pPr>
        <w:pStyle w:val="Heading5"/>
        <w:spacing w:line="240" w:lineRule="auto" w:before="0"/>
        <w:ind w:right="0"/>
        <w:jc w:val="both"/>
        <w:rPr>
          <w:b w:val="0"/>
          <w:bCs w:val="0"/>
        </w:rPr>
      </w:pPr>
      <w:r>
        <w:rPr/>
        <w:t>一、</w:t>
      </w:r>
      <w:r>
        <w:rPr>
          <w:spacing w:val="-93"/>
        </w:rPr>
        <w:t> </w:t>
      </w:r>
      <w:r>
        <w:rPr>
          <w:rFonts w:ascii="宋体" w:hAnsi="宋体" w:cs="宋体" w:eastAsia="宋体" w:hint="default"/>
          <w:spacing w:val="-93"/>
        </w:rPr>
      </w:r>
      <w:r>
        <w:rPr>
          <w:spacing w:val="-1"/>
        </w:rPr>
        <w:t>公司治理相关情况说明</w:t>
      </w:r>
      <w:r>
        <w:rPr>
          <w:b w:val="0"/>
          <w:bCs w:val="0"/>
          <w:spacing w:val="-1"/>
        </w:rPr>
      </w:r>
    </w:p>
    <w:p>
      <w:pPr>
        <w:pStyle w:val="Heading3"/>
        <w:spacing w:line="240" w:lineRule="auto" w:before="52"/>
        <w:ind w:right="0"/>
        <w:jc w:val="both"/>
        <w:rPr>
          <w:rFonts w:ascii="宋体" w:hAnsi="宋体" w:cs="宋体" w:eastAsia="宋体" w:hint="default"/>
        </w:rPr>
      </w:pPr>
      <w:r>
        <w:rPr/>
        <w:t>√适用 </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37" w:lineRule="auto" w:before="6"/>
        <w:ind w:left="216" w:right="229" w:firstLine="480"/>
        <w:jc w:val="both"/>
        <w:rPr>
          <w:rFonts w:ascii="宋体" w:hAnsi="宋体" w:cs="宋体" w:eastAsia="宋体" w:hint="default"/>
        </w:rPr>
      </w:pPr>
      <w:r>
        <w:rPr>
          <w:spacing w:val="-3"/>
        </w:rPr>
        <w:t>报告期内，公司及公司董事、监事、高级管理人员严格按照《公司法》、《证券法》、《上</w:t>
      </w:r>
      <w:r>
        <w:rPr>
          <w:w w:val="100"/>
        </w:rPr>
        <w:t> </w:t>
      </w:r>
      <w:r>
        <w:rPr>
          <w:spacing w:val="-1"/>
        </w:rPr>
        <w:t>市公司治理准则》、《上海证券交易所上市规则》和中国证券监督管理委员会有关法律法规的要</w:t>
      </w:r>
      <w:r>
        <w:rPr>
          <w:spacing w:val="-55"/>
        </w:rPr>
        <w:t> </w:t>
      </w:r>
      <w:r>
        <w:rPr>
          <w:spacing w:val="-55"/>
        </w:rPr>
      </w:r>
      <w:r>
        <w:rPr>
          <w:spacing w:val="-7"/>
        </w:rPr>
        <w:t>求和《公司章程》的规定履行职责，不断完善公司法人治理结构，规范公司运作。公司股东大会、</w:t>
      </w:r>
      <w:r>
        <w:rPr>
          <w:spacing w:val="-13"/>
        </w:rPr>
        <w:t> </w:t>
      </w:r>
      <w:r>
        <w:rPr>
          <w:spacing w:val="-13"/>
        </w:rPr>
      </w:r>
      <w:r>
        <w:rPr>
          <w:spacing w:val="-1"/>
        </w:rPr>
        <w:t>董事会、监事会、董事会各专门委员会依法履行各自职责，运作规范，切实保障了公司和股东的</w:t>
      </w:r>
      <w:r>
        <w:rPr>
          <w:spacing w:val="-55"/>
        </w:rPr>
        <w:t> </w:t>
      </w:r>
      <w:r>
        <w:rPr>
          <w:spacing w:val="-55"/>
        </w:rPr>
      </w:r>
      <w:r>
        <w:rPr/>
        <w:t>合法权益。</w:t>
      </w:r>
      <w:r>
        <w:rPr>
          <w:rFonts w:ascii="宋体" w:hAnsi="宋体" w:cs="宋体" w:eastAsia="宋体" w:hint="default"/>
          <w:spacing w:val="-3"/>
        </w:rPr>
        <w:t> </w:t>
      </w:r>
      <w:r>
        <w:rPr>
          <w:rFonts w:ascii="宋体" w:hAnsi="宋体" w:cs="宋体" w:eastAsia="宋体" w:hint="default"/>
        </w:rPr>
        <w:t> </w:t>
      </w:r>
    </w:p>
    <w:p>
      <w:pPr>
        <w:pStyle w:val="BodyText"/>
        <w:spacing w:line="237" w:lineRule="auto" w:before="1"/>
        <w:ind w:left="216" w:right="228" w:firstLine="420"/>
        <w:jc w:val="both"/>
        <w:rPr>
          <w:rFonts w:ascii="宋体" w:hAnsi="宋体" w:cs="宋体" w:eastAsia="宋体" w:hint="default"/>
        </w:rPr>
      </w:pPr>
      <w:r>
        <w:rPr>
          <w:rFonts w:ascii="宋体" w:hAnsi="宋体" w:cs="宋体" w:eastAsia="宋体" w:hint="default"/>
          <w:spacing w:val="-4"/>
        </w:rPr>
        <w:t>1</w:t>
      </w:r>
      <w:r>
        <w:rPr>
          <w:spacing w:val="-4"/>
        </w:rPr>
        <w:t>、关于公司独立性：公司具有独立的经营能力和管理体系，公司董事会、监事会和内部机构</w:t>
      </w:r>
      <w:r>
        <w:rPr>
          <w:w w:val="100"/>
        </w:rPr>
        <w:t> </w:t>
      </w:r>
      <w:r>
        <w:rPr>
          <w:spacing w:val="-1"/>
        </w:rPr>
        <w:t>能够独立运作，公司在人员、财务、资产、机构、业务等方面均与大股东分开，不存在大股东控</w:t>
      </w:r>
      <w:r>
        <w:rPr>
          <w:spacing w:val="-55"/>
        </w:rPr>
        <w:t> </w:t>
      </w:r>
      <w:r>
        <w:rPr>
          <w:spacing w:val="-55"/>
        </w:rPr>
      </w:r>
      <w:r>
        <w:rPr/>
        <w:t>制公司的情况。</w:t>
      </w:r>
      <w:r>
        <w:rPr>
          <w:rFonts w:ascii="宋体" w:hAnsi="宋体" w:cs="宋体" w:eastAsia="宋体" w:hint="default"/>
        </w:rPr>
        <w:t> </w:t>
      </w:r>
    </w:p>
    <w:p>
      <w:pPr>
        <w:pStyle w:val="BodyText"/>
        <w:spacing w:line="271" w:lineRule="exact"/>
        <w:ind w:left="637" w:right="0"/>
        <w:jc w:val="left"/>
      </w:pPr>
      <w:r>
        <w:rPr>
          <w:rFonts w:ascii="宋体" w:hAnsi="宋体" w:cs="宋体" w:eastAsia="宋体" w:hint="default"/>
          <w:spacing w:val="-4"/>
        </w:rPr>
        <w:t>2</w:t>
      </w:r>
      <w:r>
        <w:rPr>
          <w:spacing w:val="-4"/>
        </w:rPr>
        <w:t>、关于股东和股东大会：公司能够严格按照中国证监会《上市公司股东大会规范意见》以及</w:t>
      </w:r>
    </w:p>
    <w:p>
      <w:pPr>
        <w:pStyle w:val="BodyText"/>
        <w:spacing w:line="237" w:lineRule="auto" w:before="2"/>
        <w:ind w:left="216" w:right="229"/>
        <w:jc w:val="both"/>
        <w:rPr>
          <w:rFonts w:ascii="宋体" w:hAnsi="宋体" w:cs="宋体" w:eastAsia="宋体" w:hint="default"/>
        </w:rPr>
      </w:pPr>
      <w:r>
        <w:rPr>
          <w:spacing w:val="-1"/>
        </w:rPr>
        <w:t>《公司章程》、《股东大会议事规则》的要求，规范股东大会的召集、召开和表决程序，并聘请</w:t>
      </w:r>
      <w:r>
        <w:rPr>
          <w:spacing w:val="-55"/>
        </w:rPr>
        <w:t> </w:t>
      </w:r>
      <w:r>
        <w:rPr>
          <w:spacing w:val="-55"/>
        </w:rPr>
      </w:r>
      <w:r>
        <w:rPr>
          <w:spacing w:val="-1"/>
        </w:rPr>
        <w:t>律师见证会议的合法性和合规性，出具法律意见书，保证了股东大会的合法有效；公司能够平等</w:t>
      </w:r>
      <w:r>
        <w:rPr>
          <w:spacing w:val="-55"/>
        </w:rPr>
        <w:t> </w:t>
      </w:r>
      <w:r>
        <w:rPr>
          <w:spacing w:val="-55"/>
        </w:rPr>
      </w:r>
      <w:r>
        <w:rPr>
          <w:spacing w:val="-1"/>
        </w:rPr>
        <w:t>对待所有股东，特别是中小股东能和大股东享有平等地位，确保所有股东能够充分行使自己的权</w:t>
      </w:r>
      <w:r>
        <w:rPr>
          <w:spacing w:val="-55"/>
        </w:rPr>
        <w:t> </w:t>
      </w:r>
      <w:r>
        <w:rPr>
          <w:spacing w:val="-55"/>
        </w:rPr>
      </w:r>
      <w:r>
        <w:rPr/>
        <w:t>利。</w:t>
      </w:r>
      <w:r>
        <w:rPr>
          <w:rFonts w:ascii="宋体" w:hAnsi="宋体" w:cs="宋体" w:eastAsia="宋体" w:hint="default"/>
        </w:rPr>
        <w:t> </w:t>
      </w:r>
    </w:p>
    <w:p>
      <w:pPr>
        <w:pStyle w:val="BodyText"/>
        <w:spacing w:line="237" w:lineRule="auto" w:before="1"/>
        <w:ind w:left="216" w:right="229" w:firstLine="420"/>
        <w:jc w:val="both"/>
        <w:rPr>
          <w:rFonts w:ascii="宋体" w:hAnsi="宋体" w:cs="宋体" w:eastAsia="宋体" w:hint="default"/>
        </w:rPr>
      </w:pPr>
      <w:r>
        <w:rPr>
          <w:rFonts w:ascii="宋体" w:hAnsi="宋体" w:cs="宋体" w:eastAsia="宋体" w:hint="default"/>
          <w:spacing w:val="-4"/>
        </w:rPr>
        <w:t>3</w:t>
      </w:r>
      <w:r>
        <w:rPr>
          <w:spacing w:val="-4"/>
        </w:rPr>
        <w:t>、关于董事和董事会：公司董事会会议严格按照《董事会议事规则》的规定召集、召开、表</w:t>
      </w:r>
      <w:r>
        <w:rPr>
          <w:w w:val="100"/>
        </w:rPr>
        <w:t> </w:t>
      </w:r>
      <w:r>
        <w:rPr>
          <w:spacing w:val="-1"/>
        </w:rPr>
        <w:t>决，公司董事能够勤勉尽责，正确行使权利、履行义务、承担责任，充分发挥了董事在经营决策</w:t>
      </w:r>
      <w:r>
        <w:rPr>
          <w:spacing w:val="-55"/>
        </w:rPr>
        <w:t> </w:t>
      </w:r>
      <w:r>
        <w:rPr>
          <w:spacing w:val="-55"/>
        </w:rPr>
      </w:r>
      <w:r>
        <w:rPr/>
        <w:t>中的重要作用。</w:t>
      </w:r>
      <w:r>
        <w:rPr>
          <w:rFonts w:ascii="宋体" w:hAnsi="宋体" w:cs="宋体" w:eastAsia="宋体" w:hint="default"/>
        </w:rPr>
        <w:t> </w:t>
      </w:r>
    </w:p>
    <w:p>
      <w:pPr>
        <w:pStyle w:val="BodyText"/>
        <w:spacing w:line="237" w:lineRule="auto"/>
        <w:ind w:left="216" w:right="229" w:firstLine="420"/>
        <w:jc w:val="both"/>
        <w:rPr>
          <w:rFonts w:ascii="宋体" w:hAnsi="宋体" w:cs="宋体" w:eastAsia="宋体" w:hint="default"/>
        </w:rPr>
      </w:pPr>
      <w:r>
        <w:rPr>
          <w:rFonts w:ascii="宋体" w:hAnsi="宋体" w:cs="宋体" w:eastAsia="宋体" w:hint="default"/>
          <w:spacing w:val="-9"/>
        </w:rPr>
        <w:t>4</w:t>
      </w:r>
      <w:r>
        <w:rPr>
          <w:spacing w:val="-9"/>
        </w:rPr>
        <w:t>、关于监事和监事会：报告期内，公司监事会会议严格按照《监事会议事规则》的规定召集、</w:t>
      </w:r>
      <w:r>
        <w:rPr>
          <w:w w:val="100"/>
        </w:rPr>
        <w:t> </w:t>
      </w:r>
      <w:r>
        <w:rPr>
          <w:spacing w:val="-1"/>
        </w:rPr>
        <w:t>召开、表决，公司监事勤勉尽责，认真履行《公司法》和《公司章程》赋予的各项职责，保障了</w:t>
      </w:r>
      <w:r>
        <w:rPr>
          <w:spacing w:val="-55"/>
        </w:rPr>
        <w:t> </w:t>
      </w:r>
      <w:r>
        <w:rPr>
          <w:spacing w:val="-55"/>
        </w:rPr>
      </w:r>
      <w:r>
        <w:rPr/>
        <w:t>股东、公司和职工的合法权益不受侵犯。</w:t>
      </w:r>
      <w:r>
        <w:rPr>
          <w:rFonts w:ascii="宋体" w:hAnsi="宋体" w:cs="宋体" w:eastAsia="宋体" w:hint="default"/>
        </w:rPr>
        <w:t> </w:t>
      </w:r>
    </w:p>
    <w:p>
      <w:pPr>
        <w:pStyle w:val="BodyText"/>
        <w:spacing w:line="237" w:lineRule="auto" w:before="1"/>
        <w:ind w:left="216" w:right="229" w:firstLine="420"/>
        <w:jc w:val="both"/>
        <w:rPr>
          <w:rFonts w:ascii="宋体" w:hAnsi="宋体" w:cs="宋体" w:eastAsia="宋体" w:hint="default"/>
        </w:rPr>
      </w:pPr>
      <w:r>
        <w:rPr>
          <w:rFonts w:ascii="宋体" w:hAnsi="宋体" w:cs="宋体" w:eastAsia="宋体" w:hint="default"/>
          <w:spacing w:val="-4"/>
        </w:rPr>
        <w:t>5</w:t>
      </w:r>
      <w:r>
        <w:rPr>
          <w:spacing w:val="-4"/>
        </w:rPr>
        <w:t>、关于信息披露与透明度：报告期内，公司严格按照《公司法》、《证券法》、《上市公司</w:t>
      </w:r>
      <w:r>
        <w:rPr>
          <w:w w:val="100"/>
        </w:rPr>
        <w:t> </w:t>
      </w:r>
      <w:r>
        <w:rPr>
          <w:spacing w:val="-1"/>
        </w:rPr>
        <w:t>信息披露管理办法》等各项信息披露相关法律法规和规章制度的要求，履行上市公司信息披露义</w:t>
      </w:r>
      <w:r>
        <w:rPr>
          <w:spacing w:val="-55"/>
        </w:rPr>
        <w:t> </w:t>
      </w:r>
      <w:r>
        <w:rPr>
          <w:spacing w:val="-55"/>
        </w:rPr>
      </w:r>
      <w:r>
        <w:rPr/>
        <w:t>务，确保所有股东平等地获得信息，正确地做出投资决策，最大限度地保障其合法权益。</w:t>
      </w:r>
      <w:r>
        <w:rPr>
          <w:rFonts w:ascii="宋体" w:hAnsi="宋体" w:cs="宋体" w:eastAsia="宋体" w:hint="default"/>
        </w:rPr>
        <w:t> </w:t>
      </w:r>
    </w:p>
    <w:p>
      <w:pPr>
        <w:pStyle w:val="BodyText"/>
        <w:spacing w:line="237" w:lineRule="auto"/>
        <w:ind w:left="216" w:right="228" w:firstLine="420"/>
        <w:jc w:val="both"/>
        <w:rPr>
          <w:rFonts w:ascii="宋体" w:hAnsi="宋体" w:cs="宋体" w:eastAsia="宋体" w:hint="default"/>
        </w:rPr>
      </w:pPr>
      <w:r>
        <w:rPr>
          <w:rFonts w:ascii="宋体" w:hAnsi="宋体" w:cs="宋体" w:eastAsia="宋体" w:hint="default"/>
          <w:spacing w:val="-4"/>
        </w:rPr>
        <w:t>6</w:t>
      </w:r>
      <w:r>
        <w:rPr>
          <w:spacing w:val="-4"/>
        </w:rPr>
        <w:t>、关于投资者关系管理：公司一如既往重视投资者关系管理工作，并通过多种方式加强与投</w:t>
      </w:r>
      <w:r>
        <w:rPr>
          <w:w w:val="100"/>
        </w:rPr>
        <w:t> </w:t>
      </w:r>
      <w:r>
        <w:rPr>
          <w:spacing w:val="-1"/>
        </w:rPr>
        <w:t>资者的联系与交流。报告期内，在日常的投资者关系管理工作中，公司通过电话、电子邮件、投</w:t>
      </w:r>
      <w:r>
        <w:rPr>
          <w:spacing w:val="-55"/>
        </w:rPr>
        <w:t> </w:t>
      </w:r>
      <w:r>
        <w:rPr>
          <w:spacing w:val="-55"/>
        </w:rPr>
      </w:r>
      <w:r>
        <w:rPr/>
        <w:t>资者见面交流、网络说明会和“上证</w:t>
      </w:r>
      <w:r>
        <w:rPr>
          <w:spacing w:val="-51"/>
        </w:rPr>
        <w:t> </w:t>
      </w:r>
      <w:r>
        <w:rPr>
          <w:rFonts w:ascii="宋体" w:hAnsi="宋体" w:cs="宋体" w:eastAsia="宋体" w:hint="default"/>
        </w:rPr>
        <w:t>e</w:t>
      </w:r>
      <w:r>
        <w:rPr>
          <w:rFonts w:ascii="宋体" w:hAnsi="宋体" w:cs="宋体" w:eastAsia="宋体" w:hint="default"/>
          <w:spacing w:val="-49"/>
        </w:rPr>
        <w:t> </w:t>
      </w:r>
      <w:r>
        <w:rPr/>
        <w:t>互动”平台等方式，及时有效地解答投资者疑问，使投资</w:t>
      </w:r>
      <w:r>
        <w:rPr>
          <w:w w:val="100"/>
        </w:rPr>
        <w:t> </w:t>
      </w:r>
      <w:r>
        <w:rPr/>
        <w:t>者更进一步了解公司，维护了中小投资者利益。</w:t>
      </w:r>
      <w:r>
        <w:rPr>
          <w:rFonts w:ascii="宋体" w:hAnsi="宋体" w:cs="宋体" w:eastAsia="宋体" w:hint="default"/>
        </w:rPr>
        <w:t> </w:t>
      </w:r>
    </w:p>
    <w:p>
      <w:pPr>
        <w:pStyle w:val="BodyText"/>
        <w:spacing w:line="272" w:lineRule="exact"/>
        <w:ind w:left="637" w:right="0"/>
        <w:jc w:val="left"/>
        <w:rPr>
          <w:rFonts w:ascii="宋体" w:hAnsi="宋体" w:cs="宋体" w:eastAsia="宋体" w:hint="default"/>
        </w:rPr>
      </w:pPr>
      <w:r>
        <w:rPr/>
        <w:t>公司治理结构完善，符合相关法律法规</w:t>
      </w:r>
      <w:r>
        <w:rPr>
          <w:rFonts w:ascii="宋体" w:hAnsi="宋体" w:cs="宋体" w:eastAsia="宋体" w:hint="default"/>
        </w:rPr>
        <w:t>,</w:t>
      </w:r>
      <w:r>
        <w:rPr/>
        <w:t>与中国证监会有关文件的要求不存在差异。</w:t>
      </w:r>
      <w:r>
        <w:rPr>
          <w:rFonts w:ascii="宋体" w:hAnsi="宋体" w:cs="宋体" w:eastAsia="宋体" w:hint="default"/>
        </w:rPr>
        <w:t> </w:t>
      </w:r>
    </w:p>
    <w:p>
      <w:pPr>
        <w:pStyle w:val="BodyText"/>
        <w:spacing w:line="240" w:lineRule="auto"/>
        <w:ind w:left="637" w:right="0"/>
        <w:jc w:val="left"/>
        <w:rPr>
          <w:rFonts w:ascii="宋体" w:hAnsi="宋体" w:cs="宋体" w:eastAsia="宋体" w:hint="default"/>
        </w:rPr>
      </w:pPr>
      <w:r>
        <w:rPr>
          <w:rFonts w:ascii="宋体" w:hAnsi="宋体" w:cs="宋体" w:eastAsia="宋体" w:hint="default"/>
          <w:w w:val="100"/>
        </w:rPr>
        <w:t>  </w:t>
      </w:r>
      <w:r>
        <w:rPr>
          <w:w w:val="100"/>
        </w:rPr>
        <w:t>公司</w:t>
      </w:r>
      <w:r>
        <w:rPr>
          <w:spacing w:val="-3"/>
          <w:w w:val="100"/>
        </w:rPr>
        <w:t>治</w:t>
      </w:r>
      <w:r>
        <w:rPr>
          <w:w w:val="100"/>
        </w:rPr>
        <w:t>理</w:t>
      </w:r>
      <w:r>
        <w:rPr>
          <w:spacing w:val="-3"/>
          <w:w w:val="100"/>
        </w:rPr>
        <w:t>与</w:t>
      </w:r>
      <w:r>
        <w:rPr>
          <w:w w:val="100"/>
        </w:rPr>
        <w:t>中</w:t>
      </w:r>
      <w:r>
        <w:rPr>
          <w:spacing w:val="-3"/>
          <w:w w:val="100"/>
        </w:rPr>
        <w:t>国</w:t>
      </w:r>
      <w:r>
        <w:rPr>
          <w:w w:val="100"/>
        </w:rPr>
        <w:t>证</w:t>
      </w:r>
      <w:r>
        <w:rPr>
          <w:spacing w:val="-3"/>
          <w:w w:val="100"/>
        </w:rPr>
        <w:t>监</w:t>
      </w:r>
      <w:r>
        <w:rPr>
          <w:w w:val="100"/>
        </w:rPr>
        <w:t>会</w:t>
      </w:r>
      <w:r>
        <w:rPr>
          <w:spacing w:val="-3"/>
          <w:w w:val="100"/>
        </w:rPr>
        <w:t>相</w:t>
      </w:r>
      <w:r>
        <w:rPr>
          <w:w w:val="100"/>
        </w:rPr>
        <w:t>关规</w:t>
      </w:r>
      <w:r>
        <w:rPr>
          <w:spacing w:val="-3"/>
          <w:w w:val="100"/>
        </w:rPr>
        <w:t>定</w:t>
      </w:r>
      <w:r>
        <w:rPr>
          <w:w w:val="100"/>
        </w:rPr>
        <w:t>的</w:t>
      </w:r>
      <w:r>
        <w:rPr>
          <w:spacing w:val="-3"/>
          <w:w w:val="100"/>
        </w:rPr>
        <w:t>要</w:t>
      </w:r>
      <w:r>
        <w:rPr>
          <w:w w:val="100"/>
        </w:rPr>
        <w:t>求</w:t>
      </w:r>
      <w:r>
        <w:rPr>
          <w:spacing w:val="-3"/>
          <w:w w:val="100"/>
        </w:rPr>
        <w:t>是</w:t>
      </w:r>
      <w:r>
        <w:rPr>
          <w:w w:val="100"/>
        </w:rPr>
        <w:t>否</w:t>
      </w:r>
      <w:r>
        <w:rPr>
          <w:spacing w:val="-3"/>
          <w:w w:val="100"/>
        </w:rPr>
        <w:t>存</w:t>
      </w:r>
      <w:r>
        <w:rPr>
          <w:spacing w:val="-1"/>
          <w:w w:val="100"/>
        </w:rPr>
        <w:t>在</w:t>
      </w:r>
      <w:r>
        <w:rPr>
          <w:spacing w:val="-3"/>
          <w:w w:val="100"/>
        </w:rPr>
        <w:t>重</w:t>
      </w:r>
      <w:r>
        <w:rPr>
          <w:w w:val="100"/>
        </w:rPr>
        <w:t>大差</w:t>
      </w:r>
      <w:r>
        <w:rPr>
          <w:spacing w:val="-3"/>
          <w:w w:val="100"/>
        </w:rPr>
        <w:t>异</w:t>
      </w:r>
      <w:r>
        <w:rPr>
          <w:w w:val="100"/>
        </w:rPr>
        <w:t>；</w:t>
      </w:r>
      <w:r>
        <w:rPr>
          <w:spacing w:val="-3"/>
          <w:w w:val="100"/>
        </w:rPr>
        <w:t>如</w:t>
      </w:r>
      <w:r>
        <w:rPr>
          <w:spacing w:val="-1"/>
          <w:w w:val="100"/>
        </w:rPr>
        <w:t>有</w:t>
      </w:r>
      <w:r>
        <w:rPr>
          <w:spacing w:val="-3"/>
          <w:w w:val="100"/>
        </w:rPr>
        <w:t>重</w:t>
      </w:r>
      <w:r>
        <w:rPr>
          <w:w w:val="100"/>
        </w:rPr>
        <w:t>大</w:t>
      </w:r>
      <w:r>
        <w:rPr>
          <w:spacing w:val="-3"/>
          <w:w w:val="100"/>
        </w:rPr>
        <w:t>差</w:t>
      </w:r>
      <w:r>
        <w:rPr>
          <w:w w:val="100"/>
        </w:rPr>
        <w:t>异</w:t>
      </w:r>
      <w:r>
        <w:rPr>
          <w:spacing w:val="-3"/>
          <w:w w:val="100"/>
        </w:rPr>
        <w:t>，</w:t>
      </w:r>
      <w:r>
        <w:rPr>
          <w:w w:val="100"/>
        </w:rPr>
        <w:t>应当</w:t>
      </w:r>
      <w:r>
        <w:rPr>
          <w:spacing w:val="-3"/>
          <w:w w:val="100"/>
        </w:rPr>
        <w:t>说</w:t>
      </w:r>
      <w:r>
        <w:rPr>
          <w:w w:val="100"/>
        </w:rPr>
        <w:t>明</w:t>
      </w:r>
      <w:r>
        <w:rPr>
          <w:spacing w:val="-3"/>
          <w:w w:val="100"/>
        </w:rPr>
        <w:t>原因</w:t>
      </w:r>
      <w:r>
        <w:rPr>
          <w:rFonts w:ascii="宋体" w:hAnsi="宋体" w:cs="宋体" w:eastAsia="宋体" w:hint="default"/>
          <w:w w:val="100"/>
        </w:rPr>
        <w:t> </w:t>
      </w:r>
    </w:p>
    <w:p>
      <w:pPr>
        <w:pStyle w:val="Heading3"/>
        <w:spacing w:line="303" w:lineRule="exact"/>
        <w:ind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right="0"/>
        <w:jc w:val="both"/>
        <w:rPr>
          <w:rFonts w:ascii="宋体" w:hAnsi="宋体" w:cs="宋体" w:eastAsia="宋体" w:hint="default"/>
        </w:rPr>
      </w:pPr>
      <w:r>
        <w:rPr>
          <w:rFonts w:ascii="宋体"/>
        </w:rPr>
        <w:t> </w:t>
      </w:r>
    </w:p>
    <w:p>
      <w:pPr>
        <w:pStyle w:val="Heading5"/>
        <w:spacing w:line="240" w:lineRule="auto"/>
        <w:ind w:right="0"/>
        <w:jc w:val="both"/>
        <w:rPr>
          <w:b w:val="0"/>
          <w:bCs w:val="0"/>
        </w:rPr>
      </w:pPr>
      <w:r>
        <w:rPr/>
        <w:t>二、</w:t>
      </w:r>
      <w:r>
        <w:rPr>
          <w:spacing w:val="-101"/>
        </w:rPr>
        <w:t> </w:t>
      </w:r>
      <w:r>
        <w:rPr>
          <w:rFonts w:ascii="宋体" w:hAnsi="宋体" w:cs="宋体" w:eastAsia="宋体" w:hint="default"/>
          <w:spacing w:val="-101"/>
        </w:rPr>
      </w:r>
      <w:r>
        <w:rPr/>
        <w:t>股东大会情况简介</w:t>
      </w:r>
      <w:r>
        <w:rPr>
          <w:b w:val="0"/>
          <w:bCs w:val="0"/>
        </w:rPr>
      </w:r>
    </w:p>
    <w:p>
      <w:pPr>
        <w:spacing w:line="240" w:lineRule="auto" w:before="12"/>
        <w:rPr>
          <w:rFonts w:ascii="宋体" w:hAnsi="宋体" w:cs="宋体" w:eastAsia="宋体" w:hint="default"/>
          <w:b/>
          <w:bCs/>
          <w:sz w:val="6"/>
          <w:szCs w:val="6"/>
        </w:rPr>
      </w:pPr>
    </w:p>
    <w:tbl>
      <w:tblPr>
        <w:tblW w:w="0" w:type="auto"/>
        <w:jc w:val="left"/>
        <w:tblInd w:w="103" w:type="dxa"/>
        <w:tblLayout w:type="fixed"/>
        <w:tblCellMar>
          <w:top w:w="0" w:type="dxa"/>
          <w:left w:w="0" w:type="dxa"/>
          <w:bottom w:w="0" w:type="dxa"/>
          <w:right w:w="0" w:type="dxa"/>
        </w:tblCellMar>
        <w:tblLook w:val="01E0"/>
      </w:tblPr>
      <w:tblGrid>
        <w:gridCol w:w="2905"/>
        <w:gridCol w:w="1889"/>
        <w:gridCol w:w="2091"/>
        <w:gridCol w:w="2165"/>
      </w:tblGrid>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7" w:right="0"/>
              <w:jc w:val="left"/>
              <w:rPr>
                <w:rFonts w:ascii="宋体" w:hAnsi="宋体" w:cs="宋体" w:eastAsia="宋体" w:hint="default"/>
                <w:sz w:val="21"/>
                <w:szCs w:val="21"/>
              </w:rPr>
            </w:pPr>
            <w:r>
              <w:rPr>
                <w:rFonts w:ascii="宋体" w:hAnsi="宋体" w:cs="宋体" w:eastAsia="宋体" w:hint="default"/>
                <w:sz w:val="21"/>
                <w:szCs w:val="21"/>
              </w:rPr>
              <w:t>会议届次</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18" w:right="0"/>
              <w:jc w:val="left"/>
              <w:rPr>
                <w:rFonts w:ascii="宋体" w:hAnsi="宋体" w:cs="宋体" w:eastAsia="宋体" w:hint="default"/>
                <w:sz w:val="21"/>
                <w:szCs w:val="21"/>
              </w:rPr>
            </w:pPr>
            <w:r>
              <w:rPr>
                <w:rFonts w:ascii="宋体" w:hAnsi="宋体" w:cs="宋体" w:eastAsia="宋体" w:hint="default"/>
                <w:sz w:val="21"/>
                <w:szCs w:val="21"/>
              </w:rPr>
              <w:t>召开日期</w:t>
            </w:r>
            <w:r>
              <w:rPr>
                <w:rFonts w:ascii="宋体" w:hAnsi="宋体" w:cs="宋体" w:eastAsia="宋体" w:hint="default"/>
                <w:sz w:val="21"/>
                <w:szCs w:val="21"/>
              </w:rPr>
              <w:t> </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决议刊登的指定网</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站的查询索引</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1"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pgSz w:w="11910" w:h="16840"/>
          <w:pgMar w:header="877" w:footer="1195" w:top="1100" w:bottom="1380" w:left="1060" w:right="1560"/>
        </w:sectPr>
      </w:pPr>
    </w:p>
    <w:p>
      <w:pPr>
        <w:spacing w:line="240" w:lineRule="auto" w:before="8"/>
        <w:rPr>
          <w:rFonts w:ascii="宋体" w:hAnsi="宋体" w:cs="宋体" w:eastAsia="宋体" w:hint="default"/>
          <w:b/>
          <w:bCs/>
          <w:sz w:val="24"/>
          <w:szCs w:val="24"/>
        </w:rPr>
      </w:pPr>
    </w:p>
    <w:tbl>
      <w:tblPr>
        <w:tblW w:w="0" w:type="auto"/>
        <w:jc w:val="left"/>
        <w:tblInd w:w="103" w:type="dxa"/>
        <w:tblLayout w:type="fixed"/>
        <w:tblCellMar>
          <w:top w:w="0" w:type="dxa"/>
          <w:left w:w="0" w:type="dxa"/>
          <w:bottom w:w="0" w:type="dxa"/>
          <w:right w:w="0" w:type="dxa"/>
        </w:tblCellMar>
        <w:tblLook w:val="01E0"/>
      </w:tblPr>
      <w:tblGrid>
        <w:gridCol w:w="2905"/>
        <w:gridCol w:w="1889"/>
        <w:gridCol w:w="2091"/>
        <w:gridCol w:w="2165"/>
      </w:tblGrid>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7"/>
                <w:sz w:val="21"/>
                <w:szCs w:val="21"/>
              </w:rPr>
              <w:t> </w:t>
            </w:r>
            <w:r>
              <w:rPr>
                <w:rFonts w:ascii="宋体" w:hAnsi="宋体" w:cs="宋体" w:eastAsia="宋体" w:hint="default"/>
                <w:sz w:val="21"/>
                <w:szCs w:val="21"/>
              </w:rPr>
              <w:t>年第一次临时股东大会</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1">
              <w:r>
                <w:rPr>
                  <w:rFonts w:ascii="宋体"/>
                  <w:sz w:val="21"/>
                </w:rPr>
                <w:t>www.sse.com.cn</w:t>
              </w:r>
            </w:hyperlink>
            <w:r>
              <w:rPr>
                <w:rFonts w:ascii="宋体"/>
                <w:spacing w:val="-3"/>
                <w:sz w:val="21"/>
              </w:rPr>
              <w:t> </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7"/>
                <w:sz w:val="21"/>
                <w:szCs w:val="21"/>
              </w:rPr>
              <w:t> </w:t>
            </w:r>
            <w:r>
              <w:rPr>
                <w:rFonts w:ascii="宋体" w:hAnsi="宋体" w:cs="宋体" w:eastAsia="宋体" w:hint="default"/>
                <w:sz w:val="21"/>
                <w:szCs w:val="21"/>
              </w:rPr>
              <w:t>年年度股东大会</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1">
              <w:r>
                <w:rPr>
                  <w:rFonts w:ascii="宋体"/>
                  <w:sz w:val="21"/>
                </w:rPr>
                <w:t>www.sse.com.cn</w:t>
              </w:r>
            </w:hyperlink>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bl>
    <w:p>
      <w:pPr>
        <w:pStyle w:val="Heading3"/>
        <w:spacing w:line="274" w:lineRule="exact"/>
        <w:ind w:right="0"/>
        <w:jc w:val="left"/>
        <w:rPr>
          <w:rFonts w:ascii="宋体" w:hAnsi="宋体" w:cs="宋体" w:eastAsia="宋体" w:hint="default"/>
        </w:rPr>
      </w:pPr>
      <w:r>
        <w:rPr>
          <w:rFonts w:ascii="宋体"/>
        </w:rPr>
        <w:t> </w:t>
      </w:r>
    </w:p>
    <w:p>
      <w:pPr>
        <w:pStyle w:val="BodyText"/>
        <w:spacing w:line="271" w:lineRule="exact" w:before="4"/>
        <w:ind w:left="216" w:right="0"/>
        <w:jc w:val="left"/>
        <w:rPr>
          <w:rFonts w:ascii="宋体" w:hAnsi="宋体" w:cs="宋体" w:eastAsia="宋体" w:hint="default"/>
        </w:rPr>
      </w:pPr>
      <w:r>
        <w:rPr/>
        <w:t>股东大会情况说明</w:t>
      </w:r>
      <w:r>
        <w:rPr>
          <w:rFonts w:ascii="宋体" w:hAnsi="宋体" w:cs="宋体" w:eastAsia="宋体" w:hint="default"/>
        </w:rPr>
        <w:t> </w:t>
      </w:r>
    </w:p>
    <w:p>
      <w:pPr>
        <w:pStyle w:val="Heading3"/>
        <w:spacing w:line="308"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right="0"/>
        <w:jc w:val="left"/>
        <w:rPr>
          <w:rFonts w:ascii="宋体" w:hAnsi="宋体" w:cs="宋体" w:eastAsia="宋体" w:hint="default"/>
        </w:rPr>
      </w:pPr>
      <w:r>
        <w:rPr>
          <w:rFonts w:ascii="宋体"/>
        </w:rPr>
        <w:t> </w:t>
      </w:r>
    </w:p>
    <w:p>
      <w:pPr>
        <w:pStyle w:val="Heading5"/>
        <w:spacing w:line="240" w:lineRule="auto"/>
        <w:ind w:right="0"/>
        <w:jc w:val="left"/>
        <w:rPr>
          <w:b w:val="0"/>
          <w:bCs w:val="0"/>
        </w:rPr>
      </w:pPr>
      <w:r>
        <w:rPr/>
        <w:t>三、</w:t>
      </w:r>
      <w:r>
        <w:rPr>
          <w:spacing w:val="-101"/>
        </w:rPr>
        <w:t> </w:t>
      </w:r>
      <w:r>
        <w:rPr>
          <w:rFonts w:ascii="宋体" w:hAnsi="宋体" w:cs="宋体" w:eastAsia="宋体" w:hint="default"/>
          <w:spacing w:val="-101"/>
        </w:rPr>
      </w:r>
      <w:r>
        <w:rPr/>
        <w:t>董事履行职责情况</w:t>
      </w:r>
      <w:r>
        <w:rPr>
          <w:b w:val="0"/>
          <w:bCs w:val="0"/>
        </w:rPr>
      </w:r>
    </w:p>
    <w:p>
      <w:pPr>
        <w:pStyle w:val="Heading5"/>
        <w:spacing w:line="240" w:lineRule="auto" w:before="56"/>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3" w:type="dxa"/>
        <w:tblLayout w:type="fixed"/>
        <w:tblCellMar>
          <w:top w:w="0" w:type="dxa"/>
          <w:left w:w="0" w:type="dxa"/>
          <w:bottom w:w="0" w:type="dxa"/>
          <w:right w:w="0" w:type="dxa"/>
        </w:tblCellMar>
        <w:tblLook w:val="01E0"/>
      </w:tblPr>
      <w:tblGrid>
        <w:gridCol w:w="982"/>
        <w:gridCol w:w="847"/>
        <w:gridCol w:w="1100"/>
        <w:gridCol w:w="852"/>
        <w:gridCol w:w="967"/>
        <w:gridCol w:w="905"/>
        <w:gridCol w:w="845"/>
        <w:gridCol w:w="1291"/>
        <w:gridCol w:w="1261"/>
      </w:tblGrid>
      <w:tr>
        <w:trPr>
          <w:trHeight w:val="571" w:hRule="exact"/>
        </w:trPr>
        <w:tc>
          <w:tcPr>
            <w:tcW w:w="9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276" w:right="168"/>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w w:val="100"/>
                <w:sz w:val="21"/>
                <w:szCs w:val="21"/>
              </w:rPr>
              <w:t> </w:t>
            </w:r>
            <w:r>
              <w:rPr>
                <w:rFonts w:ascii="宋体" w:hAnsi="宋体" w:cs="宋体" w:eastAsia="宋体" w:hint="default"/>
                <w:sz w:val="21"/>
                <w:szCs w:val="21"/>
              </w:rPr>
              <w:t>姓名</w:t>
            </w:r>
            <w:r>
              <w:rPr>
                <w:rFonts w:ascii="宋体" w:hAnsi="宋体" w:cs="宋体" w:eastAsia="宋体" w:hint="default"/>
                <w:sz w:val="21"/>
                <w:szCs w:val="21"/>
              </w:rPr>
              <w:t> </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100" w:right="-1"/>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r>
              <w:rPr>
                <w:rFonts w:ascii="宋体" w:hAnsi="宋体" w:cs="宋体" w:eastAsia="宋体" w:hint="default"/>
                <w:sz w:val="21"/>
                <w:szCs w:val="21"/>
              </w:rPr>
              <w:t> </w:t>
            </w:r>
          </w:p>
        </w:tc>
        <w:tc>
          <w:tcPr>
            <w:tcW w:w="596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1" w:right="0"/>
              <w:jc w:val="center"/>
              <w:rPr>
                <w:rFonts w:ascii="宋体" w:hAnsi="宋体" w:cs="宋体" w:eastAsia="宋体" w:hint="default"/>
                <w:sz w:val="21"/>
                <w:szCs w:val="21"/>
              </w:rPr>
            </w:pPr>
            <w:r>
              <w:rPr>
                <w:rFonts w:ascii="宋体" w:hAnsi="宋体" w:cs="宋体" w:eastAsia="宋体" w:hint="default"/>
                <w:sz w:val="21"/>
                <w:szCs w:val="21"/>
              </w:rPr>
              <w:t>参加董事会情况</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204" w:right="98"/>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r>
              <w:rPr>
                <w:rFonts w:ascii="宋体" w:hAnsi="宋体" w:cs="宋体" w:eastAsia="宋体" w:hint="default"/>
                <w:sz w:val="21"/>
                <w:szCs w:val="21"/>
              </w:rPr>
              <w:t> </w:t>
            </w:r>
          </w:p>
        </w:tc>
      </w:tr>
      <w:tr>
        <w:trPr>
          <w:trHeight w:val="826" w:hRule="exact"/>
        </w:trPr>
        <w:tc>
          <w:tcPr>
            <w:tcW w:w="982"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7"/>
              <w:ind w:left="331" w:right="123" w:hanging="209"/>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0"/>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7"/>
              <w:ind w:left="160" w:right="59"/>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r>
              <w:rPr>
                <w:rFonts w:ascii="宋体" w:hAnsi="宋体" w:cs="宋体" w:eastAsia="宋体" w:hint="default"/>
                <w:sz w:val="21"/>
                <w:szCs w:val="21"/>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31" w:right="24"/>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6" w:right="101"/>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w w:val="100"/>
                <w:sz w:val="21"/>
                <w:szCs w:val="21"/>
              </w:rPr>
              <w:t> </w:t>
            </w:r>
            <w:r>
              <w:rPr>
                <w:rFonts w:ascii="宋体" w:hAnsi="宋体" w:cs="宋体" w:eastAsia="宋体" w:hint="default"/>
                <w:sz w:val="21"/>
                <w:szCs w:val="21"/>
              </w:rPr>
              <w:t>次数</w:t>
            </w:r>
            <w:r>
              <w:rPr>
                <w:rFonts w:ascii="宋体" w:hAnsi="宋体" w:cs="宋体" w:eastAsia="宋体" w:hint="default"/>
                <w:sz w:val="21"/>
                <w:szCs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7"/>
              <w:ind w:left="323" w:right="110"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7"/>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黄代放</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w w:val="100"/>
                <w:sz w:val="21"/>
              </w:rPr>
              <w:t>9</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张兴虎</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9</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1"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杨剑</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9</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2</w:t>
            </w:r>
          </w:p>
        </w:tc>
      </w:tr>
      <w:tr>
        <w:trPr>
          <w:trHeight w:val="283"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刘挺</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w w:val="100"/>
                <w:sz w:val="21"/>
              </w:rPr>
              <w:t>9</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1</w:t>
            </w:r>
          </w:p>
        </w:tc>
      </w:tr>
      <w:tr>
        <w:trPr>
          <w:trHeight w:val="283"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夏清</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9</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2</w:t>
            </w:r>
          </w:p>
        </w:tc>
      </w:tr>
      <w:tr>
        <w:trPr>
          <w:trHeight w:val="281"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储一昀</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9</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2</w:t>
            </w:r>
          </w:p>
        </w:tc>
      </w:tr>
      <w:tr>
        <w:trPr>
          <w:trHeight w:val="283"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王晋勇</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9</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2</w:t>
            </w:r>
          </w:p>
        </w:tc>
      </w:tr>
    </w:tbl>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69" w:lineRule="exact"/>
        <w:ind w:left="216" w:right="0"/>
        <w:jc w:val="left"/>
        <w:rPr>
          <w:rFonts w:ascii="宋体" w:hAnsi="宋体" w:cs="宋体" w:eastAsia="宋体" w:hint="default"/>
        </w:rPr>
      </w:pPr>
      <w:r>
        <w:rPr/>
        <w:t>连续两次未亲自出席董事会会议的说明</w:t>
      </w:r>
      <w:r>
        <w:rPr>
          <w:rFonts w:ascii="宋体" w:hAnsi="宋体" w:cs="宋体" w:eastAsia="宋体" w:hint="default"/>
        </w:rPr>
        <w:t> </w:t>
      </w:r>
    </w:p>
    <w:p>
      <w:pPr>
        <w:pStyle w:val="Heading3"/>
        <w:spacing w:line="308"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525"/>
        <w:gridCol w:w="4525"/>
      </w:tblGrid>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9</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1</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bl>
    <w:p>
      <w:pPr>
        <w:pStyle w:val="Heading3"/>
        <w:spacing w:line="274" w:lineRule="exact"/>
        <w:ind w:right="0"/>
        <w:jc w:val="left"/>
        <w:rPr>
          <w:rFonts w:ascii="宋体" w:hAnsi="宋体" w:cs="宋体" w:eastAsia="宋体" w:hint="default"/>
        </w:rPr>
      </w:pPr>
      <w:r>
        <w:rPr>
          <w:rFonts w:ascii="宋体"/>
        </w:rPr>
        <w:t> </w:t>
      </w:r>
    </w:p>
    <w:p>
      <w:pPr>
        <w:pStyle w:val="Heading5"/>
        <w:spacing w:line="240"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Heading3"/>
        <w:spacing w:line="313" w:lineRule="exact" w:before="23"/>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right="0"/>
        <w:jc w:val="left"/>
        <w:rPr>
          <w:rFonts w:ascii="宋体" w:hAnsi="宋体" w:cs="宋体" w:eastAsia="宋体" w:hint="default"/>
        </w:rPr>
      </w:pPr>
      <w:r>
        <w:rPr>
          <w:rFonts w:ascii="宋体"/>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40" w:lineRule="auto" w:before="61"/>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Heading3"/>
        <w:spacing w:line="313" w:lineRule="exact" w:before="25"/>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40" w:lineRule="auto" w:before="62"/>
        <w:ind w:left="642" w:right="0" w:hanging="426"/>
        <w:jc w:val="left"/>
        <w:rPr>
          <w:b w:val="0"/>
          <w:bCs w:val="0"/>
        </w:rPr>
      </w:pPr>
      <w:r>
        <w:rPr/>
        <w:t>四、</w:t>
      </w:r>
      <w:r>
        <w:rPr>
          <w:spacing w:val="-95"/>
        </w:rPr>
        <w:t> </w:t>
      </w:r>
      <w:r>
        <w:rPr>
          <w:rFonts w:ascii="宋体" w:hAnsi="宋体" w:cs="宋体" w:eastAsia="宋体" w:hint="default"/>
          <w:spacing w:val="-95"/>
        </w:rPr>
      </w:r>
      <w:r>
        <w:rPr/>
        <w:t>董事会下设专门委员会在报告期内履行职责时所提出的重要意见和建议，存在异议事项的，</w:t>
      </w:r>
      <w:r>
        <w:rPr>
          <w:spacing w:val="-42"/>
        </w:rPr>
        <w:t> </w:t>
      </w:r>
      <w:r>
        <w:rPr>
          <w:spacing w:val="-42"/>
        </w:rPr>
      </w:r>
      <w:r>
        <w:rPr/>
        <w:t>应当披露具体情况</w:t>
      </w:r>
      <w:r>
        <w:rPr>
          <w:b w:val="0"/>
          <w:bCs w:val="0"/>
        </w:rPr>
      </w:r>
    </w:p>
    <w:p>
      <w:pPr>
        <w:pStyle w:val="Heading3"/>
        <w:spacing w:line="313" w:lineRule="exact"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40" w:lineRule="auto"/>
        <w:ind w:right="0"/>
        <w:jc w:val="left"/>
        <w:rPr>
          <w:b w:val="0"/>
          <w:bCs w:val="0"/>
        </w:rPr>
      </w:pPr>
      <w:r>
        <w:rPr/>
        <w:t>五、</w:t>
      </w:r>
      <w:r>
        <w:rPr>
          <w:spacing w:val="-91"/>
        </w:rPr>
        <w:t> </w:t>
      </w:r>
      <w:r>
        <w:rPr>
          <w:rFonts w:ascii="宋体" w:hAnsi="宋体" w:cs="宋体" w:eastAsia="宋体" w:hint="default"/>
          <w:spacing w:val="-91"/>
        </w:rPr>
      </w:r>
      <w:r>
        <w:rPr>
          <w:spacing w:val="-1"/>
        </w:rPr>
        <w:t>监事会发现公司存在风险的说明</w:t>
      </w:r>
      <w:r>
        <w:rPr>
          <w:b w:val="0"/>
          <w:bCs w:val="0"/>
          <w:spacing w:val="-1"/>
        </w:rPr>
      </w:r>
    </w:p>
    <w:p>
      <w:pPr>
        <w:pStyle w:val="Heading3"/>
        <w:spacing w:line="313" w:lineRule="exact"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pgSz w:w="11910" w:h="16840"/>
          <w:pgMar w:header="877" w:footer="1195" w:top="1100" w:bottom="1380" w:left="1060" w:right="1560"/>
        </w:sectPr>
      </w:pPr>
    </w:p>
    <w:p>
      <w:pPr>
        <w:spacing w:line="240" w:lineRule="auto" w:before="3"/>
        <w:rPr>
          <w:rFonts w:ascii="宋体" w:hAnsi="宋体" w:cs="宋体" w:eastAsia="宋体" w:hint="default"/>
          <w:sz w:val="19"/>
          <w:szCs w:val="19"/>
        </w:rPr>
      </w:pPr>
    </w:p>
    <w:p>
      <w:pPr>
        <w:pStyle w:val="Heading5"/>
        <w:spacing w:line="272" w:lineRule="exact"/>
        <w:ind w:left="642" w:right="0" w:hanging="426"/>
        <w:jc w:val="left"/>
        <w:rPr>
          <w:b w:val="0"/>
          <w:bCs w:val="0"/>
        </w:rPr>
      </w:pPr>
      <w:r>
        <w:rPr/>
        <w:t>六、</w:t>
      </w:r>
      <w:r>
        <w:rPr>
          <w:spacing w:val="-99"/>
        </w:rPr>
        <w:t> </w:t>
      </w:r>
      <w:r>
        <w:rPr>
          <w:rFonts w:ascii="宋体" w:hAnsi="宋体" w:cs="宋体" w:eastAsia="宋体" w:hint="default"/>
          <w:spacing w:val="-99"/>
        </w:rPr>
      </w:r>
      <w:r>
        <w:rPr>
          <w:spacing w:val="-2"/>
        </w:rPr>
        <w:t>公司就其与控股股东在业务、人员、资产、机构、财务等方面存在的不能保证独立性、不能</w:t>
      </w:r>
      <w:r>
        <w:rPr>
          <w:spacing w:val="-59"/>
        </w:rPr>
        <w:t> </w:t>
      </w:r>
      <w:r>
        <w:rPr>
          <w:spacing w:val="-59"/>
        </w:rPr>
      </w:r>
      <w:r>
        <w:rPr/>
        <w:t>保持自主经营能力的情况说明</w:t>
      </w:r>
      <w:r>
        <w:rPr>
          <w:b w:val="0"/>
          <w:bCs w:val="0"/>
        </w:rPr>
      </w:r>
    </w:p>
    <w:p>
      <w:pPr>
        <w:pStyle w:val="Heading3"/>
        <w:spacing w:line="313" w:lineRule="exact" w:before="27"/>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2" w:lineRule="exact"/>
        <w:ind w:right="0"/>
        <w:jc w:val="left"/>
        <w:rPr>
          <w:rFonts w:ascii="宋体" w:hAnsi="宋体" w:cs="宋体" w:eastAsia="宋体" w:hint="default"/>
        </w:rPr>
      </w:pPr>
      <w:r>
        <w:rPr>
          <w:rFonts w:ascii="宋体"/>
        </w:rPr>
        <w:t> </w:t>
      </w:r>
    </w:p>
    <w:p>
      <w:pPr>
        <w:pStyle w:val="Heading4"/>
        <w:spacing w:line="285" w:lineRule="exact"/>
        <w:ind w:left="216" w:right="0"/>
        <w:jc w:val="left"/>
        <w:rPr>
          <w:rFonts w:ascii="宋体" w:hAnsi="宋体" w:cs="宋体" w:eastAsia="宋体" w:hint="default"/>
        </w:rPr>
      </w:pPr>
      <w:r>
        <w:rPr/>
        <w:t>存在同业竞争的，公司相应的解决措施、工作进度及后续工作计划</w:t>
      </w:r>
      <w:r>
        <w:rPr>
          <w:rFonts w:ascii="宋体" w:hAnsi="宋体" w:cs="宋体" w:eastAsia="宋体" w:hint="default"/>
        </w:rPr>
        <w:t> </w:t>
      </w:r>
    </w:p>
    <w:p>
      <w:pPr>
        <w:pStyle w:val="Heading3"/>
        <w:spacing w:line="311" w:lineRule="exact"/>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40" w:lineRule="auto"/>
        <w:ind w:right="0"/>
        <w:jc w:val="left"/>
        <w:rPr>
          <w:b w:val="0"/>
          <w:bCs w:val="0"/>
        </w:rPr>
      </w:pPr>
      <w:r>
        <w:rPr/>
        <w:t>七、</w:t>
      </w:r>
      <w:r>
        <w:rPr>
          <w:spacing w:val="-73"/>
        </w:rPr>
        <w:t> </w:t>
      </w:r>
      <w:r>
        <w:rPr>
          <w:rFonts w:ascii="宋体" w:hAnsi="宋体" w:cs="宋体" w:eastAsia="宋体" w:hint="default"/>
          <w:spacing w:val="-73"/>
        </w:rPr>
      </w:r>
      <w:r>
        <w:rPr>
          <w:spacing w:val="-1"/>
        </w:rPr>
        <w:t>报告期内对高级管理人员的考评机制，以及激励机制的建立、实施情况</w:t>
      </w:r>
      <w:r>
        <w:rPr>
          <w:b w:val="0"/>
          <w:bCs w:val="0"/>
          <w:spacing w:val="-1"/>
        </w:rPr>
      </w:r>
    </w:p>
    <w:p>
      <w:pPr>
        <w:pStyle w:val="Heading3"/>
        <w:spacing w:line="240" w:lineRule="auto" w:before="50"/>
        <w:ind w:right="0"/>
        <w:jc w:val="left"/>
        <w:rPr>
          <w:rFonts w:ascii="宋体" w:hAnsi="宋体" w:cs="宋体" w:eastAsia="宋体" w:hint="default"/>
        </w:rPr>
      </w:pPr>
      <w:r>
        <w:rPr/>
        <w:t>√适用 </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37" w:lineRule="auto" w:before="6"/>
        <w:ind w:left="216" w:right="229" w:firstLine="420"/>
        <w:jc w:val="both"/>
        <w:rPr>
          <w:rFonts w:ascii="宋体" w:hAnsi="宋体" w:cs="宋体" w:eastAsia="宋体" w:hint="default"/>
        </w:rPr>
      </w:pPr>
      <w:r>
        <w:rPr>
          <w:spacing w:val="-2"/>
        </w:rPr>
        <w:t>公司建立了一套完整的目标、责任、业绩考核体系。在每个经营年度末，对公司高级管理人</w:t>
      </w:r>
      <w:r>
        <w:rPr>
          <w:w w:val="100"/>
        </w:rPr>
        <w:t> </w:t>
      </w:r>
      <w:r>
        <w:rPr>
          <w:spacing w:val="-1"/>
        </w:rPr>
        <w:t>员结合各自工作目标实际完成情况进行绩效考核，在绩效考核的基础上实行基本工资加年度绩效</w:t>
      </w:r>
      <w:r>
        <w:rPr>
          <w:spacing w:val="-55"/>
        </w:rPr>
        <w:t> </w:t>
      </w:r>
      <w:r>
        <w:rPr>
          <w:spacing w:val="-55"/>
        </w:rPr>
      </w:r>
      <w:r>
        <w:rPr/>
        <w:t>激励的激励制度。</w:t>
      </w:r>
      <w:r>
        <w:rPr>
          <w:rFonts w:ascii="宋体" w:hAnsi="宋体" w:cs="宋体" w:eastAsia="宋体" w:hint="default"/>
        </w:rPr>
        <w:t> </w:t>
      </w:r>
    </w:p>
    <w:p>
      <w:pPr>
        <w:pStyle w:val="Heading3"/>
        <w:spacing w:line="305" w:lineRule="exact"/>
        <w:ind w:right="0"/>
        <w:jc w:val="left"/>
        <w:rPr>
          <w:rFonts w:ascii="宋体" w:hAnsi="宋体" w:cs="宋体" w:eastAsia="宋体" w:hint="default"/>
        </w:rPr>
      </w:pPr>
      <w:r>
        <w:rPr>
          <w:rFonts w:ascii="宋体"/>
        </w:rPr>
        <w:t> </w:t>
      </w:r>
    </w:p>
    <w:p>
      <w:pPr>
        <w:pStyle w:val="Heading5"/>
        <w:spacing w:line="240" w:lineRule="auto"/>
        <w:ind w:right="0"/>
        <w:jc w:val="left"/>
        <w:rPr>
          <w:b w:val="0"/>
          <w:bCs w:val="0"/>
        </w:rPr>
      </w:pPr>
      <w:r>
        <w:rPr/>
        <w:t>八、</w:t>
      </w:r>
      <w:r>
        <w:rPr>
          <w:spacing w:val="-91"/>
        </w:rPr>
        <w:t> </w:t>
      </w:r>
      <w:r>
        <w:rPr>
          <w:rFonts w:ascii="宋体" w:hAnsi="宋体" w:cs="宋体" w:eastAsia="宋体" w:hint="default"/>
          <w:spacing w:val="-91"/>
        </w:rPr>
      </w:r>
      <w:r>
        <w:rPr>
          <w:spacing w:val="-1"/>
        </w:rPr>
        <w:t>是否披露内部控制自我评价报告</w:t>
      </w:r>
      <w:r>
        <w:rPr>
          <w:b w:val="0"/>
          <w:bCs w:val="0"/>
          <w:spacing w:val="-1"/>
        </w:rPr>
      </w:r>
    </w:p>
    <w:p>
      <w:pPr>
        <w:pStyle w:val="Heading3"/>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left="216" w:right="229" w:firstLine="480"/>
        <w:jc w:val="both"/>
        <w:rPr>
          <w:rFonts w:ascii="宋体" w:hAnsi="宋体" w:cs="宋体" w:eastAsia="宋体" w:hint="default"/>
          <w:sz w:val="24"/>
          <w:szCs w:val="24"/>
        </w:rPr>
      </w:pPr>
      <w:r>
        <w:rPr>
          <w:rFonts w:ascii="宋体" w:hAnsi="宋体" w:cs="宋体" w:eastAsia="宋体" w:hint="default"/>
        </w:rPr>
        <w:t>2020</w:t>
      </w:r>
      <w:r>
        <w:rPr>
          <w:rFonts w:ascii="宋体" w:hAnsi="宋体" w:cs="宋体" w:eastAsia="宋体" w:hint="default"/>
          <w:spacing w:val="-46"/>
        </w:rPr>
        <w:t> </w:t>
      </w:r>
      <w:r>
        <w:rPr/>
        <w:t>年</w:t>
      </w:r>
      <w:r>
        <w:rPr>
          <w:spacing w:val="-44"/>
        </w:rPr>
        <w:t> </w:t>
      </w:r>
      <w:r>
        <w:rPr>
          <w:rFonts w:ascii="宋体" w:hAnsi="宋体" w:cs="宋体" w:eastAsia="宋体" w:hint="default"/>
        </w:rPr>
        <w:t>4</w:t>
      </w:r>
      <w:r>
        <w:rPr>
          <w:rFonts w:ascii="宋体" w:hAnsi="宋体" w:cs="宋体" w:eastAsia="宋体" w:hint="default"/>
          <w:spacing w:val="-46"/>
        </w:rPr>
        <w:t> </w:t>
      </w:r>
      <w:r>
        <w:rPr/>
        <w:t>月</w:t>
      </w:r>
      <w:r>
        <w:rPr>
          <w:spacing w:val="-44"/>
        </w:rPr>
        <w:t> </w:t>
      </w:r>
      <w:r>
        <w:rPr>
          <w:rFonts w:ascii="宋体" w:hAnsi="宋体" w:cs="宋体" w:eastAsia="宋体" w:hint="default"/>
        </w:rPr>
        <w:t>25</w:t>
      </w:r>
      <w:r>
        <w:rPr>
          <w:rFonts w:ascii="宋体" w:hAnsi="宋体" w:cs="宋体" w:eastAsia="宋体" w:hint="default"/>
          <w:spacing w:val="-46"/>
        </w:rPr>
        <w:t> </w:t>
      </w:r>
      <w:r>
        <w:rPr>
          <w:spacing w:val="-3"/>
        </w:rPr>
        <w:t>日，公司披露了《</w:t>
      </w:r>
      <w:r>
        <w:rPr>
          <w:rFonts w:ascii="宋体" w:hAnsi="宋体" w:cs="宋体" w:eastAsia="宋体" w:hint="default"/>
          <w:spacing w:val="-3"/>
        </w:rPr>
        <w:t>2019</w:t>
      </w:r>
      <w:r>
        <w:rPr>
          <w:rFonts w:ascii="宋体" w:hAnsi="宋体" w:cs="宋体" w:eastAsia="宋体" w:hint="default"/>
          <w:spacing w:val="-46"/>
        </w:rPr>
        <w:t> </w:t>
      </w:r>
      <w:r>
        <w:rPr>
          <w:spacing w:val="-3"/>
        </w:rPr>
        <w:t>年度内部控制评价报告》，具体详见上海证券交易所</w:t>
      </w:r>
      <w:r>
        <w:rPr>
          <w:w w:val="100"/>
        </w:rPr>
        <w:t> </w:t>
      </w:r>
      <w:r>
        <w:rPr/>
        <w:t>网站。</w:t>
      </w:r>
      <w:r>
        <w:rPr>
          <w:rFonts w:ascii="宋体" w:hAnsi="宋体" w:cs="宋体" w:eastAsia="宋体" w:hint="default"/>
          <w:sz w:val="24"/>
          <w:szCs w:val="24"/>
        </w:rPr>
        <w:t> </w:t>
      </w:r>
    </w:p>
    <w:p>
      <w:pPr>
        <w:pStyle w:val="Heading3"/>
        <w:spacing w:line="304" w:lineRule="exact"/>
        <w:ind w:right="0"/>
        <w:jc w:val="left"/>
        <w:rPr>
          <w:rFonts w:ascii="宋体" w:hAnsi="宋体" w:cs="宋体" w:eastAsia="宋体" w:hint="default"/>
        </w:rPr>
      </w:pPr>
      <w:r>
        <w:rPr>
          <w:rFonts w:ascii="宋体"/>
        </w:rPr>
        <w:t> </w:t>
      </w:r>
    </w:p>
    <w:p>
      <w:pPr>
        <w:pStyle w:val="BodyText"/>
        <w:spacing w:line="270" w:lineRule="exact" w:before="4"/>
        <w:ind w:left="216" w:right="0"/>
        <w:jc w:val="left"/>
        <w:rPr>
          <w:rFonts w:ascii="宋体" w:hAnsi="宋体" w:cs="宋体" w:eastAsia="宋体" w:hint="default"/>
        </w:rPr>
      </w:pPr>
      <w:r>
        <w:rPr/>
        <w:t>报告期内部控制存在重大缺陷情况的说明</w:t>
      </w:r>
      <w:r>
        <w:rPr>
          <w:rFonts w:ascii="宋体" w:hAnsi="宋体" w:cs="宋体" w:eastAsia="宋体" w:hint="default"/>
        </w:rPr>
        <w:t> </w:t>
      </w:r>
    </w:p>
    <w:p>
      <w:pPr>
        <w:pStyle w:val="Heading3"/>
        <w:spacing w:line="308"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40" w:lineRule="auto"/>
        <w:ind w:right="0"/>
        <w:jc w:val="left"/>
        <w:rPr>
          <w:b w:val="0"/>
          <w:bCs w:val="0"/>
        </w:rPr>
      </w:pPr>
      <w:r>
        <w:rPr/>
        <w:t>九、</w:t>
      </w:r>
      <w:r>
        <w:rPr>
          <w:spacing w:val="-89"/>
        </w:rPr>
        <w:t> </w:t>
      </w:r>
      <w:r>
        <w:rPr>
          <w:rFonts w:ascii="宋体" w:hAnsi="宋体" w:cs="宋体" w:eastAsia="宋体" w:hint="default"/>
          <w:spacing w:val="-89"/>
        </w:rPr>
      </w:r>
      <w:r>
        <w:rPr>
          <w:spacing w:val="-1"/>
        </w:rPr>
        <w:t>内部控制审计报告的相关情况说明</w:t>
      </w:r>
      <w:r>
        <w:rPr>
          <w:b w:val="0"/>
          <w:bCs w:val="0"/>
          <w:spacing w:val="-1"/>
        </w:rPr>
      </w:r>
    </w:p>
    <w:p>
      <w:pPr>
        <w:pStyle w:val="Heading3"/>
        <w:spacing w:line="240" w:lineRule="auto"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73" w:lineRule="exact" w:before="4"/>
        <w:ind w:left="697" w:right="0"/>
        <w:jc w:val="left"/>
      </w:pPr>
      <w:r>
        <w:rPr/>
        <w:t>大信会计师事务所（特殊普通合伙）对公司</w:t>
      </w:r>
      <w:r>
        <w:rPr>
          <w:spacing w:val="-43"/>
        </w:rPr>
        <w:t> </w:t>
      </w:r>
      <w:r>
        <w:rPr>
          <w:rFonts w:ascii="宋体" w:hAnsi="宋体" w:cs="宋体" w:eastAsia="宋体" w:hint="default"/>
        </w:rPr>
        <w:t>2019</w:t>
      </w:r>
      <w:r>
        <w:rPr>
          <w:rFonts w:ascii="宋体" w:hAnsi="宋体" w:cs="宋体" w:eastAsia="宋体" w:hint="default"/>
          <w:spacing w:val="-46"/>
        </w:rPr>
        <w:t> </w:t>
      </w:r>
      <w:r>
        <w:rPr/>
        <w:t>年</w:t>
      </w:r>
      <w:r>
        <w:rPr>
          <w:spacing w:val="-43"/>
        </w:rPr>
        <w:t> </w:t>
      </w:r>
      <w:r>
        <w:rPr>
          <w:rFonts w:ascii="宋体" w:hAnsi="宋体" w:cs="宋体" w:eastAsia="宋体" w:hint="default"/>
        </w:rPr>
        <w:t>12</w:t>
      </w:r>
      <w:r>
        <w:rPr>
          <w:rFonts w:ascii="宋体" w:hAnsi="宋体" w:cs="宋体" w:eastAsia="宋体" w:hint="default"/>
          <w:spacing w:val="-45"/>
        </w:rPr>
        <w:t> </w:t>
      </w:r>
      <w:r>
        <w:rPr/>
        <w:t>月</w:t>
      </w:r>
      <w:r>
        <w:rPr>
          <w:spacing w:val="-43"/>
        </w:rPr>
        <w:t> </w:t>
      </w:r>
      <w:r>
        <w:rPr>
          <w:rFonts w:ascii="宋体" w:hAnsi="宋体" w:cs="宋体" w:eastAsia="宋体" w:hint="default"/>
        </w:rPr>
        <w:t>31</w:t>
      </w:r>
      <w:r>
        <w:rPr>
          <w:rFonts w:ascii="宋体" w:hAnsi="宋体" w:cs="宋体" w:eastAsia="宋体" w:hint="default"/>
          <w:spacing w:val="-45"/>
        </w:rPr>
        <w:t> </w:t>
      </w:r>
      <w:r>
        <w:rPr/>
        <w:t>日财务报告内部控制的有效性</w:t>
      </w:r>
    </w:p>
    <w:p>
      <w:pPr>
        <w:pStyle w:val="BodyText"/>
        <w:spacing w:line="272" w:lineRule="exact"/>
        <w:ind w:left="216" w:right="0"/>
        <w:jc w:val="left"/>
      </w:pPr>
      <w:r>
        <w:rPr/>
        <w:t>进</w:t>
      </w:r>
      <w:r>
        <w:rPr>
          <w:spacing w:val="-1"/>
        </w:rPr>
        <w:t> </w:t>
      </w:r>
      <w:r>
        <w:rPr>
          <w:rFonts w:ascii="宋体" w:hAnsi="宋体" w:cs="宋体" w:eastAsia="宋体" w:hint="default"/>
          <w:spacing w:val="-1"/>
        </w:rPr>
      </w:r>
      <w:r>
        <w:rPr/>
        <w:t>行了审计，出具了内部控制审计报告（大信审字</w:t>
      </w:r>
      <w:r>
        <w:rPr>
          <w:rFonts w:ascii="宋体" w:hAnsi="宋体" w:cs="宋体" w:eastAsia="宋体" w:hint="default"/>
        </w:rPr>
        <w:t>[2020]</w:t>
      </w:r>
      <w:r>
        <w:rPr/>
        <w:t>第</w:t>
      </w:r>
      <w:r>
        <w:rPr>
          <w:spacing w:val="-54"/>
        </w:rPr>
        <w:t> </w:t>
      </w:r>
      <w:r>
        <w:rPr>
          <w:rFonts w:ascii="宋体" w:hAnsi="宋体" w:cs="宋体" w:eastAsia="宋体" w:hint="default"/>
        </w:rPr>
        <w:t>6-00030</w:t>
      </w:r>
      <w:r>
        <w:rPr>
          <w:rFonts w:ascii="宋体" w:hAnsi="宋体" w:cs="宋体" w:eastAsia="宋体" w:hint="default"/>
          <w:spacing w:val="-51"/>
        </w:rPr>
        <w:t> </w:t>
      </w:r>
      <w:r>
        <w:rPr/>
        <w:t>号），认为公司于</w:t>
      </w:r>
      <w:r>
        <w:rPr>
          <w:spacing w:val="-51"/>
        </w:rPr>
        <w:t> </w:t>
      </w:r>
      <w:r>
        <w:rPr>
          <w:rFonts w:ascii="宋体" w:hAnsi="宋体" w:cs="宋体" w:eastAsia="宋体" w:hint="default"/>
        </w:rPr>
        <w:t>2019</w:t>
      </w:r>
      <w:r>
        <w:rPr>
          <w:rFonts w:ascii="宋体" w:hAnsi="宋体" w:cs="宋体" w:eastAsia="宋体" w:hint="default"/>
          <w:spacing w:val="-54"/>
        </w:rPr>
        <w:t> </w:t>
      </w:r>
      <w:r>
        <w:rPr/>
        <w:t>年</w:t>
      </w:r>
    </w:p>
    <w:p>
      <w:pPr>
        <w:pStyle w:val="BodyText"/>
        <w:spacing w:line="272" w:lineRule="exact" w:before="27"/>
        <w:ind w:left="216" w:right="227"/>
        <w:jc w:val="left"/>
        <w:rPr>
          <w:rFonts w:ascii="宋体" w:hAnsi="宋体" w:cs="宋体" w:eastAsia="宋体" w:hint="default"/>
        </w:rPr>
      </w:pPr>
      <w:r>
        <w:rPr>
          <w:rFonts w:ascii="宋体" w:hAnsi="宋体" w:cs="宋体" w:eastAsia="宋体" w:hint="default"/>
        </w:rPr>
        <w:t>12</w:t>
      </w:r>
      <w:r>
        <w:rPr>
          <w:rFonts w:ascii="宋体" w:hAnsi="宋体" w:cs="宋体" w:eastAsia="宋体" w:hint="default"/>
          <w:spacing w:val="-34"/>
        </w:rPr>
        <w:t> </w:t>
      </w:r>
      <w:r>
        <w:rPr/>
        <w:t>月</w:t>
      </w:r>
      <w:r>
        <w:rPr>
          <w:spacing w:val="-34"/>
        </w:rPr>
        <w:t> </w:t>
      </w:r>
      <w:r>
        <w:rPr>
          <w:rFonts w:ascii="宋体" w:hAnsi="宋体" w:cs="宋体" w:eastAsia="宋体" w:hint="default"/>
        </w:rPr>
        <w:t>31</w:t>
      </w:r>
      <w:r>
        <w:rPr>
          <w:rFonts w:ascii="宋体" w:hAnsi="宋体" w:cs="宋体" w:eastAsia="宋体" w:hint="default"/>
          <w:spacing w:val="-34"/>
        </w:rPr>
        <w:t> </w:t>
      </w:r>
      <w:r>
        <w:rPr/>
        <w:t>日按照《企业内部控制基本规范》和相关规定在所有重大方面保持了有效的财务报告内</w:t>
      </w:r>
      <w:r>
        <w:rPr>
          <w:w w:val="100"/>
        </w:rPr>
        <w:t> </w:t>
      </w:r>
      <w:r>
        <w:rPr/>
        <w:t>部控制。</w:t>
      </w:r>
      <w:r>
        <w:rPr>
          <w:rFonts w:ascii="宋体" w:hAnsi="宋体" w:cs="宋体" w:eastAsia="宋体" w:hint="default"/>
        </w:rPr>
        <w:t> </w:t>
      </w:r>
    </w:p>
    <w:p>
      <w:pPr>
        <w:pStyle w:val="BodyText"/>
        <w:spacing w:line="244" w:lineRule="exact"/>
        <w:ind w:left="216" w:right="0"/>
        <w:jc w:val="left"/>
        <w:rPr>
          <w:rFonts w:ascii="宋体" w:hAnsi="宋体" w:cs="宋体" w:eastAsia="宋体" w:hint="default"/>
          <w:sz w:val="24"/>
          <w:szCs w:val="24"/>
        </w:rPr>
      </w:pPr>
      <w:r>
        <w:rPr/>
        <w:t>是否披露内部控制审计报告：是</w:t>
      </w:r>
      <w:r>
        <w:rPr>
          <w:rFonts w:ascii="宋体" w:hAnsi="宋体" w:cs="宋体" w:eastAsia="宋体" w:hint="default"/>
          <w:sz w:val="24"/>
          <w:szCs w:val="24"/>
        </w:rPr>
        <w:t> </w:t>
      </w:r>
    </w:p>
    <w:p>
      <w:pPr>
        <w:pStyle w:val="Heading3"/>
        <w:spacing w:line="309" w:lineRule="exact"/>
        <w:ind w:right="0"/>
        <w:jc w:val="left"/>
        <w:rPr>
          <w:rFonts w:ascii="宋体" w:hAnsi="宋体" w:cs="宋体" w:eastAsia="宋体" w:hint="default"/>
        </w:rPr>
      </w:pPr>
      <w:r>
        <w:rPr>
          <w:rFonts w:ascii="宋体"/>
        </w:rPr>
        <w:t> </w:t>
      </w:r>
    </w:p>
    <w:p>
      <w:pPr>
        <w:pStyle w:val="Heading5"/>
        <w:spacing w:line="240" w:lineRule="auto"/>
        <w:ind w:right="0"/>
        <w:jc w:val="left"/>
        <w:rPr>
          <w:b w:val="0"/>
          <w:bCs w:val="0"/>
        </w:rPr>
      </w:pPr>
      <w:r>
        <w:rPr/>
        <w:t>十、</w:t>
      </w:r>
      <w:r>
        <w:rPr>
          <w:spacing w:val="-103"/>
        </w:rPr>
        <w:t> </w:t>
      </w:r>
      <w:r>
        <w:rPr>
          <w:rFonts w:ascii="宋体" w:hAnsi="宋体" w:cs="宋体" w:eastAsia="宋体" w:hint="default"/>
          <w:spacing w:val="-103"/>
        </w:rPr>
      </w:r>
      <w:r>
        <w:rPr/>
        <w:t>其他</w:t>
      </w:r>
      <w:r>
        <w:rPr>
          <w:b w:val="0"/>
          <w:bCs w:val="0"/>
        </w:rPr>
      </w:r>
    </w:p>
    <w:p>
      <w:pPr>
        <w:pStyle w:val="Heading3"/>
        <w:spacing w:line="313" w:lineRule="exact"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1"/>
        <w:tabs>
          <w:tab w:pos="4139" w:val="left" w:leader="none"/>
        </w:tabs>
        <w:spacing w:line="240" w:lineRule="auto" w:before="49"/>
        <w:ind w:left="2879" w:right="0"/>
        <w:jc w:val="left"/>
        <w:rPr>
          <w:b w:val="0"/>
          <w:bCs w:val="0"/>
        </w:rPr>
      </w:pPr>
      <w:bookmarkStart w:name="_bookmark9" w:id="12"/>
      <w:bookmarkEnd w:id="12"/>
      <w:r>
        <w:rPr>
          <w:b w:val="0"/>
          <w:bCs w:val="0"/>
        </w:rPr>
      </w:r>
      <w:r>
        <w:rPr>
          <w:w w:val="95"/>
        </w:rPr>
        <w:t>第十节</w:t>
      </w:r>
      <w:r>
        <w:rPr>
          <w:rFonts w:ascii="宋体" w:hAnsi="宋体" w:cs="宋体" w:eastAsia="宋体" w:hint="default"/>
          <w:w w:val="95"/>
        </w:rPr>
        <w:tab/>
      </w:r>
      <w:r>
        <w:rPr/>
        <w:t>公司债券相关情况</w:t>
      </w:r>
      <w:r>
        <w:rPr>
          <w:b w:val="0"/>
          <w:bCs w:val="0"/>
        </w:rPr>
      </w:r>
    </w:p>
    <w:p>
      <w:pPr>
        <w:spacing w:line="240" w:lineRule="auto" w:before="11"/>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77" w:footer="1195" w:top="1100" w:bottom="1380" w:left="1060" w:right="1560"/>
        </w:sectPr>
      </w:pPr>
    </w:p>
    <w:p>
      <w:pPr>
        <w:pStyle w:val="Heading3"/>
        <w:spacing w:line="240" w:lineRule="auto" w:before="26"/>
        <w:ind w:right="-1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40" w:lineRule="auto" w:before="62"/>
        <w:ind w:right="-15"/>
        <w:jc w:val="left"/>
        <w:rPr>
          <w:b w:val="0"/>
          <w:bCs w:val="0"/>
        </w:rPr>
      </w:pPr>
      <w:r>
        <w:rPr/>
        <w:t>一、公司债券基本情况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BodyText"/>
        <w:spacing w:line="240" w:lineRule="auto"/>
        <w:ind w:left="216" w:right="0"/>
        <w:jc w:val="left"/>
        <w:rPr>
          <w:rFonts w:ascii="宋体" w:hAnsi="宋体" w:cs="宋体" w:eastAsia="宋体" w:hint="default"/>
        </w:rPr>
      </w:pPr>
      <w:r>
        <w:rPr/>
        <w:t>单位</w:t>
      </w:r>
      <w:r>
        <w:rPr>
          <w:rFonts w:ascii="宋体" w:hAnsi="宋体" w:cs="宋体" w:eastAsia="宋体" w:hint="default"/>
        </w:rPr>
        <w:t>:</w:t>
      </w:r>
      <w:r>
        <w:rPr/>
        <w:t>亿元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330" w:space="4192"/>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948"/>
        <w:gridCol w:w="696"/>
        <w:gridCol w:w="847"/>
        <w:gridCol w:w="687"/>
        <w:gridCol w:w="684"/>
        <w:gridCol w:w="686"/>
        <w:gridCol w:w="739"/>
        <w:gridCol w:w="2811"/>
        <w:gridCol w:w="950"/>
      </w:tblGrid>
      <w:tr>
        <w:trPr>
          <w:trHeight w:val="554"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2"/>
                <w:sz w:val="21"/>
                <w:szCs w:val="21"/>
              </w:rPr>
              <w:t>债券名</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简称</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代码</w:t>
            </w:r>
            <w:r>
              <w:rPr>
                <w:rFonts w:ascii="宋体" w:hAnsi="宋体" w:cs="宋体" w:eastAsia="宋体" w:hint="default"/>
                <w:sz w:val="21"/>
                <w:szCs w:val="21"/>
              </w:rPr>
              <w:t> </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4"/>
                <w:sz w:val="21"/>
                <w:szCs w:val="21"/>
              </w:rPr>
              <w:t>发行</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3"/>
                <w:sz w:val="21"/>
                <w:szCs w:val="21"/>
              </w:rPr>
              <w:t>到期</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 </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3"/>
                <w:sz w:val="21"/>
                <w:szCs w:val="21"/>
              </w:rPr>
              <w:t>债券</w:t>
            </w:r>
            <w:r>
              <w:rPr>
                <w:rFonts w:ascii="宋体" w:hAnsi="宋体" w:cs="宋体" w:eastAsia="宋体" w:hint="default"/>
                <w:spacing w:val="-5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利</w:t>
            </w:r>
            <w:r>
              <w:rPr>
                <w:rFonts w:ascii="宋体" w:hAnsi="宋体" w:cs="宋体" w:eastAsia="宋体" w:hint="default"/>
                <w:spacing w:val="2"/>
                <w:sz w:val="21"/>
                <w:szCs w:val="21"/>
              </w:rPr>
              <w:t> </w:t>
            </w:r>
            <w:r>
              <w:rPr>
                <w:rFonts w:ascii="宋体" w:hAnsi="宋体" w:cs="宋体" w:eastAsia="宋体" w:hint="default"/>
                <w:sz w:val="21"/>
                <w:szCs w:val="21"/>
              </w:rPr>
              <w:t>率</w:t>
            </w:r>
          </w:p>
          <w:p>
            <w:pPr>
              <w:pStyle w:val="TableParagraph"/>
              <w:spacing w:line="274" w:lineRule="exact"/>
              <w:ind w:left="100" w:right="-3"/>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还本付息方式</w:t>
            </w:r>
            <w:r>
              <w:rPr>
                <w:rFonts w:ascii="宋体" w:hAnsi="宋体" w:cs="宋体" w:eastAsia="宋体" w:hint="default"/>
                <w:sz w:val="21"/>
                <w:szCs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spacing w:val="-52"/>
                <w:sz w:val="21"/>
                <w:szCs w:val="21"/>
              </w:rPr>
              <w:t> </w:t>
            </w:r>
            <w:r>
              <w:rPr>
                <w:rFonts w:ascii="宋体" w:hAnsi="宋体" w:cs="宋体" w:eastAsia="宋体" w:hint="default"/>
                <w:sz w:val="21"/>
                <w:szCs w:val="21"/>
              </w:rPr>
              <w:t>易</w:t>
            </w:r>
            <w:r>
              <w:rPr>
                <w:rFonts w:ascii="宋体" w:hAnsi="宋体" w:cs="宋体" w:eastAsia="宋体" w:hint="default"/>
                <w:spacing w:val="-54"/>
                <w:sz w:val="21"/>
                <w:szCs w:val="21"/>
              </w:rPr>
              <w:t> </w:t>
            </w:r>
            <w:r>
              <w:rPr>
                <w:rFonts w:ascii="宋体" w:hAnsi="宋体" w:cs="宋体" w:eastAsia="宋体" w:hint="default"/>
                <w:sz w:val="21"/>
                <w:szCs w:val="21"/>
              </w:rPr>
              <w:t>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所</w:t>
            </w:r>
            <w:r>
              <w:rPr>
                <w:rFonts w:ascii="宋体" w:hAnsi="宋体" w:cs="宋体" w:eastAsia="宋体" w:hint="default"/>
                <w:sz w:val="21"/>
                <w:szCs w:val="21"/>
              </w:rPr>
              <w:t> </w:t>
            </w:r>
          </w:p>
        </w:tc>
      </w:tr>
      <w:tr>
        <w:trPr>
          <w:trHeight w:val="1646"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32"/>
                <w:sz w:val="21"/>
                <w:szCs w:val="21"/>
              </w:rPr>
              <w:t>泰豪科</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37" w:lineRule="auto" w:before="2"/>
              <w:ind w:left="103" w:right="48"/>
              <w:jc w:val="both"/>
              <w:rPr>
                <w:rFonts w:ascii="宋体" w:hAnsi="宋体" w:cs="宋体" w:eastAsia="宋体" w:hint="default"/>
                <w:sz w:val="21"/>
                <w:szCs w:val="21"/>
              </w:rPr>
            </w:pPr>
            <w:r>
              <w:rPr>
                <w:rFonts w:ascii="宋体" w:hAnsi="宋体" w:cs="宋体" w:eastAsia="宋体" w:hint="default"/>
                <w:spacing w:val="32"/>
                <w:sz w:val="21"/>
                <w:szCs w:val="21"/>
              </w:rPr>
              <w:t>技股份</w:t>
            </w:r>
            <w:r>
              <w:rPr>
                <w:rFonts w:ascii="宋体" w:hAnsi="宋体" w:cs="宋体" w:eastAsia="宋体" w:hint="default"/>
                <w:spacing w:val="-98"/>
                <w:sz w:val="21"/>
                <w:szCs w:val="21"/>
              </w:rPr>
              <w:t> </w:t>
            </w:r>
            <w:r>
              <w:rPr>
                <w:rFonts w:ascii="宋体" w:hAnsi="宋体" w:cs="宋体" w:eastAsia="宋体" w:hint="default"/>
                <w:spacing w:val="32"/>
                <w:sz w:val="21"/>
                <w:szCs w:val="21"/>
              </w:rPr>
              <w:t>有限公</w:t>
            </w:r>
            <w:r>
              <w:rPr>
                <w:rFonts w:ascii="宋体" w:hAnsi="宋体" w:cs="宋体" w:eastAsia="宋体" w:hint="default"/>
                <w:spacing w:val="-98"/>
                <w:sz w:val="21"/>
                <w:szCs w:val="21"/>
              </w:rPr>
              <w:t> </w:t>
            </w:r>
            <w:r>
              <w:rPr>
                <w:rFonts w:ascii="宋体" w:hAnsi="宋体" w:cs="宋体" w:eastAsia="宋体" w:hint="default"/>
                <w:spacing w:val="32"/>
                <w:sz w:val="21"/>
                <w:szCs w:val="21"/>
              </w:rPr>
              <w:t>司公开</w:t>
            </w:r>
            <w:r>
              <w:rPr>
                <w:rFonts w:ascii="宋体" w:hAnsi="宋体" w:cs="宋体" w:eastAsia="宋体" w:hint="default"/>
                <w:spacing w:val="-98"/>
                <w:sz w:val="21"/>
                <w:szCs w:val="21"/>
              </w:rPr>
              <w:t> </w:t>
            </w:r>
            <w:r>
              <w:rPr>
                <w:rFonts w:ascii="宋体" w:hAnsi="宋体" w:cs="宋体" w:eastAsia="宋体" w:hint="default"/>
                <w:sz w:val="21"/>
                <w:szCs w:val="21"/>
              </w:rPr>
              <w:t>发</w:t>
            </w:r>
            <w:r>
              <w:rPr>
                <w:rFonts w:ascii="宋体" w:hAnsi="宋体" w:cs="宋体" w:eastAsia="宋体" w:hint="default"/>
                <w:spacing w:val="104"/>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2016</w:t>
            </w:r>
            <w:r>
              <w:rPr>
                <w:rFonts w:ascii="宋体" w:hAnsi="宋体" w:cs="宋体" w:eastAsia="宋体" w:hint="default"/>
                <w:spacing w:val="-1"/>
                <w:sz w:val="21"/>
                <w:szCs w:val="21"/>
              </w:rPr>
              <w:t> </w:t>
            </w:r>
            <w:r>
              <w:rPr>
                <w:rFonts w:ascii="宋体" w:hAnsi="宋体" w:cs="宋体" w:eastAsia="宋体" w:hint="default"/>
                <w:sz w:val="21"/>
                <w:szCs w:val="21"/>
              </w:rPr>
              <w:t>年</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49"/>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45"/>
                <w:sz w:val="21"/>
                <w:szCs w:val="21"/>
              </w:rPr>
              <w:t> </w:t>
            </w:r>
            <w:r>
              <w:rPr>
                <w:rFonts w:ascii="宋体" w:hAnsi="宋体" w:cs="宋体" w:eastAsia="宋体" w:hint="default"/>
                <w:sz w:val="21"/>
                <w:szCs w:val="21"/>
              </w:rPr>
              <w:t>泰</w:t>
            </w:r>
            <w:r>
              <w:rPr>
                <w:rFonts w:ascii="宋体" w:hAnsi="宋体" w:cs="宋体" w:eastAsia="宋体" w:hint="default"/>
                <w:w w:val="100"/>
                <w:sz w:val="21"/>
                <w:szCs w:val="21"/>
              </w:rPr>
              <w:t> </w:t>
            </w:r>
            <w:r>
              <w:rPr>
                <w:rFonts w:ascii="宋体" w:hAnsi="宋体" w:cs="宋体" w:eastAsia="宋体" w:hint="default"/>
                <w:sz w:val="21"/>
                <w:szCs w:val="21"/>
              </w:rPr>
              <w:t>豪</w:t>
            </w:r>
            <w:r>
              <w:rPr>
                <w:rFonts w:ascii="宋体" w:hAnsi="宋体" w:cs="宋体" w:eastAsia="宋体" w:hint="default"/>
                <w:sz w:val="21"/>
                <w:szCs w:val="21"/>
              </w:rPr>
              <w:t>01</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3"/>
              <w:jc w:val="left"/>
              <w:rPr>
                <w:rFonts w:ascii="宋体" w:hAnsi="宋体" w:cs="宋体" w:eastAsia="宋体" w:hint="default"/>
                <w:sz w:val="21"/>
                <w:szCs w:val="21"/>
              </w:rPr>
            </w:pPr>
            <w:r>
              <w:rPr>
                <w:rFonts w:ascii="宋体"/>
                <w:sz w:val="21"/>
              </w:rPr>
              <w:t>136332 </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00" w:right="0"/>
              <w:jc w:val="left"/>
              <w:rPr>
                <w:rFonts w:ascii="宋体" w:hAnsi="宋体" w:cs="宋体" w:eastAsia="宋体" w:hint="default"/>
                <w:sz w:val="21"/>
                <w:szCs w:val="21"/>
              </w:rPr>
            </w:pPr>
            <w:r>
              <w:rPr>
                <w:rFonts w:ascii="宋体"/>
                <w:sz w:val="21"/>
              </w:rPr>
              <w:t>2016</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p>
          <w:p>
            <w:pPr>
              <w:pStyle w:val="TableParagraph"/>
              <w:spacing w:line="272" w:lineRule="exact" w:before="27"/>
              <w:ind w:left="100" w:right="101"/>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23</w:t>
            </w:r>
            <w:r>
              <w:rPr>
                <w:rFonts w:ascii="宋体" w:hAnsi="宋体" w:cs="宋体" w:eastAsia="宋体" w:hint="default"/>
                <w:w w:val="100"/>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00" w:right="0"/>
              <w:jc w:val="left"/>
              <w:rPr>
                <w:rFonts w:ascii="宋体" w:hAnsi="宋体" w:cs="宋体" w:eastAsia="宋体" w:hint="default"/>
                <w:sz w:val="21"/>
                <w:szCs w:val="21"/>
              </w:rPr>
            </w:pPr>
            <w:r>
              <w:rPr>
                <w:rFonts w:ascii="宋体"/>
                <w:sz w:val="21"/>
              </w:rPr>
              <w:t>2021</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3</w:t>
            </w:r>
          </w:p>
          <w:p>
            <w:pPr>
              <w:pStyle w:val="TableParagraph"/>
              <w:spacing w:line="272" w:lineRule="exact" w:before="27"/>
              <w:ind w:left="100" w:right="101"/>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23</w:t>
            </w:r>
            <w:r>
              <w:rPr>
                <w:rFonts w:ascii="宋体" w:hAnsi="宋体" w:cs="宋体" w:eastAsia="宋体" w:hint="default"/>
                <w:w w:val="100"/>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3"/>
              <w:ind w:left="103" w:right="0"/>
              <w:jc w:val="left"/>
              <w:rPr>
                <w:rFonts w:ascii="Times New Roman" w:hAnsi="Times New Roman" w:cs="Times New Roman" w:eastAsia="Times New Roman" w:hint="default"/>
                <w:sz w:val="20"/>
                <w:szCs w:val="20"/>
              </w:rPr>
            </w:pPr>
            <w:r>
              <w:rPr>
                <w:rFonts w:ascii="Times New Roman"/>
                <w:sz w:val="20"/>
              </w:rPr>
              <w:t>0.5</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3"/>
              <w:ind w:left="100" w:right="0"/>
              <w:jc w:val="left"/>
              <w:rPr>
                <w:rFonts w:ascii="Times New Roman" w:hAnsi="Times New Roman" w:cs="Times New Roman" w:eastAsia="Times New Roman" w:hint="default"/>
                <w:sz w:val="20"/>
                <w:szCs w:val="20"/>
              </w:rPr>
            </w:pPr>
            <w:r>
              <w:rPr>
                <w:rFonts w:ascii="Times New Roman"/>
                <w:sz w:val="20"/>
              </w:rPr>
              <w:t>4.75</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3"/>
              <w:jc w:val="both"/>
              <w:rPr>
                <w:rFonts w:ascii="宋体" w:hAnsi="宋体" w:cs="宋体" w:eastAsia="宋体" w:hint="default"/>
                <w:sz w:val="21"/>
                <w:szCs w:val="21"/>
              </w:rPr>
            </w:pPr>
            <w:r>
              <w:rPr>
                <w:rFonts w:ascii="宋体" w:hAnsi="宋体" w:cs="宋体" w:eastAsia="宋体" w:hint="default"/>
                <w:spacing w:val="3"/>
                <w:sz w:val="21"/>
                <w:szCs w:val="21"/>
              </w:rPr>
              <w:t>本期公司债券采用单利按年</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3"/>
                <w:sz w:val="21"/>
                <w:szCs w:val="21"/>
              </w:rPr>
              <w:t>计息，不计复利，逾期不另</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3"/>
                <w:sz w:val="21"/>
                <w:szCs w:val="21"/>
              </w:rPr>
              <w:t>计息。每年付息一次，到期</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3"/>
                <w:sz w:val="21"/>
                <w:szCs w:val="21"/>
              </w:rPr>
              <w:t>一次还本，最后一期利息随</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本金的兑付一起支付</w:t>
            </w:r>
            <w:r>
              <w:rPr>
                <w:rFonts w:ascii="宋体" w:hAnsi="宋体" w:cs="宋体" w:eastAsia="宋体" w:hint="default"/>
                <w:sz w:val="21"/>
                <w:szCs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52"/>
                <w:sz w:val="21"/>
                <w:szCs w:val="21"/>
              </w:rPr>
              <w:t> </w:t>
            </w:r>
            <w:r>
              <w:rPr>
                <w:rFonts w:ascii="宋体" w:hAnsi="宋体" w:cs="宋体" w:eastAsia="宋体" w:hint="default"/>
                <w:sz w:val="21"/>
                <w:szCs w:val="21"/>
              </w:rPr>
              <w:t>海</w:t>
            </w:r>
            <w:r>
              <w:rPr>
                <w:rFonts w:ascii="宋体" w:hAnsi="宋体" w:cs="宋体" w:eastAsia="宋体" w:hint="default"/>
                <w:spacing w:val="-54"/>
                <w:sz w:val="21"/>
                <w:szCs w:val="21"/>
              </w:rPr>
              <w:t> </w:t>
            </w:r>
            <w:r>
              <w:rPr>
                <w:rFonts w:ascii="宋体" w:hAnsi="宋体" w:cs="宋体" w:eastAsia="宋体" w:hint="default"/>
                <w:sz w:val="21"/>
                <w:szCs w:val="21"/>
              </w:rPr>
              <w:t>证</w:t>
            </w:r>
            <w:r>
              <w:rPr>
                <w:rFonts w:ascii="宋体" w:hAnsi="宋体" w:cs="宋体" w:eastAsia="宋体" w:hint="default"/>
                <w:w w:val="100"/>
                <w:sz w:val="21"/>
                <w:szCs w:val="21"/>
              </w:rPr>
              <w:t> </w:t>
            </w:r>
            <w:r>
              <w:rPr>
                <w:rFonts w:ascii="宋体" w:hAnsi="宋体" w:cs="宋体" w:eastAsia="宋体" w:hint="default"/>
                <w:sz w:val="21"/>
                <w:szCs w:val="21"/>
              </w:rPr>
              <w:t>券</w:t>
            </w:r>
            <w:r>
              <w:rPr>
                <w:rFonts w:ascii="宋体" w:hAnsi="宋体" w:cs="宋体" w:eastAsia="宋体" w:hint="default"/>
                <w:spacing w:val="-52"/>
                <w:sz w:val="21"/>
                <w:szCs w:val="21"/>
              </w:rPr>
              <w:t> </w:t>
            </w:r>
            <w:r>
              <w:rPr>
                <w:rFonts w:ascii="宋体" w:hAnsi="宋体" w:cs="宋体" w:eastAsia="宋体" w:hint="default"/>
                <w:sz w:val="21"/>
                <w:szCs w:val="21"/>
              </w:rPr>
              <w:t>交</w:t>
            </w:r>
            <w:r>
              <w:rPr>
                <w:rFonts w:ascii="宋体" w:hAnsi="宋体" w:cs="宋体" w:eastAsia="宋体" w:hint="default"/>
                <w:spacing w:val="-54"/>
                <w:sz w:val="21"/>
                <w:szCs w:val="21"/>
              </w:rPr>
              <w:t> </w:t>
            </w:r>
            <w:r>
              <w:rPr>
                <w:rFonts w:ascii="宋体" w:hAnsi="宋体" w:cs="宋体" w:eastAsia="宋体" w:hint="default"/>
                <w:sz w:val="21"/>
                <w:szCs w:val="21"/>
              </w:rPr>
              <w:t>易</w:t>
            </w:r>
            <w:r>
              <w:rPr>
                <w:rFonts w:ascii="宋体" w:hAnsi="宋体" w:cs="宋体" w:eastAsia="宋体" w:hint="default"/>
                <w:w w:val="100"/>
                <w:sz w:val="21"/>
                <w:szCs w:val="21"/>
              </w:rPr>
              <w:t> </w:t>
            </w:r>
            <w:r>
              <w:rPr>
                <w:rFonts w:ascii="宋体" w:hAnsi="宋体" w:cs="宋体" w:eastAsia="宋体" w:hint="default"/>
                <w:sz w:val="21"/>
                <w:szCs w:val="21"/>
              </w:rPr>
              <w:t>所</w:t>
            </w:r>
            <w:r>
              <w:rPr>
                <w:rFonts w:ascii="宋体" w:hAnsi="宋体" w:cs="宋体" w:eastAsia="宋体" w:hint="default"/>
                <w:sz w:val="21"/>
                <w:szCs w:val="21"/>
              </w:rPr>
              <w:t> </w:t>
            </w:r>
          </w:p>
        </w:tc>
      </w:tr>
    </w:tbl>
    <w:p>
      <w:pPr>
        <w:spacing w:after="0" w:line="237" w:lineRule="auto"/>
        <w:jc w:val="both"/>
        <w:rPr>
          <w:rFonts w:ascii="宋体" w:hAnsi="宋体" w:cs="宋体" w:eastAsia="宋体" w:hint="default"/>
          <w:sz w:val="21"/>
          <w:szCs w:val="21"/>
        </w:rPr>
        <w:sectPr>
          <w:type w:val="continuous"/>
          <w:pgSz w:w="11910" w:h="16840"/>
          <w:pgMar w:top="1120" w:bottom="1380" w:left="1060" w:right="1560"/>
        </w:sectPr>
      </w:pPr>
    </w:p>
    <w:p>
      <w:pPr>
        <w:spacing w:line="240" w:lineRule="auto" w:before="8"/>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948"/>
        <w:gridCol w:w="696"/>
        <w:gridCol w:w="847"/>
        <w:gridCol w:w="687"/>
        <w:gridCol w:w="684"/>
        <w:gridCol w:w="686"/>
        <w:gridCol w:w="739"/>
        <w:gridCol w:w="2811"/>
        <w:gridCol w:w="950"/>
      </w:tblGrid>
      <w:tr>
        <w:trPr>
          <w:trHeight w:val="828"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4"/>
                <w:sz w:val="21"/>
                <w:szCs w:val="21"/>
              </w:rPr>
              <w:t>公司</w:t>
            </w:r>
            <w:r>
              <w:rPr>
                <w:rFonts w:ascii="宋体" w:hAnsi="宋体" w:cs="宋体" w:eastAsia="宋体" w:hint="default"/>
                <w:spacing w:val="-50"/>
                <w:sz w:val="21"/>
                <w:szCs w:val="21"/>
              </w:rPr>
              <w:t> </w:t>
            </w:r>
            <w:r>
              <w:rPr>
                <w:rFonts w:ascii="宋体" w:hAnsi="宋体" w:cs="宋体" w:eastAsia="宋体" w:hint="default"/>
                <w:sz w:val="21"/>
                <w:szCs w:val="21"/>
              </w:rPr>
              <w:t>债</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z w:val="21"/>
                <w:szCs w:val="21"/>
              </w:rPr>
              <w:t>券 </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第</w:t>
            </w:r>
            <w:r>
              <w:rPr>
                <w:rFonts w:ascii="宋体" w:hAnsi="宋体" w:cs="宋体" w:eastAsia="宋体" w:hint="default"/>
                <w:w w:val="100"/>
                <w:sz w:val="21"/>
                <w:szCs w:val="21"/>
              </w:rPr>
              <w:t> </w:t>
            </w:r>
            <w:r>
              <w:rPr>
                <w:rFonts w:ascii="宋体" w:hAnsi="宋体" w:cs="宋体" w:eastAsia="宋体" w:hint="default"/>
                <w:sz w:val="21"/>
                <w:szCs w:val="21"/>
              </w:rPr>
              <w:t>一期</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69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2811"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r>
      <w:tr>
        <w:trPr>
          <w:trHeight w:val="2460"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32"/>
                <w:sz w:val="21"/>
                <w:szCs w:val="21"/>
              </w:rPr>
              <w:t>泰豪科</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37" w:lineRule="auto"/>
              <w:ind w:left="103" w:right="48"/>
              <w:jc w:val="both"/>
              <w:rPr>
                <w:rFonts w:ascii="宋体" w:hAnsi="宋体" w:cs="宋体" w:eastAsia="宋体" w:hint="default"/>
                <w:sz w:val="21"/>
                <w:szCs w:val="21"/>
              </w:rPr>
            </w:pPr>
            <w:r>
              <w:rPr>
                <w:rFonts w:ascii="宋体" w:hAnsi="宋体" w:cs="宋体" w:eastAsia="宋体" w:hint="default"/>
                <w:spacing w:val="32"/>
                <w:sz w:val="21"/>
                <w:szCs w:val="21"/>
              </w:rPr>
              <w:t>技股份</w:t>
            </w:r>
            <w:r>
              <w:rPr>
                <w:rFonts w:ascii="宋体" w:hAnsi="宋体" w:cs="宋体" w:eastAsia="宋体" w:hint="default"/>
                <w:spacing w:val="-98"/>
                <w:sz w:val="21"/>
                <w:szCs w:val="21"/>
              </w:rPr>
              <w:t> </w:t>
            </w:r>
            <w:r>
              <w:rPr>
                <w:rFonts w:ascii="宋体" w:hAnsi="宋体" w:cs="宋体" w:eastAsia="宋体" w:hint="default"/>
                <w:spacing w:val="32"/>
                <w:sz w:val="21"/>
                <w:szCs w:val="21"/>
              </w:rPr>
              <w:t>有限公</w:t>
            </w:r>
            <w:r>
              <w:rPr>
                <w:rFonts w:ascii="宋体" w:hAnsi="宋体" w:cs="宋体" w:eastAsia="宋体" w:hint="default"/>
                <w:spacing w:val="-98"/>
                <w:sz w:val="21"/>
                <w:szCs w:val="21"/>
              </w:rPr>
              <w:t> </w:t>
            </w:r>
            <w:r>
              <w:rPr>
                <w:rFonts w:ascii="宋体" w:hAnsi="宋体" w:cs="宋体" w:eastAsia="宋体" w:hint="default"/>
                <w:spacing w:val="32"/>
                <w:sz w:val="21"/>
                <w:szCs w:val="21"/>
              </w:rPr>
              <w:t>司公开</w:t>
            </w:r>
            <w:r>
              <w:rPr>
                <w:rFonts w:ascii="宋体" w:hAnsi="宋体" w:cs="宋体" w:eastAsia="宋体" w:hint="default"/>
                <w:spacing w:val="-98"/>
                <w:sz w:val="21"/>
                <w:szCs w:val="21"/>
              </w:rPr>
              <w:t> </w:t>
            </w:r>
            <w:r>
              <w:rPr>
                <w:rFonts w:ascii="宋体" w:hAnsi="宋体" w:cs="宋体" w:eastAsia="宋体" w:hint="default"/>
                <w:sz w:val="21"/>
                <w:szCs w:val="21"/>
              </w:rPr>
              <w:t>发</w:t>
            </w:r>
            <w:r>
              <w:rPr>
                <w:rFonts w:ascii="宋体" w:hAnsi="宋体" w:cs="宋体" w:eastAsia="宋体" w:hint="default"/>
                <w:spacing w:val="104"/>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2016</w:t>
            </w:r>
            <w:r>
              <w:rPr>
                <w:rFonts w:ascii="宋体" w:hAnsi="宋体" w:cs="宋体" w:eastAsia="宋体" w:hint="default"/>
                <w:spacing w:val="-1"/>
                <w:sz w:val="21"/>
                <w:szCs w:val="21"/>
              </w:rPr>
              <w:t> </w:t>
            </w:r>
            <w:r>
              <w:rPr>
                <w:rFonts w:ascii="宋体" w:hAnsi="宋体" w:cs="宋体" w:eastAsia="宋体" w:hint="default"/>
                <w:sz w:val="21"/>
                <w:szCs w:val="21"/>
              </w:rPr>
              <w:t>年</w:t>
            </w:r>
          </w:p>
          <w:p>
            <w:pPr>
              <w:pStyle w:val="TableParagraph"/>
              <w:spacing w:line="237" w:lineRule="auto" w:before="1"/>
              <w:ind w:left="103" w:right="96"/>
              <w:jc w:val="both"/>
              <w:rPr>
                <w:rFonts w:ascii="宋体" w:hAnsi="宋体" w:cs="宋体" w:eastAsia="宋体" w:hint="default"/>
                <w:sz w:val="21"/>
                <w:szCs w:val="21"/>
              </w:rPr>
            </w:pPr>
            <w:r>
              <w:rPr>
                <w:rFonts w:ascii="宋体" w:hAnsi="宋体" w:cs="宋体" w:eastAsia="宋体" w:hint="default"/>
                <w:spacing w:val="24"/>
                <w:sz w:val="21"/>
                <w:szCs w:val="21"/>
              </w:rPr>
              <w:t>公司</w:t>
            </w:r>
            <w:r>
              <w:rPr>
                <w:rFonts w:ascii="宋体" w:hAnsi="宋体" w:cs="宋体" w:eastAsia="宋体" w:hint="default"/>
                <w:spacing w:val="-51"/>
                <w:sz w:val="21"/>
                <w:szCs w:val="21"/>
              </w:rPr>
              <w:t> </w:t>
            </w:r>
            <w:r>
              <w:rPr>
                <w:rFonts w:ascii="宋体" w:hAnsi="宋体" w:cs="宋体" w:eastAsia="宋体" w:hint="default"/>
                <w:sz w:val="21"/>
                <w:szCs w:val="21"/>
              </w:rPr>
              <w:t>债</w:t>
            </w:r>
            <w:r>
              <w:rPr>
                <w:rFonts w:ascii="宋体" w:hAnsi="宋体" w:cs="宋体" w:eastAsia="宋体" w:hint="default"/>
                <w:w w:val="100"/>
                <w:sz w:val="21"/>
                <w:szCs w:val="21"/>
              </w:rPr>
              <w:t> </w:t>
            </w:r>
            <w:r>
              <w:rPr>
                <w:rFonts w:ascii="宋体" w:hAnsi="宋体" w:cs="宋体" w:eastAsia="宋体" w:hint="default"/>
                <w:sz w:val="21"/>
                <w:szCs w:val="21"/>
              </w:rPr>
              <w:t>券 </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第</w:t>
            </w:r>
            <w:r>
              <w:rPr>
                <w:rFonts w:ascii="宋体" w:hAnsi="宋体" w:cs="宋体" w:eastAsia="宋体" w:hint="default"/>
                <w:w w:val="100"/>
                <w:sz w:val="21"/>
                <w:szCs w:val="21"/>
              </w:rPr>
              <w:t> </w:t>
            </w:r>
            <w:r>
              <w:rPr>
                <w:rFonts w:ascii="宋体" w:hAnsi="宋体" w:cs="宋体" w:eastAsia="宋体" w:hint="default"/>
                <w:sz w:val="21"/>
                <w:szCs w:val="21"/>
              </w:rPr>
              <w:t>二期</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1"/>
              <w:ind w:left="103" w:right="-49"/>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45"/>
                <w:sz w:val="21"/>
                <w:szCs w:val="21"/>
              </w:rPr>
              <w:t> </w:t>
            </w:r>
            <w:r>
              <w:rPr>
                <w:rFonts w:ascii="宋体" w:hAnsi="宋体" w:cs="宋体" w:eastAsia="宋体" w:hint="default"/>
                <w:sz w:val="21"/>
                <w:szCs w:val="21"/>
              </w:rPr>
              <w:t>泰</w:t>
            </w:r>
            <w:r>
              <w:rPr>
                <w:rFonts w:ascii="宋体" w:hAnsi="宋体" w:cs="宋体" w:eastAsia="宋体" w:hint="default"/>
                <w:w w:val="100"/>
                <w:sz w:val="21"/>
                <w:szCs w:val="21"/>
              </w:rPr>
              <w:t> </w:t>
            </w:r>
            <w:r>
              <w:rPr>
                <w:rFonts w:ascii="宋体" w:hAnsi="宋体" w:cs="宋体" w:eastAsia="宋体" w:hint="default"/>
                <w:sz w:val="21"/>
                <w:szCs w:val="21"/>
              </w:rPr>
              <w:t>豪</w:t>
            </w:r>
            <w:r>
              <w:rPr>
                <w:rFonts w:ascii="宋体" w:hAnsi="宋体" w:cs="宋体" w:eastAsia="宋体" w:hint="default"/>
                <w:sz w:val="21"/>
                <w:szCs w:val="21"/>
              </w:rPr>
              <w:t>02</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3" w:right="-3"/>
              <w:jc w:val="left"/>
              <w:rPr>
                <w:rFonts w:ascii="宋体" w:hAnsi="宋体" w:cs="宋体" w:eastAsia="宋体" w:hint="default"/>
                <w:sz w:val="21"/>
                <w:szCs w:val="21"/>
              </w:rPr>
            </w:pPr>
            <w:r>
              <w:rPr>
                <w:rFonts w:ascii="宋体"/>
                <w:sz w:val="21"/>
              </w:rPr>
              <w:t>136602 </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74" w:lineRule="exact"/>
              <w:ind w:left="100" w:right="0"/>
              <w:jc w:val="left"/>
              <w:rPr>
                <w:rFonts w:ascii="宋体" w:hAnsi="宋体" w:cs="宋体" w:eastAsia="宋体" w:hint="default"/>
                <w:sz w:val="21"/>
                <w:szCs w:val="21"/>
              </w:rPr>
            </w:pPr>
            <w:r>
              <w:rPr>
                <w:rFonts w:ascii="宋体"/>
                <w:sz w:val="21"/>
              </w:rPr>
              <w:t>2016</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p>
          <w:p>
            <w:pPr>
              <w:pStyle w:val="TableParagraph"/>
              <w:spacing w:line="240" w:lineRule="auto"/>
              <w:ind w:left="100" w:right="101"/>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w w:val="100"/>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100" w:right="0"/>
              <w:jc w:val="both"/>
              <w:rPr>
                <w:rFonts w:ascii="宋体" w:hAnsi="宋体" w:cs="宋体" w:eastAsia="宋体" w:hint="default"/>
                <w:sz w:val="21"/>
                <w:szCs w:val="21"/>
              </w:rPr>
            </w:pPr>
            <w:r>
              <w:rPr>
                <w:rFonts w:ascii="宋体"/>
                <w:sz w:val="21"/>
              </w:rPr>
              <w:t>2019</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8</w:t>
            </w:r>
          </w:p>
          <w:p>
            <w:pPr>
              <w:pStyle w:val="TableParagraph"/>
              <w:spacing w:line="240" w:lineRule="auto"/>
              <w:ind w:left="100" w:right="101"/>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15</w:t>
            </w:r>
            <w:r>
              <w:rPr>
                <w:rFonts w:ascii="宋体" w:hAnsi="宋体" w:cs="宋体" w:eastAsia="宋体" w:hint="default"/>
                <w:w w:val="100"/>
                <w:sz w:val="21"/>
                <w:szCs w:val="21"/>
              </w:rPr>
              <w:t> </w:t>
            </w:r>
            <w:r>
              <w:rPr>
                <w:rFonts w:ascii="宋体" w:hAnsi="宋体" w:cs="宋体" w:eastAsia="宋体" w:hint="default"/>
                <w:sz w:val="21"/>
                <w:szCs w:val="21"/>
              </w:rPr>
              <w:t>日</w:t>
            </w:r>
          </w:p>
          <w:p>
            <w:pPr>
              <w:pStyle w:val="TableParagraph"/>
              <w:spacing w:line="237" w:lineRule="auto"/>
              <w:ind w:left="100" w:right="47"/>
              <w:jc w:val="both"/>
              <w:rPr>
                <w:rFonts w:ascii="宋体" w:hAnsi="宋体" w:cs="宋体" w:eastAsia="宋体" w:hint="default"/>
                <w:sz w:val="21"/>
                <w:szCs w:val="21"/>
              </w:rPr>
            </w:pPr>
            <w:r>
              <w:rPr>
                <w:rFonts w:ascii="宋体" w:hAnsi="宋体" w:cs="宋体" w:eastAsia="宋体" w:hint="default"/>
                <w:spacing w:val="23"/>
                <w:sz w:val="21"/>
                <w:szCs w:val="21"/>
              </w:rPr>
              <w:t>（提</w:t>
            </w:r>
            <w:r>
              <w:rPr>
                <w:rFonts w:ascii="宋体" w:hAnsi="宋体" w:cs="宋体" w:eastAsia="宋体" w:hint="default"/>
                <w:spacing w:val="-101"/>
                <w:sz w:val="21"/>
                <w:szCs w:val="21"/>
              </w:rPr>
              <w:t> </w:t>
            </w:r>
            <w:r>
              <w:rPr>
                <w:rFonts w:ascii="宋体" w:hAnsi="宋体" w:cs="宋体" w:eastAsia="宋体" w:hint="default"/>
                <w:spacing w:val="23"/>
                <w:sz w:val="21"/>
                <w:szCs w:val="21"/>
              </w:rPr>
              <w:t>前摘</w:t>
            </w:r>
            <w:r>
              <w:rPr>
                <w:rFonts w:ascii="宋体" w:hAnsi="宋体" w:cs="宋体" w:eastAsia="宋体" w:hint="default"/>
                <w:spacing w:val="-101"/>
                <w:sz w:val="21"/>
                <w:szCs w:val="21"/>
              </w:rPr>
              <w:t> </w:t>
            </w:r>
            <w:r>
              <w:rPr>
                <w:rFonts w:ascii="宋体" w:hAnsi="宋体" w:cs="宋体" w:eastAsia="宋体" w:hint="default"/>
                <w:sz w:val="21"/>
                <w:szCs w:val="21"/>
              </w:rPr>
              <w:t>牌）</w:t>
            </w:r>
            <w:r>
              <w:rPr>
                <w:rFonts w:ascii="宋体" w:hAnsi="宋体" w:cs="宋体" w:eastAsia="宋体" w:hint="default"/>
                <w:sz w:val="21"/>
                <w:szCs w:val="21"/>
              </w:rPr>
              <w:t> </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0" w:right="0"/>
              <w:jc w:val="left"/>
              <w:rPr>
                <w:rFonts w:ascii="Times New Roman" w:hAnsi="Times New Roman" w:cs="Times New Roman" w:eastAsia="Times New Roman" w:hint="default"/>
                <w:sz w:val="20"/>
                <w:szCs w:val="20"/>
              </w:rPr>
            </w:pPr>
            <w:r>
              <w:rPr>
                <w:rFonts w:ascii="Times New Roman"/>
                <w:sz w:val="20"/>
              </w:rPr>
              <w:t>4.75</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3" w:right="103"/>
              <w:jc w:val="both"/>
              <w:rPr>
                <w:rFonts w:ascii="宋体" w:hAnsi="宋体" w:cs="宋体" w:eastAsia="宋体" w:hint="default"/>
                <w:sz w:val="21"/>
                <w:szCs w:val="21"/>
              </w:rPr>
            </w:pPr>
            <w:r>
              <w:rPr>
                <w:rFonts w:ascii="宋体" w:hAnsi="宋体" w:cs="宋体" w:eastAsia="宋体" w:hint="default"/>
                <w:spacing w:val="3"/>
                <w:sz w:val="21"/>
                <w:szCs w:val="21"/>
              </w:rPr>
              <w:t>本期公司债券采用单利按年</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3"/>
                <w:sz w:val="21"/>
                <w:szCs w:val="21"/>
              </w:rPr>
              <w:t>计息，不计复利，逾期不另</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3"/>
                <w:sz w:val="21"/>
                <w:szCs w:val="21"/>
              </w:rPr>
              <w:t>计息。每年付息一次，到期</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3"/>
                <w:sz w:val="21"/>
                <w:szCs w:val="21"/>
              </w:rPr>
              <w:t>一次还本，最后一期利息随</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本金的兑付一起支付</w:t>
            </w:r>
            <w:r>
              <w:rPr>
                <w:rFonts w:ascii="宋体" w:hAnsi="宋体" w:cs="宋体" w:eastAsia="宋体" w:hint="default"/>
                <w:sz w:val="21"/>
                <w:szCs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52"/>
                <w:sz w:val="21"/>
                <w:szCs w:val="21"/>
              </w:rPr>
              <w:t> </w:t>
            </w:r>
            <w:r>
              <w:rPr>
                <w:rFonts w:ascii="宋体" w:hAnsi="宋体" w:cs="宋体" w:eastAsia="宋体" w:hint="default"/>
                <w:sz w:val="21"/>
                <w:szCs w:val="21"/>
              </w:rPr>
              <w:t>海</w:t>
            </w:r>
            <w:r>
              <w:rPr>
                <w:rFonts w:ascii="宋体" w:hAnsi="宋体" w:cs="宋体" w:eastAsia="宋体" w:hint="default"/>
                <w:spacing w:val="-54"/>
                <w:sz w:val="21"/>
                <w:szCs w:val="21"/>
              </w:rPr>
              <w:t> </w:t>
            </w:r>
            <w:r>
              <w:rPr>
                <w:rFonts w:ascii="宋体" w:hAnsi="宋体" w:cs="宋体" w:eastAsia="宋体" w:hint="default"/>
                <w:sz w:val="21"/>
                <w:szCs w:val="21"/>
              </w:rPr>
              <w:t>证</w:t>
            </w:r>
            <w:r>
              <w:rPr>
                <w:rFonts w:ascii="宋体" w:hAnsi="宋体" w:cs="宋体" w:eastAsia="宋体" w:hint="default"/>
                <w:w w:val="100"/>
                <w:sz w:val="21"/>
                <w:szCs w:val="21"/>
              </w:rPr>
              <w:t> </w:t>
            </w:r>
            <w:r>
              <w:rPr>
                <w:rFonts w:ascii="宋体" w:hAnsi="宋体" w:cs="宋体" w:eastAsia="宋体" w:hint="default"/>
                <w:sz w:val="21"/>
                <w:szCs w:val="21"/>
              </w:rPr>
              <w:t>券</w:t>
            </w:r>
            <w:r>
              <w:rPr>
                <w:rFonts w:ascii="宋体" w:hAnsi="宋体" w:cs="宋体" w:eastAsia="宋体" w:hint="default"/>
                <w:spacing w:val="-52"/>
                <w:sz w:val="21"/>
                <w:szCs w:val="21"/>
              </w:rPr>
              <w:t> </w:t>
            </w:r>
            <w:r>
              <w:rPr>
                <w:rFonts w:ascii="宋体" w:hAnsi="宋体" w:cs="宋体" w:eastAsia="宋体" w:hint="default"/>
                <w:sz w:val="21"/>
                <w:szCs w:val="21"/>
              </w:rPr>
              <w:t>交</w:t>
            </w:r>
            <w:r>
              <w:rPr>
                <w:rFonts w:ascii="宋体" w:hAnsi="宋体" w:cs="宋体" w:eastAsia="宋体" w:hint="default"/>
                <w:spacing w:val="-54"/>
                <w:sz w:val="21"/>
                <w:szCs w:val="21"/>
              </w:rPr>
              <w:t> </w:t>
            </w:r>
            <w:r>
              <w:rPr>
                <w:rFonts w:ascii="宋体" w:hAnsi="宋体" w:cs="宋体" w:eastAsia="宋体" w:hint="default"/>
                <w:sz w:val="21"/>
                <w:szCs w:val="21"/>
              </w:rPr>
              <w:t>易</w:t>
            </w:r>
            <w:r>
              <w:rPr>
                <w:rFonts w:ascii="宋体" w:hAnsi="宋体" w:cs="宋体" w:eastAsia="宋体" w:hint="default"/>
                <w:w w:val="100"/>
                <w:sz w:val="21"/>
                <w:szCs w:val="21"/>
              </w:rPr>
              <w:t> </w:t>
            </w:r>
            <w:r>
              <w:rPr>
                <w:rFonts w:ascii="宋体" w:hAnsi="宋体" w:cs="宋体" w:eastAsia="宋体" w:hint="default"/>
                <w:sz w:val="21"/>
                <w:szCs w:val="21"/>
              </w:rPr>
              <w:t>所</w:t>
            </w:r>
            <w:r>
              <w:rPr>
                <w:rFonts w:ascii="宋体" w:hAnsi="宋体" w:cs="宋体" w:eastAsia="宋体" w:hint="default"/>
                <w:sz w:val="21"/>
                <w:szCs w:val="21"/>
              </w:rPr>
              <w:t> </w:t>
            </w:r>
          </w:p>
        </w:tc>
      </w:tr>
    </w:tbl>
    <w:p>
      <w:pPr>
        <w:pStyle w:val="Heading3"/>
        <w:spacing w:line="274" w:lineRule="exact"/>
        <w:ind w:right="0"/>
        <w:jc w:val="left"/>
        <w:rPr>
          <w:rFonts w:ascii="宋体" w:hAnsi="宋体" w:cs="宋体" w:eastAsia="宋体" w:hint="default"/>
        </w:rPr>
      </w:pPr>
      <w:r>
        <w:rPr>
          <w:rFonts w:ascii="宋体"/>
        </w:rPr>
        <w:t> </w:t>
      </w:r>
    </w:p>
    <w:p>
      <w:pPr>
        <w:pStyle w:val="BodyText"/>
        <w:spacing w:line="270" w:lineRule="exact" w:before="4"/>
        <w:ind w:left="216" w:right="0"/>
        <w:jc w:val="left"/>
      </w:pPr>
      <w:r>
        <w:rPr/>
        <w:t>公司债券付息兑付情况</w:t>
      </w:r>
    </w:p>
    <w:p>
      <w:pPr>
        <w:pStyle w:val="Heading3"/>
        <w:spacing w:line="309" w:lineRule="exact"/>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74" w:lineRule="exact" w:before="4"/>
        <w:ind w:left="697" w:right="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8"/>
        </w:rPr>
        <w:t> </w:t>
      </w:r>
      <w:r>
        <w:rPr>
          <w:spacing w:val="-4"/>
        </w:rPr>
        <w:t>年公司已按时足额支付债券利息，具体情况详见公司于</w:t>
      </w:r>
      <w:r>
        <w:rPr>
          <w:spacing w:val="-44"/>
        </w:rPr>
        <w:t> </w:t>
      </w:r>
      <w:r>
        <w:rPr>
          <w:rFonts w:ascii="宋体" w:hAnsi="宋体" w:cs="宋体" w:eastAsia="宋体" w:hint="default"/>
        </w:rPr>
        <w:t>2019</w:t>
      </w:r>
      <w:r>
        <w:rPr>
          <w:rFonts w:ascii="宋体" w:hAnsi="宋体" w:cs="宋体" w:eastAsia="宋体" w:hint="default"/>
          <w:spacing w:val="-48"/>
        </w:rPr>
        <w:t> </w:t>
      </w:r>
      <w:r>
        <w:rPr/>
        <w:t>年</w:t>
      </w:r>
      <w:r>
        <w:rPr>
          <w:spacing w:val="-46"/>
        </w:rPr>
        <w:t> </w:t>
      </w:r>
      <w:r>
        <w:rPr>
          <w:rFonts w:ascii="宋体" w:hAnsi="宋体" w:cs="宋体" w:eastAsia="宋体" w:hint="default"/>
        </w:rPr>
        <w:t>3</w:t>
      </w:r>
      <w:r>
        <w:rPr>
          <w:rFonts w:ascii="宋体" w:hAnsi="宋体" w:cs="宋体" w:eastAsia="宋体" w:hint="default"/>
          <w:spacing w:val="-48"/>
        </w:rPr>
        <w:t> </w:t>
      </w:r>
      <w:r>
        <w:rPr/>
        <w:t>月</w:t>
      </w:r>
      <w:r>
        <w:rPr>
          <w:spacing w:val="-46"/>
        </w:rPr>
        <w:t> </w:t>
      </w:r>
      <w:r>
        <w:rPr>
          <w:rFonts w:ascii="宋体" w:hAnsi="宋体" w:cs="宋体" w:eastAsia="宋体" w:hint="default"/>
        </w:rPr>
        <w:t>16</w:t>
      </w:r>
      <w:r>
        <w:rPr>
          <w:rFonts w:ascii="宋体" w:hAnsi="宋体" w:cs="宋体" w:eastAsia="宋体" w:hint="default"/>
          <w:spacing w:val="-48"/>
        </w:rPr>
        <w:t> </w:t>
      </w:r>
      <w:r>
        <w:rPr>
          <w:spacing w:val="-9"/>
        </w:rPr>
        <w:t>日发布的《公司</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w w:val="100"/>
        </w:rPr>
        <w:t>公开</w:t>
      </w:r>
      <w:r>
        <w:rPr>
          <w:spacing w:val="-3"/>
          <w:w w:val="100"/>
        </w:rPr>
        <w:t>发</w:t>
      </w:r>
      <w:r>
        <w:rPr>
          <w:w w:val="100"/>
        </w:rPr>
        <w:t>行</w:t>
      </w:r>
      <w:r>
        <w:rPr>
          <w:spacing w:val="-28"/>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16</w:t>
      </w:r>
      <w:r>
        <w:rPr>
          <w:rFonts w:ascii="宋体" w:hAnsi="宋体" w:cs="宋体" w:eastAsia="宋体" w:hint="default"/>
          <w:spacing w:val="-29"/>
        </w:rPr>
        <w:t> </w:t>
      </w:r>
      <w:r>
        <w:rPr>
          <w:spacing w:val="-3"/>
          <w:w w:val="100"/>
        </w:rPr>
        <w:t>年</w:t>
      </w:r>
      <w:r>
        <w:rPr>
          <w:w w:val="100"/>
        </w:rPr>
        <w:t>公</w:t>
      </w:r>
      <w:r>
        <w:rPr>
          <w:spacing w:val="-3"/>
          <w:w w:val="100"/>
        </w:rPr>
        <w:t>司债</w:t>
      </w:r>
      <w:r>
        <w:rPr>
          <w:spacing w:val="-1"/>
          <w:w w:val="100"/>
        </w:rPr>
        <w:t>券</w:t>
      </w:r>
      <w:r>
        <w:rPr>
          <w:rFonts w:ascii="宋体" w:hAnsi="宋体" w:cs="宋体" w:eastAsia="宋体" w:hint="default"/>
          <w:w w:val="100"/>
        </w:rPr>
        <w:t>(</w:t>
      </w:r>
      <w:r>
        <w:rPr>
          <w:spacing w:val="-3"/>
          <w:w w:val="100"/>
        </w:rPr>
        <w:t>第</w:t>
      </w:r>
      <w:r>
        <w:rPr>
          <w:w w:val="100"/>
        </w:rPr>
        <w:t>一期</w:t>
      </w:r>
      <w:r>
        <w:rPr>
          <w:rFonts w:ascii="宋体" w:hAnsi="宋体" w:cs="宋体" w:eastAsia="宋体" w:hint="default"/>
          <w:spacing w:val="-3"/>
          <w:w w:val="100"/>
        </w:rPr>
        <w:t>)</w:t>
      </w:r>
      <w:r>
        <w:rPr>
          <w:rFonts w:ascii="宋体" w:hAnsi="宋体" w:cs="宋体" w:eastAsia="宋体" w:hint="default"/>
          <w:w w:val="100"/>
        </w:rPr>
        <w:t>20</w:t>
      </w:r>
      <w:r>
        <w:rPr>
          <w:rFonts w:ascii="宋体" w:hAnsi="宋体" w:cs="宋体" w:eastAsia="宋体" w:hint="default"/>
          <w:spacing w:val="-1"/>
          <w:w w:val="100"/>
        </w:rPr>
        <w:t>1</w:t>
      </w:r>
      <w:r>
        <w:rPr>
          <w:rFonts w:ascii="宋体" w:hAnsi="宋体" w:cs="宋体" w:eastAsia="宋体" w:hint="default"/>
          <w:w w:val="100"/>
        </w:rPr>
        <w:t>9</w:t>
      </w:r>
      <w:r>
        <w:rPr>
          <w:rFonts w:ascii="宋体" w:hAnsi="宋体" w:cs="宋体" w:eastAsia="宋体" w:hint="default"/>
          <w:spacing w:val="-31"/>
        </w:rPr>
        <w:t> </w:t>
      </w:r>
      <w:r>
        <w:rPr>
          <w:w w:val="100"/>
        </w:rPr>
        <w:t>年</w:t>
      </w:r>
      <w:r>
        <w:rPr>
          <w:spacing w:val="-3"/>
          <w:w w:val="100"/>
        </w:rPr>
        <w:t>付</w:t>
      </w:r>
      <w:r>
        <w:rPr>
          <w:w w:val="100"/>
        </w:rPr>
        <w:t>息</w:t>
      </w:r>
      <w:r>
        <w:rPr>
          <w:spacing w:val="-3"/>
          <w:w w:val="100"/>
        </w:rPr>
        <w:t>公</w:t>
      </w:r>
      <w:r>
        <w:rPr>
          <w:w w:val="100"/>
        </w:rPr>
        <w:t>告</w:t>
      </w:r>
      <w:r>
        <w:rPr>
          <w:spacing w:val="-106"/>
          <w:w w:val="100"/>
        </w:rPr>
        <w:t>》</w:t>
      </w:r>
      <w:r>
        <w:rPr>
          <w:spacing w:val="-3"/>
          <w:w w:val="100"/>
        </w:rPr>
        <w:t>（</w:t>
      </w:r>
      <w:r>
        <w:rPr>
          <w:w w:val="100"/>
        </w:rPr>
        <w:t>公</w:t>
      </w:r>
      <w:r>
        <w:rPr>
          <w:spacing w:val="-3"/>
          <w:w w:val="100"/>
        </w:rPr>
        <w:t>告</w:t>
      </w:r>
      <w:r>
        <w:rPr>
          <w:w w:val="100"/>
        </w:rPr>
        <w:t>编</w:t>
      </w:r>
      <w:r>
        <w:rPr>
          <w:spacing w:val="-3"/>
          <w:w w:val="100"/>
        </w:rPr>
        <w:t>号</w:t>
      </w:r>
      <w:r>
        <w:rPr>
          <w:w w:val="100"/>
        </w:rPr>
        <w:t>：临</w:t>
      </w:r>
      <w:r>
        <w:rPr>
          <w:spacing w:val="-29"/>
        </w:rPr>
        <w:t> </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1"/>
          <w:w w:val="100"/>
        </w:rPr>
        <w:t>1</w:t>
      </w:r>
      <w:r>
        <w:rPr>
          <w:rFonts w:ascii="宋体" w:hAnsi="宋体" w:cs="宋体" w:eastAsia="宋体" w:hint="default"/>
          <w:w w:val="100"/>
        </w:rPr>
        <w:t>9</w:t>
      </w:r>
      <w:r>
        <w:rPr>
          <w:rFonts w:ascii="宋体" w:hAnsi="宋体" w:cs="宋体" w:eastAsia="宋体" w:hint="default"/>
          <w:spacing w:val="-3"/>
          <w:w w:val="100"/>
        </w:rPr>
        <w:t>-</w:t>
      </w:r>
      <w:r>
        <w:rPr>
          <w:rFonts w:ascii="宋体" w:hAnsi="宋体" w:cs="宋体" w:eastAsia="宋体" w:hint="default"/>
          <w:w w:val="100"/>
        </w:rPr>
        <w:t>019</w:t>
      </w:r>
      <w:r>
        <w:rPr>
          <w:spacing w:val="-106"/>
          <w:w w:val="100"/>
        </w:rPr>
        <w:t>）</w:t>
      </w:r>
      <w:r>
        <w:rPr>
          <w:spacing w:val="-3"/>
          <w:w w:val="100"/>
        </w:rPr>
        <w:t>，</w:t>
      </w:r>
      <w:r>
        <w:rPr>
          <w:w w:val="100"/>
        </w:rPr>
        <w:t>于</w:t>
      </w:r>
      <w:r>
        <w:rPr>
          <w:spacing w:val="-28"/>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19</w:t>
      </w:r>
      <w:r>
        <w:rPr>
          <w:rFonts w:ascii="宋体" w:hAnsi="宋体" w:cs="宋体" w:eastAsia="宋体" w:hint="default"/>
          <w:spacing w:val="-29"/>
        </w:rPr>
        <w:t> </w:t>
      </w:r>
      <w:r>
        <w:rPr>
          <w:w w:val="100"/>
        </w:rPr>
        <w:t>年</w:t>
      </w:r>
      <w:r>
        <w:rPr>
          <w:spacing w:val="-31"/>
        </w:rPr>
        <w:t> </w:t>
      </w:r>
      <w:r>
        <w:rPr>
          <w:rFonts w:ascii="宋体" w:hAnsi="宋体" w:cs="宋体" w:eastAsia="宋体" w:hint="default"/>
          <w:w w:val="100"/>
        </w:rPr>
        <w:t>7</w:t>
      </w:r>
    </w:p>
    <w:p>
      <w:pPr>
        <w:pStyle w:val="BodyText"/>
        <w:spacing w:line="240" w:lineRule="auto"/>
        <w:ind w:left="216" w:right="128"/>
        <w:jc w:val="left"/>
        <w:rPr>
          <w:rFonts w:ascii="宋体" w:hAnsi="宋体" w:cs="宋体" w:eastAsia="宋体" w:hint="default"/>
        </w:rPr>
      </w:pPr>
      <w:r>
        <w:rPr>
          <w:w w:val="100"/>
        </w:rPr>
        <w:t>月</w:t>
      </w:r>
      <w:r>
        <w:rPr>
          <w:spacing w:val="1"/>
        </w:rPr>
        <w:t> </w:t>
      </w:r>
      <w:r>
        <w:rPr>
          <w:rFonts w:ascii="宋体" w:hAnsi="宋体" w:cs="宋体" w:eastAsia="宋体" w:hint="default"/>
          <w:w w:val="100"/>
        </w:rPr>
        <w:t>26</w:t>
      </w:r>
      <w:r>
        <w:rPr>
          <w:rFonts w:ascii="宋体" w:hAnsi="宋体" w:cs="宋体" w:eastAsia="宋体" w:hint="default"/>
          <w:spacing w:val="-2"/>
        </w:rPr>
        <w:t> </w:t>
      </w:r>
      <w:r>
        <w:rPr>
          <w:w w:val="100"/>
        </w:rPr>
        <w:t>日发</w:t>
      </w:r>
      <w:r>
        <w:rPr>
          <w:spacing w:val="-3"/>
          <w:w w:val="100"/>
        </w:rPr>
        <w:t>布</w:t>
      </w:r>
      <w:r>
        <w:rPr>
          <w:w w:val="100"/>
        </w:rPr>
        <w:t>的《</w:t>
      </w:r>
      <w:r>
        <w:rPr>
          <w:spacing w:val="-3"/>
          <w:w w:val="100"/>
        </w:rPr>
        <w:t>公</w:t>
      </w:r>
      <w:r>
        <w:rPr>
          <w:w w:val="100"/>
        </w:rPr>
        <w:t>司</w:t>
      </w:r>
      <w:r>
        <w:rPr>
          <w:spacing w:val="-3"/>
          <w:w w:val="100"/>
        </w:rPr>
        <w:t>公</w:t>
      </w:r>
      <w:r>
        <w:rPr>
          <w:w w:val="100"/>
        </w:rPr>
        <w:t>开发行</w:t>
      </w:r>
      <w:r>
        <w:rPr>
          <w:spacing w:val="-2"/>
        </w:rPr>
        <w:t> </w:t>
      </w:r>
      <w:r>
        <w:rPr>
          <w:rFonts w:ascii="宋体" w:hAnsi="宋体" w:cs="宋体" w:eastAsia="宋体" w:hint="default"/>
          <w:w w:val="100"/>
        </w:rPr>
        <w:t>2016</w:t>
      </w:r>
      <w:r>
        <w:rPr>
          <w:rFonts w:ascii="宋体" w:hAnsi="宋体" w:cs="宋体" w:eastAsia="宋体" w:hint="default"/>
          <w:spacing w:val="-2"/>
        </w:rPr>
        <w:t> </w:t>
      </w:r>
      <w:r>
        <w:rPr>
          <w:w w:val="100"/>
        </w:rPr>
        <w:t>年公</w:t>
      </w:r>
      <w:r>
        <w:rPr>
          <w:spacing w:val="-3"/>
          <w:w w:val="100"/>
        </w:rPr>
        <w:t>司</w:t>
      </w:r>
      <w:r>
        <w:rPr>
          <w:w w:val="100"/>
        </w:rPr>
        <w:t>债</w:t>
      </w:r>
      <w:r>
        <w:rPr>
          <w:spacing w:val="-3"/>
          <w:w w:val="100"/>
        </w:rPr>
        <w:t>券</w:t>
      </w:r>
      <w:r>
        <w:rPr>
          <w:w w:val="100"/>
        </w:rPr>
        <w:t>（第二</w:t>
      </w:r>
      <w:r>
        <w:rPr>
          <w:spacing w:val="-3"/>
          <w:w w:val="100"/>
        </w:rPr>
        <w:t>期</w:t>
      </w:r>
      <w:r>
        <w:rPr>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9</w:t>
      </w:r>
      <w:r>
        <w:rPr>
          <w:rFonts w:ascii="宋体" w:hAnsi="宋体" w:cs="宋体" w:eastAsia="宋体" w:hint="default"/>
        </w:rPr>
        <w:t> </w:t>
      </w:r>
      <w:r>
        <w:rPr>
          <w:spacing w:val="-3"/>
          <w:w w:val="100"/>
        </w:rPr>
        <w:t>年</w:t>
      </w:r>
      <w:r>
        <w:rPr>
          <w:w w:val="100"/>
        </w:rPr>
        <w:t>付息</w:t>
      </w:r>
      <w:r>
        <w:rPr>
          <w:spacing w:val="-3"/>
          <w:w w:val="100"/>
        </w:rPr>
        <w:t>公</w:t>
      </w:r>
      <w:r>
        <w:rPr>
          <w:w w:val="100"/>
        </w:rPr>
        <w:t>告</w:t>
      </w:r>
      <w:r>
        <w:rPr>
          <w:spacing w:val="-106"/>
          <w:w w:val="100"/>
        </w:rPr>
        <w:t>》</w:t>
      </w:r>
      <w:r>
        <w:rPr>
          <w:w w:val="100"/>
        </w:rPr>
        <w:t>（公</w:t>
      </w:r>
      <w:r>
        <w:rPr>
          <w:spacing w:val="-3"/>
          <w:w w:val="100"/>
        </w:rPr>
        <w:t>告</w:t>
      </w:r>
      <w:r>
        <w:rPr>
          <w:w w:val="100"/>
        </w:rPr>
        <w:t>编</w:t>
      </w:r>
      <w:r>
        <w:rPr>
          <w:spacing w:val="-3"/>
          <w:w w:val="100"/>
        </w:rPr>
        <w:t>号：临</w:t>
      </w:r>
      <w:r>
        <w:rPr>
          <w:rFonts w:ascii="宋体" w:hAnsi="宋体" w:cs="宋体" w:eastAsia="宋体" w:hint="default"/>
          <w:w w:val="100"/>
        </w:rPr>
        <w:t> 2019-</w:t>
      </w:r>
      <w:r>
        <w:rPr>
          <w:rFonts w:ascii="宋体" w:hAnsi="宋体" w:cs="宋体" w:eastAsia="宋体" w:hint="default"/>
          <w:spacing w:val="-3"/>
          <w:w w:val="100"/>
        </w:rPr>
        <w:t>0</w:t>
      </w:r>
      <w:r>
        <w:rPr>
          <w:rFonts w:ascii="宋体" w:hAnsi="宋体" w:cs="宋体" w:eastAsia="宋体" w:hint="default"/>
          <w:w w:val="100"/>
        </w:rPr>
        <w:t>4</w:t>
      </w:r>
      <w:r>
        <w:rPr>
          <w:rFonts w:ascii="宋体" w:hAnsi="宋体" w:cs="宋体" w:eastAsia="宋体" w:hint="default"/>
          <w:spacing w:val="-1"/>
          <w:w w:val="100"/>
        </w:rPr>
        <w:t>6</w:t>
      </w:r>
      <w:r>
        <w:rPr>
          <w:spacing w:val="-108"/>
          <w:w w:val="100"/>
        </w:rPr>
        <w:t>）</w:t>
      </w:r>
      <w:r>
        <w:rPr>
          <w:spacing w:val="-3"/>
          <w:w w:val="100"/>
        </w:rPr>
        <w:t>。</w:t>
      </w:r>
      <w:r>
        <w:rPr>
          <w:rFonts w:ascii="宋体" w:hAnsi="宋体" w:cs="宋体" w:eastAsia="宋体" w:hint="default"/>
          <w:w w:val="100"/>
        </w:rPr>
        <w:t> </w:t>
      </w:r>
    </w:p>
    <w:p>
      <w:pPr>
        <w:pStyle w:val="BodyText"/>
        <w:spacing w:line="266" w:lineRule="exact"/>
        <w:ind w:left="216" w:right="0"/>
        <w:jc w:val="left"/>
      </w:pPr>
      <w:r>
        <w:rPr/>
        <w:t>公司债券其他情况的说明</w:t>
      </w:r>
    </w:p>
    <w:p>
      <w:pPr>
        <w:pStyle w:val="Heading3"/>
        <w:spacing w:line="309"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37" w:lineRule="auto" w:before="6"/>
        <w:ind w:left="216" w:right="0" w:firstLine="480"/>
        <w:jc w:val="left"/>
        <w:rPr>
          <w:rFonts w:ascii="宋体" w:hAnsi="宋体" w:cs="宋体" w:eastAsia="宋体" w:hint="default"/>
        </w:rPr>
      </w:pPr>
      <w:r>
        <w:rPr>
          <w:spacing w:val="-6"/>
        </w:rPr>
        <w:t>根据募集说明书，</w:t>
      </w:r>
      <w:r>
        <w:rPr>
          <w:rFonts w:ascii="宋体" w:hAnsi="宋体" w:cs="宋体" w:eastAsia="宋体" w:hint="default"/>
          <w:spacing w:val="-6"/>
        </w:rPr>
        <w:t>2016</w:t>
      </w:r>
      <w:r>
        <w:rPr>
          <w:rFonts w:ascii="宋体" w:hAnsi="宋体" w:cs="宋体" w:eastAsia="宋体" w:hint="default"/>
          <w:spacing w:val="-46"/>
        </w:rPr>
        <w:t> </w:t>
      </w:r>
      <w:r>
        <w:rPr/>
        <w:t>年公司债券为存续期</w:t>
      </w:r>
      <w:r>
        <w:rPr>
          <w:spacing w:val="-45"/>
        </w:rPr>
        <w:t> </w:t>
      </w:r>
      <w:r>
        <w:rPr>
          <w:rFonts w:ascii="宋体" w:hAnsi="宋体" w:cs="宋体" w:eastAsia="宋体" w:hint="default"/>
        </w:rPr>
        <w:t>5</w:t>
      </w:r>
      <w:r>
        <w:rPr>
          <w:rFonts w:ascii="宋体" w:hAnsi="宋体" w:cs="宋体" w:eastAsia="宋体" w:hint="default"/>
          <w:spacing w:val="-48"/>
        </w:rPr>
        <w:t> </w:t>
      </w:r>
      <w:r>
        <w:rPr>
          <w:spacing w:val="-6"/>
        </w:rPr>
        <w:t>年期固定利率债券，附第</w:t>
      </w:r>
      <w:r>
        <w:rPr>
          <w:spacing w:val="-48"/>
        </w:rPr>
        <w:t> </w:t>
      </w:r>
      <w:r>
        <w:rPr>
          <w:rFonts w:ascii="宋体" w:hAnsi="宋体" w:cs="宋体" w:eastAsia="宋体" w:hint="default"/>
        </w:rPr>
        <w:t>3</w:t>
      </w:r>
      <w:r>
        <w:rPr>
          <w:rFonts w:ascii="宋体" w:hAnsi="宋体" w:cs="宋体" w:eastAsia="宋体" w:hint="default"/>
          <w:spacing w:val="-46"/>
        </w:rPr>
        <w:t> </w:t>
      </w:r>
      <w:r>
        <w:rPr>
          <w:spacing w:val="-3"/>
        </w:rPr>
        <w:t>年末上调票面利率</w:t>
      </w:r>
      <w:r>
        <w:rPr>
          <w:rFonts w:ascii="宋体" w:hAnsi="宋体" w:cs="宋体" w:eastAsia="宋体" w:hint="default"/>
          <w:w w:val="100"/>
        </w:rPr>
        <w:t> </w:t>
      </w:r>
      <w:r>
        <w:rPr/>
        <w:t>选择权和投资者回售选择权。根据中国证券登记结算有限责任公司上海分公司（以下简称“中证</w:t>
      </w:r>
      <w:r>
        <w:rPr>
          <w:spacing w:val="-96"/>
        </w:rPr>
        <w:t> </w:t>
      </w:r>
      <w:r>
        <w:rPr>
          <w:spacing w:val="-96"/>
        </w:rPr>
      </w:r>
      <w:r>
        <w:rPr>
          <w:spacing w:val="-11"/>
          <w:w w:val="100"/>
        </w:rPr>
        <w:t>登上海分公司”）提供的债券回售申报数据，“16</w:t>
      </w:r>
      <w:r>
        <w:rPr>
          <w:spacing w:val="-65"/>
          <w:w w:val="100"/>
        </w:rPr>
        <w:t> </w:t>
      </w:r>
      <w:r>
        <w:rPr>
          <w:spacing w:val="-2"/>
          <w:w w:val="100"/>
        </w:rPr>
        <w:t>泰豪</w:t>
      </w:r>
      <w:r>
        <w:rPr>
          <w:spacing w:val="-63"/>
          <w:w w:val="100"/>
        </w:rPr>
        <w:t> </w:t>
      </w:r>
      <w:r>
        <w:rPr>
          <w:spacing w:val="-2"/>
          <w:w w:val="100"/>
        </w:rPr>
        <w:t>01”公司债券本次回售申报数量为</w:t>
      </w:r>
      <w:r>
        <w:rPr>
          <w:spacing w:val="-63"/>
          <w:w w:val="100"/>
        </w:rPr>
        <w:t> </w:t>
      </w:r>
      <w:r>
        <w:rPr>
          <w:rFonts w:ascii="宋体" w:hAnsi="宋体" w:cs="宋体" w:eastAsia="宋体" w:hint="default"/>
          <w:spacing w:val="-1"/>
          <w:w w:val="100"/>
        </w:rPr>
        <w:t>449,501</w:t>
      </w:r>
      <w:r>
        <w:rPr>
          <w:rFonts w:ascii="宋体" w:hAnsi="宋体" w:cs="宋体" w:eastAsia="宋体" w:hint="default"/>
          <w:spacing w:val="-90"/>
          <w:w w:val="100"/>
        </w:rPr>
        <w:t> </w:t>
      </w:r>
      <w:r>
        <w:rPr>
          <w:rFonts w:ascii="宋体" w:hAnsi="宋体" w:cs="宋体" w:eastAsia="宋体" w:hint="default"/>
          <w:spacing w:val="-90"/>
          <w:w w:val="100"/>
        </w:rPr>
      </w:r>
      <w:r>
        <w:rPr>
          <w:spacing w:val="-11"/>
          <w:w w:val="100"/>
        </w:rPr>
        <w:t>手，回售金额为</w:t>
      </w:r>
      <w:r>
        <w:rPr>
          <w:spacing w:val="-49"/>
          <w:w w:val="100"/>
        </w:rPr>
        <w:t> </w:t>
      </w:r>
      <w:r>
        <w:rPr>
          <w:rFonts w:ascii="宋体" w:hAnsi="宋体" w:cs="宋体" w:eastAsia="宋体" w:hint="default"/>
          <w:spacing w:val="-1"/>
          <w:w w:val="100"/>
        </w:rPr>
        <w:t>449,501,000</w:t>
      </w:r>
      <w:r>
        <w:rPr>
          <w:rFonts w:ascii="宋体" w:hAnsi="宋体" w:cs="宋体" w:eastAsia="宋体" w:hint="default"/>
          <w:spacing w:val="-49"/>
          <w:w w:val="100"/>
        </w:rPr>
        <w:t> </w:t>
      </w:r>
      <w:r>
        <w:rPr>
          <w:spacing w:val="-26"/>
          <w:w w:val="100"/>
        </w:rPr>
        <w:t>元（不含利息），“</w:t>
      </w:r>
      <w:r>
        <w:rPr>
          <w:rFonts w:ascii="宋体" w:hAnsi="宋体" w:cs="宋体" w:eastAsia="宋体" w:hint="default"/>
          <w:spacing w:val="-26"/>
          <w:w w:val="100"/>
        </w:rPr>
        <w:t>16</w:t>
      </w:r>
      <w:r>
        <w:rPr>
          <w:rFonts w:ascii="宋体" w:hAnsi="宋体" w:cs="宋体" w:eastAsia="宋体" w:hint="default"/>
          <w:spacing w:val="-52"/>
          <w:w w:val="100"/>
        </w:rPr>
        <w:t> </w:t>
      </w:r>
      <w:r>
        <w:rPr>
          <w:spacing w:val="-2"/>
          <w:w w:val="100"/>
        </w:rPr>
        <w:t>泰豪</w:t>
      </w:r>
      <w:r>
        <w:rPr>
          <w:spacing w:val="-50"/>
          <w:w w:val="100"/>
        </w:rPr>
        <w:t> </w:t>
      </w:r>
      <w:r>
        <w:rPr>
          <w:rFonts w:ascii="宋体" w:hAnsi="宋体" w:cs="宋体" w:eastAsia="宋体" w:hint="default"/>
          <w:spacing w:val="-10"/>
          <w:w w:val="100"/>
        </w:rPr>
        <w:t>02</w:t>
      </w:r>
      <w:r>
        <w:rPr>
          <w:spacing w:val="-10"/>
          <w:w w:val="100"/>
        </w:rPr>
        <w:t>”已全部回售，回售申报数量为</w:t>
      </w:r>
      <w:r>
        <w:rPr>
          <w:spacing w:val="-50"/>
          <w:w w:val="100"/>
        </w:rPr>
        <w:t> </w:t>
      </w:r>
      <w:r>
        <w:rPr>
          <w:rFonts w:ascii="宋体" w:hAnsi="宋体" w:cs="宋体" w:eastAsia="宋体" w:hint="default"/>
          <w:spacing w:val="-1"/>
          <w:w w:val="100"/>
        </w:rPr>
        <w:t>500,000</w:t>
      </w:r>
    </w:p>
    <w:p>
      <w:pPr>
        <w:pStyle w:val="BodyText"/>
        <w:spacing w:line="268" w:lineRule="exact"/>
        <w:ind w:left="216" w:right="0"/>
        <w:jc w:val="left"/>
      </w:pPr>
      <w:r>
        <w:rPr/>
        <w:t>手，回售金额为</w:t>
      </w:r>
      <w:r>
        <w:rPr>
          <w:spacing w:val="-56"/>
        </w:rPr>
        <w:t> </w:t>
      </w:r>
      <w:r>
        <w:rPr>
          <w:rFonts w:ascii="宋体" w:hAnsi="宋体" w:cs="宋体" w:eastAsia="宋体" w:hint="default"/>
        </w:rPr>
        <w:t>500,000,000</w:t>
      </w:r>
      <w:r>
        <w:rPr>
          <w:rFonts w:ascii="宋体" w:hAnsi="宋体" w:cs="宋体" w:eastAsia="宋体" w:hint="default"/>
          <w:spacing w:val="-55"/>
        </w:rPr>
        <w:t> </w:t>
      </w:r>
      <w:r>
        <w:rPr/>
        <w:t>元（不含利息）。</w:t>
      </w:r>
    </w:p>
    <w:p>
      <w:pPr>
        <w:pStyle w:val="Heading3"/>
        <w:spacing w:line="311" w:lineRule="exact"/>
        <w:ind w:right="0"/>
        <w:jc w:val="left"/>
        <w:rPr>
          <w:rFonts w:ascii="宋体" w:hAnsi="宋体" w:cs="宋体" w:eastAsia="宋体" w:hint="default"/>
        </w:rPr>
      </w:pPr>
      <w:r>
        <w:rPr>
          <w:rFonts w:ascii="宋体"/>
        </w:rPr>
        <w:t> </w:t>
      </w:r>
    </w:p>
    <w:p>
      <w:pPr>
        <w:pStyle w:val="Heading5"/>
        <w:spacing w:line="240" w:lineRule="auto" w:before="61"/>
        <w:ind w:right="0"/>
        <w:jc w:val="left"/>
        <w:rPr>
          <w:b w:val="0"/>
          <w:bCs w:val="0"/>
        </w:rPr>
      </w:pPr>
      <w:r>
        <w:rPr/>
        <w:t>二、公司债券受托管理联系人、联系方式及资信评级机构联系方式</w:t>
      </w:r>
      <w:r>
        <w:rPr>
          <w:b w:val="0"/>
          <w:bCs w:val="0"/>
        </w:rPr>
      </w:r>
    </w:p>
    <w:p>
      <w:pPr>
        <w:spacing w:line="240" w:lineRule="auto" w:before="2"/>
        <w:rPr>
          <w:rFonts w:ascii="宋体" w:hAnsi="宋体" w:cs="宋体" w:eastAsia="宋体" w:hint="default"/>
          <w:b/>
          <w:bCs/>
          <w:sz w:val="28"/>
          <w:szCs w:val="28"/>
        </w:rPr>
      </w:pPr>
    </w:p>
    <w:tbl>
      <w:tblPr>
        <w:tblW w:w="0" w:type="auto"/>
        <w:jc w:val="left"/>
        <w:tblInd w:w="103" w:type="dxa"/>
        <w:tblLayout w:type="fixed"/>
        <w:tblCellMar>
          <w:top w:w="0" w:type="dxa"/>
          <w:left w:w="0" w:type="dxa"/>
          <w:bottom w:w="0" w:type="dxa"/>
          <w:right w:w="0" w:type="dxa"/>
        </w:tblCellMar>
        <w:tblLook w:val="01E0"/>
      </w:tblPr>
      <w:tblGrid>
        <w:gridCol w:w="2204"/>
        <w:gridCol w:w="2290"/>
        <w:gridCol w:w="4556"/>
      </w:tblGrid>
      <w:tr>
        <w:trPr>
          <w:trHeight w:val="281" w:hRule="exact"/>
        </w:trPr>
        <w:tc>
          <w:tcPr>
            <w:tcW w:w="220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360" w:right="0"/>
              <w:jc w:val="left"/>
              <w:rPr>
                <w:rFonts w:ascii="宋体" w:hAnsi="宋体" w:cs="宋体" w:eastAsia="宋体" w:hint="default"/>
                <w:sz w:val="21"/>
                <w:szCs w:val="21"/>
              </w:rPr>
            </w:pPr>
            <w:r>
              <w:rPr>
                <w:rFonts w:ascii="宋体" w:hAnsi="宋体" w:cs="宋体" w:eastAsia="宋体" w:hint="default"/>
                <w:sz w:val="21"/>
                <w:szCs w:val="21"/>
              </w:rPr>
              <w:t>债券受托管理人</w:t>
            </w:r>
            <w:r>
              <w:rPr>
                <w:rFonts w:ascii="宋体" w:hAnsi="宋体" w:cs="宋体" w:eastAsia="宋体" w:hint="default"/>
                <w:sz w:val="21"/>
                <w:szCs w:val="21"/>
              </w:rPr>
              <w:t> </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西部证券股份有限公司</w:t>
            </w:r>
          </w:p>
        </w:tc>
      </w:tr>
      <w:tr>
        <w:trPr>
          <w:trHeight w:val="283" w:hRule="exact"/>
        </w:trPr>
        <w:tc>
          <w:tcPr>
            <w:tcW w:w="2204" w:type="dxa"/>
            <w:vMerge/>
            <w:tcBorders>
              <w:left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北京市西城区月坛南街</w:t>
            </w:r>
            <w:r>
              <w:rPr>
                <w:rFonts w:ascii="宋体" w:hAnsi="宋体" w:cs="宋体" w:eastAsia="宋体" w:hint="default"/>
                <w:spacing w:val="-54"/>
                <w:sz w:val="21"/>
                <w:szCs w:val="21"/>
              </w:rPr>
              <w:t> </w:t>
            </w:r>
            <w:r>
              <w:rPr>
                <w:rFonts w:ascii="宋体" w:hAnsi="宋体" w:cs="宋体" w:eastAsia="宋体" w:hint="default"/>
                <w:sz w:val="21"/>
                <w:szCs w:val="21"/>
              </w:rPr>
              <w:t>59</w:t>
            </w:r>
            <w:r>
              <w:rPr>
                <w:rFonts w:ascii="宋体" w:hAnsi="宋体" w:cs="宋体" w:eastAsia="宋体" w:hint="default"/>
                <w:spacing w:val="-56"/>
                <w:sz w:val="21"/>
                <w:szCs w:val="21"/>
              </w:rPr>
              <w:t> </w:t>
            </w:r>
            <w:r>
              <w:rPr>
                <w:rFonts w:ascii="宋体" w:hAnsi="宋体" w:cs="宋体" w:eastAsia="宋体" w:hint="default"/>
                <w:sz w:val="21"/>
                <w:szCs w:val="21"/>
              </w:rPr>
              <w:t>号新华大厦</w:t>
            </w:r>
            <w:r>
              <w:rPr>
                <w:rFonts w:ascii="宋体" w:hAnsi="宋体" w:cs="宋体" w:eastAsia="宋体" w:hint="default"/>
                <w:sz w:val="21"/>
                <w:szCs w:val="21"/>
              </w:rPr>
              <w:t> </w:t>
            </w:r>
          </w:p>
        </w:tc>
      </w:tr>
      <w:tr>
        <w:trPr>
          <w:trHeight w:val="283" w:hRule="exact"/>
        </w:trPr>
        <w:tc>
          <w:tcPr>
            <w:tcW w:w="2204" w:type="dxa"/>
            <w:vMerge/>
            <w:tcBorders>
              <w:left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联系人</w:t>
            </w:r>
            <w:r>
              <w:rPr>
                <w:rFonts w:ascii="宋体" w:hAnsi="宋体" w:cs="宋体" w:eastAsia="宋体" w:hint="default"/>
                <w:sz w:val="21"/>
                <w:szCs w:val="21"/>
              </w:rPr>
              <w:t> </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袁敏</w:t>
            </w:r>
            <w:r>
              <w:rPr>
                <w:rFonts w:ascii="宋体" w:hAnsi="宋体" w:cs="宋体" w:eastAsia="宋体" w:hint="default"/>
                <w:sz w:val="21"/>
                <w:szCs w:val="21"/>
              </w:rPr>
              <w:t> </w:t>
            </w:r>
          </w:p>
        </w:tc>
      </w:tr>
      <w:tr>
        <w:trPr>
          <w:trHeight w:val="281" w:hRule="exact"/>
        </w:trPr>
        <w:tc>
          <w:tcPr>
            <w:tcW w:w="2204" w:type="dxa"/>
            <w:vMerge/>
            <w:tcBorders>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联系电话</w:t>
            </w:r>
            <w:r>
              <w:rPr>
                <w:rFonts w:ascii="宋体" w:hAnsi="宋体" w:cs="宋体" w:eastAsia="宋体" w:hint="default"/>
                <w:sz w:val="21"/>
                <w:szCs w:val="21"/>
              </w:rPr>
              <w:t> </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010-68588095 </w:t>
            </w:r>
          </w:p>
        </w:tc>
      </w:tr>
      <w:tr>
        <w:trPr>
          <w:trHeight w:val="283" w:hRule="exact"/>
        </w:trPr>
        <w:tc>
          <w:tcPr>
            <w:tcW w:w="2204" w:type="dxa"/>
            <w:vMerge w:val="restart"/>
            <w:tcBorders>
              <w:top w:val="single" w:sz="4" w:space="0" w:color="000000"/>
              <w:left w:val="single" w:sz="4" w:space="0" w:color="000000"/>
              <w:right w:val="single" w:sz="4" w:space="0" w:color="000000"/>
            </w:tcBorders>
          </w:tcPr>
          <w:p>
            <w:pPr>
              <w:pStyle w:val="TableParagraph"/>
              <w:spacing w:line="240" w:lineRule="auto" w:before="107"/>
              <w:ind w:left="466" w:right="0"/>
              <w:jc w:val="left"/>
              <w:rPr>
                <w:rFonts w:ascii="宋体" w:hAnsi="宋体" w:cs="宋体" w:eastAsia="宋体" w:hint="default"/>
                <w:sz w:val="21"/>
                <w:szCs w:val="21"/>
              </w:rPr>
            </w:pPr>
            <w:r>
              <w:rPr>
                <w:rFonts w:ascii="宋体" w:hAnsi="宋体" w:cs="宋体" w:eastAsia="宋体" w:hint="default"/>
                <w:sz w:val="21"/>
                <w:szCs w:val="21"/>
              </w:rPr>
              <w:t>资信评级机构</w:t>
            </w:r>
            <w:r>
              <w:rPr>
                <w:rFonts w:ascii="宋体" w:hAnsi="宋体" w:cs="宋体" w:eastAsia="宋体" w:hint="default"/>
                <w:sz w:val="21"/>
                <w:szCs w:val="21"/>
              </w:rPr>
              <w:t> </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中诚信证券评估有限公司</w:t>
            </w:r>
            <w:r>
              <w:rPr>
                <w:rFonts w:ascii="宋体" w:hAnsi="宋体" w:cs="宋体" w:eastAsia="宋体" w:hint="default"/>
                <w:sz w:val="21"/>
                <w:szCs w:val="21"/>
              </w:rPr>
              <w:t> </w:t>
            </w:r>
          </w:p>
        </w:tc>
      </w:tr>
      <w:tr>
        <w:trPr>
          <w:trHeight w:val="283" w:hRule="exact"/>
        </w:trPr>
        <w:tc>
          <w:tcPr>
            <w:tcW w:w="2204" w:type="dxa"/>
            <w:vMerge/>
            <w:tcBorders>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上海市黄浦区西藏南路</w:t>
            </w:r>
            <w:r>
              <w:rPr>
                <w:rFonts w:ascii="宋体" w:hAnsi="宋体" w:cs="宋体" w:eastAsia="宋体" w:hint="default"/>
                <w:spacing w:val="-54"/>
                <w:sz w:val="21"/>
                <w:szCs w:val="21"/>
              </w:rPr>
              <w:t> </w:t>
            </w:r>
            <w:r>
              <w:rPr>
                <w:rFonts w:ascii="宋体" w:hAnsi="宋体" w:cs="宋体" w:eastAsia="宋体" w:hint="default"/>
                <w:sz w:val="21"/>
                <w:szCs w:val="21"/>
              </w:rPr>
              <w:t>760</w:t>
            </w:r>
            <w:r>
              <w:rPr>
                <w:rFonts w:ascii="宋体" w:hAnsi="宋体" w:cs="宋体" w:eastAsia="宋体" w:hint="default"/>
                <w:spacing w:val="-54"/>
                <w:sz w:val="21"/>
                <w:szCs w:val="21"/>
              </w:rPr>
              <w:t> </w:t>
            </w:r>
            <w:r>
              <w:rPr>
                <w:rFonts w:ascii="宋体" w:hAnsi="宋体" w:cs="宋体" w:eastAsia="宋体" w:hint="default"/>
                <w:sz w:val="21"/>
                <w:szCs w:val="21"/>
              </w:rPr>
              <w:t>号安基大厦</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pacing w:val="-3"/>
                <w:sz w:val="21"/>
                <w:szCs w:val="21"/>
              </w:rPr>
              <w:t>楼</w:t>
            </w:r>
            <w:r>
              <w:rPr>
                <w:rFonts w:ascii="宋体" w:hAnsi="宋体" w:cs="宋体" w:eastAsia="宋体" w:hint="default"/>
                <w:sz w:val="21"/>
                <w:szCs w:val="21"/>
              </w:rPr>
              <w:t> </w:t>
            </w:r>
          </w:p>
        </w:tc>
      </w:tr>
    </w:tbl>
    <w:p>
      <w:pPr>
        <w:pStyle w:val="BodyText"/>
        <w:spacing w:line="236" w:lineRule="exact"/>
        <w:ind w:left="216" w:right="0"/>
        <w:jc w:val="left"/>
        <w:rPr>
          <w:rFonts w:ascii="宋体" w:hAnsi="宋体" w:cs="宋体" w:eastAsia="宋体" w:hint="default"/>
        </w:rPr>
      </w:pPr>
      <w:r>
        <w:rPr/>
        <w:t>其他说明：</w:t>
      </w:r>
      <w:r>
        <w:rPr>
          <w:rFonts w:ascii="宋体" w:hAnsi="宋体" w:cs="宋体" w:eastAsia="宋体" w:hint="default"/>
        </w:rPr>
        <w:t> </w:t>
      </w:r>
    </w:p>
    <w:p>
      <w:pPr>
        <w:pStyle w:val="Heading3"/>
        <w:spacing w:line="308" w:lineRule="exact"/>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40" w:lineRule="auto"/>
        <w:ind w:right="0"/>
        <w:jc w:val="left"/>
        <w:rPr>
          <w:b w:val="0"/>
          <w:bCs w:val="0"/>
        </w:rPr>
      </w:pPr>
      <w:r>
        <w:rPr/>
        <w:t>三、公司债券募集资金使用情况</w:t>
      </w:r>
      <w:r>
        <w:rPr>
          <w:b w:val="0"/>
          <w:bCs w:val="0"/>
        </w:rPr>
      </w:r>
    </w:p>
    <w:p>
      <w:pPr>
        <w:pStyle w:val="Heading3"/>
        <w:spacing w:line="240" w:lineRule="auto"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73" w:lineRule="exact" w:before="4"/>
        <w:ind w:left="697" w:right="0"/>
        <w:jc w:val="left"/>
        <w:rPr>
          <w:rFonts w:ascii="宋体" w:hAnsi="宋体" w:cs="宋体" w:eastAsia="宋体" w:hint="default"/>
        </w:rPr>
      </w:pPr>
      <w:r>
        <w:rPr/>
        <w:t>根据</w:t>
      </w:r>
      <w:r>
        <w:rPr>
          <w:spacing w:val="-41"/>
        </w:rPr>
        <w:t> </w:t>
      </w:r>
      <w:r>
        <w:rPr>
          <w:rFonts w:ascii="宋体" w:hAnsi="宋体" w:cs="宋体" w:eastAsia="宋体" w:hint="default"/>
        </w:rPr>
        <w:t>2015</w:t>
      </w:r>
      <w:r>
        <w:rPr>
          <w:rFonts w:ascii="宋体" w:hAnsi="宋体" w:cs="宋体" w:eastAsia="宋体" w:hint="default"/>
          <w:spacing w:val="-44"/>
        </w:rPr>
        <w:t> </w:t>
      </w:r>
      <w:r>
        <w:rPr/>
        <w:t>年</w:t>
      </w:r>
      <w:r>
        <w:rPr>
          <w:spacing w:val="-41"/>
        </w:rPr>
        <w:t> </w:t>
      </w:r>
      <w:r>
        <w:rPr>
          <w:rFonts w:ascii="宋体" w:hAnsi="宋体" w:cs="宋体" w:eastAsia="宋体" w:hint="default"/>
        </w:rPr>
        <w:t>9</w:t>
      </w:r>
      <w:r>
        <w:rPr>
          <w:rFonts w:ascii="宋体" w:hAnsi="宋体" w:cs="宋体" w:eastAsia="宋体" w:hint="default"/>
          <w:spacing w:val="-44"/>
        </w:rPr>
        <w:t> </w:t>
      </w:r>
      <w:r>
        <w:rPr/>
        <w:t>月</w:t>
      </w:r>
      <w:r>
        <w:rPr>
          <w:spacing w:val="-41"/>
        </w:rPr>
        <w:t> </w:t>
      </w:r>
      <w:r>
        <w:rPr>
          <w:rFonts w:ascii="宋体" w:hAnsi="宋体" w:cs="宋体" w:eastAsia="宋体" w:hint="default"/>
        </w:rPr>
        <w:t>23</w:t>
      </w:r>
      <w:r>
        <w:rPr>
          <w:rFonts w:ascii="宋体" w:hAnsi="宋体" w:cs="宋体" w:eastAsia="宋体" w:hint="default"/>
          <w:spacing w:val="-44"/>
        </w:rPr>
        <w:t> </w:t>
      </w:r>
      <w:r>
        <w:rPr>
          <w:spacing w:val="-4"/>
        </w:rPr>
        <w:t>日第三次临时股东大会审议通过的《关于公司申请公开发行公司债券的</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w w:val="100"/>
        </w:rPr>
        <w:t>议案</w:t>
      </w:r>
      <w:r>
        <w:rPr>
          <w:spacing w:val="-108"/>
          <w:w w:val="100"/>
        </w:rPr>
        <w:t>》</w:t>
      </w:r>
      <w:r>
        <w:rPr>
          <w:spacing w:val="-77"/>
          <w:w w:val="100"/>
        </w:rPr>
        <w:t>，</w:t>
      </w:r>
      <w:r>
        <w:rPr>
          <w:w w:val="100"/>
        </w:rPr>
        <w:t>同</w:t>
      </w:r>
      <w:r>
        <w:rPr>
          <w:spacing w:val="-3"/>
          <w:w w:val="100"/>
        </w:rPr>
        <w:t>意</w:t>
      </w:r>
      <w:r>
        <w:rPr>
          <w:w w:val="100"/>
        </w:rPr>
        <w:t>公</w:t>
      </w:r>
      <w:r>
        <w:rPr>
          <w:spacing w:val="-3"/>
          <w:w w:val="100"/>
        </w:rPr>
        <w:t>司</w:t>
      </w:r>
      <w:r>
        <w:rPr>
          <w:w w:val="100"/>
        </w:rPr>
        <w:t>发</w:t>
      </w:r>
      <w:r>
        <w:rPr>
          <w:spacing w:val="-3"/>
          <w:w w:val="100"/>
        </w:rPr>
        <w:t>行</w:t>
      </w:r>
      <w:r>
        <w:rPr>
          <w:w w:val="100"/>
        </w:rPr>
        <w:t>不</w:t>
      </w:r>
      <w:r>
        <w:rPr>
          <w:spacing w:val="-3"/>
          <w:w w:val="100"/>
        </w:rPr>
        <w:t>超</w:t>
      </w:r>
      <w:r>
        <w:rPr>
          <w:w w:val="100"/>
        </w:rPr>
        <w:t>过人</w:t>
      </w:r>
      <w:r>
        <w:rPr>
          <w:spacing w:val="-3"/>
          <w:w w:val="100"/>
        </w:rPr>
        <w:t>民</w:t>
      </w:r>
      <w:r>
        <w:rPr>
          <w:w w:val="100"/>
        </w:rPr>
        <w:t>币</w:t>
      </w:r>
      <w:r>
        <w:rPr>
          <w:spacing w:val="-52"/>
        </w:rPr>
        <w:t> </w:t>
      </w:r>
      <w:r>
        <w:rPr>
          <w:rFonts w:ascii="宋体" w:hAnsi="宋体" w:cs="宋体" w:eastAsia="宋体" w:hint="default"/>
          <w:spacing w:val="-3"/>
          <w:w w:val="100"/>
        </w:rPr>
        <w:t>1</w:t>
      </w:r>
      <w:r>
        <w:rPr>
          <w:rFonts w:ascii="宋体" w:hAnsi="宋体" w:cs="宋体" w:eastAsia="宋体" w:hint="default"/>
          <w:w w:val="100"/>
        </w:rPr>
        <w:t>0</w:t>
      </w:r>
      <w:r>
        <w:rPr>
          <w:rFonts w:ascii="宋体" w:hAnsi="宋体" w:cs="宋体" w:eastAsia="宋体" w:hint="default"/>
          <w:spacing w:val="-53"/>
        </w:rPr>
        <w:t> </w:t>
      </w:r>
      <w:r>
        <w:rPr>
          <w:spacing w:val="-3"/>
          <w:w w:val="100"/>
        </w:rPr>
        <w:t>亿</w:t>
      </w:r>
      <w:r>
        <w:rPr>
          <w:spacing w:val="-77"/>
          <w:w w:val="100"/>
        </w:rPr>
        <w:t>元</w:t>
      </w:r>
      <w:r>
        <w:rPr>
          <w:w w:val="100"/>
        </w:rPr>
        <w:t>（含</w:t>
      </w:r>
      <w:r>
        <w:rPr>
          <w:spacing w:val="-55"/>
        </w:rPr>
        <w:t> </w:t>
      </w:r>
      <w:r>
        <w:rPr>
          <w:rFonts w:ascii="宋体" w:hAnsi="宋体" w:cs="宋体" w:eastAsia="宋体" w:hint="default"/>
          <w:w w:val="100"/>
        </w:rPr>
        <w:t>10</w:t>
      </w:r>
      <w:r>
        <w:rPr>
          <w:rFonts w:ascii="宋体" w:hAnsi="宋体" w:cs="宋体" w:eastAsia="宋体" w:hint="default"/>
          <w:spacing w:val="-53"/>
        </w:rPr>
        <w:t> </w:t>
      </w:r>
      <w:r>
        <w:rPr>
          <w:spacing w:val="-3"/>
          <w:w w:val="100"/>
        </w:rPr>
        <w:t>亿</w:t>
      </w:r>
      <w:r>
        <w:rPr>
          <w:w w:val="100"/>
        </w:rPr>
        <w:t>元</w:t>
      </w:r>
      <w:r>
        <w:rPr>
          <w:spacing w:val="-77"/>
          <w:w w:val="100"/>
        </w:rPr>
        <w:t>）</w:t>
      </w:r>
      <w:r>
        <w:rPr>
          <w:w w:val="100"/>
        </w:rPr>
        <w:t>的</w:t>
      </w:r>
      <w:r>
        <w:rPr>
          <w:spacing w:val="-3"/>
          <w:w w:val="100"/>
        </w:rPr>
        <w:t>公</w:t>
      </w:r>
      <w:r>
        <w:rPr>
          <w:w w:val="100"/>
        </w:rPr>
        <w:t>司</w:t>
      </w:r>
      <w:r>
        <w:rPr>
          <w:spacing w:val="-3"/>
          <w:w w:val="100"/>
        </w:rPr>
        <w:t>债券</w:t>
      </w:r>
      <w:r>
        <w:rPr>
          <w:spacing w:val="-75"/>
          <w:w w:val="100"/>
        </w:rPr>
        <w:t>。</w:t>
      </w:r>
      <w:r>
        <w:rPr>
          <w:spacing w:val="-3"/>
          <w:w w:val="100"/>
        </w:rPr>
        <w:t>公</w:t>
      </w:r>
      <w:r>
        <w:rPr>
          <w:w w:val="100"/>
        </w:rPr>
        <w:t>司</w:t>
      </w:r>
      <w:r>
        <w:rPr>
          <w:spacing w:val="-3"/>
          <w:w w:val="100"/>
        </w:rPr>
        <w:t>分别</w:t>
      </w:r>
      <w:r>
        <w:rPr>
          <w:w w:val="100"/>
        </w:rPr>
        <w:t>于</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6</w:t>
      </w:r>
      <w:r>
        <w:rPr>
          <w:rFonts w:ascii="宋体" w:hAnsi="宋体" w:cs="宋体" w:eastAsia="宋体" w:hint="default"/>
          <w:spacing w:val="-52"/>
        </w:rPr>
        <w:t> </w:t>
      </w:r>
      <w:r>
        <w:rPr>
          <w:w w:val="100"/>
        </w:rPr>
        <w:t>年</w:t>
      </w:r>
      <w:r>
        <w:rPr>
          <w:spacing w:val="-55"/>
        </w:rPr>
        <w:t> </w:t>
      </w:r>
      <w:r>
        <w:rPr>
          <w:rFonts w:ascii="宋体" w:hAnsi="宋体" w:cs="宋体" w:eastAsia="宋体" w:hint="default"/>
          <w:w w:val="100"/>
        </w:rPr>
        <w:t>3</w:t>
      </w:r>
      <w:r>
        <w:rPr>
          <w:rFonts w:ascii="宋体" w:hAnsi="宋体" w:cs="宋体" w:eastAsia="宋体" w:hint="default"/>
          <w:spacing w:val="-53"/>
        </w:rPr>
        <w:t> </w:t>
      </w:r>
      <w:r>
        <w:rPr>
          <w:w w:val="100"/>
        </w:rPr>
        <w:t>月</w:t>
      </w:r>
      <w:r>
        <w:rPr>
          <w:rFonts w:ascii="宋体" w:hAnsi="宋体" w:cs="宋体" w:eastAsia="宋体" w:hint="default"/>
          <w:spacing w:val="-3"/>
          <w:w w:val="100"/>
        </w:rPr>
        <w:t> </w:t>
      </w:r>
      <w:r>
        <w:rPr>
          <w:rFonts w:ascii="宋体" w:hAnsi="宋体" w:cs="宋体" w:eastAsia="宋体" w:hint="default"/>
          <w:w w:val="100"/>
        </w:rPr>
        <w:t>23</w:t>
      </w:r>
    </w:p>
    <w:p>
      <w:pPr>
        <w:pStyle w:val="BodyText"/>
        <w:spacing w:line="272" w:lineRule="exact"/>
        <w:ind w:left="216" w:right="0"/>
        <w:jc w:val="left"/>
      </w:pPr>
      <w:r>
        <w:rPr>
          <w:w w:val="100"/>
        </w:rPr>
        <w:t>日及</w:t>
      </w:r>
      <w:r>
        <w:rPr>
          <w:spacing w:val="-52"/>
        </w:rPr>
        <w:t> </w:t>
      </w:r>
      <w:r>
        <w:rPr>
          <w:rFonts w:ascii="宋体" w:hAnsi="宋体" w:cs="宋体" w:eastAsia="宋体" w:hint="default"/>
          <w:spacing w:val="-3"/>
          <w:w w:val="100"/>
        </w:rPr>
        <w:t>2</w:t>
      </w:r>
      <w:r>
        <w:rPr>
          <w:rFonts w:ascii="宋体" w:hAnsi="宋体" w:cs="宋体" w:eastAsia="宋体" w:hint="default"/>
          <w:w w:val="100"/>
        </w:rPr>
        <w:t>016</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8</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2</w:t>
      </w:r>
      <w:r>
        <w:rPr>
          <w:rFonts w:ascii="宋体" w:hAnsi="宋体" w:cs="宋体" w:eastAsia="宋体" w:hint="default"/>
          <w:spacing w:val="-55"/>
        </w:rPr>
        <w:t> </w:t>
      </w:r>
      <w:r>
        <w:rPr>
          <w:w w:val="100"/>
        </w:rPr>
        <w:t>日</w:t>
      </w:r>
      <w:r>
        <w:rPr>
          <w:spacing w:val="-3"/>
          <w:w w:val="100"/>
        </w:rPr>
        <w:t>发行</w:t>
      </w:r>
      <w:r>
        <w:rPr>
          <w:w w:val="100"/>
        </w:rPr>
        <w:t>了</w:t>
      </w:r>
      <w:r>
        <w:rPr>
          <w:spacing w:val="-52"/>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6</w:t>
      </w:r>
      <w:r>
        <w:rPr>
          <w:rFonts w:ascii="宋体" w:hAnsi="宋体" w:cs="宋体" w:eastAsia="宋体" w:hint="default"/>
          <w:spacing w:val="-53"/>
        </w:rPr>
        <w:t> </w:t>
      </w:r>
      <w:r>
        <w:rPr>
          <w:spacing w:val="-3"/>
          <w:w w:val="100"/>
        </w:rPr>
        <w:t>年</w:t>
      </w:r>
      <w:r>
        <w:rPr>
          <w:w w:val="100"/>
        </w:rPr>
        <w:t>公</w:t>
      </w:r>
      <w:r>
        <w:rPr>
          <w:spacing w:val="-3"/>
          <w:w w:val="100"/>
        </w:rPr>
        <w:t>司</w:t>
      </w:r>
      <w:r>
        <w:rPr>
          <w:w w:val="100"/>
        </w:rPr>
        <w:t>债</w:t>
      </w:r>
      <w:r>
        <w:rPr>
          <w:spacing w:val="-104"/>
          <w:w w:val="100"/>
        </w:rPr>
        <w:t>券</w:t>
      </w:r>
      <w:r>
        <w:rPr>
          <w:w w:val="100"/>
        </w:rPr>
        <w:t>（</w:t>
      </w:r>
      <w:r>
        <w:rPr>
          <w:spacing w:val="-3"/>
          <w:w w:val="100"/>
        </w:rPr>
        <w:t>第一</w:t>
      </w:r>
      <w:r>
        <w:rPr>
          <w:w w:val="100"/>
        </w:rPr>
        <w:t>期</w:t>
      </w:r>
      <w:r>
        <w:rPr>
          <w:spacing w:val="-53"/>
        </w:rPr>
        <w:t> </w:t>
      </w:r>
      <w:r>
        <w:rPr>
          <w:rFonts w:ascii="宋体" w:hAnsi="宋体" w:cs="宋体" w:eastAsia="宋体" w:hint="default"/>
          <w:w w:val="100"/>
        </w:rPr>
        <w:t>5</w:t>
      </w:r>
      <w:r>
        <w:rPr>
          <w:rFonts w:ascii="宋体" w:hAnsi="宋体" w:cs="宋体" w:eastAsia="宋体" w:hint="default"/>
          <w:spacing w:val="-53"/>
        </w:rPr>
        <w:t> </w:t>
      </w:r>
      <w:r>
        <w:rPr>
          <w:spacing w:val="-3"/>
          <w:w w:val="100"/>
        </w:rPr>
        <w:t>亿</w:t>
      </w:r>
      <w:r>
        <w:rPr>
          <w:w w:val="100"/>
        </w:rPr>
        <w:t>元</w:t>
      </w:r>
      <w:r>
        <w:rPr>
          <w:spacing w:val="-104"/>
          <w:w w:val="100"/>
        </w:rPr>
        <w:t>，</w:t>
      </w:r>
      <w:r>
        <w:rPr>
          <w:w w:val="100"/>
        </w:rPr>
        <w:t>第</w:t>
      </w:r>
      <w:r>
        <w:rPr>
          <w:spacing w:val="-3"/>
          <w:w w:val="100"/>
        </w:rPr>
        <w:t>二</w:t>
      </w:r>
      <w:r>
        <w:rPr>
          <w:w w:val="100"/>
        </w:rPr>
        <w:t>期</w:t>
      </w:r>
      <w:r>
        <w:rPr>
          <w:spacing w:val="-52"/>
        </w:rPr>
        <w:t> </w:t>
      </w:r>
      <w:r>
        <w:rPr>
          <w:rFonts w:ascii="宋体" w:hAnsi="宋体" w:cs="宋体" w:eastAsia="宋体" w:hint="default"/>
          <w:w w:val="100"/>
        </w:rPr>
        <w:t>5</w:t>
      </w:r>
      <w:r>
        <w:rPr>
          <w:rFonts w:ascii="宋体" w:hAnsi="宋体" w:cs="宋体" w:eastAsia="宋体" w:hint="default"/>
          <w:spacing w:val="-55"/>
        </w:rPr>
        <w:t> </w:t>
      </w:r>
      <w:r>
        <w:rPr>
          <w:w w:val="100"/>
        </w:rPr>
        <w:t>亿</w:t>
      </w:r>
      <w:r>
        <w:rPr>
          <w:spacing w:val="-3"/>
          <w:w w:val="100"/>
        </w:rPr>
        <w:t>元</w:t>
      </w:r>
      <w:r>
        <w:rPr>
          <w:spacing w:val="-106"/>
          <w:w w:val="100"/>
        </w:rPr>
        <w:t>）</w:t>
      </w:r>
      <w:r>
        <w:rPr>
          <w:spacing w:val="-104"/>
          <w:w w:val="100"/>
        </w:rPr>
        <w:t>，</w:t>
      </w:r>
      <w:r>
        <w:rPr>
          <w:w w:val="100"/>
        </w:rPr>
        <w:t>扣除</w:t>
      </w:r>
      <w:r>
        <w:rPr>
          <w:spacing w:val="-3"/>
          <w:w w:val="100"/>
        </w:rPr>
        <w:t>发</w:t>
      </w:r>
      <w:r>
        <w:rPr>
          <w:w w:val="100"/>
        </w:rPr>
        <w:t>行</w:t>
      </w:r>
      <w:r>
        <w:rPr>
          <w:spacing w:val="-3"/>
          <w:w w:val="100"/>
        </w:rPr>
        <w:t>费</w:t>
      </w:r>
      <w:r>
        <w:rPr>
          <w:w w:val="100"/>
        </w:rPr>
        <w:t>用</w:t>
      </w:r>
      <w:r>
        <w:rPr>
          <w:spacing w:val="-3"/>
          <w:w w:val="100"/>
        </w:rPr>
        <w:t>后</w:t>
      </w:r>
      <w:r>
        <w:rPr>
          <w:w w:val="100"/>
        </w:rPr>
        <w:t>，</w:t>
      </w:r>
    </w:p>
    <w:p>
      <w:pPr>
        <w:pStyle w:val="BodyText"/>
        <w:spacing w:line="240" w:lineRule="auto"/>
        <w:ind w:left="216" w:right="0"/>
        <w:jc w:val="left"/>
        <w:rPr>
          <w:rFonts w:ascii="宋体" w:hAnsi="宋体" w:cs="宋体" w:eastAsia="宋体" w:hint="default"/>
        </w:rPr>
      </w:pPr>
      <w:r>
        <w:rPr>
          <w:spacing w:val="-3"/>
        </w:rPr>
        <w:t>实际募集资金已经使用完毕。截至</w:t>
      </w:r>
      <w:r>
        <w:rPr>
          <w:spacing w:val="-45"/>
        </w:rPr>
        <w:t> </w:t>
      </w:r>
      <w:r>
        <w:rPr>
          <w:rFonts w:ascii="宋体" w:hAnsi="宋体" w:cs="宋体" w:eastAsia="宋体" w:hint="default"/>
        </w:rPr>
        <w:t>2018</w:t>
      </w:r>
      <w:r>
        <w:rPr>
          <w:rFonts w:ascii="宋体" w:hAnsi="宋体" w:cs="宋体" w:eastAsia="宋体" w:hint="default"/>
          <w:spacing w:val="-46"/>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46"/>
        </w:rPr>
        <w:t> </w:t>
      </w:r>
      <w:r>
        <w:rPr>
          <w:rFonts w:ascii="宋体" w:hAnsi="宋体" w:cs="宋体" w:eastAsia="宋体" w:hint="default"/>
        </w:rPr>
        <w:t>31</w:t>
      </w:r>
      <w:r>
        <w:rPr>
          <w:rFonts w:ascii="宋体" w:hAnsi="宋体" w:cs="宋体" w:eastAsia="宋体" w:hint="default"/>
          <w:spacing w:val="-48"/>
        </w:rPr>
        <w:t> </w:t>
      </w:r>
      <w:r>
        <w:rPr>
          <w:spacing w:val="-5"/>
        </w:rPr>
        <w:t>日，募集资金专户运作正常，与《公司债券募</w:t>
      </w:r>
      <w:r>
        <w:rPr>
          <w:spacing w:val="-102"/>
        </w:rPr>
        <w:t> </w:t>
      </w:r>
      <w:r>
        <w:rPr>
          <w:spacing w:val="-102"/>
        </w:rPr>
      </w:r>
      <w:r>
        <w:rPr/>
        <w:t>集说明书》中募集资金运用计划一致。</w:t>
      </w:r>
      <w:r>
        <w:rPr>
          <w:rFonts w:ascii="宋体" w:hAnsi="宋体" w:cs="宋体" w:eastAsia="宋体" w:hint="default"/>
        </w:rPr>
        <w:t> </w:t>
      </w:r>
    </w:p>
    <w:p>
      <w:pPr>
        <w:spacing w:line="240" w:lineRule="auto" w:before="5"/>
        <w:rPr>
          <w:rFonts w:ascii="宋体" w:hAnsi="宋体" w:cs="宋体" w:eastAsia="宋体" w:hint="default"/>
          <w:sz w:val="25"/>
          <w:szCs w:val="25"/>
        </w:rPr>
      </w:pPr>
    </w:p>
    <w:p>
      <w:pPr>
        <w:pStyle w:val="Heading5"/>
        <w:spacing w:line="240" w:lineRule="auto" w:before="0"/>
        <w:ind w:right="0"/>
        <w:jc w:val="left"/>
        <w:rPr>
          <w:b w:val="0"/>
          <w:bCs w:val="0"/>
        </w:rPr>
      </w:pPr>
      <w:r>
        <w:rPr/>
        <w:t>四、公司债券评级情况</w:t>
      </w:r>
      <w:r>
        <w:rPr>
          <w:b w:val="0"/>
          <w:bCs w:val="0"/>
        </w:rPr>
      </w:r>
    </w:p>
    <w:p>
      <w:pPr>
        <w:pStyle w:val="Heading3"/>
        <w:spacing w:line="240" w:lineRule="auto"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33"/>
          <w:pgSz w:w="11910" w:h="16840"/>
          <w:pgMar w:footer="1195" w:header="877" w:top="1100" w:bottom="1380" w:left="1060" w:right="1560"/>
        </w:sectPr>
      </w:pPr>
    </w:p>
    <w:p>
      <w:pPr>
        <w:spacing w:line="240" w:lineRule="auto" w:before="3"/>
        <w:rPr>
          <w:rFonts w:ascii="宋体" w:hAnsi="宋体" w:cs="宋体" w:eastAsia="宋体" w:hint="default"/>
          <w:sz w:val="19"/>
          <w:szCs w:val="19"/>
        </w:rPr>
      </w:pPr>
    </w:p>
    <w:p>
      <w:pPr>
        <w:pStyle w:val="BodyText"/>
        <w:spacing w:line="273" w:lineRule="exact" w:before="36"/>
        <w:ind w:left="697" w:right="0"/>
        <w:jc w:val="left"/>
      </w:pPr>
      <w:r>
        <w:rPr/>
        <w:t>公司聘请中诚信证券评估有限公司对</w:t>
      </w:r>
      <w:r>
        <w:rPr>
          <w:spacing w:val="-50"/>
        </w:rPr>
        <w:t> </w:t>
      </w:r>
      <w:r>
        <w:rPr>
          <w:rFonts w:ascii="宋体" w:hAnsi="宋体" w:cs="宋体" w:eastAsia="宋体" w:hint="default"/>
        </w:rPr>
        <w:t>16</w:t>
      </w:r>
      <w:r>
        <w:rPr>
          <w:rFonts w:ascii="宋体" w:hAnsi="宋体" w:cs="宋体" w:eastAsia="宋体" w:hint="default"/>
          <w:spacing w:val="-53"/>
        </w:rPr>
        <w:t> </w:t>
      </w:r>
      <w:r>
        <w:rPr/>
        <w:t>泰豪</w:t>
      </w:r>
      <w:r>
        <w:rPr>
          <w:spacing w:val="-53"/>
        </w:rPr>
        <w:t> </w:t>
      </w:r>
      <w:r>
        <w:rPr>
          <w:rFonts w:ascii="宋体" w:hAnsi="宋体" w:cs="宋体" w:eastAsia="宋体" w:hint="default"/>
        </w:rPr>
        <w:t>01</w:t>
      </w:r>
      <w:r>
        <w:rPr>
          <w:rFonts w:ascii="宋体" w:hAnsi="宋体" w:cs="宋体" w:eastAsia="宋体" w:hint="default"/>
          <w:spacing w:val="-53"/>
        </w:rPr>
        <w:t> </w:t>
      </w:r>
      <w:r>
        <w:rPr/>
        <w:t>和</w:t>
      </w:r>
      <w:r>
        <w:rPr>
          <w:spacing w:val="-53"/>
        </w:rPr>
        <w:t> </w:t>
      </w:r>
      <w:r>
        <w:rPr>
          <w:rFonts w:ascii="宋体" w:hAnsi="宋体" w:cs="宋体" w:eastAsia="宋体" w:hint="default"/>
        </w:rPr>
        <w:t>16</w:t>
      </w:r>
      <w:r>
        <w:rPr>
          <w:rFonts w:ascii="宋体" w:hAnsi="宋体" w:cs="宋体" w:eastAsia="宋体" w:hint="default"/>
          <w:spacing w:val="-49"/>
        </w:rPr>
        <w:t> </w:t>
      </w:r>
      <w:r>
        <w:rPr/>
        <w:t>泰豪</w:t>
      </w:r>
      <w:r>
        <w:rPr>
          <w:spacing w:val="-50"/>
        </w:rPr>
        <w:t> </w:t>
      </w:r>
      <w:r>
        <w:rPr>
          <w:rFonts w:ascii="宋体" w:hAnsi="宋体" w:cs="宋体" w:eastAsia="宋体" w:hint="default"/>
        </w:rPr>
        <w:t>02</w:t>
      </w:r>
      <w:r>
        <w:rPr>
          <w:rFonts w:ascii="宋体" w:hAnsi="宋体" w:cs="宋体" w:eastAsia="宋体" w:hint="default"/>
          <w:spacing w:val="-53"/>
        </w:rPr>
        <w:t> </w:t>
      </w:r>
      <w:r>
        <w:rPr>
          <w:spacing w:val="-5"/>
        </w:rPr>
        <w:t>进行了跟踪评级。根据中诚信</w:t>
      </w:r>
    </w:p>
    <w:p>
      <w:pPr>
        <w:pStyle w:val="BodyText"/>
        <w:spacing w:line="237" w:lineRule="auto" w:before="1"/>
        <w:ind w:left="216" w:right="228"/>
        <w:jc w:val="both"/>
        <w:rPr>
          <w:rFonts w:ascii="宋体" w:hAnsi="宋体" w:cs="宋体" w:eastAsia="宋体" w:hint="default"/>
        </w:rPr>
      </w:pPr>
      <w:r>
        <w:rPr/>
        <w:t>证券评估有限公司出具的评级报告，</w:t>
      </w:r>
      <w:r>
        <w:rPr>
          <w:rFonts w:ascii="宋体" w:hAnsi="宋体" w:cs="宋体" w:eastAsia="宋体" w:hint="default"/>
        </w:rPr>
        <w:t>16</w:t>
      </w:r>
      <w:r>
        <w:rPr>
          <w:rFonts w:ascii="宋体" w:hAnsi="宋体" w:cs="宋体" w:eastAsia="宋体" w:hint="default"/>
          <w:spacing w:val="-54"/>
        </w:rPr>
        <w:t> </w:t>
      </w:r>
      <w:r>
        <w:rPr/>
        <w:t>泰豪</w:t>
      </w:r>
      <w:r>
        <w:rPr>
          <w:spacing w:val="-51"/>
        </w:rPr>
        <w:t> </w:t>
      </w:r>
      <w:r>
        <w:rPr>
          <w:rFonts w:ascii="宋体" w:hAnsi="宋体" w:cs="宋体" w:eastAsia="宋体" w:hint="default"/>
        </w:rPr>
        <w:t>01</w:t>
      </w:r>
      <w:r>
        <w:rPr>
          <w:rFonts w:ascii="宋体" w:hAnsi="宋体" w:cs="宋体" w:eastAsia="宋体" w:hint="default"/>
          <w:spacing w:val="-54"/>
        </w:rPr>
        <w:t> </w:t>
      </w:r>
      <w:r>
        <w:rPr/>
        <w:t>和</w:t>
      </w:r>
      <w:r>
        <w:rPr>
          <w:spacing w:val="-51"/>
        </w:rPr>
        <w:t> </w:t>
      </w:r>
      <w:r>
        <w:rPr>
          <w:rFonts w:ascii="宋体" w:hAnsi="宋体" w:cs="宋体" w:eastAsia="宋体" w:hint="default"/>
        </w:rPr>
        <w:t>16</w:t>
      </w:r>
      <w:r>
        <w:rPr>
          <w:rFonts w:ascii="宋体" w:hAnsi="宋体" w:cs="宋体" w:eastAsia="宋体" w:hint="default"/>
          <w:spacing w:val="-51"/>
        </w:rPr>
        <w:t> </w:t>
      </w:r>
      <w:r>
        <w:rPr/>
        <w:t>泰豪</w:t>
      </w:r>
      <w:r>
        <w:rPr>
          <w:spacing w:val="-51"/>
        </w:rPr>
        <w:t> </w:t>
      </w:r>
      <w:r>
        <w:rPr>
          <w:rFonts w:ascii="宋体" w:hAnsi="宋体" w:cs="宋体" w:eastAsia="宋体" w:hint="default"/>
        </w:rPr>
        <w:t>02</w:t>
      </w:r>
      <w:r>
        <w:rPr>
          <w:rFonts w:ascii="宋体" w:hAnsi="宋体" w:cs="宋体" w:eastAsia="宋体" w:hint="default"/>
          <w:spacing w:val="-54"/>
        </w:rPr>
        <w:t> </w:t>
      </w:r>
      <w:r>
        <w:rPr/>
        <w:t>公司债的初始信用评级均为</w:t>
      </w:r>
      <w:r>
        <w:rPr>
          <w:spacing w:val="-51"/>
        </w:rPr>
        <w:t> </w:t>
      </w:r>
      <w:r>
        <w:rPr>
          <w:rFonts w:ascii="宋体" w:hAnsi="宋体" w:cs="宋体" w:eastAsia="宋体" w:hint="default"/>
        </w:rPr>
        <w:t>AA</w:t>
      </w:r>
      <w:r>
        <w:rPr/>
        <w:t>，公</w:t>
      </w:r>
      <w:r>
        <w:rPr>
          <w:w w:val="100"/>
        </w:rPr>
        <w:t> </w:t>
      </w:r>
      <w:r>
        <w:rPr/>
        <w:t>司的主体信用评级为</w:t>
      </w:r>
      <w:r>
        <w:rPr>
          <w:spacing w:val="-15"/>
        </w:rPr>
        <w:t> </w:t>
      </w:r>
      <w:r>
        <w:rPr>
          <w:rFonts w:ascii="宋体" w:hAnsi="宋体" w:cs="宋体" w:eastAsia="宋体" w:hint="default"/>
          <w:spacing w:val="-3"/>
        </w:rPr>
        <w:t>AA</w:t>
      </w:r>
      <w:r>
        <w:rPr>
          <w:spacing w:val="-3"/>
        </w:rPr>
        <w:t>，中诚信证券评估有限公司将在公司债券存续期内，每年公司发布年度报</w:t>
      </w:r>
      <w:r>
        <w:rPr>
          <w:spacing w:val="-90"/>
        </w:rPr>
        <w:t> </w:t>
      </w:r>
      <w:r>
        <w:rPr>
          <w:spacing w:val="-90"/>
        </w:rPr>
      </w:r>
      <w:r>
        <w:rPr>
          <w:w w:val="100"/>
        </w:rPr>
        <w:t>告后</w:t>
      </w:r>
      <w:r>
        <w:rPr>
          <w:spacing w:val="-47"/>
          <w:w w:val="100"/>
        </w:rPr>
        <w:t> </w:t>
      </w:r>
      <w:r>
        <w:rPr>
          <w:rFonts w:ascii="宋体" w:hAnsi="宋体" w:cs="宋体" w:eastAsia="宋体" w:hint="default"/>
          <w:w w:val="100"/>
        </w:rPr>
        <w:t>2</w:t>
      </w:r>
      <w:r>
        <w:rPr>
          <w:rFonts w:ascii="宋体" w:hAnsi="宋体" w:cs="宋体" w:eastAsia="宋体" w:hint="default"/>
          <w:spacing w:val="-50"/>
          <w:w w:val="100"/>
        </w:rPr>
        <w:t> </w:t>
      </w:r>
      <w:r>
        <w:rPr>
          <w:spacing w:val="-2"/>
          <w:w w:val="100"/>
        </w:rPr>
        <w:t>个月内对</w:t>
      </w:r>
      <w:r>
        <w:rPr>
          <w:spacing w:val="-48"/>
          <w:w w:val="100"/>
        </w:rPr>
        <w:t> </w:t>
      </w:r>
      <w:r>
        <w:rPr>
          <w:rFonts w:ascii="宋体" w:hAnsi="宋体" w:cs="宋体" w:eastAsia="宋体" w:hint="default"/>
          <w:spacing w:val="-1"/>
          <w:w w:val="100"/>
        </w:rPr>
        <w:t>2016</w:t>
      </w:r>
      <w:r>
        <w:rPr>
          <w:rFonts w:ascii="宋体" w:hAnsi="宋体" w:cs="宋体" w:eastAsia="宋体" w:hint="default"/>
          <w:spacing w:val="-48"/>
          <w:w w:val="100"/>
        </w:rPr>
        <w:t> </w:t>
      </w:r>
      <w:r>
        <w:rPr>
          <w:spacing w:val="-5"/>
          <w:w w:val="100"/>
        </w:rPr>
        <w:t>年公司债券进行一次定期跟踪评级，并在公司债券存续期内根据有关可能导</w:t>
      </w:r>
      <w:r>
        <w:rPr>
          <w:spacing w:val="-103"/>
          <w:w w:val="100"/>
        </w:rPr>
        <w:t> </w:t>
      </w:r>
      <w:r>
        <w:rPr>
          <w:spacing w:val="-103"/>
          <w:w w:val="100"/>
        </w:rPr>
      </w:r>
      <w:r>
        <w:rPr/>
        <w:t>致信用等级变化的情况进行不定期跟踪评级。</w:t>
      </w:r>
      <w:r>
        <w:rPr>
          <w:rFonts w:ascii="宋体" w:hAnsi="宋体" w:cs="宋体" w:eastAsia="宋体" w:hint="default"/>
        </w:rPr>
        <w:t> </w:t>
      </w:r>
    </w:p>
    <w:p>
      <w:pPr>
        <w:pStyle w:val="BodyText"/>
        <w:spacing w:line="271" w:lineRule="exact"/>
        <w:ind w:left="637" w:right="0"/>
        <w:jc w:val="left"/>
      </w:pPr>
      <w:r>
        <w:rPr/>
        <w:t>根据中诚信证券评估有限公司</w:t>
      </w:r>
      <w:r>
        <w:rPr>
          <w:spacing w:val="-50"/>
        </w:rPr>
        <w:t> </w:t>
      </w:r>
      <w:r>
        <w:rPr>
          <w:rFonts w:ascii="宋体" w:hAnsi="宋体" w:cs="宋体" w:eastAsia="宋体" w:hint="default"/>
        </w:rPr>
        <w:t>2019</w:t>
      </w:r>
      <w:r>
        <w:rPr>
          <w:rFonts w:ascii="宋体" w:hAnsi="宋体" w:cs="宋体" w:eastAsia="宋体" w:hint="default"/>
          <w:spacing w:val="-53"/>
        </w:rPr>
        <w:t> </w:t>
      </w:r>
      <w:r>
        <w:rPr/>
        <w:t>年</w:t>
      </w:r>
      <w:r>
        <w:rPr>
          <w:spacing w:val="-53"/>
        </w:rPr>
        <w:t> </w:t>
      </w:r>
      <w:r>
        <w:rPr>
          <w:rFonts w:ascii="宋体" w:hAnsi="宋体" w:cs="宋体" w:eastAsia="宋体" w:hint="default"/>
        </w:rPr>
        <w:t>5</w:t>
      </w:r>
      <w:r>
        <w:rPr>
          <w:rFonts w:ascii="宋体" w:hAnsi="宋体" w:cs="宋体" w:eastAsia="宋体" w:hint="default"/>
          <w:spacing w:val="-50"/>
        </w:rPr>
        <w:t> </w:t>
      </w:r>
      <w:r>
        <w:rPr/>
        <w:t>月</w:t>
      </w:r>
      <w:r>
        <w:rPr>
          <w:spacing w:val="-53"/>
        </w:rPr>
        <w:t> </w:t>
      </w:r>
      <w:r>
        <w:rPr>
          <w:rFonts w:ascii="宋体" w:hAnsi="宋体" w:cs="宋体" w:eastAsia="宋体" w:hint="default"/>
        </w:rPr>
        <w:t>18</w:t>
      </w:r>
      <w:r>
        <w:rPr>
          <w:rFonts w:ascii="宋体" w:hAnsi="宋体" w:cs="宋体" w:eastAsia="宋体" w:hint="default"/>
          <w:spacing w:val="-53"/>
        </w:rPr>
        <w:t> </w:t>
      </w:r>
      <w:r>
        <w:rPr/>
        <w:t>日出具的评级报告，公司最新主体信用评级为</w:t>
      </w:r>
    </w:p>
    <w:p>
      <w:pPr>
        <w:pStyle w:val="BodyText"/>
        <w:spacing w:line="269" w:lineRule="exact"/>
        <w:ind w:left="216" w:right="0"/>
        <w:jc w:val="left"/>
        <w:rPr>
          <w:rFonts w:ascii="宋体" w:hAnsi="宋体" w:cs="宋体" w:eastAsia="宋体" w:hint="default"/>
        </w:rPr>
      </w:pPr>
      <w:r>
        <w:rPr>
          <w:rFonts w:ascii="宋体" w:hAnsi="宋体" w:cs="宋体" w:eastAsia="宋体" w:hint="default"/>
          <w:w w:val="100"/>
        </w:rPr>
        <w:t>AA</w:t>
      </w:r>
      <w:r>
        <w:rPr>
          <w:w w:val="100"/>
        </w:rPr>
        <w:t>（</w:t>
      </w:r>
      <w:r>
        <w:rPr>
          <w:spacing w:val="-3"/>
          <w:w w:val="100"/>
        </w:rPr>
        <w:t>稳</w:t>
      </w:r>
      <w:r>
        <w:rPr>
          <w:w w:val="100"/>
        </w:rPr>
        <w:t>定</w:t>
      </w:r>
      <w:r>
        <w:rPr>
          <w:spacing w:val="-108"/>
          <w:w w:val="100"/>
        </w:rPr>
        <w:t>）</w:t>
      </w:r>
      <w:r>
        <w:rPr>
          <w:spacing w:val="-1"/>
          <w:w w:val="100"/>
        </w:rPr>
        <w:t>，</w:t>
      </w:r>
      <w:r>
        <w:rPr>
          <w:rFonts w:ascii="宋体" w:hAnsi="宋体" w:cs="宋体" w:eastAsia="宋体" w:hint="default"/>
          <w:w w:val="100"/>
        </w:rPr>
        <w:t>16</w:t>
      </w:r>
      <w:r>
        <w:rPr>
          <w:rFonts w:ascii="宋体" w:hAnsi="宋体" w:cs="宋体" w:eastAsia="宋体" w:hint="default"/>
          <w:spacing w:val="-55"/>
        </w:rPr>
        <w:t> </w:t>
      </w:r>
      <w:r>
        <w:rPr>
          <w:w w:val="100"/>
        </w:rPr>
        <w:t>泰豪</w:t>
      </w:r>
      <w:r>
        <w:rPr>
          <w:spacing w:val="-55"/>
        </w:rPr>
        <w:t> </w:t>
      </w:r>
      <w:r>
        <w:rPr>
          <w:rFonts w:ascii="宋体" w:hAnsi="宋体" w:cs="宋体" w:eastAsia="宋体" w:hint="default"/>
          <w:w w:val="100"/>
        </w:rPr>
        <w:t>01</w:t>
      </w:r>
      <w:r>
        <w:rPr>
          <w:rFonts w:ascii="宋体" w:hAnsi="宋体" w:cs="宋体" w:eastAsia="宋体" w:hint="default"/>
          <w:spacing w:val="-55"/>
        </w:rPr>
        <w:t> </w:t>
      </w:r>
      <w:r>
        <w:rPr>
          <w:w w:val="100"/>
        </w:rPr>
        <w:t>和</w:t>
      </w:r>
      <w:r>
        <w:rPr>
          <w:spacing w:val="-55"/>
        </w:rPr>
        <w:t> </w:t>
      </w:r>
      <w:r>
        <w:rPr>
          <w:rFonts w:ascii="宋体" w:hAnsi="宋体" w:cs="宋体" w:eastAsia="宋体" w:hint="default"/>
          <w:w w:val="100"/>
        </w:rPr>
        <w:t>16</w:t>
      </w:r>
      <w:r>
        <w:rPr>
          <w:rFonts w:ascii="宋体" w:hAnsi="宋体" w:cs="宋体" w:eastAsia="宋体" w:hint="default"/>
          <w:spacing w:val="-52"/>
        </w:rPr>
        <w:t> </w:t>
      </w:r>
      <w:r>
        <w:rPr>
          <w:spacing w:val="-3"/>
          <w:w w:val="100"/>
        </w:rPr>
        <w:t>泰</w:t>
      </w:r>
      <w:r>
        <w:rPr>
          <w:w w:val="100"/>
        </w:rPr>
        <w:t>豪</w:t>
      </w:r>
      <w:r>
        <w:rPr>
          <w:spacing w:val="-53"/>
        </w:rPr>
        <w:t> </w:t>
      </w:r>
      <w:r>
        <w:rPr>
          <w:rFonts w:ascii="宋体" w:hAnsi="宋体" w:cs="宋体" w:eastAsia="宋体" w:hint="default"/>
          <w:w w:val="100"/>
        </w:rPr>
        <w:t>02</w:t>
      </w:r>
      <w:r>
        <w:rPr>
          <w:rFonts w:ascii="宋体" w:hAnsi="宋体" w:cs="宋体" w:eastAsia="宋体" w:hint="default"/>
          <w:spacing w:val="-55"/>
        </w:rPr>
        <w:t> </w:t>
      </w:r>
      <w:r>
        <w:rPr>
          <w:w w:val="100"/>
        </w:rPr>
        <w:t>最</w:t>
      </w:r>
      <w:r>
        <w:rPr>
          <w:spacing w:val="-3"/>
          <w:w w:val="100"/>
        </w:rPr>
        <w:t>新</w:t>
      </w:r>
      <w:r>
        <w:rPr>
          <w:w w:val="100"/>
        </w:rPr>
        <w:t>评</w:t>
      </w:r>
      <w:r>
        <w:rPr>
          <w:spacing w:val="-3"/>
          <w:w w:val="100"/>
        </w:rPr>
        <w:t>级</w:t>
      </w:r>
      <w:r>
        <w:rPr>
          <w:w w:val="100"/>
        </w:rPr>
        <w:t>均为</w:t>
      </w:r>
      <w:r>
        <w:rPr>
          <w:spacing w:val="-55"/>
        </w:rPr>
        <w:t> </w:t>
      </w:r>
      <w:r>
        <w:rPr>
          <w:rFonts w:ascii="宋体" w:hAnsi="宋体" w:cs="宋体" w:eastAsia="宋体" w:hint="default"/>
          <w:spacing w:val="-3"/>
          <w:w w:val="100"/>
        </w:rPr>
        <w:t>A</w:t>
      </w:r>
      <w:r>
        <w:rPr>
          <w:rFonts w:ascii="宋体" w:hAnsi="宋体" w:cs="宋体" w:eastAsia="宋体" w:hint="default"/>
          <w:w w:val="100"/>
        </w:rPr>
        <w:t>A</w:t>
      </w:r>
      <w:r>
        <w:rPr>
          <w:w w:val="100"/>
        </w:rPr>
        <w:t>（</w:t>
      </w:r>
      <w:r>
        <w:rPr>
          <w:spacing w:val="-3"/>
          <w:w w:val="100"/>
        </w:rPr>
        <w:t>稳</w:t>
      </w:r>
      <w:r>
        <w:rPr>
          <w:w w:val="100"/>
        </w:rPr>
        <w:t>定</w:t>
      </w:r>
      <w:r>
        <w:rPr>
          <w:spacing w:val="-106"/>
          <w:w w:val="100"/>
        </w:rPr>
        <w:t>）</w:t>
      </w:r>
      <w:r>
        <w:rPr>
          <w:spacing w:val="-3"/>
          <w:w w:val="100"/>
        </w:rPr>
        <w:t>。</w:t>
      </w:r>
      <w:r>
        <w:rPr>
          <w:rFonts w:ascii="宋体" w:hAnsi="宋体" w:cs="宋体" w:eastAsia="宋体" w:hint="default"/>
          <w:w w:val="100"/>
        </w:rPr>
        <w:t> </w:t>
      </w:r>
    </w:p>
    <w:p>
      <w:pPr>
        <w:pStyle w:val="Heading3"/>
        <w:spacing w:line="309" w:lineRule="exact"/>
        <w:ind w:right="0"/>
        <w:jc w:val="left"/>
        <w:rPr>
          <w:rFonts w:ascii="宋体" w:hAnsi="宋体" w:cs="宋体" w:eastAsia="宋体" w:hint="default"/>
        </w:rPr>
      </w:pPr>
      <w:r>
        <w:rPr>
          <w:rFonts w:ascii="宋体"/>
        </w:rPr>
        <w:t> </w:t>
      </w:r>
    </w:p>
    <w:p>
      <w:pPr>
        <w:spacing w:line="240" w:lineRule="auto" w:before="11"/>
        <w:rPr>
          <w:rFonts w:ascii="宋体" w:hAnsi="宋体" w:cs="宋体" w:eastAsia="宋体" w:hint="default"/>
          <w:sz w:val="16"/>
          <w:szCs w:val="16"/>
        </w:rPr>
      </w:pPr>
    </w:p>
    <w:p>
      <w:pPr>
        <w:pStyle w:val="Heading5"/>
        <w:spacing w:line="240" w:lineRule="auto" w:before="0"/>
        <w:ind w:right="0"/>
        <w:jc w:val="left"/>
        <w:rPr>
          <w:b w:val="0"/>
          <w:bCs w:val="0"/>
        </w:rPr>
      </w:pPr>
      <w:r>
        <w:rPr/>
        <w:t>五、报告期内公司债券增信机制、偿债计划及其他相关情况</w:t>
      </w:r>
      <w:r>
        <w:rPr>
          <w:b w:val="0"/>
          <w:bCs w:val="0"/>
        </w:rPr>
      </w:r>
    </w:p>
    <w:p>
      <w:pPr>
        <w:spacing w:line="240" w:lineRule="auto" w:before="50"/>
        <w:ind w:left="637" w:right="4231" w:hanging="421"/>
        <w:jc w:val="left"/>
        <w:rPr>
          <w:rFonts w:ascii="宋体" w:hAnsi="宋体" w:cs="宋体" w:eastAsia="宋体" w:hint="default"/>
          <w:sz w:val="21"/>
          <w:szCs w:val="21"/>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sz w:val="21"/>
          <w:szCs w:val="21"/>
        </w:rPr>
        <w:t>报告期内公司债券无增信机制。</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报告期内公司债券尚未还本，按期付息。</w:t>
      </w:r>
      <w:r>
        <w:rPr>
          <w:rFonts w:ascii="宋体" w:hAnsi="宋体" w:cs="宋体" w:eastAsia="宋体" w:hint="default"/>
          <w:spacing w:val="-3"/>
          <w:sz w:val="21"/>
          <w:szCs w:val="21"/>
        </w:rPr>
        <w:t> </w:t>
      </w:r>
      <w:r>
        <w:rPr>
          <w:rFonts w:ascii="宋体" w:hAnsi="宋体" w:cs="宋体" w:eastAsia="宋体" w:hint="default"/>
          <w:sz w:val="21"/>
          <w:szCs w:val="21"/>
        </w:rPr>
        <w:t> </w:t>
      </w:r>
    </w:p>
    <w:p>
      <w:pPr>
        <w:pStyle w:val="BodyText"/>
        <w:spacing w:line="237" w:lineRule="auto"/>
        <w:ind w:left="216" w:right="229" w:firstLine="420"/>
        <w:jc w:val="both"/>
        <w:rPr>
          <w:rFonts w:ascii="宋体" w:hAnsi="宋体" w:cs="宋体" w:eastAsia="宋体" w:hint="default"/>
        </w:rPr>
      </w:pPr>
      <w:r>
        <w:rPr>
          <w:spacing w:val="-7"/>
          <w:w w:val="100"/>
        </w:rPr>
        <w:t>根据募集说明书的约定，公司偿债保障措施包括了制定《债券持有人会议规则》、聘请债券受</w:t>
      </w:r>
      <w:r>
        <w:rPr>
          <w:w w:val="100"/>
        </w:rPr>
        <w:t> </w:t>
      </w:r>
      <w:r>
        <w:rPr>
          <w:spacing w:val="-1"/>
        </w:rPr>
        <w:t>托管理人、严格的信息披露等内容，报告期内公司债券的偿债保障措施的执行情况与募集说明书</w:t>
      </w:r>
      <w:r>
        <w:rPr>
          <w:spacing w:val="-55"/>
        </w:rPr>
        <w:t> </w:t>
      </w:r>
      <w:r>
        <w:rPr>
          <w:spacing w:val="-55"/>
        </w:rPr>
      </w:r>
      <w:r>
        <w:rPr/>
        <w:t>的相关承诺一致，未发生变更。</w:t>
      </w:r>
      <w:r>
        <w:rPr>
          <w:rFonts w:ascii="宋体" w:hAnsi="宋体" w:cs="宋体" w:eastAsia="宋体" w:hint="default"/>
        </w:rPr>
        <w:t> </w:t>
      </w:r>
    </w:p>
    <w:p>
      <w:pPr>
        <w:pStyle w:val="Heading3"/>
        <w:spacing w:line="305" w:lineRule="exact"/>
        <w:ind w:right="0"/>
        <w:jc w:val="left"/>
        <w:rPr>
          <w:rFonts w:ascii="宋体" w:hAnsi="宋体" w:cs="宋体" w:eastAsia="宋体" w:hint="default"/>
        </w:rPr>
      </w:pPr>
      <w:r>
        <w:rPr>
          <w:rFonts w:ascii="宋体"/>
        </w:rPr>
        <w:t> </w:t>
      </w:r>
    </w:p>
    <w:p>
      <w:pPr>
        <w:pStyle w:val="Heading5"/>
        <w:spacing w:line="240" w:lineRule="auto"/>
        <w:ind w:right="0"/>
        <w:jc w:val="left"/>
        <w:rPr>
          <w:b w:val="0"/>
          <w:bCs w:val="0"/>
        </w:rPr>
      </w:pPr>
      <w:r>
        <w:rPr/>
        <w:t>六、公司债券持有人会议召开情况</w:t>
      </w:r>
      <w:r>
        <w:rPr>
          <w:b w:val="0"/>
          <w:bCs w:val="0"/>
        </w:rPr>
      </w:r>
    </w:p>
    <w:p>
      <w:pPr>
        <w:pStyle w:val="Heading3"/>
        <w:spacing w:line="312" w:lineRule="exact"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2" w:lineRule="exact"/>
        <w:ind w:right="0"/>
        <w:jc w:val="left"/>
        <w:rPr>
          <w:rFonts w:ascii="宋体" w:hAnsi="宋体" w:cs="宋体" w:eastAsia="宋体" w:hint="default"/>
        </w:rPr>
      </w:pPr>
      <w:r>
        <w:rPr>
          <w:rFonts w:ascii="宋体"/>
        </w:rPr>
        <w:t> </w:t>
      </w:r>
    </w:p>
    <w:p>
      <w:pPr>
        <w:pStyle w:val="Heading5"/>
        <w:spacing w:line="240" w:lineRule="auto"/>
        <w:ind w:right="0"/>
        <w:jc w:val="left"/>
        <w:rPr>
          <w:b w:val="0"/>
          <w:bCs w:val="0"/>
        </w:rPr>
      </w:pPr>
      <w:r>
        <w:rPr/>
        <w:t>七、公司债券受托管理人履职情况</w:t>
      </w:r>
      <w:r>
        <w:rPr>
          <w:b w:val="0"/>
          <w:bCs w:val="0"/>
        </w:rPr>
      </w:r>
    </w:p>
    <w:p>
      <w:pPr>
        <w:pStyle w:val="Heading3"/>
        <w:spacing w:line="240" w:lineRule="auto"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37" w:lineRule="auto" w:before="6"/>
        <w:ind w:left="216" w:right="228" w:firstLine="480"/>
        <w:jc w:val="both"/>
        <w:rPr>
          <w:rFonts w:ascii="宋体" w:hAnsi="宋体" w:cs="宋体" w:eastAsia="宋体" w:hint="default"/>
        </w:rPr>
      </w:pPr>
      <w:r>
        <w:rPr/>
        <w:t>“</w:t>
      </w:r>
      <w:r>
        <w:rPr>
          <w:rFonts w:ascii="宋体" w:hAnsi="宋体" w:cs="宋体" w:eastAsia="宋体" w:hint="default"/>
        </w:rPr>
        <w:t>16</w:t>
      </w:r>
      <w:r>
        <w:rPr>
          <w:rFonts w:ascii="宋体" w:hAnsi="宋体" w:cs="宋体" w:eastAsia="宋体" w:hint="default"/>
          <w:spacing w:val="-41"/>
        </w:rPr>
        <w:t> </w:t>
      </w:r>
      <w:r>
        <w:rPr/>
        <w:t>泰豪</w:t>
      </w:r>
      <w:r>
        <w:rPr>
          <w:spacing w:val="-38"/>
        </w:rPr>
        <w:t> </w:t>
      </w:r>
      <w:r>
        <w:rPr>
          <w:spacing w:val="-5"/>
        </w:rPr>
        <w:t>01”、“16</w:t>
      </w:r>
      <w:r>
        <w:rPr>
          <w:spacing w:val="-38"/>
        </w:rPr>
        <w:t> </w:t>
      </w:r>
      <w:r>
        <w:rPr/>
        <w:t>泰豪</w:t>
      </w:r>
      <w:r>
        <w:rPr>
          <w:spacing w:val="-37"/>
        </w:rPr>
        <w:t> </w:t>
      </w:r>
      <w:r>
        <w:rPr>
          <w:spacing w:val="-3"/>
        </w:rPr>
        <w:t>02”公司债受托管理人为西部证券股份有限公司（以下简称“西</w:t>
      </w:r>
      <w:r>
        <w:rPr>
          <w:w w:val="100"/>
        </w:rPr>
        <w:t> </w:t>
      </w:r>
      <w:r>
        <w:rPr>
          <w:spacing w:val="-6"/>
          <w:w w:val="100"/>
        </w:rPr>
        <w:t>部证券”）。报告期内，西部证券严格按照《公司债券发行与交易管理办法》及《公司债券受托管</w:t>
      </w:r>
      <w:r>
        <w:rPr>
          <w:w w:val="100"/>
        </w:rPr>
        <w:t> </w:t>
      </w:r>
      <w:r>
        <w:rPr>
          <w:spacing w:val="-6"/>
        </w:rPr>
        <w:t>理人执业行为准则》等法律法规的要求以及《债券受托管理协议》约定履行债券受托管理人职责。</w:t>
      </w:r>
      <w:r>
        <w:rPr>
          <w:spacing w:val="-54"/>
        </w:rPr>
        <w:t> </w:t>
      </w:r>
      <w:r>
        <w:rPr>
          <w:spacing w:val="-54"/>
        </w:rPr>
      </w:r>
      <w:r>
        <w:rPr>
          <w:rFonts w:ascii="宋体" w:hAnsi="宋体" w:cs="宋体" w:eastAsia="宋体" w:hint="default"/>
        </w:rPr>
        <w:t>2019</w:t>
      </w:r>
      <w:r>
        <w:rPr>
          <w:rFonts w:ascii="宋体" w:hAnsi="宋体" w:cs="宋体" w:eastAsia="宋体" w:hint="default"/>
          <w:spacing w:val="-41"/>
        </w:rPr>
        <w:t> </w:t>
      </w:r>
      <w:r>
        <w:rPr/>
        <w:t>年</w:t>
      </w:r>
      <w:r>
        <w:rPr>
          <w:spacing w:val="-41"/>
        </w:rPr>
        <w:t> </w:t>
      </w:r>
      <w:r>
        <w:rPr>
          <w:rFonts w:ascii="宋体" w:hAnsi="宋体" w:cs="宋体" w:eastAsia="宋体" w:hint="default"/>
        </w:rPr>
        <w:t>6</w:t>
      </w:r>
      <w:r>
        <w:rPr>
          <w:rFonts w:ascii="宋体" w:hAnsi="宋体" w:cs="宋体" w:eastAsia="宋体" w:hint="default"/>
          <w:spacing w:val="-41"/>
        </w:rPr>
        <w:t> </w:t>
      </w:r>
      <w:r>
        <w:rPr/>
        <w:t>月</w:t>
      </w:r>
      <w:r>
        <w:rPr>
          <w:spacing w:val="-41"/>
        </w:rPr>
        <w:t> </w:t>
      </w:r>
      <w:r>
        <w:rPr>
          <w:rFonts w:ascii="宋体" w:hAnsi="宋体" w:cs="宋体" w:eastAsia="宋体" w:hint="default"/>
        </w:rPr>
        <w:t>26</w:t>
      </w:r>
      <w:r>
        <w:rPr>
          <w:rFonts w:ascii="宋体" w:hAnsi="宋体" w:cs="宋体" w:eastAsia="宋体" w:hint="default"/>
          <w:spacing w:val="-43"/>
        </w:rPr>
        <w:t> </w:t>
      </w:r>
      <w:r>
        <w:rPr/>
        <w:t>日，西部证券出具了《西部证券股份有限公司关于泰豪科技股份有限公司公开发</w:t>
      </w:r>
      <w:r>
        <w:rPr>
          <w:w w:val="100"/>
        </w:rPr>
        <w:t> 行</w:t>
      </w:r>
      <w:r>
        <w:rPr>
          <w:spacing w:val="-52"/>
          <w:w w:val="100"/>
        </w:rPr>
        <w:t> </w:t>
      </w:r>
      <w:r>
        <w:rPr>
          <w:rFonts w:ascii="宋体" w:hAnsi="宋体" w:cs="宋体" w:eastAsia="宋体" w:hint="default"/>
          <w:spacing w:val="-1"/>
          <w:w w:val="100"/>
        </w:rPr>
        <w:t>2016</w:t>
      </w:r>
      <w:r>
        <w:rPr>
          <w:rFonts w:ascii="宋体" w:hAnsi="宋体" w:cs="宋体" w:eastAsia="宋体" w:hint="default"/>
          <w:spacing w:val="-53"/>
          <w:w w:val="100"/>
        </w:rPr>
        <w:t> </w:t>
      </w:r>
      <w:r>
        <w:rPr>
          <w:spacing w:val="-7"/>
          <w:w w:val="100"/>
        </w:rPr>
        <w:t>年公司债券受托管理事务报告》（</w:t>
      </w:r>
      <w:r>
        <w:rPr>
          <w:rFonts w:ascii="宋体" w:hAnsi="宋体" w:cs="宋体" w:eastAsia="宋体" w:hint="default"/>
          <w:spacing w:val="-7"/>
          <w:w w:val="100"/>
        </w:rPr>
        <w:t>2018</w:t>
      </w:r>
      <w:r>
        <w:rPr>
          <w:rFonts w:ascii="宋体" w:hAnsi="宋体" w:cs="宋体" w:eastAsia="宋体" w:hint="default"/>
          <w:spacing w:val="-55"/>
          <w:w w:val="100"/>
        </w:rPr>
        <w:t> </w:t>
      </w:r>
      <w:r>
        <w:rPr>
          <w:spacing w:val="-28"/>
          <w:w w:val="100"/>
        </w:rPr>
        <w:t>年度）。</w:t>
      </w:r>
      <w:r>
        <w:rPr>
          <w:rFonts w:ascii="宋体" w:hAnsi="宋体" w:cs="宋体" w:eastAsia="宋体" w:hint="default"/>
          <w:w w:val="100"/>
        </w:rPr>
        <w:t> </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34"/>
          <w:pgSz w:w="11910" w:h="16840"/>
          <w:pgMar w:footer="1195" w:header="877" w:top="1100" w:bottom="1380" w:left="1060" w:right="1560"/>
          <w:pgNumType w:start="61"/>
        </w:sectPr>
      </w:pPr>
    </w:p>
    <w:p>
      <w:pPr>
        <w:spacing w:line="240" w:lineRule="auto" w:before="1"/>
        <w:rPr>
          <w:rFonts w:ascii="宋体" w:hAnsi="宋体" w:cs="宋体" w:eastAsia="宋体" w:hint="default"/>
          <w:sz w:val="16"/>
          <w:szCs w:val="16"/>
        </w:rPr>
      </w:pPr>
    </w:p>
    <w:p>
      <w:pPr>
        <w:pStyle w:val="Heading5"/>
        <w:spacing w:line="240" w:lineRule="auto" w:before="0"/>
        <w:ind w:right="-13"/>
        <w:jc w:val="left"/>
        <w:rPr>
          <w:b w:val="0"/>
          <w:bCs w:val="0"/>
        </w:rPr>
      </w:pPr>
      <w:r>
        <w:rPr/>
        <w:t>八、截至报告期末公司近</w:t>
      </w:r>
      <w:r>
        <w:rPr>
          <w:spacing w:val="-54"/>
        </w:rPr>
        <w:t> </w:t>
      </w:r>
      <w:r>
        <w:rPr>
          <w:rFonts w:ascii="宋体" w:hAnsi="宋体" w:cs="宋体" w:eastAsia="宋体" w:hint="default"/>
        </w:rPr>
        <w:t>2</w:t>
      </w:r>
      <w:r>
        <w:rPr>
          <w:rFonts w:ascii="宋体" w:hAnsi="宋体" w:cs="宋体" w:eastAsia="宋体" w:hint="default"/>
          <w:spacing w:val="-54"/>
        </w:rPr>
        <w:t> </w:t>
      </w:r>
      <w:r>
        <w:rPr/>
        <w:t>年的会计数据和财务指标</w:t>
      </w:r>
      <w:r>
        <w:rPr>
          <w:b w:val="0"/>
          <w:bCs w:val="0"/>
        </w:rPr>
      </w:r>
    </w:p>
    <w:p>
      <w:pPr>
        <w:pStyle w:val="Heading3"/>
        <w:spacing w:line="240" w:lineRule="auto" w:before="50"/>
        <w:ind w:right="-1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240" w:lineRule="auto"/>
        <w:ind w:left="216"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5071" w:space="1662"/>
            <w:col w:w="255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77"/>
        <w:gridCol w:w="1719"/>
        <w:gridCol w:w="1503"/>
        <w:gridCol w:w="1298"/>
        <w:gridCol w:w="2353"/>
      </w:tblGrid>
      <w:tr>
        <w:trPr>
          <w:trHeight w:val="826"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62" w:right="0"/>
              <w:jc w:val="left"/>
              <w:rPr>
                <w:rFonts w:ascii="宋体" w:hAnsi="宋体" w:cs="宋体" w:eastAsia="宋体" w:hint="default"/>
                <w:sz w:val="21"/>
                <w:szCs w:val="21"/>
              </w:rPr>
            </w:pPr>
            <w:r>
              <w:rPr>
                <w:rFonts w:ascii="宋体" w:hAnsi="宋体" w:cs="宋体" w:eastAsia="宋体" w:hint="default"/>
                <w:sz w:val="21"/>
                <w:szCs w:val="21"/>
              </w:rPr>
              <w:t>主要指标</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11"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同期增减</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51" w:right="0"/>
              <w:jc w:val="left"/>
              <w:rPr>
                <w:rFonts w:ascii="宋体" w:hAnsi="宋体" w:cs="宋体" w:eastAsia="宋体" w:hint="default"/>
                <w:sz w:val="21"/>
                <w:szCs w:val="21"/>
              </w:rPr>
            </w:pPr>
            <w:r>
              <w:rPr>
                <w:rFonts w:ascii="宋体" w:hAnsi="宋体" w:cs="宋体" w:eastAsia="宋体" w:hint="default"/>
                <w:sz w:val="21"/>
                <w:szCs w:val="21"/>
              </w:rPr>
              <w:t>变动原因</w:t>
            </w:r>
            <w:r>
              <w:rPr>
                <w:rFonts w:ascii="宋体" w:hAnsi="宋体" w:cs="宋体" w:eastAsia="宋体" w:hint="default"/>
                <w:sz w:val="21"/>
                <w:szCs w:val="21"/>
              </w:rPr>
              <w:t> </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息税折旧摊销前利润</w:t>
            </w:r>
            <w:r>
              <w:rPr>
                <w:rFonts w:ascii="宋体" w:hAnsi="宋体" w:cs="宋体" w:eastAsia="宋体" w:hint="default"/>
                <w:sz w:val="21"/>
                <w:szCs w:val="21"/>
              </w:rPr>
              <w:t> </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5"/>
              <w:jc w:val="right"/>
              <w:rPr>
                <w:rFonts w:ascii="Times New Roman" w:hAnsi="Times New Roman" w:cs="Times New Roman" w:eastAsia="Times New Roman" w:hint="default"/>
                <w:sz w:val="20"/>
                <w:szCs w:val="20"/>
              </w:rPr>
            </w:pPr>
            <w:r>
              <w:rPr>
                <w:rFonts w:ascii="Times New Roman"/>
                <w:w w:val="95"/>
                <w:sz w:val="20"/>
              </w:rPr>
              <w:t>510,018,024.85</w:t>
            </w:r>
            <w:r>
              <w:rPr>
                <w:rFonts w:ascii="Times New Roman"/>
                <w:sz w:val="20"/>
              </w:rPr>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615,559,492.55</w:t>
            </w:r>
            <w:r>
              <w:rPr>
                <w:rFonts w:ascii="Times New Roman"/>
                <w:sz w:val="20"/>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w w:val="95"/>
                <w:sz w:val="20"/>
              </w:rPr>
              <w:t>-17.15</w:t>
            </w:r>
            <w:r>
              <w:rPr>
                <w:rFonts w:ascii="Times New Roman"/>
                <w:sz w:val="20"/>
              </w:rPr>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利润总额减少</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流动比率</w:t>
            </w:r>
            <w:r>
              <w:rPr>
                <w:rFonts w:ascii="宋体" w:hAnsi="宋体" w:cs="宋体" w:eastAsia="宋体" w:hint="default"/>
                <w:sz w:val="21"/>
                <w:szCs w:val="21"/>
              </w:rPr>
              <w:t> </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sz w:val="20"/>
              </w:rPr>
              <w:t>1.09</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sz w:val="20"/>
              </w:rPr>
              <w:t>1.33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0"/>
                <w:szCs w:val="20"/>
              </w:rPr>
            </w:pPr>
            <w:r>
              <w:rPr>
                <w:rFonts w:ascii="Times New Roman"/>
                <w:w w:val="95"/>
                <w:sz w:val="20"/>
              </w:rPr>
              <w:t>-18.05</w:t>
            </w:r>
            <w:r>
              <w:rPr>
                <w:rFonts w:ascii="Times New Roman"/>
                <w:sz w:val="20"/>
              </w:rPr>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应收账款减少</w:t>
            </w:r>
          </w:p>
        </w:tc>
      </w:tr>
      <w:tr>
        <w:trPr>
          <w:trHeight w:val="28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速动比率</w:t>
            </w:r>
            <w:r>
              <w:rPr>
                <w:rFonts w:ascii="宋体" w:hAnsi="宋体" w:cs="宋体" w:eastAsia="宋体" w:hint="default"/>
                <w:sz w:val="21"/>
                <w:szCs w:val="21"/>
              </w:rPr>
              <w:t> </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sz w:val="20"/>
              </w:rPr>
              <w:t>0.93</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sz w:val="20"/>
              </w:rPr>
              <w:t>1.16</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0"/>
                <w:szCs w:val="20"/>
              </w:rPr>
            </w:pPr>
            <w:r>
              <w:rPr>
                <w:rFonts w:ascii="Times New Roman"/>
                <w:w w:val="95"/>
                <w:sz w:val="20"/>
              </w:rPr>
              <w:t>-19.83</w:t>
            </w:r>
            <w:r>
              <w:rPr>
                <w:rFonts w:ascii="Times New Roman"/>
                <w:sz w:val="20"/>
              </w:rPr>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应收账款减少</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sz w:val="20"/>
              </w:rPr>
              <w:t>67.05</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sz w:val="20"/>
              </w:rPr>
              <w:t>67.94</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-0.89</w:t>
            </w:r>
            <w:r>
              <w:rPr>
                <w:rFonts w:ascii="Times New Roman"/>
                <w:sz w:val="20"/>
              </w:rPr>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负债减少</w:t>
            </w:r>
          </w:p>
        </w:tc>
      </w:tr>
      <w:tr>
        <w:trPr>
          <w:trHeight w:val="28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EBITDA</w:t>
            </w:r>
            <w:r>
              <w:rPr>
                <w:rFonts w:ascii="宋体" w:hAnsi="宋体" w:cs="宋体" w:eastAsia="宋体" w:hint="default"/>
                <w:spacing w:val="-55"/>
                <w:sz w:val="21"/>
                <w:szCs w:val="21"/>
              </w:rPr>
              <w:t> </w:t>
            </w:r>
            <w:r>
              <w:rPr>
                <w:rFonts w:ascii="宋体" w:hAnsi="宋体" w:cs="宋体" w:eastAsia="宋体" w:hint="default"/>
                <w:sz w:val="21"/>
                <w:szCs w:val="21"/>
              </w:rPr>
              <w:t>全部债务比</w:t>
            </w:r>
            <w:r>
              <w:rPr>
                <w:rFonts w:ascii="宋体" w:hAnsi="宋体" w:cs="宋体" w:eastAsia="宋体" w:hint="default"/>
                <w:sz w:val="21"/>
                <w:szCs w:val="21"/>
              </w:rPr>
              <w:t> </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sz w:val="20"/>
              </w:rPr>
              <w:t>0.09</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sz w:val="20"/>
              </w:rPr>
              <w:t>0.11</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w w:val="95"/>
                <w:sz w:val="20"/>
              </w:rPr>
              <w:t>-19.14</w:t>
            </w:r>
            <w:r>
              <w:rPr>
                <w:rFonts w:ascii="Times New Roman"/>
                <w:sz w:val="20"/>
              </w:rPr>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利润总额减少</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利息保障倍数</w:t>
            </w:r>
            <w:r>
              <w:rPr>
                <w:rFonts w:ascii="宋体" w:hAnsi="宋体" w:cs="宋体" w:eastAsia="宋体" w:hint="default"/>
                <w:sz w:val="21"/>
                <w:szCs w:val="21"/>
              </w:rPr>
              <w:t> </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sz w:val="20"/>
              </w:rPr>
              <w:t>2.33</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sz w:val="20"/>
              </w:rPr>
              <w:t>2.78</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w w:val="95"/>
                <w:sz w:val="20"/>
              </w:rPr>
              <w:t>-16.18</w:t>
            </w:r>
            <w:r>
              <w:rPr>
                <w:rFonts w:ascii="Times New Roman"/>
                <w:sz w:val="20"/>
              </w:rPr>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利润总额减少</w:t>
            </w:r>
          </w:p>
        </w:tc>
      </w:tr>
      <w:tr>
        <w:trPr>
          <w:trHeight w:val="554"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现金利息保障倍数</w:t>
            </w:r>
            <w:r>
              <w:rPr>
                <w:rFonts w:ascii="宋体" w:hAnsi="宋体" w:cs="宋体" w:eastAsia="宋体" w:hint="default"/>
                <w:sz w:val="21"/>
                <w:szCs w:val="21"/>
              </w:rPr>
              <w:t> </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20"/>
                <w:szCs w:val="20"/>
              </w:rPr>
            </w:pPr>
            <w:r>
              <w:rPr>
                <w:rFonts w:ascii="Times New Roman"/>
                <w:sz w:val="20"/>
              </w:rPr>
              <w:t>2.45</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20"/>
                <w:szCs w:val="20"/>
              </w:rPr>
            </w:pPr>
            <w:r>
              <w:rPr>
                <w:rFonts w:ascii="Times New Roman"/>
                <w:sz w:val="20"/>
              </w:rPr>
              <w:t>0.09</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20"/>
                <w:szCs w:val="20"/>
              </w:rPr>
            </w:pPr>
            <w:r>
              <w:rPr>
                <w:rFonts w:ascii="Times New Roman"/>
                <w:w w:val="95"/>
                <w:sz w:val="20"/>
              </w:rPr>
              <w:t>2,619.09</w:t>
            </w:r>
            <w:r>
              <w:rPr>
                <w:rFonts w:ascii="Times New Roman"/>
                <w:sz w:val="20"/>
              </w:rPr>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经营活动现金净流入增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加</w:t>
            </w:r>
          </w:p>
        </w:tc>
      </w:tr>
      <w:tr>
        <w:trPr>
          <w:trHeight w:val="286"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EBITDA</w:t>
            </w:r>
            <w:r>
              <w:rPr>
                <w:rFonts w:ascii="宋体" w:hAnsi="宋体" w:cs="宋体" w:eastAsia="宋体" w:hint="default"/>
                <w:spacing w:val="-57"/>
                <w:sz w:val="21"/>
                <w:szCs w:val="21"/>
              </w:rPr>
              <w:t> </w:t>
            </w:r>
            <w:r>
              <w:rPr>
                <w:rFonts w:ascii="宋体" w:hAnsi="宋体" w:cs="宋体" w:eastAsia="宋体" w:hint="default"/>
                <w:sz w:val="21"/>
                <w:szCs w:val="21"/>
              </w:rPr>
              <w:t>利息保障倍数</w:t>
            </w:r>
            <w:r>
              <w:rPr>
                <w:rFonts w:ascii="宋体" w:hAnsi="宋体" w:cs="宋体" w:eastAsia="宋体" w:hint="default"/>
                <w:sz w:val="21"/>
                <w:szCs w:val="21"/>
              </w:rPr>
              <w:t> </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3"/>
              <w:jc w:val="right"/>
              <w:rPr>
                <w:rFonts w:ascii="Times New Roman" w:hAnsi="Times New Roman" w:cs="Times New Roman" w:eastAsia="Times New Roman" w:hint="default"/>
                <w:sz w:val="20"/>
                <w:szCs w:val="20"/>
              </w:rPr>
            </w:pPr>
            <w:r>
              <w:rPr>
                <w:rFonts w:ascii="Times New Roman"/>
                <w:sz w:val="20"/>
              </w:rPr>
              <w:t>3.03</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0"/>
                <w:szCs w:val="20"/>
              </w:rPr>
            </w:pPr>
            <w:r>
              <w:rPr>
                <w:rFonts w:ascii="Times New Roman"/>
                <w:sz w:val="20"/>
              </w:rPr>
              <w:t>3.36</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3"/>
              <w:jc w:val="right"/>
              <w:rPr>
                <w:rFonts w:ascii="Times New Roman" w:hAnsi="Times New Roman" w:cs="Times New Roman" w:eastAsia="Times New Roman" w:hint="default"/>
                <w:sz w:val="20"/>
                <w:szCs w:val="20"/>
              </w:rPr>
            </w:pPr>
            <w:r>
              <w:rPr>
                <w:rFonts w:ascii="Times New Roman"/>
                <w:w w:val="95"/>
                <w:sz w:val="20"/>
              </w:rPr>
              <w:t>-9.84</w:t>
            </w:r>
            <w:r>
              <w:rPr>
                <w:rFonts w:ascii="Times New Roman"/>
                <w:sz w:val="20"/>
              </w:rPr>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利润总额减少</w:t>
            </w:r>
          </w:p>
        </w:tc>
      </w:tr>
      <w:tr>
        <w:trPr>
          <w:trHeight w:val="283"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贷款偿还率（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sz w:val="20"/>
              </w:rPr>
              <w:t>100</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sz w:val="20"/>
              </w:rPr>
              <w:t>100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无变化</w:t>
            </w:r>
          </w:p>
        </w:tc>
      </w:tr>
      <w:tr>
        <w:trPr>
          <w:trHeight w:val="281" w:hRule="exac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利息偿付率（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sz w:val="20"/>
              </w:rPr>
              <w:t>100</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sz w:val="20"/>
              </w:rPr>
              <w:t>100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无变化</w:t>
            </w:r>
          </w:p>
        </w:tc>
      </w:tr>
    </w:tbl>
    <w:p>
      <w:pPr>
        <w:pStyle w:val="Heading3"/>
        <w:spacing w:line="274" w:lineRule="exact"/>
        <w:ind w:right="0"/>
        <w:jc w:val="left"/>
        <w:rPr>
          <w:rFonts w:ascii="宋体" w:hAnsi="宋体" w:cs="宋体" w:eastAsia="宋体" w:hint="default"/>
        </w:rPr>
      </w:pPr>
      <w:r>
        <w:rPr>
          <w:rFonts w:ascii="宋体"/>
        </w:rPr>
        <w:t> </w:t>
      </w:r>
    </w:p>
    <w:p>
      <w:pPr>
        <w:spacing w:after="0" w:line="274" w:lineRule="exact"/>
        <w:jc w:val="left"/>
        <w:rPr>
          <w:rFonts w:ascii="宋体" w:hAnsi="宋体" w:cs="宋体" w:eastAsia="宋体" w:hint="default"/>
        </w:rPr>
        <w:sectPr>
          <w:type w:val="continuous"/>
          <w:pgSz w:w="11910" w:h="16840"/>
          <w:pgMar w:top="1120" w:bottom="1380" w:left="1060" w:right="1560"/>
        </w:sectPr>
      </w:pPr>
    </w:p>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九、公司其他债券和债务融资工具的付息兑付情况</w:t>
      </w:r>
      <w:r>
        <w:rPr>
          <w:b w:val="0"/>
          <w:bCs w:val="0"/>
        </w:rPr>
      </w:r>
    </w:p>
    <w:p>
      <w:pPr>
        <w:pStyle w:val="Heading3"/>
        <w:spacing w:line="240" w:lineRule="auto"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6"/>
        <w:rPr>
          <w:rFonts w:ascii="宋体" w:hAnsi="宋体" w:cs="宋体" w:eastAsia="宋体" w:hint="default"/>
          <w:sz w:val="23"/>
          <w:szCs w:val="23"/>
        </w:rPr>
      </w:pPr>
    </w:p>
    <w:p>
      <w:pPr>
        <w:pStyle w:val="Heading5"/>
        <w:spacing w:line="240" w:lineRule="auto" w:before="0"/>
        <w:ind w:right="0"/>
        <w:jc w:val="left"/>
        <w:rPr>
          <w:b w:val="0"/>
          <w:bCs w:val="0"/>
        </w:rPr>
      </w:pPr>
      <w:r>
        <w:rPr/>
        <w:t>十、公司报告期内的银行授信情况</w:t>
      </w:r>
      <w:r>
        <w:rPr>
          <w:b w:val="0"/>
          <w:bCs w:val="0"/>
        </w:rPr>
      </w:r>
    </w:p>
    <w:p>
      <w:pPr>
        <w:pStyle w:val="Heading3"/>
        <w:spacing w:line="240" w:lineRule="auto"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240" w:lineRule="auto" w:before="4"/>
        <w:ind w:left="978"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sz w:val="21"/>
          <w:szCs w:val="21"/>
        </w:rPr>
        <w:t>单位</w:t>
      </w:r>
      <w:r>
        <w:rPr>
          <w:rFonts w:ascii="宋体" w:hAnsi="宋体" w:cs="宋体" w:eastAsia="宋体" w:hint="default"/>
          <w:sz w:val="21"/>
          <w:szCs w:val="21"/>
        </w:rPr>
        <w:t>:</w:t>
      </w:r>
      <w:r>
        <w:rPr>
          <w:sz w:val="21"/>
          <w:szCs w:val="21"/>
        </w:rPr>
        <w:t>万元</w:t>
      </w:r>
      <w:r>
        <w:rPr>
          <w:spacing w:val="-1"/>
          <w:sz w:val="21"/>
          <w:szCs w:val="21"/>
        </w:rPr>
        <w:t> </w:t>
      </w:r>
      <w:r>
        <w:rPr>
          <w:rFonts w:ascii="宋体" w:hAnsi="宋体" w:cs="宋体" w:eastAsia="宋体" w:hint="default"/>
          <w:spacing w:val="-1"/>
          <w:sz w:val="21"/>
          <w:szCs w:val="21"/>
        </w:rPr>
      </w:r>
      <w:r>
        <w:rPr>
          <w:sz w:val="21"/>
          <w:szCs w:val="21"/>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7"/>
        <w:gridCol w:w="2554"/>
        <w:gridCol w:w="1133"/>
        <w:gridCol w:w="1628"/>
      </w:tblGrid>
      <w:tr>
        <w:trPr>
          <w:trHeight w:val="288"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center"/>
              <w:rPr>
                <w:rFonts w:ascii="宋体" w:hAnsi="宋体" w:cs="宋体" w:eastAsia="宋体" w:hint="default"/>
                <w:sz w:val="21"/>
                <w:szCs w:val="21"/>
              </w:rPr>
            </w:pPr>
            <w:r>
              <w:rPr>
                <w:rFonts w:ascii="宋体" w:hAnsi="宋体" w:cs="宋体" w:eastAsia="宋体" w:hint="default"/>
                <w:sz w:val="21"/>
                <w:szCs w:val="21"/>
              </w:rPr>
              <w:t>授信主体</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49" w:right="0"/>
              <w:jc w:val="left"/>
              <w:rPr>
                <w:rFonts w:ascii="宋体" w:hAnsi="宋体" w:cs="宋体" w:eastAsia="宋体" w:hint="default"/>
                <w:sz w:val="21"/>
                <w:szCs w:val="21"/>
              </w:rPr>
            </w:pPr>
            <w:r>
              <w:rPr>
                <w:rFonts w:ascii="宋体" w:hAnsi="宋体" w:cs="宋体" w:eastAsia="宋体" w:hint="default"/>
                <w:sz w:val="21"/>
                <w:szCs w:val="21"/>
              </w:rPr>
              <w:t>授信银行</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6"/>
              <w:jc w:val="right"/>
              <w:rPr>
                <w:rFonts w:ascii="宋体" w:hAnsi="宋体" w:cs="宋体" w:eastAsia="宋体" w:hint="default"/>
                <w:sz w:val="21"/>
                <w:szCs w:val="21"/>
              </w:rPr>
            </w:pPr>
            <w:r>
              <w:rPr>
                <w:rFonts w:ascii="宋体" w:hAnsi="宋体" w:cs="宋体" w:eastAsia="宋体" w:hint="default"/>
                <w:spacing w:val="-2"/>
                <w:sz w:val="21"/>
                <w:szCs w:val="21"/>
              </w:rPr>
              <w:t>授信总额</w:t>
            </w:r>
            <w:r>
              <w:rPr>
                <w:rFonts w:ascii="宋体" w:hAnsi="宋体" w:cs="宋体" w:eastAsia="宋体" w:hint="default"/>
                <w:sz w:val="21"/>
                <w:szCs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72"/>
              <w:jc w:val="right"/>
              <w:rPr>
                <w:rFonts w:ascii="宋体" w:hAnsi="宋体" w:cs="宋体" w:eastAsia="宋体" w:hint="default"/>
                <w:sz w:val="21"/>
                <w:szCs w:val="21"/>
              </w:rPr>
            </w:pPr>
            <w:r>
              <w:rPr>
                <w:rFonts w:ascii="宋体" w:hAnsi="宋体" w:cs="宋体" w:eastAsia="宋体" w:hint="default"/>
                <w:spacing w:val="-2"/>
                <w:sz w:val="21"/>
                <w:szCs w:val="21"/>
              </w:rPr>
              <w:t>已使用授信额</w:t>
            </w:r>
            <w:r>
              <w:rPr>
                <w:rFonts w:ascii="宋体" w:hAnsi="宋体" w:cs="宋体" w:eastAsia="宋体" w:hint="default"/>
                <w:sz w:val="21"/>
                <w:szCs w:val="21"/>
              </w:rPr>
              <w:t> </w:t>
            </w:r>
          </w:p>
        </w:tc>
      </w:tr>
      <w:tr>
        <w:trPr>
          <w:trHeight w:val="312"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工商银行南昌北京西路支行</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0"/>
                <w:szCs w:val="20"/>
              </w:rPr>
            </w:pPr>
            <w:r>
              <w:rPr>
                <w:rFonts w:ascii="Times New Roman"/>
                <w:w w:val="95"/>
                <w:sz w:val="20"/>
              </w:rPr>
              <w:t>86,296</w:t>
            </w:r>
            <w:r>
              <w:rPr>
                <w:rFonts w:ascii="Times New Roman"/>
                <w:sz w:val="20"/>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w w:val="95"/>
                <w:sz w:val="20"/>
              </w:rPr>
              <w:t>43,524</w:t>
            </w:r>
            <w:r>
              <w:rPr>
                <w:rFonts w:ascii="Times New Roman"/>
                <w:sz w:val="20"/>
              </w:rPr>
            </w:r>
          </w:p>
        </w:tc>
      </w:tr>
      <w:tr>
        <w:trPr>
          <w:trHeight w:val="312"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中国银行南昌西湖支行</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0"/>
                <w:szCs w:val="20"/>
              </w:rPr>
            </w:pPr>
            <w:r>
              <w:rPr>
                <w:rFonts w:ascii="Times New Roman"/>
                <w:w w:val="95"/>
                <w:sz w:val="20"/>
              </w:rPr>
              <w:t>66,000</w:t>
            </w:r>
            <w:r>
              <w:rPr>
                <w:rFonts w:ascii="Times New Roman"/>
                <w:sz w:val="20"/>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w w:val="95"/>
                <w:sz w:val="20"/>
              </w:rPr>
              <w:t>54,140</w:t>
            </w:r>
            <w:r>
              <w:rPr>
                <w:rFonts w:ascii="Times New Roman"/>
                <w:sz w:val="20"/>
              </w:rPr>
            </w:r>
          </w:p>
        </w:tc>
      </w:tr>
      <w:tr>
        <w:trPr>
          <w:trHeight w:val="310"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中信银行南昌分行</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0"/>
                <w:szCs w:val="20"/>
              </w:rPr>
            </w:pPr>
            <w:r>
              <w:rPr>
                <w:rFonts w:ascii="Times New Roman"/>
                <w:w w:val="95"/>
                <w:sz w:val="20"/>
              </w:rPr>
              <w:t>24,000</w:t>
            </w:r>
            <w:r>
              <w:rPr>
                <w:rFonts w:ascii="Times New Roman"/>
                <w:sz w:val="20"/>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w w:val="95"/>
                <w:sz w:val="20"/>
              </w:rPr>
              <w:t>20,150</w:t>
            </w:r>
            <w:r>
              <w:rPr>
                <w:rFonts w:ascii="Times New Roman"/>
                <w:sz w:val="20"/>
              </w:rPr>
            </w:r>
          </w:p>
        </w:tc>
      </w:tr>
      <w:tr>
        <w:trPr>
          <w:trHeight w:val="312"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中国进出口银行江西分行</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0"/>
                <w:szCs w:val="20"/>
              </w:rPr>
            </w:pPr>
            <w:r>
              <w:rPr>
                <w:rFonts w:ascii="Times New Roman"/>
                <w:w w:val="95"/>
                <w:sz w:val="20"/>
              </w:rPr>
              <w:t>50,000</w:t>
            </w:r>
            <w:r>
              <w:rPr>
                <w:rFonts w:ascii="Times New Roman"/>
                <w:sz w:val="20"/>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w w:val="95"/>
                <w:sz w:val="20"/>
              </w:rPr>
              <w:t>30,000</w:t>
            </w:r>
            <w:r>
              <w:rPr>
                <w:rFonts w:ascii="Times New Roman"/>
                <w:sz w:val="20"/>
              </w:rPr>
            </w:r>
          </w:p>
        </w:tc>
      </w:tr>
      <w:tr>
        <w:trPr>
          <w:trHeight w:val="310"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上海农商银行张江科技支行</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0"/>
                <w:szCs w:val="20"/>
              </w:rPr>
            </w:pPr>
            <w:r>
              <w:rPr>
                <w:rFonts w:ascii="Times New Roman"/>
                <w:w w:val="95"/>
                <w:sz w:val="20"/>
              </w:rPr>
              <w:t>24,000</w:t>
            </w:r>
            <w:r>
              <w:rPr>
                <w:rFonts w:ascii="Times New Roman"/>
                <w:sz w:val="20"/>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w w:val="95"/>
                <w:sz w:val="20"/>
              </w:rPr>
              <w:t>12,138</w:t>
            </w:r>
            <w:r>
              <w:rPr>
                <w:rFonts w:ascii="Times New Roman"/>
                <w:sz w:val="20"/>
              </w:rPr>
            </w:r>
          </w:p>
        </w:tc>
      </w:tr>
      <w:tr>
        <w:trPr>
          <w:trHeight w:val="313"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兴业银行南昌经开区支行</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3"/>
              <w:jc w:val="right"/>
              <w:rPr>
                <w:rFonts w:ascii="Times New Roman" w:hAnsi="Times New Roman" w:cs="Times New Roman" w:eastAsia="Times New Roman" w:hint="default"/>
                <w:sz w:val="20"/>
                <w:szCs w:val="20"/>
              </w:rPr>
            </w:pPr>
            <w:r>
              <w:rPr>
                <w:rFonts w:ascii="Times New Roman"/>
                <w:w w:val="95"/>
                <w:sz w:val="20"/>
              </w:rPr>
              <w:t>25,000</w:t>
            </w:r>
            <w:r>
              <w:rPr>
                <w:rFonts w:ascii="Times New Roman"/>
                <w:sz w:val="20"/>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20"/>
                <w:szCs w:val="20"/>
              </w:rPr>
            </w:pPr>
            <w:r>
              <w:rPr>
                <w:rFonts w:ascii="Times New Roman"/>
                <w:w w:val="95"/>
                <w:sz w:val="20"/>
              </w:rPr>
              <w:t>21,704</w:t>
            </w:r>
            <w:r>
              <w:rPr>
                <w:rFonts w:ascii="Times New Roman"/>
                <w:sz w:val="20"/>
              </w:rPr>
            </w:r>
          </w:p>
        </w:tc>
      </w:tr>
      <w:tr>
        <w:trPr>
          <w:trHeight w:val="312"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上海浦发银行南昌长天支行</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0"/>
                <w:szCs w:val="20"/>
              </w:rPr>
            </w:pPr>
            <w:r>
              <w:rPr>
                <w:rFonts w:ascii="Times New Roman"/>
                <w:w w:val="95"/>
                <w:sz w:val="20"/>
              </w:rPr>
              <w:t>30,000</w:t>
            </w:r>
            <w:r>
              <w:rPr>
                <w:rFonts w:ascii="Times New Roman"/>
                <w:sz w:val="20"/>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sz w:val="20"/>
              </w:rPr>
              <w:t>9,836</w:t>
            </w:r>
          </w:p>
        </w:tc>
      </w:tr>
      <w:tr>
        <w:trPr>
          <w:trHeight w:val="310"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中国光大银行南昌分行</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3"/>
              <w:jc w:val="right"/>
              <w:rPr>
                <w:rFonts w:ascii="Times New Roman" w:hAnsi="Times New Roman" w:cs="Times New Roman" w:eastAsia="Times New Roman" w:hint="default"/>
                <w:sz w:val="20"/>
                <w:szCs w:val="20"/>
              </w:rPr>
            </w:pPr>
            <w:r>
              <w:rPr>
                <w:rFonts w:ascii="Times New Roman"/>
                <w:w w:val="95"/>
                <w:sz w:val="20"/>
              </w:rPr>
              <w:t>20,000</w:t>
            </w:r>
            <w:r>
              <w:rPr>
                <w:rFonts w:ascii="Times New Roman"/>
                <w:sz w:val="20"/>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w w:val="95"/>
                <w:sz w:val="20"/>
              </w:rPr>
              <w:t>16,167</w:t>
            </w:r>
            <w:r>
              <w:rPr>
                <w:rFonts w:ascii="Times New Roman"/>
                <w:sz w:val="20"/>
              </w:rPr>
            </w:r>
          </w:p>
        </w:tc>
      </w:tr>
      <w:tr>
        <w:trPr>
          <w:trHeight w:val="312"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招商银行南昌福州路支行</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0"/>
                <w:szCs w:val="20"/>
              </w:rPr>
            </w:pPr>
            <w:r>
              <w:rPr>
                <w:rFonts w:ascii="Times New Roman"/>
                <w:w w:val="95"/>
                <w:sz w:val="20"/>
              </w:rPr>
              <w:t>12,000</w:t>
            </w:r>
            <w:r>
              <w:rPr>
                <w:rFonts w:ascii="Times New Roman"/>
                <w:sz w:val="20"/>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w w:val="95"/>
                <w:sz w:val="20"/>
              </w:rPr>
              <w:t>12,000</w:t>
            </w:r>
            <w:r>
              <w:rPr>
                <w:rFonts w:ascii="Times New Roman"/>
                <w:sz w:val="20"/>
              </w:rPr>
            </w:r>
          </w:p>
        </w:tc>
      </w:tr>
      <w:tr>
        <w:trPr>
          <w:trHeight w:val="475"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中国邮政储蓄银行南昌北京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西路支行</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3"/>
              <w:jc w:val="right"/>
              <w:rPr>
                <w:rFonts w:ascii="Times New Roman" w:hAnsi="Times New Roman" w:cs="Times New Roman" w:eastAsia="Times New Roman" w:hint="default"/>
                <w:sz w:val="20"/>
                <w:szCs w:val="20"/>
              </w:rPr>
            </w:pPr>
            <w:r>
              <w:rPr>
                <w:rFonts w:ascii="Times New Roman"/>
                <w:w w:val="95"/>
                <w:sz w:val="20"/>
              </w:rPr>
              <w:t>30,000</w:t>
            </w:r>
            <w:r>
              <w:rPr>
                <w:rFonts w:ascii="Times New Roman"/>
                <w:sz w:val="20"/>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0"/>
                <w:szCs w:val="20"/>
              </w:rPr>
            </w:pPr>
            <w:r>
              <w:rPr>
                <w:rFonts w:ascii="Times New Roman"/>
                <w:w w:val="95"/>
                <w:sz w:val="20"/>
              </w:rPr>
              <w:t>30,000</w:t>
            </w:r>
            <w:r>
              <w:rPr>
                <w:rFonts w:ascii="Times New Roman"/>
                <w:sz w:val="20"/>
              </w:rPr>
            </w:r>
          </w:p>
        </w:tc>
      </w:tr>
      <w:tr>
        <w:trPr>
          <w:trHeight w:val="312"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九江银行南昌分行</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0"/>
                <w:szCs w:val="20"/>
              </w:rPr>
            </w:pPr>
            <w:r>
              <w:rPr>
                <w:rFonts w:ascii="Times New Roman"/>
                <w:w w:val="95"/>
                <w:sz w:val="20"/>
              </w:rPr>
              <w:t>17,000</w:t>
            </w:r>
            <w:r>
              <w:rPr>
                <w:rFonts w:ascii="Times New Roman"/>
                <w:sz w:val="20"/>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w w:val="95"/>
                <w:sz w:val="20"/>
              </w:rPr>
              <w:t>11,448</w:t>
            </w:r>
            <w:r>
              <w:rPr>
                <w:rFonts w:ascii="Times New Roman"/>
                <w:sz w:val="20"/>
              </w:rPr>
            </w:r>
          </w:p>
        </w:tc>
      </w:tr>
      <w:tr>
        <w:trPr>
          <w:trHeight w:val="312"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江西银行南昌高新支行</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0"/>
                <w:szCs w:val="20"/>
              </w:rPr>
            </w:pPr>
            <w:r>
              <w:rPr>
                <w:rFonts w:ascii="Times New Roman"/>
                <w:w w:val="95"/>
                <w:sz w:val="20"/>
              </w:rPr>
              <w:t>50,000</w:t>
            </w:r>
            <w:r>
              <w:rPr>
                <w:rFonts w:ascii="Times New Roman"/>
                <w:sz w:val="20"/>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w w:val="95"/>
                <w:sz w:val="20"/>
              </w:rPr>
              <w:t>16,355</w:t>
            </w:r>
            <w:r>
              <w:rPr>
                <w:rFonts w:ascii="Times New Roman"/>
                <w:sz w:val="20"/>
              </w:rPr>
            </w:r>
          </w:p>
        </w:tc>
      </w:tr>
      <w:tr>
        <w:trPr>
          <w:trHeight w:val="310"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北京银行南昌分行</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sz w:val="20"/>
              </w:rPr>
              <w:t>9,200</w:t>
            </w:r>
          </w:p>
        </w:tc>
      </w:tr>
      <w:tr>
        <w:trPr>
          <w:trHeight w:val="312"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交通银行南昌丁公路支行</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0"/>
                <w:szCs w:val="20"/>
              </w:rPr>
            </w:pPr>
            <w:r>
              <w:rPr>
                <w:rFonts w:ascii="Times New Roman"/>
                <w:w w:val="95"/>
                <w:sz w:val="20"/>
              </w:rPr>
              <w:t>42,600</w:t>
            </w:r>
            <w:r>
              <w:rPr>
                <w:rFonts w:ascii="Times New Roman"/>
                <w:sz w:val="20"/>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w w:val="95"/>
                <w:sz w:val="20"/>
              </w:rPr>
              <w:t>28,696</w:t>
            </w:r>
            <w:r>
              <w:rPr>
                <w:rFonts w:ascii="Times New Roman"/>
                <w:sz w:val="20"/>
              </w:rPr>
            </w:r>
          </w:p>
        </w:tc>
      </w:tr>
      <w:tr>
        <w:trPr>
          <w:trHeight w:val="310"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泰豪科技（深圳）电力技术有限公司</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中国银行深圳坂田支行</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0"/>
                <w:szCs w:val="20"/>
              </w:rPr>
            </w:pPr>
            <w:r>
              <w:rPr>
                <w:rFonts w:ascii="Times New Roman"/>
                <w:sz w:val="20"/>
              </w:rPr>
              <w:t>5,000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sz w:val="20"/>
              </w:rPr>
              <w:t>4,832</w:t>
            </w:r>
          </w:p>
        </w:tc>
      </w:tr>
      <w:tr>
        <w:trPr>
          <w:trHeight w:val="312"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泰豪科技（深圳）电力技术有限公司</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上海浦发银行深圳龙华支行</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0"/>
                <w:szCs w:val="20"/>
              </w:rPr>
            </w:pPr>
            <w:r>
              <w:rPr>
                <w:rFonts w:ascii="Times New Roman"/>
                <w:sz w:val="20"/>
              </w:rPr>
              <w:t>5,500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sz w:val="20"/>
              </w:rPr>
              <w:t>2,609</w:t>
            </w:r>
          </w:p>
        </w:tc>
      </w:tr>
      <w:tr>
        <w:trPr>
          <w:trHeight w:val="310"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泰豪电源技术有限公司</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中国银行南昌西湖支行</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0"/>
                <w:szCs w:val="20"/>
              </w:rPr>
            </w:pPr>
            <w:r>
              <w:rPr>
                <w:rFonts w:ascii="Times New Roman"/>
                <w:sz w:val="20"/>
              </w:rPr>
              <w:t>5,000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sz w:val="20"/>
              </w:rPr>
              <w:t>3,111</w:t>
            </w:r>
          </w:p>
        </w:tc>
      </w:tr>
      <w:tr>
        <w:trPr>
          <w:trHeight w:val="312"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泰豪电源技术有限公司</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九江银行南昌分行</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0"/>
                <w:szCs w:val="20"/>
              </w:rPr>
            </w:pPr>
            <w:r>
              <w:rPr>
                <w:rFonts w:ascii="Times New Roman"/>
                <w:sz w:val="20"/>
              </w:rPr>
              <w:t>1,000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sz w:val="20"/>
              </w:rPr>
              <w:t>1,000</w:t>
            </w:r>
          </w:p>
        </w:tc>
      </w:tr>
      <w:tr>
        <w:trPr>
          <w:trHeight w:val="312"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泰豪电源技术有限公司</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工商银行南昌北京西路支行</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0"/>
                <w:szCs w:val="20"/>
              </w:rPr>
            </w:pPr>
            <w:r>
              <w:rPr>
                <w:rFonts w:ascii="Times New Roman"/>
                <w:w w:val="95"/>
                <w:sz w:val="20"/>
              </w:rPr>
              <w:t>20,000</w:t>
            </w:r>
            <w:r>
              <w:rPr>
                <w:rFonts w:ascii="Times New Roman"/>
                <w:sz w:val="20"/>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sz w:val="20"/>
              </w:rPr>
              <w:t>5,014</w:t>
            </w:r>
          </w:p>
        </w:tc>
      </w:tr>
      <w:tr>
        <w:trPr>
          <w:trHeight w:val="310"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泰豪电源技术有限公司</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中信银行南昌分行</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0"/>
                <w:szCs w:val="20"/>
              </w:rPr>
            </w:pPr>
            <w:r>
              <w:rPr>
                <w:rFonts w:ascii="Times New Roman"/>
                <w:sz w:val="20"/>
              </w:rPr>
              <w:t>6,000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sz w:val="20"/>
              </w:rPr>
              <w:t>2,424</w:t>
            </w:r>
          </w:p>
        </w:tc>
      </w:tr>
      <w:tr>
        <w:trPr>
          <w:trHeight w:val="312"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泰豪电源技术有限公司</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上海浦发银行南昌分行</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0"/>
                <w:szCs w:val="20"/>
              </w:rPr>
            </w:pPr>
            <w:r>
              <w:rPr>
                <w:rFonts w:ascii="Times New Roman"/>
                <w:w w:val="95"/>
                <w:sz w:val="20"/>
              </w:rPr>
              <w:t>15,000</w:t>
            </w:r>
            <w:r>
              <w:rPr>
                <w:rFonts w:ascii="Times New Roman"/>
                <w:sz w:val="20"/>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w w:val="95"/>
                <w:sz w:val="20"/>
              </w:rPr>
              <w:t>10,533</w:t>
            </w:r>
            <w:r>
              <w:rPr>
                <w:rFonts w:ascii="Times New Roman"/>
                <w:sz w:val="20"/>
              </w:rPr>
            </w:r>
          </w:p>
        </w:tc>
      </w:tr>
      <w:tr>
        <w:trPr>
          <w:trHeight w:val="310"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泰豪电源技术有限公司</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建设银行南昌铁路支行</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0"/>
                <w:szCs w:val="20"/>
              </w:rPr>
            </w:pPr>
            <w:r>
              <w:rPr>
                <w:rFonts w:ascii="Times New Roman"/>
                <w:sz w:val="20"/>
              </w:rPr>
              <w:t>4,000</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泰豪电源技术有限公司</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兴业银行南昌经开区支行</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0"/>
                <w:szCs w:val="20"/>
              </w:rPr>
            </w:pPr>
            <w:r>
              <w:rPr>
                <w:rFonts w:ascii="Times New Roman"/>
                <w:sz w:val="20"/>
              </w:rPr>
              <w:t>8,000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sz w:val="20"/>
              </w:rPr>
              <w:t>4,995</w:t>
            </w:r>
          </w:p>
        </w:tc>
      </w:tr>
      <w:tr>
        <w:trPr>
          <w:trHeight w:val="312"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江西清华泰豪三波电机有限公司</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工商银行南昌北京西路支行</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0"/>
                <w:szCs w:val="20"/>
              </w:rPr>
            </w:pPr>
            <w:r>
              <w:rPr>
                <w:rFonts w:ascii="Times New Roman"/>
                <w:sz w:val="20"/>
              </w:rPr>
              <w:t>4,800</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江西清华泰豪三波电机有限公司</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中信银行南昌分行</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0"/>
                <w:szCs w:val="20"/>
              </w:rPr>
            </w:pPr>
            <w:r>
              <w:rPr>
                <w:rFonts w:ascii="Times New Roman"/>
                <w:sz w:val="20"/>
              </w:rPr>
              <w:t>6,000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sz w:val="20"/>
              </w:rPr>
              <w:t>4,344</w:t>
            </w:r>
          </w:p>
        </w:tc>
      </w:tr>
      <w:tr>
        <w:trPr>
          <w:trHeight w:val="312"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江西清华泰豪三波电机有限公司</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兴业银行南昌经开区支行</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0"/>
                <w:szCs w:val="20"/>
              </w:rPr>
            </w:pPr>
            <w:r>
              <w:rPr>
                <w:rFonts w:ascii="Times New Roman"/>
                <w:sz w:val="20"/>
              </w:rPr>
              <w:t>5,000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sz w:val="20"/>
              </w:rPr>
              <w:t>3,000</w:t>
            </w:r>
          </w:p>
        </w:tc>
      </w:tr>
      <w:tr>
        <w:trPr>
          <w:trHeight w:val="310"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江西清华泰豪三波电机有限公司</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九江银行南昌分行</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0"/>
                <w:szCs w:val="20"/>
              </w:rPr>
            </w:pPr>
            <w:r>
              <w:rPr>
                <w:rFonts w:ascii="Times New Roman"/>
                <w:sz w:val="20"/>
              </w:rPr>
              <w:t>1,000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sz w:val="20"/>
              </w:rPr>
              <w:t>1,000</w:t>
            </w:r>
          </w:p>
        </w:tc>
      </w:tr>
      <w:tr>
        <w:trPr>
          <w:trHeight w:val="313"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江西清华泰豪三波电机有限公司</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建设银行南昌铁路支行</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3"/>
              <w:jc w:val="right"/>
              <w:rPr>
                <w:rFonts w:ascii="Times New Roman" w:hAnsi="Times New Roman" w:cs="Times New Roman" w:eastAsia="Times New Roman" w:hint="default"/>
                <w:sz w:val="20"/>
                <w:szCs w:val="20"/>
              </w:rPr>
            </w:pPr>
            <w:r>
              <w:rPr>
                <w:rFonts w:ascii="Times New Roman"/>
                <w:sz w:val="20"/>
              </w:rPr>
              <w:t>4,000</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衡阳泰豪通信车辆有限公司</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中国银行衡阳分行</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0"/>
                <w:szCs w:val="20"/>
              </w:rPr>
            </w:pPr>
            <w:r>
              <w:rPr>
                <w:rFonts w:ascii="Times New Roman"/>
                <w:sz w:val="20"/>
              </w:rPr>
              <w:t>4,000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sz w:val="20"/>
              </w:rPr>
              <w:t>3,259</w:t>
            </w:r>
          </w:p>
        </w:tc>
      </w:tr>
      <w:tr>
        <w:trPr>
          <w:trHeight w:val="312"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衡阳泰豪通信车辆有限公司</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光大银行衡阳支行</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0"/>
                <w:szCs w:val="20"/>
              </w:rPr>
            </w:pPr>
            <w:r>
              <w:rPr>
                <w:rFonts w:ascii="Times New Roman"/>
                <w:sz w:val="20"/>
              </w:rPr>
              <w:t>4,000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sz w:val="20"/>
              </w:rPr>
              <w:t>1,132</w:t>
            </w:r>
          </w:p>
        </w:tc>
      </w:tr>
      <w:tr>
        <w:trPr>
          <w:trHeight w:val="312"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衡阳泰豪通信车辆有限公司</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工商银行城中支行</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0"/>
                <w:szCs w:val="20"/>
              </w:rPr>
            </w:pPr>
            <w:r>
              <w:rPr>
                <w:rFonts w:ascii="Times New Roman"/>
                <w:sz w:val="20"/>
              </w:rPr>
              <w:t>9,000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sz w:val="20"/>
              </w:rPr>
              <w:t>2,469</w:t>
            </w:r>
          </w:p>
        </w:tc>
      </w:tr>
      <w:tr>
        <w:trPr>
          <w:trHeight w:val="310"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衡阳泰豪通信车辆有限公司</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上海浦发银行衡阳分行</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0"/>
                <w:szCs w:val="20"/>
              </w:rPr>
            </w:pPr>
            <w:r>
              <w:rPr>
                <w:rFonts w:ascii="Times New Roman"/>
                <w:sz w:val="20"/>
              </w:rPr>
              <w:t>6,000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sz w:val="20"/>
              </w:rPr>
              <w:t>3,000</w:t>
            </w:r>
          </w:p>
        </w:tc>
      </w:tr>
      <w:tr>
        <w:trPr>
          <w:trHeight w:val="312"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泰豪软件股份有限公司</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工商银行南昌北京西路支行</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0"/>
                <w:szCs w:val="20"/>
              </w:rPr>
            </w:pPr>
            <w:r>
              <w:rPr>
                <w:rFonts w:ascii="Times New Roman"/>
                <w:sz w:val="20"/>
              </w:rPr>
              <w:t>5,000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sz w:val="20"/>
              </w:rPr>
              <w:t>4,050</w:t>
            </w:r>
          </w:p>
        </w:tc>
      </w:tr>
      <w:tr>
        <w:trPr>
          <w:trHeight w:val="310"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泰豪软件股份有限公司</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中国银行西湖支行</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0"/>
                <w:szCs w:val="20"/>
              </w:rPr>
            </w:pPr>
            <w:r>
              <w:rPr>
                <w:rFonts w:ascii="Times New Roman"/>
                <w:sz w:val="20"/>
              </w:rPr>
              <w:t>7,000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sz w:val="20"/>
              </w:rPr>
              <w:t>6,001</w:t>
            </w:r>
          </w:p>
        </w:tc>
      </w:tr>
      <w:tr>
        <w:trPr>
          <w:trHeight w:val="312"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泰豪软件股份有限公司</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中信银行南昌分行</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0"/>
                <w:szCs w:val="20"/>
              </w:rPr>
            </w:pPr>
            <w:r>
              <w:rPr>
                <w:rFonts w:ascii="Times New Roman"/>
                <w:sz w:val="20"/>
              </w:rPr>
              <w:t>4,000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sz w:val="20"/>
              </w:rPr>
              <w:t>3,872</w:t>
            </w:r>
          </w:p>
        </w:tc>
      </w:tr>
      <w:tr>
        <w:trPr>
          <w:trHeight w:val="312"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泰豪软件股份有限公司</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上海浦发银行南昌分行</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r>
      <w:tr>
        <w:trPr>
          <w:trHeight w:val="310"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泰豪软件股份有限公司</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九江银行南昌分行</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0"/>
                <w:szCs w:val="20"/>
              </w:rPr>
            </w:pPr>
            <w:r>
              <w:rPr>
                <w:rFonts w:ascii="Times New Roman"/>
                <w:sz w:val="20"/>
              </w:rPr>
              <w:t>1,000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sz w:val="20"/>
              </w:rPr>
              <w:t>1,000</w:t>
            </w:r>
          </w:p>
        </w:tc>
      </w:tr>
    </w:tbl>
    <w:p>
      <w:pPr>
        <w:spacing w:after="0" w:line="240" w:lineRule="auto"/>
        <w:jc w:val="right"/>
        <w:rPr>
          <w:rFonts w:ascii="Times New Roman" w:hAnsi="Times New Roman" w:cs="Times New Roman" w:eastAsia="Times New Roman" w:hint="default"/>
          <w:sz w:val="20"/>
          <w:szCs w:val="20"/>
        </w:rPr>
        <w:sectPr>
          <w:pgSz w:w="11910" w:h="16840"/>
          <w:pgMar w:header="877" w:footer="1195" w:top="1100" w:bottom="1380" w:left="1060" w:right="1560"/>
        </w:sectPr>
      </w:pPr>
    </w:p>
    <w:p>
      <w:pPr>
        <w:spacing w:line="240" w:lineRule="auto" w:before="8"/>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397"/>
        <w:gridCol w:w="2554"/>
        <w:gridCol w:w="1133"/>
        <w:gridCol w:w="1628"/>
      </w:tblGrid>
      <w:tr>
        <w:trPr>
          <w:trHeight w:val="312"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龙岩市海德馨汽车有限公司</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中国银行龙岩交易城支行</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0"/>
                <w:szCs w:val="20"/>
              </w:rPr>
            </w:pPr>
            <w:r>
              <w:rPr>
                <w:rFonts w:ascii="Times New Roman"/>
                <w:sz w:val="20"/>
              </w:rPr>
              <w:t>6,700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sz w:val="20"/>
              </w:rPr>
              <w:t>3,400</w:t>
            </w:r>
          </w:p>
        </w:tc>
      </w:tr>
      <w:tr>
        <w:trPr>
          <w:trHeight w:val="310"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龙岩市海德馨汽车有限公司</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福建海峡银行龙岩新罗支行</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0"/>
                <w:szCs w:val="20"/>
              </w:rPr>
            </w:pPr>
            <w:r>
              <w:rPr>
                <w:rFonts w:ascii="Times New Roman"/>
                <w:sz w:val="20"/>
              </w:rPr>
              <w:t>6,000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0"/>
                <w:szCs w:val="20"/>
              </w:rPr>
            </w:pPr>
            <w:r>
              <w:rPr>
                <w:rFonts w:ascii="Times New Roman"/>
                <w:sz w:val="20"/>
              </w:rPr>
              <w:t>6,000</w:t>
            </w:r>
          </w:p>
        </w:tc>
      </w:tr>
      <w:tr>
        <w:trPr>
          <w:trHeight w:val="312"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龙岩市海德馨汽车有限公司</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兴业银行龙岩支行</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0"/>
                <w:szCs w:val="20"/>
              </w:rPr>
            </w:pPr>
            <w:r>
              <w:rPr>
                <w:rFonts w:ascii="Times New Roman"/>
                <w:sz w:val="20"/>
              </w:rPr>
              <w:t>8,000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sz w:val="20"/>
              </w:rPr>
              <w:t>6,000</w:t>
            </w:r>
          </w:p>
        </w:tc>
      </w:tr>
      <w:tr>
        <w:trPr>
          <w:trHeight w:val="310"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上海博辕信息技术服务有限公司</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上海农商银行张江支行</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0"/>
                <w:szCs w:val="20"/>
              </w:rPr>
            </w:pPr>
            <w:r>
              <w:rPr>
                <w:rFonts w:ascii="Times New Roman"/>
                <w:sz w:val="20"/>
              </w:rPr>
              <w:t>5,000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sz w:val="20"/>
              </w:rPr>
              <w:t>2,000</w:t>
            </w:r>
          </w:p>
        </w:tc>
      </w:tr>
      <w:tr>
        <w:trPr>
          <w:trHeight w:val="312"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上海博辕信息技术服务有限公司</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上海浦发银行临空支行</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0"/>
                <w:szCs w:val="20"/>
              </w:rPr>
            </w:pPr>
            <w:r>
              <w:rPr>
                <w:rFonts w:ascii="Times New Roman"/>
                <w:sz w:val="20"/>
              </w:rPr>
              <w:t>8,000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sz w:val="20"/>
              </w:rPr>
              <w:t>1,897</w:t>
            </w:r>
          </w:p>
        </w:tc>
      </w:tr>
      <w:tr>
        <w:trPr>
          <w:trHeight w:val="312"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上海博辕信息技术服务有限公司</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交通银行上海黄埔支行</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0"/>
                <w:szCs w:val="20"/>
              </w:rPr>
            </w:pPr>
            <w:r>
              <w:rPr>
                <w:rFonts w:ascii="Times New Roman"/>
                <w:sz w:val="20"/>
              </w:rPr>
              <w:t>5,000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sz w:val="20"/>
              </w:rPr>
              <w:t>5,000</w:t>
            </w:r>
          </w:p>
        </w:tc>
      </w:tr>
      <w:tr>
        <w:trPr>
          <w:trHeight w:val="310"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上海博辕信息技术服务有限公司</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南京银行上海分行</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3"/>
              <w:jc w:val="right"/>
              <w:rPr>
                <w:rFonts w:ascii="Times New Roman" w:hAnsi="Times New Roman" w:cs="Times New Roman" w:eastAsia="Times New Roman" w:hint="default"/>
                <w:sz w:val="20"/>
                <w:szCs w:val="20"/>
              </w:rPr>
            </w:pPr>
            <w:r>
              <w:rPr>
                <w:rFonts w:ascii="Times New Roman"/>
                <w:sz w:val="20"/>
              </w:rPr>
              <w:t>2,500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Times New Roman" w:hAnsi="Times New Roman" w:cs="Times New Roman" w:eastAsia="Times New Roman" w:hint="default"/>
                <w:sz w:val="20"/>
                <w:szCs w:val="20"/>
              </w:rPr>
            </w:pPr>
            <w:r>
              <w:rPr>
                <w:rFonts w:ascii="Times New Roman"/>
                <w:sz w:val="20"/>
              </w:rPr>
              <w:t>1,952</w:t>
            </w:r>
          </w:p>
        </w:tc>
      </w:tr>
      <w:tr>
        <w:trPr>
          <w:trHeight w:val="312"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上海博辕信息技术服务有限公司</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大连银行上海松江支行</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0"/>
                <w:szCs w:val="20"/>
              </w:rPr>
            </w:pPr>
            <w:r>
              <w:rPr>
                <w:rFonts w:ascii="Times New Roman"/>
                <w:sz w:val="20"/>
              </w:rPr>
              <w:t>5,000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sz w:val="20"/>
              </w:rPr>
              <w:t>3,602</w:t>
            </w:r>
          </w:p>
        </w:tc>
      </w:tr>
      <w:tr>
        <w:trPr>
          <w:trHeight w:val="310"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莱福士电力电子设备（深圳）有限公司</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浦发银行深圳龙华支行</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0"/>
                <w:szCs w:val="20"/>
              </w:rPr>
            </w:pPr>
            <w:r>
              <w:rPr>
                <w:rFonts w:ascii="Times New Roman"/>
                <w:sz w:val="20"/>
              </w:rPr>
              <w:t>1,000</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莱福士电力电子设备（深圳）有限公司</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中国银行深圳坂田支行</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0"/>
                <w:szCs w:val="20"/>
              </w:rPr>
            </w:pPr>
            <w:r>
              <w:rPr>
                <w:rFonts w:ascii="Times New Roman"/>
                <w:sz w:val="20"/>
              </w:rPr>
              <w:t>1,500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0"/>
                <w:szCs w:val="20"/>
              </w:rPr>
            </w:pPr>
            <w:r>
              <w:rPr>
                <w:rFonts w:ascii="Times New Roman"/>
                <w:sz w:val="20"/>
              </w:rPr>
              <w:t>860</w:t>
            </w:r>
          </w:p>
        </w:tc>
      </w:tr>
      <w:tr>
        <w:trPr>
          <w:trHeight w:val="310"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江西泰豪军工集团有限公司</w:t>
            </w:r>
            <w:r>
              <w:rPr>
                <w:rFonts w:ascii="宋体" w:hAnsi="宋体" w:cs="宋体" w:eastAsia="宋体" w:hint="default"/>
                <w:sz w:val="18"/>
                <w:szCs w:val="18"/>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中信银行南昌分行</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3"/>
              <w:jc w:val="right"/>
              <w:rPr>
                <w:rFonts w:ascii="Times New Roman" w:hAnsi="Times New Roman" w:cs="Times New Roman" w:eastAsia="Times New Roman" w:hint="default"/>
                <w:sz w:val="20"/>
                <w:szCs w:val="20"/>
              </w:rPr>
            </w:pPr>
            <w:r>
              <w:rPr>
                <w:rFonts w:ascii="Times New Roman"/>
                <w:sz w:val="20"/>
              </w:rPr>
              <w:t>8,000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sz w:val="20"/>
              </w:rPr>
              <w:t>7,954</w:t>
            </w:r>
          </w:p>
        </w:tc>
      </w:tr>
      <w:tr>
        <w:trPr>
          <w:trHeight w:val="298" w:hRule="exact"/>
        </w:trPr>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总计</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Times New Roman" w:hAnsi="Times New Roman" w:cs="Times New Roman" w:eastAsia="Times New Roman" w:hint="default"/>
                <w:sz w:val="20"/>
                <w:szCs w:val="20"/>
              </w:rPr>
            </w:pPr>
            <w:r>
              <w:rPr>
                <w:rFonts w:ascii="Times New Roman"/>
                <w:w w:val="95"/>
                <w:sz w:val="20"/>
              </w:rPr>
              <w:t>681,896</w:t>
            </w:r>
            <w:r>
              <w:rPr>
                <w:rFonts w:ascii="Times New Roman"/>
                <w:sz w:val="20"/>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20"/>
                <w:szCs w:val="20"/>
              </w:rPr>
            </w:pPr>
            <w:r>
              <w:rPr>
                <w:rFonts w:ascii="Times New Roman"/>
                <w:w w:val="95"/>
                <w:sz w:val="20"/>
              </w:rPr>
              <w:t>431,747</w:t>
            </w:r>
            <w:r>
              <w:rPr>
                <w:rFonts w:ascii="Times New Roman"/>
                <w:sz w:val="20"/>
              </w:rPr>
            </w:r>
          </w:p>
        </w:tc>
      </w:tr>
    </w:tbl>
    <w:p>
      <w:pPr>
        <w:pStyle w:val="Heading3"/>
        <w:spacing w:line="272" w:lineRule="exact"/>
        <w:ind w:right="0"/>
        <w:jc w:val="left"/>
        <w:rPr>
          <w:rFonts w:ascii="宋体" w:hAnsi="宋体" w:cs="宋体" w:eastAsia="宋体" w:hint="default"/>
        </w:rPr>
      </w:pPr>
      <w:r>
        <w:rPr>
          <w:rFonts w:ascii="宋体"/>
        </w:rPr>
        <w:t> </w:t>
      </w:r>
    </w:p>
    <w:p>
      <w:pPr>
        <w:pStyle w:val="Heading3"/>
        <w:spacing w:line="312" w:lineRule="exact"/>
        <w:ind w:right="0"/>
        <w:jc w:val="left"/>
        <w:rPr>
          <w:rFonts w:ascii="宋体" w:hAnsi="宋体" w:cs="宋体" w:eastAsia="宋体" w:hint="default"/>
        </w:rPr>
      </w:pPr>
      <w:r>
        <w:rPr>
          <w:rFonts w:ascii="宋体"/>
        </w:rPr>
        <w:t> </w:t>
      </w:r>
    </w:p>
    <w:p>
      <w:pPr>
        <w:pStyle w:val="Heading5"/>
        <w:spacing w:line="240" w:lineRule="auto"/>
        <w:ind w:right="0"/>
        <w:jc w:val="left"/>
        <w:rPr>
          <w:b w:val="0"/>
          <w:bCs w:val="0"/>
        </w:rPr>
      </w:pPr>
      <w:r>
        <w:rPr/>
        <w:t>十一、公司报告期内执行公司债券募集说明书相关约定或承诺的情况</w:t>
      </w:r>
      <w:r>
        <w:rPr>
          <w:b w:val="0"/>
          <w:bCs w:val="0"/>
        </w:rPr>
      </w:r>
    </w:p>
    <w:p>
      <w:pPr>
        <w:pStyle w:val="Heading3"/>
        <w:spacing w:line="240" w:lineRule="auto"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4"/>
        <w:ind w:left="216" w:right="0" w:firstLine="480"/>
        <w:jc w:val="left"/>
        <w:rPr>
          <w:rFonts w:ascii="宋体" w:hAnsi="宋体" w:cs="宋体" w:eastAsia="宋体" w:hint="default"/>
          <w:sz w:val="24"/>
          <w:szCs w:val="24"/>
        </w:rPr>
      </w:pPr>
      <w:r>
        <w:rPr>
          <w:spacing w:val="-3"/>
        </w:rPr>
        <w:t>报告期内，公司均严格履行公司债券募集说明书相关内容，合规使用募集资金，按时足额付</w:t>
      </w:r>
      <w:r>
        <w:rPr>
          <w:w w:val="100"/>
        </w:rPr>
        <w:t> </w:t>
      </w:r>
      <w:r>
        <w:rPr/>
        <w:t>息，未有损害债券投资者利益的情况发生。</w:t>
      </w:r>
      <w:r>
        <w:rPr>
          <w:rFonts w:ascii="宋体" w:hAnsi="宋体" w:cs="宋体" w:eastAsia="宋体" w:hint="default"/>
          <w:sz w:val="24"/>
          <w:szCs w:val="24"/>
        </w:rPr>
        <w:t> </w:t>
      </w:r>
    </w:p>
    <w:p>
      <w:pPr>
        <w:pStyle w:val="Heading3"/>
        <w:spacing w:line="304" w:lineRule="exact"/>
        <w:ind w:right="0"/>
        <w:jc w:val="left"/>
        <w:rPr>
          <w:rFonts w:ascii="宋体" w:hAnsi="宋体" w:cs="宋体" w:eastAsia="宋体" w:hint="default"/>
        </w:rPr>
      </w:pPr>
      <w:r>
        <w:rPr>
          <w:rFonts w:ascii="宋体"/>
        </w:rPr>
        <w:t> </w:t>
      </w:r>
    </w:p>
    <w:p>
      <w:pPr>
        <w:pStyle w:val="Heading5"/>
        <w:spacing w:line="240" w:lineRule="auto"/>
        <w:ind w:right="0"/>
        <w:jc w:val="left"/>
        <w:rPr>
          <w:b w:val="0"/>
          <w:bCs w:val="0"/>
        </w:rPr>
      </w:pPr>
      <w:r>
        <w:rPr/>
        <w:t>十二、公司发生的重大事项及对公司经营情况和偿债能力的影响</w:t>
      </w:r>
      <w:r>
        <w:rPr>
          <w:b w:val="0"/>
          <w:bCs w:val="0"/>
        </w:rPr>
      </w:r>
    </w:p>
    <w:p>
      <w:pPr>
        <w:pStyle w:val="Heading3"/>
        <w:spacing w:line="313" w:lineRule="exact"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pgSz w:w="11910" w:h="16840"/>
          <w:pgMar w:header="877" w:footer="1195" w:top="1100" w:bottom="1380" w:left="1060" w:right="1680"/>
        </w:sectPr>
      </w:pPr>
    </w:p>
    <w:p>
      <w:pPr>
        <w:spacing w:line="240" w:lineRule="auto" w:before="5"/>
        <w:rPr>
          <w:rFonts w:ascii="宋体" w:hAnsi="宋体" w:cs="宋体" w:eastAsia="宋体" w:hint="default"/>
          <w:sz w:val="24"/>
          <w:szCs w:val="24"/>
        </w:rPr>
      </w:pPr>
    </w:p>
    <w:p>
      <w:pPr>
        <w:pStyle w:val="Heading1"/>
        <w:spacing w:line="240" w:lineRule="auto" w:before="14"/>
        <w:ind w:left="147" w:right="86"/>
        <w:jc w:val="center"/>
        <w:rPr>
          <w:rFonts w:ascii="宋体" w:hAnsi="宋体" w:cs="宋体" w:eastAsia="宋体" w:hint="default"/>
          <w:b w:val="0"/>
          <w:bCs w:val="0"/>
        </w:rPr>
      </w:pPr>
      <w:bookmarkStart w:name="_bookmark10" w:id="13"/>
      <w:bookmarkEnd w:id="13"/>
      <w:r>
        <w:rPr>
          <w:b w:val="0"/>
          <w:bCs w:val="0"/>
        </w:rPr>
      </w:r>
      <w:r>
        <w:rPr>
          <w:rFonts w:ascii="宋体" w:hAnsi="宋体" w:cs="宋体" w:eastAsia="宋体" w:hint="default"/>
        </w:rPr>
        <w:t>第十一节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财务报告</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77" w:footer="1195" w:top="1100" w:bottom="1380" w:left="1140" w:right="1580"/>
        </w:sectPr>
      </w:pPr>
    </w:p>
    <w:p>
      <w:pPr>
        <w:pStyle w:val="Heading5"/>
        <w:spacing w:line="240" w:lineRule="auto" w:before="36"/>
        <w:ind w:left="136" w:right="0"/>
        <w:jc w:val="left"/>
        <w:rPr>
          <w:rFonts w:ascii="宋体" w:hAnsi="宋体" w:cs="宋体" w:eastAsia="宋体" w:hint="default"/>
          <w:b w:val="0"/>
          <w:bCs w:val="0"/>
        </w:rPr>
      </w:pPr>
      <w:r>
        <w:rPr/>
        <w:t>一、</w:t>
      </w:r>
      <w:r>
        <w:rPr>
          <w:spacing w:val="-102"/>
        </w:rPr>
        <w:t> </w:t>
      </w:r>
      <w:r>
        <w:rPr>
          <w:rFonts w:ascii="宋体" w:hAnsi="宋体" w:cs="宋体" w:eastAsia="宋体" w:hint="default"/>
          <w:spacing w:val="-102"/>
        </w:rPr>
      </w:r>
      <w:r>
        <w:rPr>
          <w:spacing w:val="-1"/>
        </w:rPr>
        <w:t>审计报告</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49"/>
          <w:szCs w:val="49"/>
        </w:rPr>
      </w:pPr>
      <w:r>
        <w:rPr/>
        <w:br w:type="column"/>
      </w:r>
      <w:r>
        <w:rPr>
          <w:rFonts w:ascii="宋体"/>
          <w:sz w:val="49"/>
        </w:rPr>
      </w:r>
    </w:p>
    <w:p>
      <w:pPr>
        <w:spacing w:before="0"/>
        <w:ind w:left="136" w:right="0" w:firstLine="0"/>
        <w:jc w:val="left"/>
        <w:rPr>
          <w:rFonts w:ascii="黑体" w:hAnsi="黑体" w:cs="黑体" w:eastAsia="黑体" w:hint="default"/>
          <w:sz w:val="36"/>
          <w:szCs w:val="36"/>
        </w:rPr>
      </w:pPr>
      <w:r>
        <w:rPr>
          <w:rFonts w:ascii="黑体" w:hAnsi="黑体" w:cs="黑体" w:eastAsia="黑体" w:hint="default"/>
          <w:b/>
          <w:bCs/>
          <w:sz w:val="36"/>
          <w:szCs w:val="36"/>
        </w:rPr>
        <w:t>审计报告</w:t>
      </w:r>
      <w:r>
        <w:rPr>
          <w:rFonts w:ascii="黑体" w:hAnsi="黑体" w:cs="黑体" w:eastAsia="黑体" w:hint="default"/>
          <w:sz w:val="36"/>
          <w:szCs w:val="36"/>
        </w:rPr>
      </w:r>
    </w:p>
    <w:p>
      <w:pPr>
        <w:spacing w:after="0"/>
        <w:jc w:val="left"/>
        <w:rPr>
          <w:rFonts w:ascii="黑体" w:hAnsi="黑体" w:cs="黑体" w:eastAsia="黑体" w:hint="default"/>
          <w:sz w:val="36"/>
          <w:szCs w:val="36"/>
        </w:rPr>
        <w:sectPr>
          <w:type w:val="continuous"/>
          <w:pgSz w:w="11910" w:h="16840"/>
          <w:pgMar w:top="1120" w:bottom="1380" w:left="1140" w:right="1580"/>
          <w:cols w:num="2" w:equalWidth="0">
            <w:col w:w="2178" w:space="1517"/>
            <w:col w:w="5495"/>
          </w:cols>
        </w:sectPr>
      </w:pPr>
    </w:p>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28"/>
          <w:szCs w:val="28"/>
        </w:rPr>
      </w:pPr>
    </w:p>
    <w:p>
      <w:pPr>
        <w:spacing w:after="0" w:line="240" w:lineRule="auto"/>
        <w:rPr>
          <w:rFonts w:ascii="黑体" w:hAnsi="黑体" w:cs="黑体" w:eastAsia="黑体" w:hint="default"/>
          <w:sz w:val="28"/>
          <w:szCs w:val="28"/>
        </w:rPr>
        <w:sectPr>
          <w:type w:val="continuous"/>
          <w:pgSz w:w="11910" w:h="16840"/>
          <w:pgMar w:top="1120" w:bottom="1380" w:left="1140" w:right="1580"/>
        </w:sectPr>
      </w:pPr>
    </w:p>
    <w:p>
      <w:pPr>
        <w:spacing w:line="240" w:lineRule="auto" w:before="7"/>
        <w:rPr>
          <w:rFonts w:ascii="黑体" w:hAnsi="黑体" w:cs="黑体" w:eastAsia="黑体" w:hint="default"/>
          <w:b/>
          <w:bCs/>
          <w:sz w:val="34"/>
          <w:szCs w:val="34"/>
        </w:rPr>
      </w:pPr>
    </w:p>
    <w:p>
      <w:pPr>
        <w:pStyle w:val="Heading2"/>
        <w:spacing w:line="240" w:lineRule="auto"/>
        <w:ind w:right="0"/>
        <w:jc w:val="left"/>
        <w:rPr>
          <w:rFonts w:ascii="宋体" w:hAnsi="宋体" w:cs="宋体" w:eastAsia="宋体" w:hint="default"/>
          <w:b w:val="0"/>
          <w:bCs w:val="0"/>
          <w:sz w:val="21"/>
          <w:szCs w:val="21"/>
        </w:rPr>
      </w:pPr>
      <w:r>
        <w:rPr/>
        <w:t>泰豪科技股份有限公司全体股东：</w:t>
      </w:r>
      <w:r>
        <w:rPr>
          <w:rFonts w:ascii="宋体" w:hAnsi="宋体" w:cs="宋体" w:eastAsia="宋体" w:hint="default"/>
          <w:b w:val="0"/>
          <w:bCs w:val="0"/>
          <w:color w:val="0000FF"/>
          <w:w w:val="100"/>
          <w:sz w:val="21"/>
          <w:szCs w:val="21"/>
        </w:rPr>
        <w:t> </w:t>
      </w:r>
      <w:r>
        <w:rPr>
          <w:rFonts w:ascii="宋体" w:hAnsi="宋体" w:cs="宋体" w:eastAsia="宋体" w:hint="default"/>
          <w:b w:val="0"/>
          <w:bCs w:val="0"/>
          <w:w w:val="100"/>
          <w:sz w:val="21"/>
          <w:szCs w:val="21"/>
        </w:rPr>
      </w:r>
    </w:p>
    <w:p>
      <w:pPr>
        <w:pStyle w:val="BodyText"/>
        <w:spacing w:line="272" w:lineRule="exact" w:before="32"/>
        <w:ind w:left="557" w:right="0"/>
        <w:jc w:val="left"/>
        <w:rPr>
          <w:rFonts w:ascii="宋体" w:hAnsi="宋体" w:cs="宋体" w:eastAsia="宋体" w:hint="default"/>
        </w:rPr>
      </w:pPr>
      <w:r>
        <w:rPr>
          <w:rFonts w:ascii="宋体" w:hAnsi="宋体" w:cs="宋体" w:eastAsia="宋体" w:hint="default"/>
          <w:w w:val="100"/>
        </w:rPr>
        <w:t>  </w:t>
      </w:r>
      <w:r>
        <w:rPr>
          <w:w w:val="100"/>
        </w:rPr>
        <w:t>一、</w:t>
      </w:r>
      <w:r>
        <w:rPr>
          <w:spacing w:val="-3"/>
          <w:w w:val="100"/>
        </w:rPr>
        <w:t>审</w:t>
      </w:r>
      <w:r>
        <w:rPr>
          <w:w w:val="100"/>
        </w:rPr>
        <w:t>计</w:t>
      </w:r>
      <w:r>
        <w:rPr>
          <w:spacing w:val="-3"/>
          <w:w w:val="100"/>
        </w:rPr>
        <w:t>意见</w:t>
      </w:r>
      <w:r>
        <w:rPr>
          <w:rFonts w:ascii="宋体" w:hAnsi="宋体" w:cs="宋体" w:eastAsia="宋体" w:hint="default"/>
          <w:w w:val="100"/>
        </w:rPr>
        <w:t> </w:t>
      </w:r>
    </w:p>
    <w:p>
      <w:pPr>
        <w:pStyle w:val="BodyText"/>
        <w:spacing w:line="240" w:lineRule="auto" w:before="36"/>
        <w:ind w:right="0"/>
        <w:jc w:val="left"/>
        <w:rPr>
          <w:rFonts w:ascii="宋体" w:hAnsi="宋体" w:cs="宋体" w:eastAsia="宋体" w:hint="default"/>
        </w:rPr>
      </w:pPr>
      <w:r>
        <w:rPr/>
        <w:br w:type="column"/>
      </w:r>
      <w:r>
        <w:rPr/>
        <w:t>大信审字【</w:t>
      </w:r>
      <w:r>
        <w:rPr>
          <w:rFonts w:ascii="宋体" w:hAnsi="宋体" w:cs="宋体" w:eastAsia="宋体" w:hint="default"/>
        </w:rPr>
        <w:t>2020</w:t>
      </w:r>
      <w:r>
        <w:rPr/>
        <w:t>】第</w:t>
      </w:r>
      <w:r>
        <w:rPr>
          <w:spacing w:val="-53"/>
        </w:rPr>
        <w:t> </w:t>
      </w:r>
      <w:r>
        <w:rPr>
          <w:rFonts w:ascii="宋体" w:hAnsi="宋体" w:cs="宋体" w:eastAsia="宋体" w:hint="default"/>
        </w:rPr>
        <w:t>6-00029</w:t>
      </w:r>
      <w:r>
        <w:rPr>
          <w:rFonts w:ascii="宋体" w:hAnsi="宋体" w:cs="宋体" w:eastAsia="宋体" w:hint="default"/>
          <w:spacing w:val="-54"/>
        </w:rPr>
        <w:t> </w:t>
      </w:r>
      <w:r>
        <w:rPr>
          <w:spacing w:val="-3"/>
        </w:rPr>
        <w:t>号</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580"/>
          <w:cols w:num="2" w:equalWidth="0">
            <w:col w:w="3858" w:space="2035"/>
            <w:col w:w="3297"/>
          </w:cols>
        </w:sectPr>
      </w:pPr>
    </w:p>
    <w:p>
      <w:pPr>
        <w:pStyle w:val="BodyText"/>
        <w:spacing w:line="272" w:lineRule="exact" w:before="2"/>
        <w:ind w:right="102" w:firstLine="199"/>
        <w:jc w:val="left"/>
      </w:pPr>
      <w:r>
        <w:rPr>
          <w:spacing w:val="-3"/>
        </w:rPr>
        <w:t>我们审计了泰豪科技股份有限公司（以下简称“贵公司”）的财务报表，包括</w:t>
      </w:r>
      <w:r>
        <w:rPr>
          <w:spacing w:val="-40"/>
        </w:rPr>
        <w:t> </w:t>
      </w:r>
      <w:r>
        <w:rPr>
          <w:rFonts w:ascii="宋体" w:hAnsi="宋体" w:cs="宋体" w:eastAsia="宋体" w:hint="default"/>
        </w:rPr>
        <w:t>2019</w:t>
      </w:r>
      <w:r>
        <w:rPr>
          <w:rFonts w:ascii="宋体" w:hAnsi="宋体" w:cs="宋体" w:eastAsia="宋体" w:hint="default"/>
          <w:spacing w:val="-40"/>
        </w:rPr>
        <w:t> </w:t>
      </w:r>
      <w:r>
        <w:rPr/>
        <w:t>年</w:t>
      </w:r>
      <w:r>
        <w:rPr>
          <w:spacing w:val="-43"/>
        </w:rPr>
        <w:t> </w:t>
      </w:r>
      <w:r>
        <w:rPr>
          <w:rFonts w:ascii="宋体" w:hAnsi="宋体" w:cs="宋体" w:eastAsia="宋体" w:hint="default"/>
        </w:rPr>
        <w:t>12</w:t>
      </w:r>
      <w:r>
        <w:rPr>
          <w:rFonts w:ascii="宋体" w:hAnsi="宋体" w:cs="宋体" w:eastAsia="宋体" w:hint="default"/>
          <w:spacing w:val="-43"/>
        </w:rPr>
        <w:t> </w:t>
      </w:r>
      <w:r>
        <w:rPr/>
        <w:t>月</w:t>
      </w:r>
      <w:r>
        <w:rPr>
          <w:spacing w:val="-41"/>
        </w:rPr>
        <w:t> </w:t>
      </w:r>
      <w:r>
        <w:rPr>
          <w:rFonts w:ascii="宋体" w:hAnsi="宋体" w:cs="宋体" w:eastAsia="宋体" w:hint="default"/>
        </w:rPr>
        <w:t>31</w:t>
      </w:r>
      <w:r>
        <w:rPr>
          <w:rFonts w:ascii="宋体" w:hAnsi="宋体" w:cs="宋体" w:eastAsia="宋体" w:hint="default"/>
          <w:w w:val="100"/>
        </w:rPr>
        <w:t> </w:t>
      </w:r>
      <w:r>
        <w:rPr/>
        <w:t>日的合并及母公司资产负债表，</w:t>
      </w:r>
      <w:r>
        <w:rPr>
          <w:rFonts w:ascii="宋体" w:hAnsi="宋体" w:cs="宋体" w:eastAsia="宋体" w:hint="default"/>
        </w:rPr>
        <w:t>2019</w:t>
      </w:r>
      <w:r>
        <w:rPr>
          <w:rFonts w:ascii="宋体" w:hAnsi="宋体" w:cs="宋体" w:eastAsia="宋体" w:hint="default"/>
          <w:spacing w:val="-25"/>
        </w:rPr>
        <w:t> </w:t>
      </w:r>
      <w:r>
        <w:rPr>
          <w:spacing w:val="-3"/>
        </w:rPr>
        <w:t>年度的合并及母公司利润表、合并及母公司现金流量表、合</w:t>
      </w:r>
    </w:p>
    <w:p>
      <w:pPr>
        <w:pStyle w:val="BodyText"/>
        <w:spacing w:line="272" w:lineRule="exact" w:before="1"/>
        <w:ind w:left="336" w:right="102" w:hanging="200"/>
        <w:jc w:val="left"/>
      </w:pPr>
      <w:r>
        <w:rPr/>
        <w:t>并及母公司股东权益变动表，以及财务报表附注。</w:t>
      </w:r>
      <w:r>
        <w:rPr>
          <w:rFonts w:ascii="宋体" w:hAnsi="宋体" w:cs="宋体" w:eastAsia="宋体" w:hint="default"/>
          <w:w w:val="100"/>
        </w:rPr>
        <w:t> </w:t>
      </w:r>
      <w:r>
        <w:rPr>
          <w:spacing w:val="-1"/>
        </w:rPr>
        <w:t>我们认为，后附的财务报表在所有重大方面按照企业会计准则的规定编制，公允反映了贵公司</w:t>
      </w:r>
    </w:p>
    <w:p>
      <w:pPr>
        <w:pStyle w:val="BodyText"/>
        <w:spacing w:line="247" w:lineRule="exact"/>
        <w:ind w:right="102"/>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75"/>
        </w:rPr>
        <w:t> </w:t>
      </w:r>
      <w:r>
        <w:rPr/>
        <w:t>年</w:t>
      </w:r>
      <w:r>
        <w:rPr>
          <w:spacing w:val="-75"/>
        </w:rPr>
        <w:t> </w:t>
      </w:r>
      <w:r>
        <w:rPr>
          <w:rFonts w:ascii="宋体" w:hAnsi="宋体" w:cs="宋体" w:eastAsia="宋体" w:hint="default"/>
        </w:rPr>
        <w:t>12</w:t>
      </w:r>
      <w:r>
        <w:rPr>
          <w:rFonts w:ascii="宋体" w:hAnsi="宋体" w:cs="宋体" w:eastAsia="宋体" w:hint="default"/>
          <w:spacing w:val="-75"/>
        </w:rPr>
        <w:t> </w:t>
      </w:r>
      <w:r>
        <w:rPr/>
        <w:t>月</w:t>
      </w:r>
      <w:r>
        <w:rPr>
          <w:spacing w:val="-78"/>
        </w:rPr>
        <w:t> </w:t>
      </w:r>
      <w:r>
        <w:rPr>
          <w:rFonts w:ascii="宋体" w:hAnsi="宋体" w:cs="宋体" w:eastAsia="宋体" w:hint="default"/>
        </w:rPr>
        <w:t>31</w:t>
      </w:r>
      <w:r>
        <w:rPr>
          <w:rFonts w:ascii="宋体" w:hAnsi="宋体" w:cs="宋体" w:eastAsia="宋体" w:hint="default"/>
          <w:spacing w:val="-75"/>
        </w:rPr>
        <w:t> </w:t>
      </w:r>
      <w:r>
        <w:rPr/>
        <w:t>日的合并及母公司财务状况以及</w:t>
      </w:r>
      <w:r>
        <w:rPr>
          <w:spacing w:val="-75"/>
        </w:rPr>
        <w:t> </w:t>
      </w:r>
      <w:r>
        <w:rPr>
          <w:rFonts w:ascii="宋体" w:hAnsi="宋体" w:cs="宋体" w:eastAsia="宋体" w:hint="default"/>
        </w:rPr>
        <w:t>2019</w:t>
      </w:r>
      <w:r>
        <w:rPr>
          <w:rFonts w:ascii="宋体" w:hAnsi="宋体" w:cs="宋体" w:eastAsia="宋体" w:hint="default"/>
          <w:spacing w:val="-75"/>
        </w:rPr>
        <w:t> </w:t>
      </w:r>
      <w:r>
        <w:rPr/>
        <w:t>年度的合并及母公司经营成果和现金流量。</w:t>
      </w:r>
      <w:r>
        <w:rPr>
          <w:rFonts w:ascii="宋体" w:hAnsi="宋体" w:cs="宋体" w:eastAsia="宋体" w:hint="default"/>
        </w:rPr>
        <w:t> </w:t>
      </w:r>
    </w:p>
    <w:p>
      <w:pPr>
        <w:pStyle w:val="BodyText"/>
        <w:spacing w:line="272" w:lineRule="exact" w:before="26"/>
        <w:ind w:left="336" w:right="102"/>
        <w:jc w:val="left"/>
        <w:rPr>
          <w:rFonts w:ascii="宋体" w:hAnsi="宋体" w:cs="宋体" w:eastAsia="宋体" w:hint="default"/>
        </w:rPr>
      </w:pPr>
      <w:r>
        <w:rPr>
          <w:rFonts w:ascii="宋体" w:hAnsi="宋体" w:cs="宋体" w:eastAsia="宋体" w:hint="default"/>
          <w:w w:val="100"/>
        </w:rPr>
        <w:t>  </w:t>
      </w:r>
      <w:r>
        <w:rPr>
          <w:w w:val="100"/>
        </w:rPr>
        <w:t>二、</w:t>
      </w:r>
      <w:r>
        <w:rPr>
          <w:spacing w:val="-3"/>
          <w:w w:val="100"/>
        </w:rPr>
        <w:t>形</w:t>
      </w:r>
      <w:r>
        <w:rPr>
          <w:w w:val="100"/>
        </w:rPr>
        <w:t>成</w:t>
      </w:r>
      <w:r>
        <w:rPr>
          <w:spacing w:val="-3"/>
          <w:w w:val="100"/>
        </w:rPr>
        <w:t>审</w:t>
      </w:r>
      <w:r>
        <w:rPr>
          <w:w w:val="100"/>
        </w:rPr>
        <w:t>计</w:t>
      </w:r>
      <w:r>
        <w:rPr>
          <w:spacing w:val="-3"/>
          <w:w w:val="100"/>
        </w:rPr>
        <w:t>意</w:t>
      </w:r>
      <w:r>
        <w:rPr>
          <w:w w:val="100"/>
        </w:rPr>
        <w:t>见</w:t>
      </w:r>
      <w:r>
        <w:rPr>
          <w:spacing w:val="-3"/>
          <w:w w:val="100"/>
        </w:rPr>
        <w:t>的</w:t>
      </w:r>
      <w:r>
        <w:rPr>
          <w:w w:val="100"/>
        </w:rPr>
        <w:t>基</w:t>
      </w:r>
      <w:r>
        <w:rPr>
          <w:spacing w:val="-3"/>
          <w:w w:val="100"/>
        </w:rPr>
        <w:t>础</w:t>
      </w:r>
      <w:r>
        <w:rPr>
          <w:rFonts w:ascii="宋体" w:hAnsi="宋体" w:cs="宋体" w:eastAsia="宋体" w:hint="default"/>
          <w:w w:val="100"/>
        </w:rPr>
        <w:t> </w:t>
      </w:r>
    </w:p>
    <w:p>
      <w:pPr>
        <w:pStyle w:val="BodyText"/>
        <w:spacing w:line="272" w:lineRule="exact" w:before="1"/>
        <w:ind w:right="206" w:firstLine="199"/>
        <w:jc w:val="left"/>
      </w:pPr>
      <w:r>
        <w:rPr>
          <w:spacing w:val="-1"/>
        </w:rPr>
        <w:t>我们按照中国注册会计师审计准则的规定执行了审计工作。审计报告的“注册会计师对财务报</w:t>
      </w:r>
      <w:r>
        <w:rPr>
          <w:w w:val="100"/>
        </w:rPr>
        <w:t> </w:t>
      </w:r>
      <w:r>
        <w:rPr>
          <w:spacing w:val="-6"/>
          <w:w w:val="100"/>
        </w:rPr>
        <w:t>表审计的责任”部分进一步阐述了我们在这些准则下的责任。按照中国注册会计师职业道德守则，</w:t>
      </w:r>
    </w:p>
    <w:p>
      <w:pPr>
        <w:pStyle w:val="BodyText"/>
        <w:spacing w:line="272" w:lineRule="exact" w:before="1"/>
        <w:ind w:left="336" w:right="102" w:hanging="200"/>
        <w:jc w:val="left"/>
        <w:rPr>
          <w:rFonts w:ascii="宋体" w:hAnsi="宋体" w:cs="宋体" w:eastAsia="宋体" w:hint="default"/>
        </w:rPr>
      </w:pPr>
      <w:r>
        <w:rPr/>
        <w:t>我们独立于贵公司，并履行了职业道德方面的其他责任。</w:t>
      </w:r>
      <w:r>
        <w:rPr>
          <w:rFonts w:ascii="宋体" w:hAnsi="宋体" w:cs="宋体" w:eastAsia="宋体" w:hint="default"/>
          <w:w w:val="100"/>
        </w:rPr>
        <w:t> </w:t>
      </w:r>
      <w:r>
        <w:rPr/>
        <w:t>我们相信，我们获取的审计证据是充分、适当的，为发表审计意见提供了基础。</w:t>
      </w:r>
      <w:r>
        <w:rPr>
          <w:rFonts w:ascii="宋体" w:hAnsi="宋体" w:cs="宋体" w:eastAsia="宋体" w:hint="default"/>
        </w:rPr>
        <w:t> </w:t>
      </w:r>
    </w:p>
    <w:p>
      <w:pPr>
        <w:pStyle w:val="BodyText"/>
        <w:spacing w:line="272" w:lineRule="exact" w:before="1"/>
        <w:ind w:left="336" w:right="102"/>
        <w:jc w:val="left"/>
        <w:rPr>
          <w:rFonts w:ascii="宋体" w:hAnsi="宋体" w:cs="宋体" w:eastAsia="宋体" w:hint="default"/>
        </w:rPr>
      </w:pPr>
      <w:r>
        <w:rPr>
          <w:rFonts w:ascii="宋体" w:hAnsi="宋体" w:cs="宋体" w:eastAsia="宋体" w:hint="default"/>
          <w:w w:val="100"/>
        </w:rPr>
        <w:t>  </w:t>
      </w:r>
      <w:r>
        <w:rPr>
          <w:w w:val="100"/>
        </w:rPr>
        <w:t>三、</w:t>
      </w:r>
      <w:r>
        <w:rPr>
          <w:spacing w:val="-3"/>
          <w:w w:val="100"/>
        </w:rPr>
        <w:t>关</w:t>
      </w:r>
      <w:r>
        <w:rPr>
          <w:w w:val="100"/>
        </w:rPr>
        <w:t>键</w:t>
      </w:r>
      <w:r>
        <w:rPr>
          <w:spacing w:val="-3"/>
          <w:w w:val="100"/>
        </w:rPr>
        <w:t>审</w:t>
      </w:r>
      <w:r>
        <w:rPr>
          <w:w w:val="100"/>
        </w:rPr>
        <w:t>计</w:t>
      </w:r>
      <w:r>
        <w:rPr>
          <w:spacing w:val="-3"/>
          <w:w w:val="100"/>
        </w:rPr>
        <w:t>事项</w:t>
      </w:r>
      <w:r>
        <w:rPr>
          <w:rFonts w:ascii="宋体" w:hAnsi="宋体" w:cs="宋体" w:eastAsia="宋体" w:hint="default"/>
          <w:w w:val="100"/>
        </w:rPr>
        <w:t> </w:t>
      </w:r>
    </w:p>
    <w:p>
      <w:pPr>
        <w:pStyle w:val="BodyText"/>
        <w:spacing w:line="272" w:lineRule="exact" w:before="2"/>
        <w:ind w:right="102" w:firstLine="199"/>
        <w:jc w:val="left"/>
        <w:rPr>
          <w:rFonts w:ascii="宋体" w:hAnsi="宋体" w:cs="宋体" w:eastAsia="宋体" w:hint="default"/>
        </w:rPr>
      </w:pPr>
      <w:r>
        <w:rPr>
          <w:spacing w:val="-1"/>
        </w:rPr>
        <w:t>关键审计事项是我们根据职业判断，认为对本期财务报表审计最为重要的事项。这些事项的应</w:t>
      </w:r>
      <w:r>
        <w:rPr>
          <w:w w:val="100"/>
        </w:rPr>
        <w:t> </w:t>
      </w:r>
      <w:r>
        <w:rPr/>
        <w:t>对以对财务报表整体进行审计并形成审计意见为背景，我们不对这些事项单独发表意见。</w:t>
      </w:r>
      <w:r>
        <w:rPr>
          <w:rFonts w:ascii="宋体" w:hAnsi="宋体" w:cs="宋体" w:eastAsia="宋体" w:hint="default"/>
        </w:rPr>
        <w:t> </w:t>
      </w:r>
    </w:p>
    <w:p>
      <w:pPr>
        <w:pStyle w:val="BodyText"/>
        <w:spacing w:line="272" w:lineRule="exact" w:before="1"/>
        <w:ind w:left="336" w:right="5672"/>
        <w:jc w:val="left"/>
        <w:rPr>
          <w:rFonts w:ascii="宋体" w:hAnsi="宋体" w:cs="宋体" w:eastAsia="宋体" w:hint="default"/>
        </w:rPr>
      </w:pPr>
      <w:r>
        <w:rPr/>
        <w:t>（一）商誉形成及减值测试</w:t>
      </w:r>
      <w:r>
        <w:rPr>
          <w:rFonts w:ascii="宋体" w:hAnsi="宋体" w:cs="宋体" w:eastAsia="宋体" w:hint="default"/>
          <w:w w:val="100"/>
        </w:rPr>
        <w:t> </w:t>
      </w:r>
      <w:r>
        <w:rPr>
          <w:rFonts w:ascii="宋体" w:hAnsi="宋体" w:cs="宋体" w:eastAsia="宋体" w:hint="default"/>
        </w:rPr>
        <w:t>1</w:t>
      </w:r>
      <w:r>
        <w:rPr/>
        <w:t>、事项描述</w:t>
      </w:r>
      <w:r>
        <w:rPr>
          <w:rFonts w:ascii="宋体" w:hAnsi="宋体" w:cs="宋体" w:eastAsia="宋体" w:hint="default"/>
        </w:rPr>
        <w:t> </w:t>
      </w:r>
    </w:p>
    <w:p>
      <w:pPr>
        <w:pStyle w:val="BodyText"/>
        <w:spacing w:line="272" w:lineRule="exact" w:before="1"/>
        <w:ind w:right="102" w:firstLine="199"/>
        <w:jc w:val="left"/>
      </w:pPr>
      <w:r>
        <w:rPr/>
        <w:t>贵公司</w:t>
      </w:r>
      <w:r>
        <w:rPr>
          <w:spacing w:val="-51"/>
        </w:rPr>
        <w:t> </w:t>
      </w:r>
      <w:r>
        <w:rPr>
          <w:rFonts w:ascii="宋体" w:hAnsi="宋体" w:cs="宋体" w:eastAsia="宋体" w:hint="default"/>
        </w:rPr>
        <w:t>2019</w:t>
      </w:r>
      <w:r>
        <w:rPr>
          <w:rFonts w:ascii="宋体" w:hAnsi="宋体" w:cs="宋体" w:eastAsia="宋体" w:hint="default"/>
          <w:spacing w:val="-51"/>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4"/>
        </w:rPr>
        <w:t> </w:t>
      </w:r>
      <w:r>
        <w:rPr/>
        <w:t>日合并报表商誉账面价值</w:t>
      </w:r>
      <w:r>
        <w:rPr>
          <w:spacing w:val="-51"/>
        </w:rPr>
        <w:t> </w:t>
      </w:r>
      <w:r>
        <w:rPr>
          <w:rFonts w:ascii="宋体" w:hAnsi="宋体" w:cs="宋体" w:eastAsia="宋体" w:hint="default"/>
        </w:rPr>
        <w:t>12.75</w:t>
      </w:r>
      <w:r>
        <w:rPr>
          <w:rFonts w:ascii="宋体" w:hAnsi="宋体" w:cs="宋体" w:eastAsia="宋体" w:hint="default"/>
          <w:spacing w:val="-51"/>
        </w:rPr>
        <w:t> </w:t>
      </w:r>
      <w:r>
        <w:rPr/>
        <w:t>亿，其中计提商誉减值准备</w:t>
      </w:r>
      <w:r>
        <w:rPr>
          <w:spacing w:val="-51"/>
        </w:rPr>
        <w:t> </w:t>
      </w:r>
      <w:r>
        <w:rPr>
          <w:rFonts w:ascii="宋体" w:hAnsi="宋体" w:cs="宋体" w:eastAsia="宋体" w:hint="default"/>
        </w:rPr>
        <w:t>1.72</w:t>
      </w:r>
      <w:r>
        <w:rPr>
          <w:rFonts w:ascii="宋体" w:hAnsi="宋体" w:cs="宋体" w:eastAsia="宋体" w:hint="default"/>
          <w:spacing w:val="-51"/>
        </w:rPr>
        <w:t> </w:t>
      </w:r>
      <w:r>
        <w:rPr>
          <w:spacing w:val="-3"/>
        </w:rPr>
        <w:t>亿。</w:t>
      </w:r>
      <w:r>
        <w:rPr>
          <w:spacing w:val="-3"/>
          <w:w w:val="100"/>
        </w:rPr>
        <w:t> </w:t>
      </w:r>
      <w:r>
        <w:rPr>
          <w:spacing w:val="-1"/>
        </w:rPr>
        <w:t>公司需在每年末对商誉进行减值测试。减值测试要求估计包含商誉的相关资产组的可收回金额，</w:t>
      </w:r>
    </w:p>
    <w:p>
      <w:pPr>
        <w:pStyle w:val="BodyText"/>
        <w:spacing w:line="272" w:lineRule="exact" w:before="1"/>
        <w:ind w:right="209" w:hanging="1"/>
        <w:jc w:val="center"/>
      </w:pPr>
      <w:r>
        <w:rPr>
          <w:spacing w:val="-1"/>
        </w:rPr>
        <w:t>即相关资产组的公允价值减去处置费用后的净额与相关资产组预计未来现金流量的现值两者之中</w:t>
      </w:r>
      <w:r>
        <w:rPr>
          <w:spacing w:val="-64"/>
        </w:rPr>
        <w:t> </w:t>
      </w:r>
      <w:r>
        <w:rPr>
          <w:spacing w:val="-64"/>
        </w:rPr>
      </w:r>
      <w:r>
        <w:rPr>
          <w:spacing w:val="-1"/>
        </w:rPr>
        <w:t>的较高者。在确定相关资产组预计未来现金流量的现值时，贵公司需要恰当的预测相关资产组未</w:t>
      </w:r>
    </w:p>
    <w:p>
      <w:pPr>
        <w:pStyle w:val="BodyText"/>
        <w:spacing w:line="272" w:lineRule="exact" w:before="1"/>
        <w:ind w:left="129" w:right="202"/>
        <w:jc w:val="center"/>
      </w:pPr>
      <w:r>
        <w:rPr>
          <w:spacing w:val="-1"/>
        </w:rPr>
        <w:t>来现金流的长期平均增长率和合理确定折现率，这涉及管理层运用重大的会计估计和判断。贵公</w:t>
      </w:r>
      <w:r>
        <w:rPr>
          <w:spacing w:val="-63"/>
        </w:rPr>
        <w:t> </w:t>
      </w:r>
      <w:r>
        <w:rPr>
          <w:spacing w:val="-63"/>
        </w:rPr>
      </w:r>
      <w:r>
        <w:rPr>
          <w:spacing w:val="-1"/>
        </w:rPr>
        <w:t>司管理层聘请外部估值专家对期末重大的商誉，基于管理层编制的现金流量预测采用预计未来现</w:t>
      </w:r>
    </w:p>
    <w:p>
      <w:pPr>
        <w:pStyle w:val="BodyText"/>
        <w:spacing w:line="272" w:lineRule="exact" w:before="1"/>
        <w:ind w:right="102"/>
        <w:jc w:val="left"/>
        <w:rPr>
          <w:rFonts w:ascii="宋体" w:hAnsi="宋体" w:cs="宋体" w:eastAsia="宋体" w:hint="default"/>
        </w:rPr>
      </w:pPr>
      <w:r>
        <w:rPr>
          <w:spacing w:val="-1"/>
        </w:rPr>
        <w:t>金流量折现模型来计算各相关资产组的预计未来现金流量现值。由于商誉金额较大且涉及运用重</w:t>
      </w:r>
      <w:r>
        <w:rPr>
          <w:spacing w:val="-55"/>
        </w:rPr>
        <w:t> </w:t>
      </w:r>
      <w:r>
        <w:rPr>
          <w:spacing w:val="-55"/>
        </w:rPr>
      </w:r>
      <w:r>
        <w:rPr/>
        <w:t>大的管理层判断和估计，因此我们将商誉减值测试识别为关键审计事项。</w:t>
      </w:r>
      <w:r>
        <w:rPr>
          <w:rFonts w:ascii="宋体" w:hAnsi="宋体" w:cs="宋体" w:eastAsia="宋体" w:hint="default"/>
        </w:rPr>
        <w:t> </w:t>
      </w:r>
    </w:p>
    <w:p>
      <w:pPr>
        <w:pStyle w:val="BodyText"/>
        <w:spacing w:line="247" w:lineRule="exact"/>
        <w:ind w:left="336" w:right="102"/>
        <w:jc w:val="left"/>
        <w:rPr>
          <w:rFonts w:ascii="宋体" w:hAnsi="宋体" w:cs="宋体" w:eastAsia="宋体" w:hint="default"/>
        </w:rPr>
      </w:pPr>
      <w:r>
        <w:rPr>
          <w:rFonts w:ascii="宋体" w:hAnsi="宋体" w:cs="宋体" w:eastAsia="宋体" w:hint="default"/>
        </w:rPr>
        <w:t>2</w:t>
      </w:r>
      <w:r>
        <w:rPr/>
        <w:t>、审计应对</w:t>
      </w:r>
      <w:r>
        <w:rPr>
          <w:rFonts w:ascii="宋体" w:hAnsi="宋体" w:cs="宋体" w:eastAsia="宋体" w:hint="default"/>
        </w:rPr>
        <w:t> </w:t>
      </w:r>
    </w:p>
    <w:p>
      <w:pPr>
        <w:pStyle w:val="BodyText"/>
        <w:spacing w:line="272" w:lineRule="exact" w:before="26"/>
        <w:ind w:left="336" w:right="102"/>
        <w:jc w:val="left"/>
        <w:rPr>
          <w:rFonts w:ascii="宋体" w:hAnsi="宋体" w:cs="宋体" w:eastAsia="宋体" w:hint="default"/>
        </w:rPr>
      </w:pPr>
      <w:r>
        <w:rPr/>
        <w:t>针对商誉减值测试，我们设计并实施以下审计程序：</w:t>
      </w:r>
      <w:r>
        <w:rPr>
          <w:rFonts w:ascii="宋体" w:hAnsi="宋体" w:cs="宋体" w:eastAsia="宋体" w:hint="default"/>
          <w:w w:val="100"/>
        </w:rPr>
        <w:t> </w:t>
      </w:r>
      <w:r>
        <w:rPr>
          <w:rFonts w:ascii="宋体" w:hAnsi="宋体" w:cs="宋体" w:eastAsia="宋体" w:hint="default"/>
        </w:rPr>
        <w:t>1</w:t>
      </w:r>
      <w:r>
        <w:rPr/>
        <w:t>）评价管理层聘请外部估值专家的专业胜任能力和独立性；</w:t>
      </w:r>
      <w:r>
        <w:rPr>
          <w:rFonts w:ascii="宋体" w:hAnsi="宋体" w:cs="宋体" w:eastAsia="宋体" w:hint="default"/>
        </w:rPr>
        <w:t> </w:t>
      </w:r>
    </w:p>
    <w:p>
      <w:pPr>
        <w:pStyle w:val="BodyText"/>
        <w:spacing w:line="247" w:lineRule="exact"/>
        <w:ind w:left="336" w:right="102"/>
        <w:jc w:val="left"/>
        <w:rPr>
          <w:rFonts w:ascii="宋体" w:hAnsi="宋体" w:cs="宋体" w:eastAsia="宋体" w:hint="default"/>
        </w:rPr>
      </w:pPr>
      <w:r>
        <w:rPr>
          <w:rFonts w:ascii="宋体" w:hAnsi="宋体" w:cs="宋体" w:eastAsia="宋体" w:hint="default"/>
        </w:rPr>
        <w:t>2</w:t>
      </w:r>
      <w:r>
        <w:rPr/>
        <w:t>）评估管理层对各资产组的识别以及商誉如何分配至各资产组；</w:t>
      </w:r>
      <w:r>
        <w:rPr>
          <w:rFonts w:ascii="宋体" w:hAnsi="宋体" w:cs="宋体" w:eastAsia="宋体" w:hint="default"/>
        </w:rPr>
        <w:t> </w:t>
      </w:r>
    </w:p>
    <w:p>
      <w:pPr>
        <w:pStyle w:val="BodyText"/>
        <w:spacing w:line="272" w:lineRule="exact"/>
        <w:ind w:left="336" w:right="102"/>
        <w:jc w:val="left"/>
      </w:pPr>
      <w:r>
        <w:rPr>
          <w:rFonts w:ascii="宋体" w:hAnsi="宋体" w:cs="宋体" w:eastAsia="宋体" w:hint="default"/>
          <w:spacing w:val="-5"/>
        </w:rPr>
        <w:t>3</w:t>
      </w:r>
      <w:r>
        <w:rPr>
          <w:spacing w:val="-5"/>
        </w:rPr>
        <w:t>）获取经批准的</w:t>
      </w:r>
      <w:r>
        <w:rPr>
          <w:spacing w:val="-36"/>
        </w:rPr>
        <w:t> </w:t>
      </w:r>
      <w:r>
        <w:rPr>
          <w:rFonts w:ascii="宋体" w:hAnsi="宋体" w:cs="宋体" w:eastAsia="宋体" w:hint="default"/>
        </w:rPr>
        <w:t>2020</w:t>
      </w:r>
      <w:r>
        <w:rPr>
          <w:rFonts w:ascii="宋体" w:hAnsi="宋体" w:cs="宋体" w:eastAsia="宋体" w:hint="default"/>
          <w:spacing w:val="-39"/>
        </w:rPr>
        <w:t> </w:t>
      </w:r>
      <w:r>
        <w:rPr>
          <w:spacing w:val="-4"/>
        </w:rPr>
        <w:t>年度财务预算，与管理层预测的</w:t>
      </w:r>
      <w:r>
        <w:rPr>
          <w:spacing w:val="-35"/>
        </w:rPr>
        <w:t> </w:t>
      </w:r>
      <w:r>
        <w:rPr>
          <w:rFonts w:ascii="宋体" w:hAnsi="宋体" w:cs="宋体" w:eastAsia="宋体" w:hint="default"/>
        </w:rPr>
        <w:t>2020</w:t>
      </w:r>
      <w:r>
        <w:rPr>
          <w:rFonts w:ascii="宋体" w:hAnsi="宋体" w:cs="宋体" w:eastAsia="宋体" w:hint="default"/>
          <w:spacing w:val="-39"/>
        </w:rPr>
        <w:t> </w:t>
      </w:r>
      <w:r>
        <w:rPr>
          <w:spacing w:val="-4"/>
        </w:rPr>
        <w:t>年数据进行比较，评价其预测的合</w:t>
      </w:r>
    </w:p>
    <w:p>
      <w:pPr>
        <w:pStyle w:val="BodyText"/>
        <w:spacing w:line="272" w:lineRule="exact" w:before="27"/>
        <w:ind w:left="336" w:right="102" w:hanging="200"/>
        <w:jc w:val="left"/>
      </w:pPr>
      <w:r>
        <w:rPr>
          <w:spacing w:val="-13"/>
          <w:w w:val="100"/>
        </w:rPr>
        <w:t>理性；将相关资产组</w:t>
      </w:r>
      <w:r>
        <w:rPr>
          <w:spacing w:val="-51"/>
          <w:w w:val="100"/>
        </w:rPr>
        <w:t> </w:t>
      </w:r>
      <w:r>
        <w:rPr>
          <w:rFonts w:ascii="宋体" w:hAnsi="宋体" w:cs="宋体" w:eastAsia="宋体" w:hint="default"/>
          <w:spacing w:val="-1"/>
          <w:w w:val="100"/>
        </w:rPr>
        <w:t>2019</w:t>
      </w:r>
      <w:r>
        <w:rPr>
          <w:rFonts w:ascii="宋体" w:hAnsi="宋体" w:cs="宋体" w:eastAsia="宋体" w:hint="default"/>
          <w:spacing w:val="-53"/>
          <w:w w:val="100"/>
        </w:rPr>
        <w:t> </w:t>
      </w:r>
      <w:r>
        <w:rPr>
          <w:spacing w:val="-8"/>
          <w:w w:val="100"/>
        </w:rPr>
        <w:t>年度实际业绩与以前年度的预测数进行比较，评价管理层预测的可靠性；</w:t>
      </w:r>
      <w:r>
        <w:rPr>
          <w:spacing w:val="-99"/>
          <w:w w:val="100"/>
        </w:rPr>
        <w:t> </w:t>
      </w:r>
      <w:r>
        <w:rPr>
          <w:rFonts w:ascii="宋体" w:hAnsi="宋体" w:cs="宋体" w:eastAsia="宋体" w:hint="default"/>
          <w:spacing w:val="-99"/>
          <w:w w:val="100"/>
        </w:rPr>
      </w:r>
      <w:r>
        <w:rPr>
          <w:rFonts w:ascii="宋体" w:hAnsi="宋体" w:cs="宋体" w:eastAsia="宋体" w:hint="default"/>
          <w:spacing w:val="-4"/>
        </w:rPr>
        <w:t>4</w:t>
      </w:r>
      <w:r>
        <w:rPr>
          <w:spacing w:val="-4"/>
        </w:rPr>
        <w:t>）评估假设的合理性，将管理层做出的关键假设如收入的预测增长率、预测毛利率与历史数据</w:t>
      </w:r>
    </w:p>
    <w:p>
      <w:pPr>
        <w:pStyle w:val="BodyText"/>
        <w:spacing w:line="272" w:lineRule="exact" w:before="1"/>
        <w:ind w:left="336" w:right="102" w:hanging="200"/>
        <w:jc w:val="left"/>
      </w:pPr>
      <w:r>
        <w:rPr/>
        <w:t>进行比较，比较管理层采用的折现率与可比上市公司的相关数据；</w:t>
      </w:r>
      <w:r>
        <w:rPr>
          <w:rFonts w:ascii="宋体" w:hAnsi="宋体" w:cs="宋体" w:eastAsia="宋体" w:hint="default"/>
          <w:w w:val="100"/>
        </w:rPr>
        <w:t> </w:t>
      </w:r>
      <w:r>
        <w:rPr>
          <w:rFonts w:ascii="宋体" w:hAnsi="宋体" w:cs="宋体" w:eastAsia="宋体" w:hint="default"/>
          <w:spacing w:val="-4"/>
        </w:rPr>
        <w:t>5</w:t>
      </w:r>
      <w:r>
        <w:rPr>
          <w:spacing w:val="-4"/>
        </w:rPr>
        <w:t>）将业绩承诺公司实现的业绩与承诺业绩进行比较，判断其完成情况，评估商誉减值测试结果</w:t>
      </w:r>
    </w:p>
    <w:p>
      <w:pPr>
        <w:pStyle w:val="BodyText"/>
        <w:spacing w:line="272" w:lineRule="exact" w:before="1"/>
        <w:ind w:left="336" w:right="3085" w:hanging="200"/>
        <w:jc w:val="left"/>
        <w:rPr>
          <w:rFonts w:ascii="宋体" w:hAnsi="宋体" w:cs="宋体" w:eastAsia="宋体" w:hint="default"/>
        </w:rPr>
      </w:pPr>
      <w:r>
        <w:rPr/>
        <w:t>的合理性；</w:t>
      </w:r>
      <w:r>
        <w:rPr>
          <w:rFonts w:ascii="宋体" w:hAnsi="宋体" w:cs="宋体" w:eastAsia="宋体" w:hint="default"/>
          <w:w w:val="100"/>
        </w:rPr>
        <w:t> </w:t>
      </w:r>
      <w:r>
        <w:rPr>
          <w:rFonts w:ascii="宋体" w:hAnsi="宋体" w:cs="宋体" w:eastAsia="宋体" w:hint="default"/>
        </w:rPr>
        <w:t>6</w:t>
      </w:r>
      <w:r>
        <w:rPr/>
        <w:t>）复核资产组可收回金额和商誉减值损失计算结果。</w:t>
      </w:r>
      <w:r>
        <w:rPr>
          <w:rFonts w:ascii="宋体" w:hAnsi="宋体" w:cs="宋体" w:eastAsia="宋体" w:hint="default"/>
        </w:rPr>
        <w:t> </w:t>
      </w:r>
    </w:p>
    <w:p>
      <w:pPr>
        <w:pStyle w:val="BodyText"/>
        <w:spacing w:line="249" w:lineRule="exact"/>
        <w:ind w:left="336" w:right="102"/>
        <w:jc w:val="left"/>
        <w:rPr>
          <w:rFonts w:ascii="宋体" w:hAnsi="宋体" w:cs="宋体" w:eastAsia="宋体" w:hint="default"/>
        </w:rPr>
      </w:pPr>
      <w:r>
        <w:rPr/>
        <w:t>（二）收入确认</w:t>
      </w:r>
      <w:r>
        <w:rPr>
          <w:rFonts w:ascii="宋体" w:hAnsi="宋体" w:cs="宋体" w:eastAsia="宋体" w:hint="default"/>
        </w:rPr>
        <w:t> </w:t>
      </w:r>
    </w:p>
    <w:p>
      <w:pPr>
        <w:spacing w:after="0" w:line="249" w:lineRule="exact"/>
        <w:jc w:val="left"/>
        <w:rPr>
          <w:rFonts w:ascii="宋体" w:hAnsi="宋体" w:cs="宋体" w:eastAsia="宋体" w:hint="default"/>
        </w:rPr>
        <w:sectPr>
          <w:type w:val="continuous"/>
          <w:pgSz w:w="11910" w:h="16840"/>
          <w:pgMar w:top="1120" w:bottom="1380" w:left="1140" w:right="1580"/>
        </w:sectPr>
      </w:pPr>
    </w:p>
    <w:p>
      <w:pPr>
        <w:spacing w:line="240" w:lineRule="auto" w:before="3"/>
        <w:rPr>
          <w:rFonts w:ascii="宋体" w:hAnsi="宋体" w:cs="宋体" w:eastAsia="宋体" w:hint="default"/>
          <w:sz w:val="19"/>
          <w:szCs w:val="19"/>
        </w:rPr>
      </w:pPr>
    </w:p>
    <w:p>
      <w:pPr>
        <w:pStyle w:val="BodyText"/>
        <w:spacing w:line="273" w:lineRule="exact" w:before="36"/>
        <w:ind w:left="336" w:right="102"/>
        <w:jc w:val="left"/>
        <w:rPr>
          <w:rFonts w:ascii="宋体" w:hAnsi="宋体" w:cs="宋体" w:eastAsia="宋体" w:hint="default"/>
        </w:rPr>
      </w:pPr>
      <w:r>
        <w:rPr>
          <w:rFonts w:ascii="宋体" w:hAnsi="宋体" w:cs="宋体" w:eastAsia="宋体" w:hint="default"/>
        </w:rPr>
        <w:t>1</w:t>
      </w:r>
      <w:r>
        <w:rPr/>
        <w:t>、事项描述</w:t>
      </w:r>
      <w:r>
        <w:rPr>
          <w:rFonts w:ascii="宋体" w:hAnsi="宋体" w:cs="宋体" w:eastAsia="宋体" w:hint="default"/>
        </w:rPr>
        <w:t> </w:t>
      </w:r>
    </w:p>
    <w:p>
      <w:pPr>
        <w:pStyle w:val="BodyText"/>
        <w:spacing w:line="237" w:lineRule="auto" w:before="1"/>
        <w:ind w:right="209" w:firstLine="199"/>
        <w:jc w:val="both"/>
        <w:rPr>
          <w:rFonts w:ascii="宋体" w:hAnsi="宋体" w:cs="宋体" w:eastAsia="宋体" w:hint="default"/>
        </w:rPr>
      </w:pPr>
      <w:r>
        <w:rPr>
          <w:rFonts w:ascii="宋体" w:hAnsi="宋体" w:cs="宋体" w:eastAsia="宋体" w:hint="default"/>
        </w:rPr>
        <w:t>2019 </w:t>
      </w:r>
      <w:r>
        <w:rPr>
          <w:spacing w:val="-3"/>
        </w:rPr>
        <w:t>年度与贵公司存在业绩承诺的子公司有上海红生系统工程有限公司、上海博辕信息技术服</w:t>
      </w:r>
      <w:r>
        <w:rPr>
          <w:w w:val="100"/>
        </w:rPr>
        <w:t> </w:t>
      </w:r>
      <w:r>
        <w:rPr>
          <w:spacing w:val="-1"/>
        </w:rPr>
        <w:t>务有限公司，业绩承诺较高，合并商誉亦较大。业绩承诺的完成情况对上述公司的利润补偿以及</w:t>
      </w:r>
      <w:r>
        <w:rPr>
          <w:spacing w:val="-55"/>
        </w:rPr>
        <w:t> </w:t>
      </w:r>
      <w:r>
        <w:rPr>
          <w:spacing w:val="-55"/>
        </w:rPr>
      </w:r>
      <w:r>
        <w:rPr>
          <w:spacing w:val="-1"/>
        </w:rPr>
        <w:t>商誉减值影响较大，从而对贵公司合并报表产生较大影响。而收入确认是业绩承诺完成的核心指</w:t>
      </w:r>
      <w:r>
        <w:rPr>
          <w:spacing w:val="-55"/>
        </w:rPr>
        <w:t> </w:t>
      </w:r>
      <w:r>
        <w:rPr>
          <w:spacing w:val="-55"/>
        </w:rPr>
      </w:r>
      <w:r>
        <w:rPr>
          <w:spacing w:val="-1"/>
        </w:rPr>
        <w:t>标，从而存在管理层为了达到特定目标或期望而操纵收入确认时点的固有风险，我们将上海红生</w:t>
      </w:r>
      <w:r>
        <w:rPr>
          <w:spacing w:val="-55"/>
        </w:rPr>
        <w:t> </w:t>
      </w:r>
      <w:r>
        <w:rPr>
          <w:spacing w:val="-55"/>
        </w:rPr>
      </w:r>
      <w:r>
        <w:rPr/>
        <w:t>系统工程有限公司、上海博辕信息技术服务有限公司的收入确认识别为关键审计事项。</w:t>
      </w:r>
      <w:r>
        <w:rPr>
          <w:rFonts w:ascii="宋体" w:hAnsi="宋体" w:cs="宋体" w:eastAsia="宋体" w:hint="default"/>
        </w:rPr>
        <w:t> </w:t>
      </w:r>
    </w:p>
    <w:p>
      <w:pPr>
        <w:pStyle w:val="BodyText"/>
        <w:spacing w:line="272" w:lineRule="exact" w:before="26"/>
        <w:ind w:left="336" w:right="4345"/>
        <w:jc w:val="left"/>
        <w:rPr>
          <w:rFonts w:ascii="宋体" w:hAnsi="宋体" w:cs="宋体" w:eastAsia="宋体" w:hint="default"/>
        </w:rPr>
      </w:pPr>
      <w:r>
        <w:rPr>
          <w:rFonts w:ascii="宋体" w:hAnsi="宋体" w:cs="宋体" w:eastAsia="宋体" w:hint="default"/>
        </w:rPr>
        <w:t>2</w:t>
      </w:r>
      <w:r>
        <w:rPr/>
        <w:t>、审计应对</w:t>
      </w:r>
      <w:r>
        <w:rPr>
          <w:rFonts w:ascii="宋体" w:hAnsi="宋体" w:cs="宋体" w:eastAsia="宋体" w:hint="default"/>
          <w:w w:val="100"/>
        </w:rPr>
        <w:t> </w:t>
      </w:r>
      <w:r>
        <w:rPr/>
        <w:t>针对收入确认，我们设计并实施如下审计程序：</w:t>
      </w:r>
      <w:r>
        <w:rPr>
          <w:rFonts w:ascii="宋体" w:hAnsi="宋体" w:cs="宋体" w:eastAsia="宋体" w:hint="default"/>
        </w:rPr>
        <w:t> </w:t>
      </w:r>
    </w:p>
    <w:p>
      <w:pPr>
        <w:pStyle w:val="BodyText"/>
        <w:spacing w:line="247" w:lineRule="exact"/>
        <w:ind w:left="336" w:right="102"/>
        <w:jc w:val="left"/>
        <w:rPr>
          <w:rFonts w:ascii="宋体" w:hAnsi="宋体" w:cs="宋体" w:eastAsia="宋体" w:hint="default"/>
        </w:rPr>
      </w:pPr>
      <w:r>
        <w:rPr>
          <w:rFonts w:ascii="宋体" w:hAnsi="宋体" w:cs="宋体" w:eastAsia="宋体" w:hint="default"/>
        </w:rPr>
        <w:t>1</w:t>
      </w:r>
      <w:r>
        <w:rPr/>
        <w:t>）测试有关收入循环的关键内部控制的设计和执行，以确认内部控制的有效性</w:t>
      </w:r>
      <w:r>
        <w:rPr>
          <w:spacing w:val="-7"/>
        </w:rPr>
        <w:t> </w:t>
      </w:r>
      <w:r>
        <w:rPr>
          <w:rFonts w:ascii="宋体" w:hAnsi="宋体" w:cs="宋体" w:eastAsia="宋体" w:hint="default"/>
          <w:spacing w:val="-7"/>
        </w:rPr>
      </w:r>
      <w:r>
        <w:rPr>
          <w:spacing w:val="-3"/>
        </w:rPr>
        <w:t>；</w:t>
      </w:r>
      <w:r>
        <w:rPr>
          <w:rFonts w:ascii="宋体" w:hAnsi="宋体" w:cs="宋体" w:eastAsia="宋体" w:hint="default"/>
        </w:rPr>
        <w:t> </w:t>
      </w:r>
    </w:p>
    <w:p>
      <w:pPr>
        <w:pStyle w:val="BodyText"/>
        <w:spacing w:line="272" w:lineRule="exact"/>
        <w:ind w:left="336" w:right="102"/>
        <w:jc w:val="left"/>
        <w:rPr>
          <w:rFonts w:ascii="宋体" w:hAnsi="宋体" w:cs="宋体" w:eastAsia="宋体" w:hint="default"/>
        </w:rPr>
      </w:pPr>
      <w:r>
        <w:rPr>
          <w:rFonts w:ascii="宋体" w:hAnsi="宋体" w:cs="宋体" w:eastAsia="宋体" w:hint="default"/>
          <w:w w:val="100"/>
        </w:rPr>
        <w:t>2</w:t>
      </w:r>
      <w:r>
        <w:rPr>
          <w:w w:val="100"/>
        </w:rPr>
        <w:t>）</w:t>
      </w:r>
      <w:r>
        <w:rPr>
          <w:spacing w:val="-3"/>
          <w:w w:val="100"/>
        </w:rPr>
        <w:t>获</w:t>
      </w:r>
      <w:r>
        <w:rPr>
          <w:w w:val="100"/>
        </w:rPr>
        <w:t>取</w:t>
      </w:r>
      <w:r>
        <w:rPr>
          <w:spacing w:val="-3"/>
          <w:w w:val="100"/>
        </w:rPr>
        <w:t>公</w:t>
      </w:r>
      <w:r>
        <w:rPr>
          <w:w w:val="100"/>
        </w:rPr>
        <w:t>司</w:t>
      </w:r>
      <w:r>
        <w:rPr>
          <w:spacing w:val="-3"/>
          <w:w w:val="100"/>
        </w:rPr>
        <w:t>销</w:t>
      </w:r>
      <w:r>
        <w:rPr>
          <w:w w:val="100"/>
        </w:rPr>
        <w:t>售</w:t>
      </w:r>
      <w:r>
        <w:rPr>
          <w:spacing w:val="-3"/>
          <w:w w:val="100"/>
        </w:rPr>
        <w:t>协</w:t>
      </w:r>
      <w:r>
        <w:rPr>
          <w:w w:val="100"/>
        </w:rPr>
        <w:t>议</w:t>
      </w:r>
      <w:r>
        <w:rPr>
          <w:spacing w:val="-3"/>
          <w:w w:val="100"/>
        </w:rPr>
        <w:t>，核</w:t>
      </w:r>
      <w:r>
        <w:rPr>
          <w:w w:val="100"/>
        </w:rPr>
        <w:t>实合</w:t>
      </w:r>
      <w:r>
        <w:rPr>
          <w:spacing w:val="-3"/>
          <w:w w:val="100"/>
        </w:rPr>
        <w:t>同</w:t>
      </w:r>
      <w:r>
        <w:rPr>
          <w:w w:val="100"/>
        </w:rPr>
        <w:t>关</w:t>
      </w:r>
      <w:r>
        <w:rPr>
          <w:spacing w:val="-3"/>
          <w:w w:val="100"/>
        </w:rPr>
        <w:t>键</w:t>
      </w:r>
      <w:r>
        <w:rPr>
          <w:w w:val="100"/>
        </w:rPr>
        <w:t>条</w:t>
      </w:r>
      <w:r>
        <w:rPr>
          <w:spacing w:val="-3"/>
          <w:w w:val="100"/>
        </w:rPr>
        <w:t>款</w:t>
      </w:r>
      <w:r>
        <w:rPr>
          <w:w w:val="100"/>
        </w:rPr>
        <w:t>，</w:t>
      </w:r>
      <w:r>
        <w:rPr>
          <w:spacing w:val="-3"/>
          <w:w w:val="100"/>
        </w:rPr>
        <w:t>如</w:t>
      </w:r>
      <w:r>
        <w:rPr>
          <w:w w:val="100"/>
        </w:rPr>
        <w:t>发</w:t>
      </w:r>
      <w:r>
        <w:rPr>
          <w:spacing w:val="-3"/>
          <w:w w:val="100"/>
        </w:rPr>
        <w:t>货</w:t>
      </w:r>
      <w:r>
        <w:rPr>
          <w:w w:val="100"/>
        </w:rPr>
        <w:t>及验</w:t>
      </w:r>
      <w:r>
        <w:rPr>
          <w:spacing w:val="-3"/>
          <w:w w:val="100"/>
        </w:rPr>
        <w:t>收</w:t>
      </w:r>
      <w:r>
        <w:rPr>
          <w:w w:val="100"/>
        </w:rPr>
        <w:t>、</w:t>
      </w:r>
      <w:r>
        <w:rPr>
          <w:spacing w:val="-3"/>
          <w:w w:val="100"/>
        </w:rPr>
        <w:t>付</w:t>
      </w:r>
      <w:r>
        <w:rPr>
          <w:w w:val="100"/>
        </w:rPr>
        <w:t>款</w:t>
      </w:r>
      <w:r>
        <w:rPr>
          <w:spacing w:val="-3"/>
          <w:w w:val="100"/>
        </w:rPr>
        <w:t>及</w:t>
      </w:r>
      <w:r>
        <w:rPr>
          <w:w w:val="100"/>
        </w:rPr>
        <w:t>结</w:t>
      </w:r>
      <w:r>
        <w:rPr>
          <w:spacing w:val="-3"/>
          <w:w w:val="100"/>
        </w:rPr>
        <w:t>算</w:t>
      </w:r>
      <w:r>
        <w:rPr>
          <w:w w:val="100"/>
        </w:rPr>
        <w:t>、换</w:t>
      </w:r>
      <w:r>
        <w:rPr>
          <w:spacing w:val="2"/>
          <w:w w:val="100"/>
        </w:rPr>
        <w:t>货及</w:t>
      </w:r>
      <w:r>
        <w:rPr>
          <w:w w:val="100"/>
        </w:rPr>
        <w:t>退</w:t>
      </w:r>
      <w:r>
        <w:rPr>
          <w:spacing w:val="2"/>
          <w:w w:val="100"/>
        </w:rPr>
        <w:t>货</w:t>
      </w:r>
      <w:r>
        <w:rPr>
          <w:w w:val="100"/>
        </w:rPr>
        <w:t>政</w:t>
      </w:r>
      <w:r>
        <w:rPr>
          <w:spacing w:val="2"/>
          <w:w w:val="100"/>
        </w:rPr>
        <w:t>策</w:t>
      </w:r>
      <w:r>
        <w:rPr>
          <w:w w:val="100"/>
        </w:rPr>
        <w:t>等</w:t>
      </w:r>
      <w:r>
        <w:rPr>
          <w:spacing w:val="-105"/>
          <w:w w:val="100"/>
        </w:rPr>
        <w:t>；</w:t>
      </w:r>
      <w:r>
        <w:rPr>
          <w:rFonts w:ascii="宋体" w:hAnsi="宋体" w:cs="宋体" w:eastAsia="宋体" w:hint="default"/>
          <w:w w:val="100"/>
        </w:rPr>
        <w:t> </w:t>
      </w:r>
    </w:p>
    <w:p>
      <w:pPr>
        <w:pStyle w:val="BodyText"/>
        <w:spacing w:line="272" w:lineRule="exact" w:before="27"/>
        <w:ind w:right="102" w:firstLine="199"/>
        <w:jc w:val="left"/>
        <w:rPr>
          <w:rFonts w:ascii="宋体" w:hAnsi="宋体" w:cs="宋体" w:eastAsia="宋体" w:hint="default"/>
        </w:rPr>
      </w:pPr>
      <w:r>
        <w:rPr>
          <w:rFonts w:ascii="宋体" w:hAnsi="宋体" w:cs="宋体" w:eastAsia="宋体" w:hint="default"/>
          <w:spacing w:val="-4"/>
        </w:rPr>
        <w:t>3</w:t>
      </w:r>
      <w:r>
        <w:rPr>
          <w:spacing w:val="-4"/>
        </w:rPr>
        <w:t>）实施检查程序，检查公司合同、随货同行单、回款单据、物流公司运输合同等资料；检查客</w:t>
      </w:r>
      <w:r>
        <w:rPr>
          <w:w w:val="100"/>
        </w:rPr>
        <w:t> </w:t>
      </w:r>
      <w:r>
        <w:rPr/>
        <w:t>商验收资料；</w:t>
      </w:r>
      <w:r>
        <w:rPr>
          <w:rFonts w:ascii="宋体" w:hAnsi="宋体" w:cs="宋体" w:eastAsia="宋体" w:hint="default"/>
        </w:rPr>
        <w:t> </w:t>
      </w:r>
    </w:p>
    <w:p>
      <w:pPr>
        <w:pStyle w:val="BodyText"/>
        <w:spacing w:line="247" w:lineRule="exact"/>
        <w:ind w:left="336" w:right="102"/>
        <w:jc w:val="left"/>
        <w:rPr>
          <w:rFonts w:ascii="宋体" w:hAnsi="宋体" w:cs="宋体" w:eastAsia="宋体" w:hint="default"/>
        </w:rPr>
      </w:pPr>
      <w:r>
        <w:rPr>
          <w:rFonts w:ascii="宋体" w:hAnsi="宋体" w:cs="宋体" w:eastAsia="宋体" w:hint="default"/>
        </w:rPr>
        <w:t>4</w:t>
      </w:r>
      <w:r>
        <w:rPr/>
        <w:t>）现场走访重要客户，发函确认公司本期收入及往来余额；</w:t>
      </w:r>
      <w:r>
        <w:rPr>
          <w:rFonts w:ascii="宋体" w:hAnsi="宋体" w:cs="宋体" w:eastAsia="宋体" w:hint="default"/>
        </w:rPr>
        <w:t> </w:t>
      </w:r>
    </w:p>
    <w:p>
      <w:pPr>
        <w:pStyle w:val="BodyText"/>
        <w:spacing w:line="273" w:lineRule="exact"/>
        <w:ind w:left="336" w:right="102"/>
        <w:jc w:val="left"/>
        <w:rPr>
          <w:rFonts w:ascii="宋体" w:hAnsi="宋体" w:cs="宋体" w:eastAsia="宋体" w:hint="default"/>
        </w:rPr>
      </w:pPr>
      <w:r>
        <w:rPr>
          <w:rFonts w:ascii="宋体" w:hAnsi="宋体" w:cs="宋体" w:eastAsia="宋体" w:hint="default"/>
        </w:rPr>
        <w:t>5</w:t>
      </w:r>
      <w:r>
        <w:rPr/>
        <w:t>）查询较大客商的工商信息资料，识别是否存在关联关系。</w:t>
      </w:r>
      <w:r>
        <w:rPr>
          <w:rFonts w:ascii="宋体" w:hAnsi="宋体" w:cs="宋体" w:eastAsia="宋体" w:hint="default"/>
        </w:rPr>
        <w:t> </w:t>
      </w:r>
    </w:p>
    <w:p>
      <w:pPr>
        <w:pStyle w:val="BodyText"/>
        <w:spacing w:line="272" w:lineRule="exact" w:before="27"/>
        <w:ind w:left="336" w:right="6306"/>
        <w:jc w:val="left"/>
        <w:rPr>
          <w:rFonts w:ascii="宋体" w:hAnsi="宋体" w:cs="宋体" w:eastAsia="宋体" w:hint="default"/>
        </w:rPr>
      </w:pPr>
      <w:r>
        <w:rPr/>
        <w:t>（三）应收账款坏账准备</w:t>
      </w:r>
      <w:r>
        <w:rPr>
          <w:rFonts w:ascii="宋体" w:hAnsi="宋体" w:cs="宋体" w:eastAsia="宋体" w:hint="default"/>
          <w:w w:val="100"/>
        </w:rPr>
        <w:t> </w:t>
      </w:r>
      <w:r>
        <w:rPr>
          <w:rFonts w:ascii="宋体" w:hAnsi="宋体" w:cs="宋体" w:eastAsia="宋体" w:hint="default"/>
        </w:rPr>
        <w:t>1</w:t>
      </w:r>
      <w:r>
        <w:rPr/>
        <w:t>、事项描述</w:t>
      </w:r>
      <w:r>
        <w:rPr>
          <w:rFonts w:ascii="宋体" w:hAnsi="宋体" w:cs="宋体" w:eastAsia="宋体" w:hint="default"/>
        </w:rPr>
        <w:t> </w:t>
      </w:r>
    </w:p>
    <w:p>
      <w:pPr>
        <w:pStyle w:val="BodyText"/>
        <w:spacing w:line="247" w:lineRule="exact"/>
        <w:ind w:left="545" w:right="202"/>
        <w:jc w:val="center"/>
      </w:pPr>
      <w:r>
        <w:rPr/>
        <w:t>截至</w:t>
      </w:r>
      <w:r>
        <w:rPr>
          <w:spacing w:val="-39"/>
        </w:rPr>
        <w:t> </w:t>
      </w:r>
      <w:r>
        <w:rPr>
          <w:rFonts w:ascii="宋体" w:hAnsi="宋体" w:cs="宋体" w:eastAsia="宋体" w:hint="default"/>
        </w:rPr>
        <w:t>2019</w:t>
      </w:r>
      <w:r>
        <w:rPr>
          <w:rFonts w:ascii="宋体" w:hAnsi="宋体" w:cs="宋体" w:eastAsia="宋体" w:hint="default"/>
          <w:spacing w:val="-42"/>
        </w:rPr>
        <w:t> </w:t>
      </w:r>
      <w:r>
        <w:rPr>
          <w:spacing w:val="-5"/>
        </w:rPr>
        <w:t>年末，如贵公司财务报表附注五、（二）所述，应收账款余额</w:t>
      </w:r>
      <w:r>
        <w:rPr>
          <w:spacing w:val="-38"/>
        </w:rPr>
        <w:t> </w:t>
      </w:r>
      <w:r>
        <w:rPr>
          <w:rFonts w:ascii="宋体" w:hAnsi="宋体" w:cs="宋体" w:eastAsia="宋体" w:hint="default"/>
        </w:rPr>
        <w:t>43.94</w:t>
      </w:r>
      <w:r>
        <w:rPr>
          <w:rFonts w:ascii="宋体" w:hAnsi="宋体" w:cs="宋体" w:eastAsia="宋体" w:hint="default"/>
          <w:spacing w:val="-39"/>
        </w:rPr>
        <w:t> </w:t>
      </w:r>
      <w:r>
        <w:rPr>
          <w:spacing w:val="-4"/>
        </w:rPr>
        <w:t>亿，坏账准备</w:t>
      </w:r>
    </w:p>
    <w:p>
      <w:pPr>
        <w:pStyle w:val="BodyText"/>
        <w:spacing w:line="240" w:lineRule="auto"/>
        <w:ind w:right="102"/>
        <w:jc w:val="left"/>
        <w:rPr>
          <w:rFonts w:ascii="宋体" w:hAnsi="宋体" w:cs="宋体" w:eastAsia="宋体" w:hint="default"/>
        </w:rPr>
      </w:pPr>
      <w:r>
        <w:rPr/>
        <w:t>金额</w:t>
      </w:r>
      <w:r>
        <w:rPr>
          <w:spacing w:val="-28"/>
        </w:rPr>
        <w:t> </w:t>
      </w:r>
      <w:r>
        <w:rPr>
          <w:rFonts w:ascii="宋体" w:hAnsi="宋体" w:cs="宋体" w:eastAsia="宋体" w:hint="default"/>
        </w:rPr>
        <w:t>4.48</w:t>
      </w:r>
      <w:r>
        <w:rPr>
          <w:rFonts w:ascii="宋体" w:hAnsi="宋体" w:cs="宋体" w:eastAsia="宋体" w:hint="default"/>
          <w:spacing w:val="-33"/>
        </w:rPr>
        <w:t> </w:t>
      </w:r>
      <w:r>
        <w:rPr>
          <w:spacing w:val="-4"/>
        </w:rPr>
        <w:t>亿，账面价值较高。若应收账款不能按期收回或无法收回而发生坏账对财务报表影响较</w:t>
      </w:r>
      <w:r>
        <w:rPr>
          <w:spacing w:val="-97"/>
        </w:rPr>
        <w:t> </w:t>
      </w:r>
      <w:r>
        <w:rPr>
          <w:spacing w:val="-97"/>
        </w:rPr>
      </w:r>
      <w:r>
        <w:rPr/>
        <w:t>为重大，为此我们识别应收账款的坏账准备为关键审计事项。</w:t>
      </w:r>
      <w:r>
        <w:rPr>
          <w:rFonts w:ascii="宋体" w:hAnsi="宋体" w:cs="宋体" w:eastAsia="宋体" w:hint="default"/>
        </w:rPr>
        <w:t> </w:t>
      </w:r>
    </w:p>
    <w:p>
      <w:pPr>
        <w:pStyle w:val="BodyText"/>
        <w:spacing w:line="274" w:lineRule="exact" w:before="22"/>
        <w:ind w:left="336" w:right="3085"/>
        <w:jc w:val="left"/>
        <w:rPr>
          <w:rFonts w:ascii="宋体" w:hAnsi="宋体" w:cs="宋体" w:eastAsia="宋体" w:hint="default"/>
        </w:rPr>
      </w:pPr>
      <w:r>
        <w:rPr>
          <w:rFonts w:ascii="宋体" w:hAnsi="宋体" w:cs="宋体" w:eastAsia="宋体" w:hint="default"/>
        </w:rPr>
        <w:t>2</w:t>
      </w:r>
      <w:r>
        <w:rPr/>
        <w:t>、审计应对</w:t>
      </w:r>
      <w:r>
        <w:rPr>
          <w:rFonts w:ascii="宋体" w:hAnsi="宋体" w:cs="宋体" w:eastAsia="宋体" w:hint="default"/>
          <w:w w:val="100"/>
        </w:rPr>
        <w:t> </w:t>
      </w:r>
      <w:r>
        <w:rPr/>
        <w:t>针对应收账款的坏账准备，我们设计并实施如下审计程序：</w:t>
      </w:r>
      <w:r>
        <w:rPr>
          <w:rFonts w:ascii="宋体" w:hAnsi="宋体" w:cs="宋体" w:eastAsia="宋体" w:hint="default"/>
        </w:rPr>
        <w:t> </w:t>
      </w:r>
    </w:p>
    <w:p>
      <w:pPr>
        <w:pStyle w:val="BodyText"/>
        <w:spacing w:line="244" w:lineRule="exact"/>
        <w:ind w:left="336" w:right="102"/>
        <w:jc w:val="left"/>
        <w:rPr>
          <w:rFonts w:ascii="宋体" w:hAnsi="宋体" w:cs="宋体" w:eastAsia="宋体" w:hint="default"/>
        </w:rPr>
      </w:pPr>
      <w:r>
        <w:rPr>
          <w:rFonts w:ascii="宋体" w:hAnsi="宋体" w:cs="宋体" w:eastAsia="宋体" w:hint="default"/>
        </w:rPr>
        <w:t>1</w:t>
      </w:r>
      <w:r>
        <w:rPr/>
        <w:t>）对贵公司信用政策及应收账款管理相关内部控制的设计和运行有效性进行了评估和测试；</w:t>
      </w:r>
      <w:r>
        <w:rPr>
          <w:rFonts w:ascii="宋体" w:hAnsi="宋体" w:cs="宋体" w:eastAsia="宋体" w:hint="default"/>
        </w:rPr>
        <w:t> </w:t>
      </w:r>
    </w:p>
    <w:p>
      <w:pPr>
        <w:pStyle w:val="BodyText"/>
        <w:spacing w:line="240" w:lineRule="auto"/>
        <w:ind w:right="102" w:firstLine="199"/>
        <w:jc w:val="left"/>
        <w:rPr>
          <w:rFonts w:ascii="宋体" w:hAnsi="宋体" w:cs="宋体" w:eastAsia="宋体" w:hint="default"/>
        </w:rPr>
      </w:pPr>
      <w:r>
        <w:rPr>
          <w:rFonts w:ascii="宋体" w:hAnsi="宋体" w:cs="宋体" w:eastAsia="宋体" w:hint="default"/>
          <w:spacing w:val="-4"/>
        </w:rPr>
        <w:t>2</w:t>
      </w:r>
      <w:r>
        <w:rPr>
          <w:spacing w:val="-4"/>
        </w:rPr>
        <w:t>）分析贵公司应收账款坏账准备会计估计的合理性，包括应收账款组合的依据、金额重大的判</w:t>
      </w:r>
      <w:r>
        <w:rPr>
          <w:w w:val="100"/>
        </w:rPr>
        <w:t> </w:t>
      </w:r>
      <w:r>
        <w:rPr/>
        <w:t>断、单独计提坏账准备的判断等；</w:t>
      </w:r>
      <w:r>
        <w:rPr>
          <w:rFonts w:ascii="宋体" w:hAnsi="宋体" w:cs="宋体" w:eastAsia="宋体" w:hint="default"/>
        </w:rPr>
        <w:t> </w:t>
      </w:r>
    </w:p>
    <w:p>
      <w:pPr>
        <w:pStyle w:val="BodyText"/>
        <w:spacing w:line="274" w:lineRule="exact" w:before="22"/>
        <w:ind w:right="102" w:firstLine="199"/>
        <w:jc w:val="left"/>
        <w:rPr>
          <w:rFonts w:ascii="宋体" w:hAnsi="宋体" w:cs="宋体" w:eastAsia="宋体" w:hint="default"/>
        </w:rPr>
      </w:pPr>
      <w:r>
        <w:rPr>
          <w:rFonts w:ascii="宋体" w:hAnsi="宋体" w:cs="宋体" w:eastAsia="宋体" w:hint="default"/>
          <w:spacing w:val="-4"/>
        </w:rPr>
        <w:t>3</w:t>
      </w:r>
      <w:r>
        <w:rPr>
          <w:spacing w:val="-4"/>
        </w:rPr>
        <w:t>）分析计算贵公司资产负债表日坏账准备金额与应收账款余额之间的比率，比较前期坏账准备</w:t>
      </w:r>
      <w:r>
        <w:rPr>
          <w:w w:val="100"/>
        </w:rPr>
        <w:t> </w:t>
      </w:r>
      <w:r>
        <w:rPr/>
        <w:t>计提数和实际发生数，分析应收账款坏账准备计提的充分性；</w:t>
      </w:r>
      <w:r>
        <w:rPr>
          <w:rFonts w:ascii="宋体" w:hAnsi="宋体" w:cs="宋体" w:eastAsia="宋体" w:hint="default"/>
        </w:rPr>
        <w:t> </w:t>
      </w:r>
    </w:p>
    <w:p>
      <w:pPr>
        <w:pStyle w:val="BodyText"/>
        <w:spacing w:line="246" w:lineRule="exact"/>
        <w:ind w:left="336" w:right="102"/>
        <w:jc w:val="left"/>
      </w:pPr>
      <w:r>
        <w:rPr>
          <w:rFonts w:ascii="宋体" w:hAnsi="宋体" w:cs="宋体" w:eastAsia="宋体" w:hint="default"/>
          <w:spacing w:val="-4"/>
        </w:rPr>
        <w:t>4</w:t>
      </w:r>
      <w:r>
        <w:rPr>
          <w:spacing w:val="-4"/>
        </w:rPr>
        <w:t>）分析应收账款的账龄和客户信誉情况，并执行应收账款函证程序及检查期后回款情况，评价</w:t>
      </w:r>
    </w:p>
    <w:p>
      <w:pPr>
        <w:pStyle w:val="BodyText"/>
        <w:spacing w:line="272" w:lineRule="exact" w:before="27"/>
        <w:ind w:left="336" w:right="102" w:hanging="200"/>
        <w:jc w:val="left"/>
      </w:pPr>
      <w:r>
        <w:rPr/>
        <w:t>坏账准备计提的合理性；</w:t>
      </w:r>
      <w:r>
        <w:rPr>
          <w:rFonts w:ascii="宋体" w:hAnsi="宋体" w:cs="宋体" w:eastAsia="宋体" w:hint="default"/>
          <w:w w:val="100"/>
        </w:rPr>
        <w:t> </w:t>
      </w:r>
      <w:r>
        <w:rPr>
          <w:rFonts w:ascii="宋体" w:hAnsi="宋体" w:cs="宋体" w:eastAsia="宋体" w:hint="default"/>
          <w:spacing w:val="-4"/>
        </w:rPr>
        <w:t>5</w:t>
      </w:r>
      <w:r>
        <w:rPr>
          <w:spacing w:val="-4"/>
        </w:rPr>
        <w:t>）获取坏账准备计提表，检查计提方法是否按照坏账政策执行；重新计算坏账准备计提金额的</w:t>
      </w:r>
    </w:p>
    <w:p>
      <w:pPr>
        <w:pStyle w:val="BodyText"/>
        <w:spacing w:line="272" w:lineRule="exact" w:before="1"/>
        <w:ind w:left="336" w:right="102" w:hanging="200"/>
        <w:jc w:val="left"/>
      </w:pPr>
      <w:r>
        <w:rPr/>
        <w:t>准确性；</w:t>
      </w:r>
      <w:r>
        <w:rPr>
          <w:rFonts w:ascii="宋体" w:hAnsi="宋体" w:cs="宋体" w:eastAsia="宋体" w:hint="default"/>
          <w:w w:val="100"/>
        </w:rPr>
        <w:t> </w:t>
      </w:r>
      <w:r>
        <w:rPr>
          <w:rFonts w:ascii="宋体" w:hAnsi="宋体" w:cs="宋体" w:eastAsia="宋体" w:hint="default"/>
          <w:spacing w:val="-4"/>
        </w:rPr>
        <w:t>6</w:t>
      </w:r>
      <w:r>
        <w:rPr>
          <w:spacing w:val="-4"/>
        </w:rPr>
        <w:t>）检查主要客户与采购供应商的公开信息，识别是否存在关联关系；将客户与供应商信息进行</w:t>
      </w:r>
    </w:p>
    <w:p>
      <w:pPr>
        <w:pStyle w:val="BodyText"/>
        <w:spacing w:line="247" w:lineRule="exact"/>
        <w:ind w:right="102"/>
        <w:jc w:val="left"/>
        <w:rPr>
          <w:rFonts w:ascii="宋体" w:hAnsi="宋体" w:cs="宋体" w:eastAsia="宋体" w:hint="default"/>
        </w:rPr>
      </w:pPr>
      <w:r>
        <w:rPr/>
        <w:t>比较，确定是否存在同一公司既为客户又为供应商的情况。</w:t>
      </w:r>
      <w:r>
        <w:rPr>
          <w:rFonts w:ascii="宋体" w:hAnsi="宋体" w:cs="宋体" w:eastAsia="宋体" w:hint="default"/>
        </w:rPr>
        <w:t> </w:t>
      </w:r>
    </w:p>
    <w:p>
      <w:pPr>
        <w:pStyle w:val="BodyText"/>
        <w:spacing w:line="240" w:lineRule="auto"/>
        <w:ind w:left="336" w:right="102"/>
        <w:jc w:val="left"/>
        <w:rPr>
          <w:rFonts w:ascii="宋体" w:hAnsi="宋体" w:cs="宋体" w:eastAsia="宋体" w:hint="default"/>
        </w:rPr>
      </w:pPr>
      <w:r>
        <w:rPr>
          <w:rFonts w:ascii="宋体" w:hAnsi="宋体" w:cs="宋体" w:eastAsia="宋体" w:hint="default"/>
          <w:w w:val="100"/>
        </w:rPr>
        <w:t>  </w:t>
      </w:r>
      <w:r>
        <w:rPr>
          <w:w w:val="100"/>
        </w:rPr>
        <w:t>四、</w:t>
      </w:r>
      <w:r>
        <w:rPr>
          <w:spacing w:val="-3"/>
          <w:w w:val="100"/>
        </w:rPr>
        <w:t>其</w:t>
      </w:r>
      <w:r>
        <w:rPr>
          <w:w w:val="100"/>
        </w:rPr>
        <w:t>他</w:t>
      </w:r>
      <w:r>
        <w:rPr>
          <w:spacing w:val="-3"/>
          <w:w w:val="100"/>
        </w:rPr>
        <w:t>信息</w:t>
      </w:r>
      <w:r>
        <w:rPr>
          <w:rFonts w:ascii="宋体" w:hAnsi="宋体" w:cs="宋体" w:eastAsia="宋体" w:hint="default"/>
          <w:color w:val="0000FF"/>
          <w:w w:val="100"/>
        </w:rPr>
        <w:t> </w:t>
      </w:r>
      <w:r>
        <w:rPr>
          <w:rFonts w:ascii="宋体" w:hAnsi="宋体" w:cs="宋体" w:eastAsia="宋体" w:hint="default"/>
          <w:w w:val="100"/>
        </w:rPr>
      </w:r>
    </w:p>
    <w:p>
      <w:pPr>
        <w:pStyle w:val="BodyText"/>
        <w:spacing w:line="274" w:lineRule="exact" w:before="22"/>
        <w:ind w:right="102" w:firstLine="199"/>
        <w:jc w:val="left"/>
        <w:rPr>
          <w:rFonts w:ascii="宋体" w:hAnsi="宋体" w:cs="宋体" w:eastAsia="宋体" w:hint="default"/>
        </w:rPr>
      </w:pPr>
      <w:r>
        <w:rPr>
          <w:spacing w:val="-4"/>
        </w:rPr>
        <w:t>贵公司管理层（以下简称管理层）对其他信息负责。其他信息包括贵公司 </w:t>
      </w:r>
      <w:r>
        <w:rPr>
          <w:rFonts w:ascii="宋体" w:hAnsi="宋体" w:cs="宋体" w:eastAsia="宋体" w:hint="default"/>
        </w:rPr>
        <w:t>2019</w:t>
      </w:r>
      <w:r>
        <w:rPr>
          <w:rFonts w:ascii="宋体" w:hAnsi="宋体" w:cs="宋体" w:eastAsia="宋体" w:hint="default"/>
          <w:spacing w:val="-74"/>
        </w:rPr>
        <w:t> </w:t>
      </w:r>
      <w:r>
        <w:rPr/>
        <w:t>年年度报告中涵</w:t>
      </w:r>
      <w:r>
        <w:rPr>
          <w:w w:val="100"/>
        </w:rPr>
        <w:t> </w:t>
      </w:r>
      <w:r>
        <w:rPr/>
        <w:t>盖的信息，但不包括财务报表和我们的审计报告。</w:t>
      </w:r>
      <w:r>
        <w:rPr>
          <w:rFonts w:ascii="宋体" w:hAnsi="宋体" w:cs="宋体" w:eastAsia="宋体" w:hint="default"/>
        </w:rPr>
        <w:t> </w:t>
      </w:r>
    </w:p>
    <w:p>
      <w:pPr>
        <w:pStyle w:val="BodyText"/>
        <w:spacing w:line="245" w:lineRule="exact"/>
        <w:ind w:left="336" w:right="102"/>
        <w:jc w:val="left"/>
      </w:pPr>
      <w:r>
        <w:rPr/>
        <w:t>我们对财务报表发表的审计意见并不涵盖其他信息，我们也不对其他信息发表任何形式的鉴证</w:t>
      </w:r>
    </w:p>
    <w:p>
      <w:pPr>
        <w:pStyle w:val="BodyText"/>
        <w:spacing w:line="272" w:lineRule="exact" w:before="27"/>
        <w:ind w:left="336" w:right="102" w:hanging="200"/>
        <w:jc w:val="left"/>
      </w:pPr>
      <w:r>
        <w:rPr/>
        <w:t>结论。</w:t>
      </w:r>
      <w:r>
        <w:rPr>
          <w:rFonts w:ascii="宋体" w:hAnsi="宋体" w:cs="宋体" w:eastAsia="宋体" w:hint="default"/>
          <w:w w:val="100"/>
        </w:rPr>
        <w:t> </w:t>
      </w:r>
      <w:r>
        <w:rPr>
          <w:spacing w:val="-1"/>
        </w:rPr>
        <w:t>结合我们对财务报表的审计，我们的责任是阅读其他信息，在此过程中，考虑其他信息是否与</w:t>
      </w:r>
    </w:p>
    <w:p>
      <w:pPr>
        <w:pStyle w:val="BodyText"/>
        <w:spacing w:line="272" w:lineRule="exact" w:before="2"/>
        <w:ind w:left="336" w:right="102" w:hanging="200"/>
        <w:jc w:val="left"/>
      </w:pPr>
      <w:r>
        <w:rPr/>
        <w:t>财务报表或我们在审计过程中了解到的情况存在重大不一致或者似乎存在重大错报。</w:t>
      </w:r>
      <w:r>
        <w:rPr>
          <w:rFonts w:ascii="宋体" w:hAnsi="宋体" w:cs="宋体" w:eastAsia="宋体" w:hint="default"/>
          <w:w w:val="100"/>
        </w:rPr>
        <w:t> </w:t>
      </w:r>
      <w:r>
        <w:rPr>
          <w:spacing w:val="-1"/>
        </w:rPr>
        <w:t>基于我们已执行的工作，如果我们确定其他信息存在重大错报，我们应当报告该事实。在这方</w:t>
      </w:r>
    </w:p>
    <w:p>
      <w:pPr>
        <w:pStyle w:val="BodyText"/>
        <w:spacing w:line="247" w:lineRule="exact"/>
        <w:ind w:right="102"/>
        <w:jc w:val="left"/>
        <w:rPr>
          <w:rFonts w:ascii="宋体" w:hAnsi="宋体" w:cs="宋体" w:eastAsia="宋体" w:hint="default"/>
        </w:rPr>
      </w:pPr>
      <w:r>
        <w:rPr/>
        <w:t>面，我们无任何事项需要报告。</w:t>
      </w:r>
      <w:r>
        <w:rPr>
          <w:rFonts w:ascii="宋体" w:hAnsi="宋体" w:cs="宋体" w:eastAsia="宋体" w:hint="default"/>
        </w:rPr>
        <w:t> </w:t>
      </w:r>
    </w:p>
    <w:p>
      <w:pPr>
        <w:pStyle w:val="BodyText"/>
        <w:spacing w:line="272" w:lineRule="exact" w:before="26"/>
        <w:ind w:left="336" w:right="102"/>
        <w:jc w:val="left"/>
        <w:rPr>
          <w:rFonts w:ascii="宋体" w:hAnsi="宋体" w:cs="宋体" w:eastAsia="宋体" w:hint="default"/>
        </w:rPr>
      </w:pPr>
      <w:r>
        <w:rPr>
          <w:rFonts w:ascii="宋体" w:hAnsi="宋体" w:cs="宋体" w:eastAsia="宋体" w:hint="default"/>
          <w:w w:val="100"/>
        </w:rPr>
        <w:t>  </w:t>
      </w:r>
      <w:r>
        <w:rPr>
          <w:w w:val="100"/>
        </w:rPr>
        <w:t>五、</w:t>
      </w:r>
      <w:r>
        <w:rPr>
          <w:spacing w:val="-3"/>
          <w:w w:val="100"/>
        </w:rPr>
        <w:t>管</w:t>
      </w:r>
      <w:r>
        <w:rPr>
          <w:w w:val="100"/>
        </w:rPr>
        <w:t>理</w:t>
      </w:r>
      <w:r>
        <w:rPr>
          <w:spacing w:val="-3"/>
          <w:w w:val="100"/>
        </w:rPr>
        <w:t>层</w:t>
      </w:r>
      <w:r>
        <w:rPr>
          <w:w w:val="100"/>
        </w:rPr>
        <w:t>和</w:t>
      </w:r>
      <w:r>
        <w:rPr>
          <w:spacing w:val="-3"/>
          <w:w w:val="100"/>
        </w:rPr>
        <w:t>治</w:t>
      </w:r>
      <w:r>
        <w:rPr>
          <w:w w:val="100"/>
        </w:rPr>
        <w:t>理</w:t>
      </w:r>
      <w:r>
        <w:rPr>
          <w:spacing w:val="-3"/>
          <w:w w:val="100"/>
        </w:rPr>
        <w:t>层</w:t>
      </w:r>
      <w:r>
        <w:rPr>
          <w:w w:val="100"/>
        </w:rPr>
        <w:t>对</w:t>
      </w:r>
      <w:r>
        <w:rPr>
          <w:spacing w:val="-3"/>
          <w:w w:val="100"/>
        </w:rPr>
        <w:t>财</w:t>
      </w:r>
      <w:r>
        <w:rPr>
          <w:w w:val="100"/>
        </w:rPr>
        <w:t>务报</w:t>
      </w:r>
      <w:r>
        <w:rPr>
          <w:spacing w:val="-3"/>
          <w:w w:val="100"/>
        </w:rPr>
        <w:t>表</w:t>
      </w:r>
      <w:r>
        <w:rPr>
          <w:w w:val="100"/>
        </w:rPr>
        <w:t>的</w:t>
      </w:r>
      <w:r>
        <w:rPr>
          <w:spacing w:val="-3"/>
          <w:w w:val="100"/>
        </w:rPr>
        <w:t>责任</w:t>
      </w:r>
      <w:r>
        <w:rPr>
          <w:rFonts w:ascii="宋体" w:hAnsi="宋体" w:cs="宋体" w:eastAsia="宋体" w:hint="default"/>
          <w:w w:val="100"/>
        </w:rPr>
        <w:t> </w:t>
      </w:r>
    </w:p>
    <w:p>
      <w:pPr>
        <w:pStyle w:val="BodyText"/>
        <w:spacing w:line="272" w:lineRule="exact" w:before="1"/>
        <w:ind w:right="102" w:firstLine="199"/>
        <w:jc w:val="left"/>
        <w:rPr>
          <w:rFonts w:ascii="宋体" w:hAnsi="宋体" w:cs="宋体" w:eastAsia="宋体" w:hint="default"/>
        </w:rPr>
      </w:pPr>
      <w:r>
        <w:rPr>
          <w:spacing w:val="-1"/>
        </w:rPr>
        <w:t>管理层负责按照企业会计准则的规定编制财务报表，使其实现公允反映，并设计、执行和维护</w:t>
      </w:r>
      <w:r>
        <w:rPr>
          <w:w w:val="100"/>
        </w:rPr>
        <w:t> </w:t>
      </w:r>
      <w:r>
        <w:rPr/>
        <w:t>必要的内部控制，以使财务报表不存在由于舞弊或错误导致的重大错报。</w:t>
      </w:r>
      <w:r>
        <w:rPr>
          <w:rFonts w:ascii="宋体" w:hAnsi="宋体" w:cs="宋体" w:eastAsia="宋体" w:hint="default"/>
        </w:rPr>
        <w:t> </w:t>
      </w:r>
    </w:p>
    <w:p>
      <w:pPr>
        <w:pStyle w:val="BodyText"/>
        <w:spacing w:line="272" w:lineRule="exact" w:before="1"/>
        <w:ind w:right="102" w:firstLine="199"/>
        <w:jc w:val="left"/>
        <w:rPr>
          <w:rFonts w:ascii="宋体" w:hAnsi="宋体" w:cs="宋体" w:eastAsia="宋体" w:hint="default"/>
        </w:rPr>
      </w:pPr>
      <w:r>
        <w:rPr/>
        <w:t>在编制财务报表时，管理层负责评估贵公司的持续经营能力，披露与持续经营相关的事项（如</w:t>
      </w:r>
      <w:r>
        <w:rPr>
          <w:w w:val="100"/>
        </w:rPr>
        <w:t> </w:t>
      </w:r>
      <w:r>
        <w:rPr/>
        <w:t>适用），并运用持续经营假设，除非管理层计划清算贵公司、终止运营或别无其他现实的选择。</w:t>
      </w:r>
      <w:r>
        <w:rPr>
          <w:rFonts w:ascii="宋体" w:hAnsi="宋体" w:cs="宋体" w:eastAsia="宋体" w:hint="default"/>
        </w:rPr>
        <w:t> </w:t>
      </w:r>
    </w:p>
    <w:p>
      <w:pPr>
        <w:pStyle w:val="BodyText"/>
        <w:spacing w:line="272" w:lineRule="exact" w:before="1"/>
        <w:ind w:left="557" w:right="4345" w:hanging="221"/>
        <w:jc w:val="left"/>
        <w:rPr>
          <w:rFonts w:ascii="宋体" w:hAnsi="宋体" w:cs="宋体" w:eastAsia="宋体" w:hint="default"/>
        </w:rPr>
      </w:pPr>
      <w:r>
        <w:rPr/>
        <w:t>治理层负责监督贵公司的财务报告过程。</w:t>
      </w:r>
      <w:r>
        <w:rPr>
          <w:rFonts w:ascii="宋体" w:hAnsi="宋体" w:cs="宋体" w:eastAsia="宋体" w:hint="default"/>
          <w:w w:val="100"/>
        </w:rPr>
        <w:t> </w:t>
      </w:r>
      <w:r>
        <w:rPr/>
        <w:t>六、注册会计师对财务报表审计的责任</w:t>
      </w:r>
      <w:r>
        <w:rPr>
          <w:rFonts w:ascii="宋体" w:hAnsi="宋体" w:cs="宋体" w:eastAsia="宋体" w:hint="default"/>
        </w:rPr>
        <w:t> </w:t>
      </w:r>
    </w:p>
    <w:p>
      <w:pPr>
        <w:spacing w:after="0" w:line="272" w:lineRule="exact"/>
        <w:jc w:val="left"/>
        <w:rPr>
          <w:rFonts w:ascii="宋体" w:hAnsi="宋体" w:cs="宋体" w:eastAsia="宋体" w:hint="default"/>
        </w:rPr>
        <w:sectPr>
          <w:pgSz w:w="11910" w:h="16840"/>
          <w:pgMar w:header="877" w:footer="1195" w:top="1100" w:bottom="1380" w:left="1140" w:right="1580"/>
        </w:sectPr>
      </w:pPr>
    </w:p>
    <w:p>
      <w:pPr>
        <w:spacing w:line="240" w:lineRule="auto" w:before="3"/>
        <w:rPr>
          <w:rFonts w:ascii="宋体" w:hAnsi="宋体" w:cs="宋体" w:eastAsia="宋体" w:hint="default"/>
          <w:sz w:val="19"/>
          <w:szCs w:val="19"/>
        </w:rPr>
      </w:pPr>
    </w:p>
    <w:p>
      <w:pPr>
        <w:pStyle w:val="BodyText"/>
        <w:spacing w:line="237" w:lineRule="auto" w:before="38"/>
        <w:ind w:right="229" w:firstLine="420"/>
        <w:jc w:val="both"/>
        <w:rPr>
          <w:rFonts w:ascii="宋体" w:hAnsi="宋体" w:cs="宋体" w:eastAsia="宋体" w:hint="default"/>
        </w:rPr>
      </w:pPr>
      <w:r>
        <w:rPr>
          <w:spacing w:val="-2"/>
        </w:rPr>
        <w:t>我们的目标是对财务报表整体是否不存在由于舞弊或错误导致的重大错报获取合理保证，并</w:t>
      </w:r>
      <w:r>
        <w:rPr>
          <w:w w:val="100"/>
        </w:rPr>
        <w:t> </w:t>
      </w:r>
      <w:r>
        <w:rPr>
          <w:spacing w:val="-1"/>
        </w:rPr>
        <w:t>出具包含审计意见的审计报告。合理保证是高水平的保证，但并不能保证按照审计准则执行的审</w:t>
      </w:r>
      <w:r>
        <w:rPr>
          <w:spacing w:val="-55"/>
        </w:rPr>
        <w:t> </w:t>
      </w:r>
      <w:r>
        <w:rPr>
          <w:spacing w:val="-55"/>
        </w:rPr>
      </w:r>
      <w:r>
        <w:rPr>
          <w:spacing w:val="-1"/>
        </w:rPr>
        <w:t>计在某一重大错报存在时总能发现。错报可能由于舞弊或错误导致，如果合理预期错报单独或汇</w:t>
      </w:r>
      <w:r>
        <w:rPr>
          <w:spacing w:val="-55"/>
        </w:rPr>
        <w:t> </w:t>
      </w:r>
      <w:r>
        <w:rPr>
          <w:spacing w:val="-55"/>
        </w:rPr>
      </w:r>
      <w:r>
        <w:rPr/>
        <w:t>总起来可能影响财务报表使用者依据财务报表作出的经济决策，则通常认为错报是重大的。</w:t>
      </w:r>
      <w:r>
        <w:rPr>
          <w:rFonts w:ascii="宋体" w:hAnsi="宋体" w:cs="宋体" w:eastAsia="宋体" w:hint="default"/>
        </w:rPr>
        <w:t> </w:t>
      </w:r>
    </w:p>
    <w:p>
      <w:pPr>
        <w:pStyle w:val="BodyText"/>
        <w:spacing w:line="272" w:lineRule="exact" w:before="26"/>
        <w:ind w:right="231" w:firstLine="420"/>
        <w:jc w:val="both"/>
        <w:rPr>
          <w:rFonts w:ascii="宋体" w:hAnsi="宋体" w:cs="宋体" w:eastAsia="宋体" w:hint="default"/>
        </w:rPr>
      </w:pPr>
      <w:r>
        <w:rPr>
          <w:spacing w:val="-2"/>
        </w:rPr>
        <w:t>在按照审计准则执行审计工作的过程中，我们运用职业判断，并保持职业怀疑。同时，我们</w:t>
      </w:r>
      <w:r>
        <w:rPr>
          <w:w w:val="100"/>
        </w:rPr>
        <w:t> </w:t>
      </w:r>
      <w:r>
        <w:rPr/>
        <w:t>也执行以下工作：</w:t>
      </w:r>
      <w:r>
        <w:rPr>
          <w:rFonts w:ascii="宋体" w:hAnsi="宋体" w:cs="宋体" w:eastAsia="宋体" w:hint="default"/>
        </w:rPr>
        <w:t> </w:t>
      </w:r>
    </w:p>
    <w:p>
      <w:pPr>
        <w:pStyle w:val="BodyText"/>
        <w:spacing w:line="272" w:lineRule="exact" w:before="1"/>
        <w:ind w:right="229" w:firstLine="420"/>
        <w:jc w:val="both"/>
      </w:pPr>
      <w:r>
        <w:rPr>
          <w:spacing w:val="-2"/>
        </w:rPr>
        <w:t>（一）识别和评估由于舞弊或错误导致的财务报表重大错报风险，设计和实施审计程序以应</w:t>
      </w:r>
      <w:r>
        <w:rPr>
          <w:w w:val="100"/>
        </w:rPr>
        <w:t> </w:t>
      </w:r>
      <w:r>
        <w:rPr>
          <w:spacing w:val="-6"/>
        </w:rPr>
        <w:t>对这些风险，并获取充分、适当的审计证据，作为发表审计意见的基础。由于舞弊可能涉及串通、</w:t>
      </w:r>
    </w:p>
    <w:p>
      <w:pPr>
        <w:pStyle w:val="BodyText"/>
        <w:spacing w:line="272" w:lineRule="exact" w:before="1"/>
        <w:ind w:right="0"/>
        <w:jc w:val="left"/>
        <w:rPr>
          <w:rFonts w:ascii="宋体" w:hAnsi="宋体" w:cs="宋体" w:eastAsia="宋体" w:hint="default"/>
        </w:rPr>
      </w:pPr>
      <w:r>
        <w:rPr>
          <w:spacing w:val="-1"/>
        </w:rPr>
        <w:t>伪造、故意遗漏、虚假陈述或凌驾于内部控制之上，未能发现由于舞弊导致的重大错报的风险高</w:t>
      </w:r>
      <w:r>
        <w:rPr>
          <w:spacing w:val="-54"/>
        </w:rPr>
        <w:t> </w:t>
      </w:r>
      <w:r>
        <w:rPr>
          <w:spacing w:val="-54"/>
        </w:rPr>
      </w:r>
      <w:r>
        <w:rPr/>
        <w:t>于未能发现由于错误导致的重大错报的风险。</w:t>
      </w:r>
      <w:r>
        <w:rPr>
          <w:rFonts w:ascii="宋体" w:hAnsi="宋体" w:cs="宋体" w:eastAsia="宋体" w:hint="default"/>
        </w:rPr>
        <w:t> </w:t>
      </w:r>
    </w:p>
    <w:p>
      <w:pPr>
        <w:pStyle w:val="BodyText"/>
        <w:spacing w:line="272" w:lineRule="exact" w:before="1"/>
        <w:ind w:right="231" w:firstLine="420"/>
        <w:jc w:val="both"/>
        <w:rPr>
          <w:rFonts w:ascii="宋体" w:hAnsi="宋体" w:cs="宋体" w:eastAsia="宋体" w:hint="default"/>
        </w:rPr>
      </w:pPr>
      <w:r>
        <w:rPr>
          <w:spacing w:val="-2"/>
        </w:rPr>
        <w:t>（二）了解与审计相关的内部控制，以设计恰当的审计程序，但目的并非对内部控制的有效</w:t>
      </w:r>
      <w:r>
        <w:rPr>
          <w:w w:val="100"/>
        </w:rPr>
        <w:t> </w:t>
      </w:r>
      <w:r>
        <w:rPr/>
        <w:t>性发表意见。</w:t>
      </w:r>
      <w:r>
        <w:rPr>
          <w:rFonts w:ascii="宋体" w:hAnsi="宋体" w:cs="宋体" w:eastAsia="宋体" w:hint="default"/>
          <w:color w:val="0000FF"/>
        </w:rPr>
        <w:t> </w:t>
      </w:r>
      <w:r>
        <w:rPr>
          <w:rFonts w:ascii="宋体" w:hAnsi="宋体" w:cs="宋体" w:eastAsia="宋体" w:hint="default"/>
        </w:rPr>
      </w:r>
    </w:p>
    <w:p>
      <w:pPr>
        <w:pStyle w:val="BodyText"/>
        <w:spacing w:line="247" w:lineRule="exact"/>
        <w:ind w:left="557" w:right="0"/>
        <w:jc w:val="left"/>
        <w:rPr>
          <w:rFonts w:ascii="宋体" w:hAnsi="宋体" w:cs="宋体" w:eastAsia="宋体" w:hint="default"/>
        </w:rPr>
      </w:pPr>
      <w:r>
        <w:rPr/>
        <w:t>（三）评价管理层选用会计政策的恰当性和作出会计估计及相关披露的合理性。</w:t>
      </w:r>
      <w:r>
        <w:rPr>
          <w:rFonts w:ascii="宋体" w:hAnsi="宋体" w:cs="宋体" w:eastAsia="宋体" w:hint="default"/>
        </w:rPr>
        <w:t> </w:t>
      </w:r>
    </w:p>
    <w:p>
      <w:pPr>
        <w:pStyle w:val="BodyText"/>
        <w:spacing w:line="237" w:lineRule="auto"/>
        <w:ind w:right="229" w:firstLine="420"/>
        <w:jc w:val="both"/>
        <w:rPr>
          <w:rFonts w:ascii="宋体" w:hAnsi="宋体" w:cs="宋体" w:eastAsia="宋体" w:hint="default"/>
        </w:rPr>
      </w:pPr>
      <w:r>
        <w:rPr>
          <w:spacing w:val="-2"/>
        </w:rPr>
        <w:t>（四）对管理层使用持续经营假设的恰当性得出结论。同时，根据获取的审计证据，就可能</w:t>
      </w:r>
      <w:r>
        <w:rPr>
          <w:w w:val="100"/>
        </w:rPr>
        <w:t> </w:t>
      </w:r>
      <w:r>
        <w:rPr>
          <w:spacing w:val="-1"/>
        </w:rPr>
        <w:t>导致对贵公司持续经营能力产生重大疑虑的事项或情况是否存在重大不确定性得出结论。如果我</w:t>
      </w:r>
      <w:r>
        <w:rPr>
          <w:spacing w:val="-55"/>
        </w:rPr>
        <w:t> </w:t>
      </w:r>
      <w:r>
        <w:rPr>
          <w:spacing w:val="-55"/>
        </w:rPr>
      </w:r>
      <w:r>
        <w:rPr>
          <w:spacing w:val="-1"/>
        </w:rPr>
        <w:t>们得出结论认为存在重大不确定性，审计准则要求我们在审计报告中提请报表使用者注意财务报</w:t>
      </w:r>
      <w:r>
        <w:rPr>
          <w:spacing w:val="-55"/>
        </w:rPr>
        <w:t> </w:t>
      </w:r>
      <w:r>
        <w:rPr>
          <w:spacing w:val="-55"/>
        </w:rPr>
      </w:r>
      <w:r>
        <w:rPr>
          <w:spacing w:val="-1"/>
        </w:rPr>
        <w:t>表中的相关披露；如果披露不充分，我们应当发表非无保留意见。我们的结论基于截至审计报告</w:t>
      </w:r>
      <w:r>
        <w:rPr>
          <w:spacing w:val="-55"/>
        </w:rPr>
        <w:t> </w:t>
      </w:r>
      <w:r>
        <w:rPr>
          <w:spacing w:val="-55"/>
        </w:rPr>
      </w:r>
      <w:r>
        <w:rPr/>
        <w:t>日可获得的信息。然而，未来的事项或情况可能导致贵公司不能持续经营。</w:t>
      </w:r>
      <w:r>
        <w:rPr>
          <w:rFonts w:ascii="宋体" w:hAnsi="宋体" w:cs="宋体" w:eastAsia="宋体" w:hint="default"/>
        </w:rPr>
        <w:t> </w:t>
      </w:r>
    </w:p>
    <w:p>
      <w:pPr>
        <w:pStyle w:val="BodyText"/>
        <w:spacing w:line="272" w:lineRule="exact" w:before="26"/>
        <w:ind w:right="231" w:firstLine="420"/>
        <w:jc w:val="both"/>
        <w:rPr>
          <w:rFonts w:ascii="宋体" w:hAnsi="宋体" w:cs="宋体" w:eastAsia="宋体" w:hint="default"/>
        </w:rPr>
      </w:pPr>
      <w:r>
        <w:rPr>
          <w:spacing w:val="-2"/>
        </w:rPr>
        <w:t>（五）评价财务报表的总体列报、结构和内容，并评价财务报表是否公允反映相关交易和事</w:t>
      </w:r>
      <w:r>
        <w:rPr>
          <w:w w:val="100"/>
        </w:rPr>
        <w:t> </w:t>
      </w:r>
      <w:r>
        <w:rPr/>
        <w:t>项。</w:t>
      </w:r>
      <w:r>
        <w:rPr>
          <w:rFonts w:ascii="宋体" w:hAnsi="宋体" w:cs="宋体" w:eastAsia="宋体" w:hint="default"/>
        </w:rPr>
        <w:t> </w:t>
      </w:r>
    </w:p>
    <w:p>
      <w:pPr>
        <w:pStyle w:val="BodyText"/>
        <w:spacing w:line="272" w:lineRule="exact" w:before="1"/>
        <w:ind w:right="231" w:firstLine="420"/>
        <w:jc w:val="both"/>
        <w:rPr>
          <w:rFonts w:ascii="宋体" w:hAnsi="宋体" w:cs="宋体" w:eastAsia="宋体" w:hint="default"/>
        </w:rPr>
      </w:pPr>
      <w:r>
        <w:rPr>
          <w:spacing w:val="-2"/>
        </w:rPr>
        <w:t>我们与治理层就计划的审计范围、时间安排和重大审计发现等事项进行沟通，包括沟通我们</w:t>
      </w:r>
      <w:r>
        <w:rPr>
          <w:w w:val="100"/>
        </w:rPr>
        <w:t> </w:t>
      </w:r>
      <w:r>
        <w:rPr/>
        <w:t>在审计中识别出的值得关注的内部控制缺陷。</w:t>
      </w:r>
      <w:r>
        <w:rPr>
          <w:rFonts w:ascii="宋体" w:hAnsi="宋体" w:cs="宋体" w:eastAsia="宋体" w:hint="default"/>
        </w:rPr>
        <w:t> </w:t>
      </w:r>
    </w:p>
    <w:p>
      <w:pPr>
        <w:pStyle w:val="BodyText"/>
        <w:spacing w:line="246" w:lineRule="exact"/>
        <w:ind w:left="557" w:right="0"/>
        <w:jc w:val="left"/>
      </w:pPr>
      <w:r>
        <w:rPr/>
        <w:t>我们还就遵守与独立性相关的职业道德要求向治理层提供声明，并与治理层沟通可能被合理</w:t>
      </w:r>
    </w:p>
    <w:p>
      <w:pPr>
        <w:pStyle w:val="BodyText"/>
        <w:spacing w:line="272" w:lineRule="exact" w:before="27"/>
        <w:ind w:left="557" w:right="0" w:hanging="421"/>
        <w:jc w:val="left"/>
      </w:pPr>
      <w:r>
        <w:rPr/>
        <w:t>认为影响我们独立性的所有关系和其他事项，以及相关的防范措施（如适用）。</w:t>
      </w:r>
      <w:r>
        <w:rPr>
          <w:rFonts w:ascii="宋体" w:hAnsi="宋体" w:cs="宋体" w:eastAsia="宋体" w:hint="default"/>
          <w:w w:val="100"/>
        </w:rPr>
        <w:t> </w:t>
      </w:r>
      <w:r>
        <w:rPr>
          <w:spacing w:val="-2"/>
        </w:rPr>
        <w:t>从与治理层沟通过的事项中，我们确定哪些事项对本期财务报表审计最为重要，因而构成关</w:t>
      </w:r>
    </w:p>
    <w:p>
      <w:pPr>
        <w:pStyle w:val="BodyText"/>
        <w:spacing w:line="272" w:lineRule="exact" w:before="1"/>
        <w:ind w:right="0"/>
        <w:jc w:val="left"/>
      </w:pPr>
      <w:r>
        <w:rPr>
          <w:spacing w:val="-1"/>
        </w:rPr>
        <w:t>键审计事项。我们在审计报告中描述这些事项，除非法律法规禁止公开披露这些事项，或在极少</w:t>
      </w:r>
      <w:r>
        <w:rPr>
          <w:spacing w:val="-55"/>
        </w:rPr>
        <w:t> </w:t>
      </w:r>
      <w:r>
        <w:rPr>
          <w:spacing w:val="-55"/>
        </w:rPr>
      </w:r>
      <w:r>
        <w:rPr>
          <w:spacing w:val="-1"/>
        </w:rPr>
        <w:t>数情形下，如果合理预期在审计报告中沟通某事项造成的负面后果超过在公众利益方面产生的益</w:t>
      </w:r>
    </w:p>
    <w:p>
      <w:pPr>
        <w:pStyle w:val="BodyText"/>
        <w:spacing w:line="249" w:lineRule="exact"/>
        <w:ind w:right="0"/>
        <w:jc w:val="left"/>
        <w:rPr>
          <w:rFonts w:ascii="宋体" w:hAnsi="宋体" w:cs="宋体" w:eastAsia="宋体" w:hint="default"/>
        </w:rPr>
      </w:pPr>
      <w:r>
        <w:rPr/>
        <w:t>处，我们确定不应在审计报告中沟通该事项。</w:t>
      </w:r>
      <w:r>
        <w:rPr>
          <w:rFonts w:ascii="宋体" w:hAnsi="宋体" w:cs="宋体" w:eastAsia="宋体" w:hint="default"/>
        </w:rPr>
        <w:t> </w:t>
      </w:r>
    </w:p>
    <w:p>
      <w:pPr>
        <w:pStyle w:val="Heading3"/>
        <w:spacing w:line="240" w:lineRule="auto" w:before="139"/>
        <w:ind w:left="136" w:right="0"/>
        <w:jc w:val="left"/>
        <w:rPr>
          <w:rFonts w:ascii="宋体" w:hAnsi="宋体" w:cs="宋体" w:eastAsia="宋体" w:hint="default"/>
        </w:rPr>
      </w:pPr>
      <w:r>
        <w:rPr>
          <w:rFonts w:ascii="宋体"/>
          <w:color w:val="0000FF"/>
        </w:rPr>
        <w:t> </w:t>
      </w:r>
      <w:r>
        <w:rPr>
          <w:rFonts w:ascii="宋体"/>
        </w:rPr>
      </w:r>
    </w:p>
    <w:p>
      <w:pPr>
        <w:pStyle w:val="Heading3"/>
        <w:spacing w:line="240" w:lineRule="auto" w:before="146"/>
        <w:ind w:left="136" w:right="0"/>
        <w:jc w:val="left"/>
        <w:rPr>
          <w:rFonts w:ascii="宋体" w:hAnsi="宋体" w:cs="宋体" w:eastAsia="宋体" w:hint="default"/>
        </w:rPr>
      </w:pPr>
      <w:r>
        <w:rPr>
          <w:rFonts w:ascii="宋体"/>
        </w:rPr>
        <w:t> </w:t>
      </w:r>
    </w:p>
    <w:p>
      <w:pPr>
        <w:pStyle w:val="Heading3"/>
        <w:spacing w:line="240" w:lineRule="auto" w:before="146"/>
        <w:ind w:left="136" w:right="0"/>
        <w:jc w:val="left"/>
        <w:rPr>
          <w:rFonts w:ascii="宋体" w:hAnsi="宋体" w:cs="宋体" w:eastAsia="宋体" w:hint="default"/>
        </w:rPr>
      </w:pPr>
      <w:r>
        <w:rPr>
          <w:rFonts w:ascii="宋体"/>
        </w:rPr>
        <w:t> </w:t>
      </w:r>
    </w:p>
    <w:p>
      <w:pPr>
        <w:pStyle w:val="Heading3"/>
        <w:spacing w:line="240" w:lineRule="auto" w:before="144"/>
        <w:ind w:left="136" w:right="0"/>
        <w:jc w:val="left"/>
        <w:rPr>
          <w:rFonts w:ascii="宋体" w:hAnsi="宋体" w:cs="宋体" w:eastAsia="宋体" w:hint="default"/>
        </w:rPr>
      </w:pPr>
      <w:r>
        <w:rPr>
          <w:rFonts w:ascii="宋体"/>
        </w:rPr>
        <w:t> </w:t>
      </w:r>
    </w:p>
    <w:p>
      <w:pPr>
        <w:pStyle w:val="BodyText"/>
        <w:spacing w:line="240" w:lineRule="auto" w:before="191"/>
        <w:ind w:left="562" w:right="0"/>
        <w:jc w:val="left"/>
        <w:rPr>
          <w:rFonts w:ascii="宋体" w:hAnsi="宋体" w:cs="宋体" w:eastAsia="宋体" w:hint="default"/>
        </w:rPr>
      </w:pPr>
      <w:r>
        <w:rPr/>
        <w:t>大信会计师事务所（特殊普通合伙）         </w:t>
      </w:r>
      <w:r>
        <w:rPr>
          <w:spacing w:val="97"/>
        </w:rPr>
        <w:t> </w:t>
      </w:r>
      <w:r>
        <w:rPr>
          <w:rFonts w:ascii="宋体" w:hAnsi="宋体" w:cs="宋体" w:eastAsia="宋体" w:hint="default"/>
          <w:spacing w:val="97"/>
        </w:rPr>
      </w:r>
      <w:r>
        <w:rPr/>
        <w:t>中国注册会计师：</w:t>
      </w:r>
      <w:r>
        <w:rPr>
          <w:rFonts w:ascii="宋体" w:hAnsi="宋体" w:cs="宋体" w:eastAsia="宋体" w:hint="default"/>
        </w:rPr>
        <w:t> </w:t>
      </w:r>
    </w:p>
    <w:p>
      <w:pPr>
        <w:spacing w:line="240" w:lineRule="auto" w:before="3"/>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t>（项目合伙人）</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240" w:lineRule="auto" w:before="36"/>
        <w:ind w:left="1397" w:right="0"/>
        <w:jc w:val="left"/>
        <w:rPr>
          <w:rFonts w:ascii="宋体" w:hAnsi="宋体" w:cs="宋体" w:eastAsia="宋体" w:hint="default"/>
        </w:rPr>
      </w:pPr>
      <w:r>
        <w:rPr/>
        <w:t>中 </w:t>
      </w:r>
      <w:r>
        <w:rPr>
          <w:rFonts w:ascii="宋体" w:hAnsi="宋体" w:cs="宋体" w:eastAsia="宋体" w:hint="default"/>
        </w:rPr>
      </w:r>
      <w:r>
        <w:rPr/>
        <w:t>国  </w:t>
      </w:r>
      <w:r>
        <w:rPr>
          <w:rFonts w:ascii="宋体" w:hAnsi="宋体" w:cs="宋体" w:eastAsia="宋体" w:hint="default"/>
        </w:rPr>
      </w:r>
      <w:r>
        <w:rPr/>
        <w:t>·  </w:t>
      </w:r>
      <w:r>
        <w:rPr>
          <w:rFonts w:ascii="宋体" w:hAnsi="宋体" w:cs="宋体" w:eastAsia="宋体" w:hint="default"/>
        </w:rPr>
      </w:r>
      <w:r>
        <w:rPr/>
        <w:t>北 </w:t>
      </w:r>
      <w:r>
        <w:rPr>
          <w:rFonts w:ascii="宋体" w:hAnsi="宋体" w:cs="宋体" w:eastAsia="宋体" w:hint="default"/>
        </w:rPr>
      </w:r>
      <w:r>
        <w:rPr/>
        <w:t>京                 </w:t>
      </w:r>
      <w:r>
        <w:rPr>
          <w:spacing w:val="98"/>
        </w:rPr>
        <w:t> </w:t>
      </w:r>
      <w:r>
        <w:rPr>
          <w:rFonts w:ascii="宋体" w:hAnsi="宋体" w:cs="宋体" w:eastAsia="宋体" w:hint="default"/>
          <w:spacing w:val="98"/>
        </w:rPr>
      </w:r>
      <w:r>
        <w:rPr/>
        <w:t>中国注册会计师：</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before="61"/>
        <w:ind w:left="0" w:right="113"/>
        <w:jc w:val="right"/>
        <w:rPr>
          <w:rFonts w:ascii="宋体" w:hAnsi="宋体" w:cs="宋体" w:eastAsia="宋体" w:hint="default"/>
          <w:sz w:val="24"/>
          <w:szCs w:val="24"/>
        </w:rPr>
      </w:pPr>
      <w:r>
        <w:rPr>
          <w:spacing w:val="-2"/>
        </w:rPr>
        <w:t>二○二○年四月二十四日</w:t>
      </w:r>
      <w:r>
        <w:rPr>
          <w:rFonts w:ascii="宋体" w:hAnsi="宋体" w:cs="宋体" w:eastAsia="宋体" w:hint="default"/>
          <w:sz w:val="24"/>
          <w:szCs w:val="24"/>
        </w:rPr>
        <w:t> </w:t>
      </w:r>
    </w:p>
    <w:p>
      <w:pPr>
        <w:spacing w:after="0" w:line="240" w:lineRule="auto"/>
        <w:jc w:val="right"/>
        <w:rPr>
          <w:rFonts w:ascii="宋体" w:hAnsi="宋体" w:cs="宋体" w:eastAsia="宋体" w:hint="default"/>
          <w:sz w:val="24"/>
          <w:szCs w:val="24"/>
        </w:rPr>
        <w:sectPr>
          <w:pgSz w:w="11910" w:h="16840"/>
          <w:pgMar w:header="877" w:footer="1195" w:top="1100" w:bottom="1380" w:left="1140" w:right="1560"/>
        </w:sectPr>
      </w:pPr>
    </w:p>
    <w:p>
      <w:pPr>
        <w:spacing w:line="240" w:lineRule="auto" w:before="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1195" w:top="1100" w:bottom="1380" w:left="1060" w:right="1560"/>
        </w:sectPr>
      </w:pPr>
    </w:p>
    <w:p>
      <w:pPr>
        <w:pStyle w:val="Heading5"/>
        <w:spacing w:line="240" w:lineRule="auto" w:before="36"/>
        <w:ind w:right="0"/>
        <w:jc w:val="left"/>
        <w:rPr>
          <w:rFonts w:ascii="宋体" w:hAnsi="宋体" w:cs="宋体" w:eastAsia="宋体" w:hint="default"/>
          <w:b w:val="0"/>
          <w:bCs w:val="0"/>
        </w:rPr>
      </w:pPr>
      <w:r>
        <w:rPr/>
        <w:t>二、</w:t>
      </w:r>
      <w:r>
        <w:rPr>
          <w:spacing w:val="-101"/>
        </w:rPr>
        <w:t> </w:t>
      </w:r>
      <w:r>
        <w:rPr>
          <w:rFonts w:ascii="宋体" w:hAnsi="宋体" w:cs="宋体" w:eastAsia="宋体" w:hint="default"/>
          <w:spacing w:val="-101"/>
        </w:rPr>
      </w:r>
      <w:r>
        <w:rPr>
          <w:spacing w:val="-1"/>
        </w:rPr>
        <w:t>财务报表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38"/>
        <w:ind w:left="216" w:right="0"/>
        <w:jc w:val="left"/>
        <w:rPr>
          <w:rFonts w:ascii="宋体" w:hAnsi="宋体" w:cs="宋体" w:eastAsia="宋体" w:hint="default"/>
        </w:rPr>
      </w:pPr>
      <w:r>
        <w:rPr/>
        <w:t>编制单位</w:t>
      </w:r>
      <w:r>
        <w:rPr>
          <w:rFonts w:ascii="宋体" w:hAnsi="宋体" w:cs="宋体" w:eastAsia="宋体" w:hint="default"/>
        </w:rPr>
        <w:t>:</w:t>
      </w:r>
      <w:r>
        <w:rPr>
          <w:rFonts w:ascii="宋体" w:hAnsi="宋体" w:cs="宋体" w:eastAsia="宋体" w:hint="default"/>
          <w:spacing w:val="-3"/>
        </w:rPr>
        <w:t> </w:t>
      </w:r>
      <w:r>
        <w:rPr/>
        <w:t>泰豪科技股份有限公司</w:t>
      </w:r>
      <w:r>
        <w:rPr>
          <w:rFonts w:ascii="宋体" w:hAnsi="宋体" w:cs="宋体" w:eastAsia="宋体" w:hint="default"/>
        </w:rPr>
        <w:t> </w:t>
      </w:r>
    </w:p>
    <w:p>
      <w:pPr>
        <w:spacing w:line="240" w:lineRule="auto" w:before="1"/>
        <w:rPr>
          <w:rFonts w:ascii="宋体" w:hAnsi="宋体" w:cs="宋体" w:eastAsia="宋体" w:hint="default"/>
          <w:sz w:val="28"/>
          <w:szCs w:val="28"/>
        </w:rPr>
      </w:pPr>
      <w:r>
        <w:rPr/>
        <w:br w:type="column"/>
      </w:r>
      <w:r>
        <w:rPr>
          <w:rFonts w:ascii="宋体"/>
          <w:sz w:val="28"/>
        </w:rPr>
      </w:r>
    </w:p>
    <w:p>
      <w:pPr>
        <w:spacing w:line="290" w:lineRule="auto" w:before="0"/>
        <w:ind w:left="216" w:right="0"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3"/>
        <w:rPr>
          <w:rFonts w:ascii="宋体" w:hAnsi="宋体" w:cs="宋体" w:eastAsia="宋体" w:hint="default"/>
          <w:b/>
          <w:bCs/>
          <w:sz w:val="23"/>
          <w:szCs w:val="23"/>
        </w:rPr>
      </w:pPr>
    </w:p>
    <w:p>
      <w:pPr>
        <w:pStyle w:val="BodyText"/>
        <w:spacing w:line="240" w:lineRule="auto"/>
        <w:ind w:left="216" w:right="0"/>
        <w:jc w:val="left"/>
        <w:rPr>
          <w:rFonts w:ascii="宋体" w:hAnsi="宋体" w:cs="宋体" w:eastAsia="宋体" w:hint="default"/>
          <w:sz w:val="24"/>
          <w:szCs w:val="24"/>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1060" w:right="1560"/>
          <w:cols w:num="3" w:equalWidth="0">
            <w:col w:w="3475" w:space="75"/>
            <w:col w:w="2056" w:space="1127"/>
            <w:col w:w="2557"/>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920"/>
        <w:gridCol w:w="727"/>
        <w:gridCol w:w="2184"/>
        <w:gridCol w:w="2209"/>
      </w:tblGrid>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4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7"/>
              <w:jc w:val="righ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19"/>
              <w:jc w:val="righ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4"/>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2,616,750,261.59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1,456,275,995.86</w:t>
            </w:r>
          </w:p>
        </w:tc>
      </w:tr>
      <w:tr>
        <w:trPr>
          <w:trHeight w:val="286"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116,080,000.00</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2"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益的金融资产</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182,658,189.25</w:t>
            </w: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3,945,385,160.97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5,327,802,216.25</w:t>
            </w: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218,884,909.95</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485,049,608.07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577,011,390.01</w:t>
            </w:r>
          </w:p>
        </w:tc>
      </w:tr>
      <w:tr>
        <w:trPr>
          <w:trHeight w:val="286"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313,164,158.49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457,040,591.25</w:t>
            </w: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1,317,494,119.71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1,152,289,853.69</w:t>
            </w: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34,597,026.50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35,661,994.97</w:t>
            </w:r>
          </w:p>
        </w:tc>
      </w:tr>
      <w:tr>
        <w:trPr>
          <w:trHeight w:val="286"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9,047,405,245.28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9,188,740,231.28</w:t>
            </w: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w w:val="100"/>
                <w:sz w:val="21"/>
              </w:rPr>
              <w:t> </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w w:val="100"/>
                <w:sz w:val="21"/>
              </w:rPr>
              <w:t> </w:t>
            </w: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481,518,955.32</w:t>
            </w: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240,000,000.00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240,000,000.00</w:t>
            </w:r>
          </w:p>
        </w:tc>
      </w:tr>
      <w:tr>
        <w:trPr>
          <w:trHeight w:val="289"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6"/>
              <w:jc w:val="right"/>
              <w:rPr>
                <w:rFonts w:ascii="Times New Roman" w:hAnsi="Times New Roman" w:cs="Times New Roman" w:eastAsia="Times New Roman" w:hint="default"/>
                <w:sz w:val="21"/>
                <w:szCs w:val="21"/>
              </w:rPr>
            </w:pPr>
            <w:r>
              <w:rPr>
                <w:rFonts w:ascii="Times New Roman"/>
                <w:spacing w:val="-1"/>
                <w:sz w:val="21"/>
              </w:rPr>
              <w:t>435,127,085.69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6"/>
              <w:jc w:val="right"/>
              <w:rPr>
                <w:rFonts w:ascii="Times New Roman" w:hAnsi="Times New Roman" w:cs="Times New Roman" w:eastAsia="Times New Roman" w:hint="default"/>
                <w:sz w:val="21"/>
                <w:szCs w:val="21"/>
              </w:rPr>
            </w:pPr>
            <w:r>
              <w:rPr>
                <w:rFonts w:ascii="Times New Roman"/>
                <w:spacing w:val="-1"/>
                <w:sz w:val="21"/>
              </w:rPr>
              <w:t>395,352,828.17</w:t>
            </w: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394,591,296.50</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66,881,101.25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71,426,813.69</w:t>
            </w: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613,566,407.27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654,199,659.63</w:t>
            </w: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137,343,458.10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79,164,911.53</w:t>
            </w:r>
          </w:p>
        </w:tc>
      </w:tr>
      <w:tr>
        <w:trPr>
          <w:trHeight w:val="286"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400,368,103.31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413,539,601.45</w:t>
            </w: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111,333,574.20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107,588,083.00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060" w:right="1560"/>
        </w:sectPr>
      </w:pPr>
    </w:p>
    <w:p>
      <w:pPr>
        <w:spacing w:line="240" w:lineRule="auto" w:before="11"/>
        <w:rPr>
          <w:rFonts w:ascii="Times New Roman" w:hAnsi="Times New Roman" w:cs="Times New Roman" w:eastAsia="Times New Roman"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3920"/>
        <w:gridCol w:w="727"/>
        <w:gridCol w:w="2184"/>
        <w:gridCol w:w="2209"/>
      </w:tblGrid>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1,103,271,603.24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621" w:right="0"/>
              <w:jc w:val="left"/>
              <w:rPr>
                <w:rFonts w:ascii="Times New Roman" w:hAnsi="Times New Roman" w:cs="Times New Roman" w:eastAsia="Times New Roman" w:hint="default"/>
                <w:sz w:val="21"/>
                <w:szCs w:val="21"/>
              </w:rPr>
            </w:pPr>
            <w:r>
              <w:rPr>
                <w:rFonts w:ascii="Times New Roman"/>
                <w:sz w:val="21"/>
              </w:rPr>
              <w:t>1,273,391,451.99</w:t>
            </w:r>
          </w:p>
        </w:tc>
      </w:tr>
      <w:tr>
        <w:trPr>
          <w:trHeight w:val="286"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8,688,113.68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885" w:right="0"/>
              <w:jc w:val="left"/>
              <w:rPr>
                <w:rFonts w:ascii="Times New Roman" w:hAnsi="Times New Roman" w:cs="Times New Roman" w:eastAsia="Times New Roman" w:hint="default"/>
                <w:sz w:val="21"/>
                <w:szCs w:val="21"/>
              </w:rPr>
            </w:pPr>
            <w:r>
              <w:rPr>
                <w:rFonts w:ascii="Times New Roman"/>
                <w:sz w:val="21"/>
              </w:rPr>
              <w:t>16,033,378.25</w:t>
            </w: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46,580,544.65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885" w:right="0"/>
              <w:jc w:val="left"/>
              <w:rPr>
                <w:rFonts w:ascii="Times New Roman" w:hAnsi="Times New Roman" w:cs="Times New Roman" w:eastAsia="Times New Roman" w:hint="default"/>
                <w:sz w:val="21"/>
                <w:szCs w:val="21"/>
              </w:rPr>
            </w:pPr>
            <w:r>
              <w:rPr>
                <w:rFonts w:ascii="Times New Roman"/>
                <w:sz w:val="21"/>
              </w:rPr>
              <w:t>30,436,822.43</w:t>
            </w: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194,540,000.00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780" w:right="0"/>
              <w:jc w:val="left"/>
              <w:rPr>
                <w:rFonts w:ascii="Times New Roman" w:hAnsi="Times New Roman" w:cs="Times New Roman" w:eastAsia="Times New Roman" w:hint="default"/>
                <w:sz w:val="21"/>
                <w:szCs w:val="21"/>
              </w:rPr>
            </w:pPr>
            <w:r>
              <w:rPr>
                <w:rFonts w:ascii="Times New Roman"/>
                <w:sz w:val="21"/>
              </w:rPr>
              <w:t>194,540,000.00</w:t>
            </w: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3,752,291,287.89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621" w:right="0"/>
              <w:jc w:val="left"/>
              <w:rPr>
                <w:rFonts w:ascii="Times New Roman" w:hAnsi="Times New Roman" w:cs="Times New Roman" w:eastAsia="Times New Roman" w:hint="default"/>
                <w:sz w:val="21"/>
                <w:szCs w:val="21"/>
              </w:rPr>
            </w:pPr>
            <w:r>
              <w:rPr>
                <w:rFonts w:ascii="Times New Roman"/>
                <w:sz w:val="21"/>
              </w:rPr>
              <w:t>3,957,192,505.46</w:t>
            </w:r>
          </w:p>
        </w:tc>
      </w:tr>
      <w:tr>
        <w:trPr>
          <w:trHeight w:val="286"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12,799,696,533.17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518" w:right="0"/>
              <w:jc w:val="left"/>
              <w:rPr>
                <w:rFonts w:ascii="Times New Roman" w:hAnsi="Times New Roman" w:cs="Times New Roman" w:eastAsia="Times New Roman" w:hint="default"/>
                <w:sz w:val="21"/>
                <w:szCs w:val="21"/>
              </w:rPr>
            </w:pPr>
            <w:r>
              <w:rPr>
                <w:rFonts w:ascii="Times New Roman"/>
                <w:sz w:val="21"/>
              </w:rPr>
              <w:t>13,145,932,736.74</w:t>
            </w: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w w:val="100"/>
                <w:sz w:val="21"/>
              </w:rPr>
              <w:t> </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w w:val="100"/>
                <w:sz w:val="21"/>
              </w:rPr>
              <w:t> </w:t>
            </w: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2,984,201,795.93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621" w:right="0"/>
              <w:jc w:val="left"/>
              <w:rPr>
                <w:rFonts w:ascii="Times New Roman" w:hAnsi="Times New Roman" w:cs="Times New Roman" w:eastAsia="Times New Roman" w:hint="default"/>
                <w:sz w:val="21"/>
                <w:szCs w:val="21"/>
              </w:rPr>
            </w:pPr>
            <w:r>
              <w:rPr>
                <w:rFonts w:ascii="Times New Roman"/>
                <w:sz w:val="21"/>
              </w:rPr>
              <w:t>1,376,400,000.00</w:t>
            </w: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益的金融负债</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2,036,078,085.96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621" w:right="0"/>
              <w:jc w:val="left"/>
              <w:rPr>
                <w:rFonts w:ascii="Times New Roman" w:hAnsi="Times New Roman" w:cs="Times New Roman" w:eastAsia="Times New Roman" w:hint="default"/>
                <w:sz w:val="21"/>
                <w:szCs w:val="21"/>
              </w:rPr>
            </w:pPr>
            <w:r>
              <w:rPr>
                <w:rFonts w:ascii="Times New Roman"/>
                <w:sz w:val="21"/>
              </w:rPr>
              <w:t>2,090,259,523.39</w:t>
            </w:r>
          </w:p>
        </w:tc>
      </w:tr>
      <w:tr>
        <w:trPr>
          <w:trHeight w:val="286"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1,342,299,061.54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621" w:right="0"/>
              <w:jc w:val="left"/>
              <w:rPr>
                <w:rFonts w:ascii="Times New Roman" w:hAnsi="Times New Roman" w:cs="Times New Roman" w:eastAsia="Times New Roman" w:hint="default"/>
                <w:sz w:val="21"/>
                <w:szCs w:val="21"/>
              </w:rPr>
            </w:pPr>
            <w:r>
              <w:rPr>
                <w:rFonts w:ascii="Times New Roman"/>
                <w:sz w:val="21"/>
              </w:rPr>
              <w:t>2,397,450,958.44</w:t>
            </w: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270,867,633.31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780" w:right="0"/>
              <w:jc w:val="left"/>
              <w:rPr>
                <w:rFonts w:ascii="Times New Roman" w:hAnsi="Times New Roman" w:cs="Times New Roman" w:eastAsia="Times New Roman" w:hint="default"/>
                <w:sz w:val="21"/>
                <w:szCs w:val="21"/>
              </w:rPr>
            </w:pPr>
            <w:r>
              <w:rPr>
                <w:rFonts w:ascii="Times New Roman"/>
                <w:sz w:val="21"/>
              </w:rPr>
              <w:t>264,120,858.47</w:t>
            </w: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7,904,078.88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991" w:right="0"/>
              <w:jc w:val="left"/>
              <w:rPr>
                <w:rFonts w:ascii="Times New Roman" w:hAnsi="Times New Roman" w:cs="Times New Roman" w:eastAsia="Times New Roman" w:hint="default"/>
                <w:sz w:val="21"/>
                <w:szCs w:val="21"/>
              </w:rPr>
            </w:pPr>
            <w:r>
              <w:rPr>
                <w:rFonts w:ascii="Times New Roman"/>
                <w:sz w:val="21"/>
              </w:rPr>
              <w:t>9,459,725.08</w:t>
            </w:r>
          </w:p>
        </w:tc>
      </w:tr>
      <w:tr>
        <w:trPr>
          <w:trHeight w:val="286"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208,510,165.29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780" w:right="0"/>
              <w:jc w:val="left"/>
              <w:rPr>
                <w:rFonts w:ascii="Times New Roman" w:hAnsi="Times New Roman" w:cs="Times New Roman" w:eastAsia="Times New Roman" w:hint="default"/>
                <w:sz w:val="21"/>
                <w:szCs w:val="21"/>
              </w:rPr>
            </w:pPr>
            <w:r>
              <w:rPr>
                <w:rFonts w:ascii="Times New Roman"/>
                <w:sz w:val="21"/>
              </w:rPr>
              <w:t>223,726,585.83</w:t>
            </w: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646,478,542.29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780" w:right="0"/>
              <w:jc w:val="left"/>
              <w:rPr>
                <w:rFonts w:ascii="Times New Roman" w:hAnsi="Times New Roman" w:cs="Times New Roman" w:eastAsia="Times New Roman" w:hint="default"/>
                <w:sz w:val="21"/>
                <w:szCs w:val="21"/>
              </w:rPr>
            </w:pPr>
            <w:r>
              <w:rPr>
                <w:rFonts w:ascii="Times New Roman"/>
                <w:sz w:val="21"/>
              </w:rPr>
              <w:t>357,510,078.23</w:t>
            </w: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885" w:right="0"/>
              <w:jc w:val="left"/>
              <w:rPr>
                <w:rFonts w:ascii="Times New Roman" w:hAnsi="Times New Roman" w:cs="Times New Roman" w:eastAsia="Times New Roman" w:hint="default"/>
                <w:sz w:val="21"/>
                <w:szCs w:val="21"/>
              </w:rPr>
            </w:pPr>
            <w:r>
              <w:rPr>
                <w:rFonts w:ascii="Times New Roman"/>
                <w:sz w:val="21"/>
              </w:rPr>
              <w:t>29,845,074.86</w:t>
            </w: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465,850,419.45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885" w:right="0"/>
              <w:jc w:val="left"/>
              <w:rPr>
                <w:rFonts w:ascii="Times New Roman" w:hAnsi="Times New Roman" w:cs="Times New Roman" w:eastAsia="Times New Roman" w:hint="default"/>
                <w:sz w:val="21"/>
                <w:szCs w:val="21"/>
              </w:rPr>
            </w:pPr>
            <w:r>
              <w:rPr>
                <w:rFonts w:ascii="Times New Roman"/>
                <w:sz w:val="21"/>
              </w:rPr>
              <w:t>57,190,000.00</w:t>
            </w:r>
          </w:p>
        </w:tc>
      </w:tr>
      <w:tr>
        <w:trPr>
          <w:trHeight w:val="286"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314,715,809.05</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1"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8,276,905,591.70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621" w:right="0"/>
              <w:jc w:val="left"/>
              <w:rPr>
                <w:rFonts w:ascii="Times New Roman" w:hAnsi="Times New Roman" w:cs="Times New Roman" w:eastAsia="Times New Roman" w:hint="default"/>
                <w:sz w:val="21"/>
                <w:szCs w:val="21"/>
              </w:rPr>
            </w:pPr>
            <w:r>
              <w:rPr>
                <w:rFonts w:ascii="Times New Roman"/>
                <w:sz w:val="21"/>
              </w:rPr>
              <w:t>6,776,117,729.44</w:t>
            </w: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204"/>
              <w:jc w:val="right"/>
              <w:rPr>
                <w:rFonts w:ascii="宋体" w:hAnsi="宋体" w:cs="宋体" w:eastAsia="宋体" w:hint="default"/>
                <w:sz w:val="21"/>
                <w:szCs w:val="21"/>
              </w:rPr>
            </w:pPr>
            <w:r>
              <w:rPr>
                <w:rFonts w:ascii="宋体"/>
                <w:w w:val="100"/>
                <w:sz w:val="21"/>
              </w:rPr>
              <w:t> </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166,272,916.44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780" w:right="0"/>
              <w:jc w:val="left"/>
              <w:rPr>
                <w:rFonts w:ascii="Times New Roman" w:hAnsi="Times New Roman" w:cs="Times New Roman" w:eastAsia="Times New Roman" w:hint="default"/>
                <w:sz w:val="21"/>
                <w:szCs w:val="21"/>
              </w:rPr>
            </w:pPr>
            <w:r>
              <w:rPr>
                <w:rFonts w:ascii="Times New Roman"/>
                <w:sz w:val="21"/>
              </w:rPr>
              <w:t>643,681,816.00</w:t>
            </w: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81,867,449.40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621" w:right="0"/>
              <w:jc w:val="left"/>
              <w:rPr>
                <w:rFonts w:ascii="Times New Roman" w:hAnsi="Times New Roman" w:cs="Times New Roman" w:eastAsia="Times New Roman" w:hint="default"/>
                <w:sz w:val="21"/>
                <w:szCs w:val="21"/>
              </w:rPr>
            </w:pPr>
            <w:r>
              <w:rPr>
                <w:rFonts w:ascii="Times New Roman"/>
                <w:sz w:val="21"/>
              </w:rPr>
              <w:t>1,281,187,198.64</w:t>
            </w: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2"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52,456,993.00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885" w:right="0"/>
              <w:jc w:val="left"/>
              <w:rPr>
                <w:rFonts w:ascii="Times New Roman" w:hAnsi="Times New Roman" w:cs="Times New Roman" w:eastAsia="Times New Roman" w:hint="default"/>
                <w:sz w:val="21"/>
                <w:szCs w:val="21"/>
              </w:rPr>
            </w:pPr>
            <w:r>
              <w:rPr>
                <w:rFonts w:ascii="Times New Roman"/>
                <w:sz w:val="21"/>
              </w:rPr>
              <w:t>56,743,338.62</w:t>
            </w: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5,032,001.37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991" w:right="0"/>
              <w:jc w:val="left"/>
              <w:rPr>
                <w:rFonts w:ascii="Times New Roman" w:hAnsi="Times New Roman" w:cs="Times New Roman" w:eastAsia="Times New Roman" w:hint="default"/>
                <w:sz w:val="21"/>
                <w:szCs w:val="21"/>
              </w:rPr>
            </w:pPr>
            <w:r>
              <w:rPr>
                <w:rFonts w:ascii="Times New Roman"/>
                <w:sz w:val="21"/>
              </w:rPr>
              <w:t>5,296,508.43</w:t>
            </w:r>
          </w:p>
        </w:tc>
      </w:tr>
      <w:tr>
        <w:trPr>
          <w:trHeight w:val="286"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1"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305,629,360.21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621" w:right="0"/>
              <w:jc w:val="left"/>
              <w:rPr>
                <w:rFonts w:ascii="Times New Roman" w:hAnsi="Times New Roman" w:cs="Times New Roman" w:eastAsia="Times New Roman" w:hint="default"/>
                <w:sz w:val="21"/>
                <w:szCs w:val="21"/>
              </w:rPr>
            </w:pPr>
            <w:r>
              <w:rPr>
                <w:rFonts w:ascii="Times New Roman"/>
                <w:sz w:val="21"/>
              </w:rPr>
              <w:t>1,986,908,861.69</w:t>
            </w: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8,582,534,951.91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621" w:right="0"/>
              <w:jc w:val="left"/>
              <w:rPr>
                <w:rFonts w:ascii="Times New Roman" w:hAnsi="Times New Roman" w:cs="Times New Roman" w:eastAsia="Times New Roman" w:hint="default"/>
                <w:sz w:val="21"/>
                <w:szCs w:val="21"/>
              </w:rPr>
            </w:pPr>
            <w:r>
              <w:rPr>
                <w:rFonts w:ascii="Times New Roman"/>
                <w:sz w:val="21"/>
              </w:rPr>
              <w:t>8,763,026,591.13</w:t>
            </w: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w w:val="100"/>
                <w:sz w:val="21"/>
                <w:szCs w:val="21"/>
              </w:rPr>
              <w:t>所有者权益（或股</w:t>
            </w:r>
            <w:r>
              <w:rPr>
                <w:rFonts w:ascii="宋体" w:hAnsi="宋体" w:cs="宋体" w:eastAsia="宋体" w:hint="default"/>
                <w:b/>
                <w:bCs/>
                <w:spacing w:val="-3"/>
                <w:w w:val="100"/>
                <w:sz w:val="21"/>
                <w:szCs w:val="21"/>
              </w:rPr>
              <w:t>东</w:t>
            </w:r>
            <w:r>
              <w:rPr>
                <w:rFonts w:ascii="宋体" w:hAnsi="宋体" w:cs="宋体" w:eastAsia="宋体" w:hint="default"/>
                <w:b/>
                <w:bCs/>
                <w:w w:val="100"/>
                <w:sz w:val="21"/>
                <w:szCs w:val="21"/>
              </w:rPr>
              <w:t>权益</w:t>
            </w:r>
            <w:r>
              <w:rPr>
                <w:rFonts w:ascii="宋体" w:hAnsi="宋体" w:cs="宋体" w:eastAsia="宋体" w:hint="default"/>
                <w:b/>
                <w:bCs/>
                <w:spacing w:val="-108"/>
                <w:w w:val="100"/>
                <w:sz w:val="21"/>
                <w:szCs w:val="21"/>
              </w:rPr>
              <w:t>）</w:t>
            </w:r>
            <w:r>
              <w:rPr>
                <w:rFonts w:ascii="宋体" w:hAnsi="宋体" w:cs="宋体" w:eastAsia="宋体" w:hint="default"/>
                <w:b/>
                <w:bCs/>
                <w:w w:val="100"/>
                <w:sz w:val="21"/>
                <w:szCs w:val="21"/>
              </w:rPr>
              <w:t>：</w:t>
            </w:r>
            <w:r>
              <w:rPr>
                <w:rFonts w:ascii="宋体" w:hAnsi="宋体" w:cs="宋体" w:eastAsia="宋体" w:hint="default"/>
                <w:w w:val="100"/>
                <w:sz w:val="21"/>
                <w:szCs w:val="21"/>
              </w:rPr>
            </w: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w w:val="100"/>
                <w:sz w:val="21"/>
              </w:rPr>
              <w:t> </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w w:val="100"/>
                <w:sz w:val="21"/>
              </w:rPr>
              <w:t> </w:t>
            </w:r>
          </w:p>
        </w:tc>
      </w:tr>
    </w:tbl>
    <w:p>
      <w:pPr>
        <w:spacing w:after="0" w:line="236" w:lineRule="exact"/>
        <w:jc w:val="left"/>
        <w:rPr>
          <w:rFonts w:ascii="宋体" w:hAnsi="宋体" w:cs="宋体" w:eastAsia="宋体" w:hint="default"/>
          <w:sz w:val="21"/>
          <w:szCs w:val="21"/>
        </w:rPr>
        <w:sectPr>
          <w:pgSz w:w="11910" w:h="16840"/>
          <w:pgMar w:header="877" w:footer="1195" w:top="1100" w:bottom="1380" w:left="1060" w:right="1560"/>
        </w:sectPr>
      </w:pPr>
    </w:p>
    <w:p>
      <w:pPr>
        <w:spacing w:line="240" w:lineRule="auto" w:before="11"/>
        <w:rPr>
          <w:rFonts w:ascii="Times New Roman" w:hAnsi="Times New Roman" w:cs="Times New Roman" w:eastAsia="Times New Roman" w:hint="default"/>
          <w:sz w:val="27"/>
          <w:szCs w:val="27"/>
        </w:rPr>
      </w:pPr>
    </w:p>
    <w:tbl>
      <w:tblPr>
        <w:tblW w:w="0" w:type="auto"/>
        <w:jc w:val="left"/>
        <w:tblInd w:w="166" w:type="dxa"/>
        <w:tblLayout w:type="fixed"/>
        <w:tblCellMar>
          <w:top w:w="0" w:type="dxa"/>
          <w:left w:w="0" w:type="dxa"/>
          <w:bottom w:w="0" w:type="dxa"/>
          <w:right w:w="0" w:type="dxa"/>
        </w:tblCellMar>
        <w:tblLook w:val="01E0"/>
      </w:tblPr>
      <w:tblGrid>
        <w:gridCol w:w="3920"/>
        <w:gridCol w:w="727"/>
        <w:gridCol w:w="2184"/>
        <w:gridCol w:w="2209"/>
      </w:tblGrid>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866,298,784.00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866,298,784.00</w:t>
            </w:r>
          </w:p>
        </w:tc>
      </w:tr>
      <w:tr>
        <w:trPr>
          <w:trHeight w:val="286"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2"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2,474,239,758.35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2,488,987,862.43</w:t>
            </w:r>
          </w:p>
        </w:tc>
      </w:tr>
      <w:tr>
        <w:trPr>
          <w:trHeight w:val="286"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90,773,946.46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174,824,068.42</w:t>
            </w: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170,872.48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173,389.38</w:t>
            </w: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104,050,836.58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97,970,211.84</w:t>
            </w:r>
          </w:p>
        </w:tc>
      </w:tr>
      <w:tr>
        <w:trPr>
          <w:trHeight w:val="286"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630,308,626.19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729,556,091.90</w:t>
            </w:r>
          </w:p>
        </w:tc>
      </w:tr>
      <w:tr>
        <w:trPr>
          <w:trHeight w:val="559"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2" w:right="0"/>
              <w:jc w:val="left"/>
              <w:rPr>
                <w:rFonts w:ascii="宋体" w:hAnsi="宋体" w:cs="宋体" w:eastAsia="宋体" w:hint="default"/>
                <w:sz w:val="21"/>
                <w:szCs w:val="21"/>
              </w:rPr>
            </w:pPr>
            <w:r>
              <w:rPr>
                <w:rFonts w:ascii="宋体" w:hAnsi="宋体" w:cs="宋体" w:eastAsia="宋体" w:hint="default"/>
                <w:sz w:val="21"/>
                <w:szCs w:val="21"/>
              </w:rPr>
              <w:t>归属于母公司所有者权益（或股东权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益）合计</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3,984,294,931.14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4,008,162,271.13</w:t>
            </w:r>
          </w:p>
        </w:tc>
      </w:tr>
      <w:tr>
        <w:trPr>
          <w:trHeight w:val="289"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6"/>
              <w:jc w:val="right"/>
              <w:rPr>
                <w:rFonts w:ascii="Times New Roman" w:hAnsi="Times New Roman" w:cs="Times New Roman" w:eastAsia="Times New Roman" w:hint="default"/>
                <w:sz w:val="21"/>
                <w:szCs w:val="21"/>
              </w:rPr>
            </w:pPr>
            <w:r>
              <w:rPr>
                <w:rFonts w:ascii="Times New Roman"/>
                <w:spacing w:val="-1"/>
                <w:sz w:val="21"/>
              </w:rPr>
              <w:t>232,866,650.12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6"/>
              <w:jc w:val="right"/>
              <w:rPr>
                <w:rFonts w:ascii="Times New Roman" w:hAnsi="Times New Roman" w:cs="Times New Roman" w:eastAsia="Times New Roman" w:hint="default"/>
                <w:sz w:val="21"/>
                <w:szCs w:val="21"/>
              </w:rPr>
            </w:pPr>
            <w:r>
              <w:rPr>
                <w:rFonts w:ascii="Times New Roman"/>
                <w:spacing w:val="-1"/>
                <w:sz w:val="21"/>
              </w:rPr>
              <w:t>374,743,874.48</w:t>
            </w:r>
          </w:p>
        </w:tc>
      </w:tr>
      <w:tr>
        <w:trPr>
          <w:trHeight w:val="288"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4,217,161,581.26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4,382,906,145.61</w:t>
            </w:r>
          </w:p>
        </w:tc>
      </w:tr>
      <w:tr>
        <w:trPr>
          <w:trHeight w:val="559" w:hRule="exact"/>
        </w:trPr>
        <w:tc>
          <w:tcPr>
            <w:tcW w:w="39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2"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负债和所有者权益（或股东权益）</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总计</w:t>
            </w:r>
            <w:r>
              <w:rPr>
                <w:rFonts w:ascii="宋体" w:hAnsi="宋体" w:cs="宋体" w:eastAsia="宋体" w:hint="default"/>
                <w:sz w:val="21"/>
                <w:szCs w:val="21"/>
              </w:rPr>
              <w:t> </w:t>
            </w:r>
          </w:p>
        </w:tc>
        <w:tc>
          <w:tcPr>
            <w:tcW w:w="727"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12,799,696,533.17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13,145,932,736.74</w:t>
            </w:r>
          </w:p>
        </w:tc>
      </w:tr>
    </w:tbl>
    <w:p>
      <w:pPr>
        <w:spacing w:line="240" w:lineRule="auto" w:before="9"/>
        <w:rPr>
          <w:rFonts w:ascii="Times New Roman" w:hAnsi="Times New Roman" w:cs="Times New Roman" w:eastAsia="Times New Roman" w:hint="default"/>
          <w:sz w:val="12"/>
          <w:szCs w:val="12"/>
        </w:rPr>
      </w:pPr>
    </w:p>
    <w:p>
      <w:pPr>
        <w:pStyle w:val="BodyText"/>
        <w:spacing w:line="270" w:lineRule="exact" w:before="61"/>
        <w:ind w:left="276" w:right="0"/>
        <w:jc w:val="left"/>
        <w:rPr>
          <w:rFonts w:ascii="宋体" w:hAnsi="宋体" w:cs="宋体" w:eastAsia="宋体" w:hint="default"/>
          <w:sz w:val="24"/>
          <w:szCs w:val="24"/>
        </w:rPr>
      </w:pPr>
      <w:r>
        <w:rPr/>
        <w:t>法定代表人：杨剑           </w:t>
      </w:r>
      <w:r>
        <w:rPr>
          <w:rFonts w:ascii="宋体" w:hAnsi="宋体" w:cs="宋体" w:eastAsia="宋体" w:hint="default"/>
        </w:rPr>
      </w:r>
      <w:r>
        <w:rPr/>
        <w:t>主管会计工作负责人：朱宇华     </w:t>
      </w:r>
      <w:r>
        <w:rPr>
          <w:spacing w:val="93"/>
        </w:rPr>
        <w:t> </w:t>
      </w:r>
      <w:r>
        <w:rPr>
          <w:rFonts w:ascii="宋体" w:hAnsi="宋体" w:cs="宋体" w:eastAsia="宋体" w:hint="default"/>
          <w:spacing w:val="93"/>
        </w:rPr>
      </w:r>
      <w:r>
        <w:rPr/>
        <w:t>会计机构负责人：熊美福</w:t>
      </w:r>
      <w:r>
        <w:rPr>
          <w:rFonts w:ascii="宋体" w:hAnsi="宋体" w:cs="宋体" w:eastAsia="宋体" w:hint="default"/>
          <w:color w:val="008000"/>
          <w:sz w:val="24"/>
          <w:szCs w:val="24"/>
        </w:rPr>
        <w:t> </w:t>
      </w:r>
      <w:r>
        <w:rPr>
          <w:rFonts w:ascii="宋体" w:hAnsi="宋体" w:cs="宋体" w:eastAsia="宋体" w:hint="default"/>
          <w:sz w:val="24"/>
          <w:szCs w:val="24"/>
        </w:rPr>
      </w:r>
    </w:p>
    <w:p>
      <w:pPr>
        <w:pStyle w:val="Heading3"/>
        <w:spacing w:line="309" w:lineRule="exact"/>
        <w:ind w:left="276" w:right="0"/>
        <w:jc w:val="left"/>
        <w:rPr>
          <w:rFonts w:ascii="宋体" w:hAnsi="宋体" w:cs="宋体" w:eastAsia="宋体" w:hint="default"/>
        </w:rPr>
      </w:pPr>
      <w:r>
        <w:rPr>
          <w:rFonts w:ascii="宋体"/>
        </w:rPr>
        <w:t> </w:t>
      </w:r>
    </w:p>
    <w:p>
      <w:pPr>
        <w:spacing w:after="0" w:line="309" w:lineRule="exact"/>
        <w:jc w:val="left"/>
        <w:rPr>
          <w:rFonts w:ascii="宋体" w:hAnsi="宋体" w:cs="宋体" w:eastAsia="宋体" w:hint="default"/>
        </w:rPr>
        <w:sectPr>
          <w:pgSz w:w="11910" w:h="16840"/>
          <w:pgMar w:header="877" w:footer="1195" w:top="1100" w:bottom="1380" w:left="1000" w:right="15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5"/>
        <w:ind w:left="276" w:right="0"/>
        <w:jc w:val="left"/>
        <w:rPr>
          <w:rFonts w:ascii="宋体" w:hAnsi="宋体" w:cs="宋体" w:eastAsia="宋体" w:hint="default"/>
        </w:rPr>
      </w:pPr>
      <w:r>
        <w:rPr/>
        <w:t>编制单位</w:t>
      </w:r>
      <w:r>
        <w:rPr>
          <w:rFonts w:ascii="宋体" w:hAnsi="宋体" w:cs="宋体" w:eastAsia="宋体" w:hint="default"/>
        </w:rPr>
        <w:t>:</w:t>
      </w:r>
      <w:r>
        <w:rPr/>
        <w:t>泰豪科技股份有限公司</w:t>
      </w:r>
      <w:r>
        <w:rPr>
          <w:rFonts w:ascii="宋体" w:hAnsi="宋体" w:cs="宋体" w:eastAsia="宋体" w:hint="default"/>
        </w:rPr>
        <w:t> </w:t>
      </w:r>
      <w:r>
        <w:rPr>
          <w:rFonts w:ascii="宋体" w:hAnsi="宋体" w:cs="宋体" w:eastAsia="宋体" w:hint="default"/>
          <w:spacing w:val="-2"/>
        </w:rPr>
        <w:t> </w:t>
      </w:r>
      <w:r>
        <w:rPr>
          <w:rFonts w:ascii="宋体" w:hAnsi="宋体" w:cs="宋体" w:eastAsia="宋体" w:hint="default"/>
          <w:w w:val="100"/>
        </w:rPr>
        <w:t> </w:t>
      </w:r>
    </w:p>
    <w:p>
      <w:pPr>
        <w:spacing w:line="290" w:lineRule="auto" w:before="64"/>
        <w:ind w:left="149" w:right="0" w:firstLine="21"/>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11"/>
        <w:rPr>
          <w:rFonts w:ascii="宋体" w:hAnsi="宋体" w:cs="宋体" w:eastAsia="宋体" w:hint="default"/>
          <w:b/>
          <w:bCs/>
          <w:sz w:val="23"/>
          <w:szCs w:val="23"/>
        </w:rPr>
      </w:pPr>
    </w:p>
    <w:p>
      <w:pPr>
        <w:pStyle w:val="BodyText"/>
        <w:spacing w:line="240" w:lineRule="auto"/>
        <w:ind w:left="276" w:right="0"/>
        <w:jc w:val="left"/>
        <w:rPr>
          <w:rFonts w:ascii="宋体" w:hAnsi="宋体" w:cs="宋体" w:eastAsia="宋体" w:hint="default"/>
          <w:sz w:val="24"/>
          <w:szCs w:val="24"/>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1000" w:right="1500"/>
          <w:cols w:num="3" w:equalWidth="0">
            <w:col w:w="3638" w:space="40"/>
            <w:col w:w="1989" w:space="1067"/>
            <w:col w:w="2676"/>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4357"/>
        <w:gridCol w:w="730"/>
        <w:gridCol w:w="2038"/>
        <w:gridCol w:w="2045"/>
      </w:tblGrid>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6"/>
              <w:jc w:val="righ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4"/>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6"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1,153,194,365.33</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624,860,415.33</w:t>
            </w: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82,080,000.00</w:t>
            </w:r>
          </w:p>
        </w:tc>
        <w:tc>
          <w:tcPr>
            <w:tcW w:w="204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2"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
        </w:tc>
        <w:tc>
          <w:tcPr>
            <w:tcW w:w="20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
        </w:tc>
        <w:tc>
          <w:tcPr>
            <w:tcW w:w="204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11,038,715.20</w:t>
            </w: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2,359,693,527.56</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1,846,243,876.23</w:t>
            </w: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70,723,673.18</w:t>
            </w:r>
          </w:p>
        </w:tc>
        <w:tc>
          <w:tcPr>
            <w:tcW w:w="20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723,515,277.05</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728,805,865.77</w:t>
            </w:r>
          </w:p>
        </w:tc>
      </w:tr>
      <w:tr>
        <w:trPr>
          <w:trHeight w:val="286"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659,777,826.94</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1,428,352,547.73</w:t>
            </w: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
        </w:tc>
        <w:tc>
          <w:tcPr>
            <w:tcW w:w="204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
        </w:tc>
        <w:tc>
          <w:tcPr>
            <w:tcW w:w="204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258,762,453.90</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414,268,925.26</w:t>
            </w: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
        </w:tc>
        <w:tc>
          <w:tcPr>
            <w:tcW w:w="20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
        </w:tc>
        <w:tc>
          <w:tcPr>
            <w:tcW w:w="20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34,194.67</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2,152.04</w:t>
            </w:r>
          </w:p>
        </w:tc>
      </w:tr>
      <w:tr>
        <w:trPr>
          <w:trHeight w:val="286"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5,307,781,318.63</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5,053,572,497.56</w:t>
            </w: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98" w:right="0"/>
              <w:jc w:val="left"/>
              <w:rPr>
                <w:rFonts w:ascii="宋体" w:hAnsi="宋体" w:cs="宋体" w:eastAsia="宋体" w:hint="default"/>
                <w:sz w:val="21"/>
                <w:szCs w:val="21"/>
              </w:rPr>
            </w:pPr>
            <w:r>
              <w:rPr>
                <w:rFonts w:ascii="宋体"/>
                <w:w w:val="100"/>
                <w:sz w:val="21"/>
              </w:rPr>
              <w:t> </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
        </w:tc>
        <w:tc>
          <w:tcPr>
            <w:tcW w:w="20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332,000,000.00</w:t>
            </w:r>
          </w:p>
        </w:tc>
      </w:tr>
      <w:tr>
        <w:trPr>
          <w:trHeight w:val="286"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
        </w:tc>
        <w:tc>
          <w:tcPr>
            <w:tcW w:w="20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
        </w:tc>
        <w:tc>
          <w:tcPr>
            <w:tcW w:w="204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000" w:right="1500"/>
        </w:sectPr>
      </w:pPr>
    </w:p>
    <w:p>
      <w:pPr>
        <w:spacing w:line="240" w:lineRule="auto" w:before="11"/>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4357"/>
        <w:gridCol w:w="730"/>
        <w:gridCol w:w="2038"/>
        <w:gridCol w:w="2045"/>
      </w:tblGrid>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180,000,000.00</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180,000,000.00</w:t>
            </w:r>
          </w:p>
        </w:tc>
      </w:tr>
      <w:tr>
        <w:trPr>
          <w:trHeight w:val="286"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3,214,410,632.89</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3,178,631,213.16</w:t>
            </w: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
        </w:tc>
        <w:tc>
          <w:tcPr>
            <w:tcW w:w="20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311,215,587.94</w:t>
            </w:r>
          </w:p>
        </w:tc>
        <w:tc>
          <w:tcPr>
            <w:tcW w:w="20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6,095,227.69</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6,670,859.89</w:t>
            </w:r>
          </w:p>
        </w:tc>
      </w:tr>
      <w:tr>
        <w:trPr>
          <w:trHeight w:val="286"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245,589,448.02</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257,397,541.55</w:t>
            </w: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909,332.51</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2,446,528.93</w:t>
            </w: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
        </w:tc>
        <w:tc>
          <w:tcPr>
            <w:tcW w:w="20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
        </w:tc>
        <w:tc>
          <w:tcPr>
            <w:tcW w:w="204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
        </w:tc>
        <w:tc>
          <w:tcPr>
            <w:tcW w:w="20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88,314,895.55</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86,391,255.94</w:t>
            </w: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27,042,279.00</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11,463,543.95</w:t>
            </w:r>
          </w:p>
        </w:tc>
      </w:tr>
      <w:tr>
        <w:trPr>
          <w:trHeight w:val="286"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
        </w:tc>
        <w:tc>
          <w:tcPr>
            <w:tcW w:w="204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60,005.09</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6"/>
              <w:jc w:val="right"/>
              <w:rPr>
                <w:rFonts w:ascii="Times New Roman" w:hAnsi="Times New Roman" w:cs="Times New Roman" w:eastAsia="Times New Roman" w:hint="default"/>
                <w:sz w:val="21"/>
                <w:szCs w:val="21"/>
              </w:rPr>
            </w:pPr>
            <w:r>
              <w:rPr>
                <w:rFonts w:ascii="Times New Roman"/>
                <w:spacing w:val="-1"/>
                <w:sz w:val="21"/>
              </w:rPr>
              <w:t>106,118.57</w:t>
            </w: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
        </w:tc>
        <w:tc>
          <w:tcPr>
            <w:tcW w:w="20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170,000,000.00</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170,000,000.00</w:t>
            </w:r>
          </w:p>
        </w:tc>
      </w:tr>
      <w:tr>
        <w:trPr>
          <w:trHeight w:val="286"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4,243,637,408.69</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4,225,107,061.99</w:t>
            </w: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2"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9,551,418,727.32</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9,278,679,559.55</w:t>
            </w: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98" w:right="0"/>
              <w:jc w:val="left"/>
              <w:rPr>
                <w:rFonts w:ascii="宋体" w:hAnsi="宋体" w:cs="宋体" w:eastAsia="宋体" w:hint="default"/>
                <w:sz w:val="21"/>
                <w:szCs w:val="21"/>
              </w:rPr>
            </w:pPr>
            <w:r>
              <w:rPr>
                <w:rFonts w:ascii="宋体"/>
                <w:w w:val="100"/>
                <w:sz w:val="21"/>
              </w:rPr>
              <w:t> </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1,600,689,264.31</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813,000,000.00</w:t>
            </w:r>
          </w:p>
        </w:tc>
      </w:tr>
      <w:tr>
        <w:trPr>
          <w:trHeight w:val="286"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
        </w:tc>
        <w:tc>
          <w:tcPr>
            <w:tcW w:w="204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金融负债</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
        </w:tc>
        <w:tc>
          <w:tcPr>
            <w:tcW w:w="20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
        </w:tc>
        <w:tc>
          <w:tcPr>
            <w:tcW w:w="20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1,353,882,796.01</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1,369,195,402.96</w:t>
            </w: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612,035,107.65</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758,084,154.51</w:t>
            </w:r>
          </w:p>
        </w:tc>
      </w:tr>
      <w:tr>
        <w:trPr>
          <w:trHeight w:val="286"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108,352,681.26</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199,925,296.13</w:t>
            </w: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859,295.39</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846,371.13</w:t>
            </w: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69,250,142.33</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68,136,993.13</w:t>
            </w: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1,533,331,970.24</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851,660,838.49</w:t>
            </w:r>
          </w:p>
        </w:tc>
      </w:tr>
      <w:tr>
        <w:trPr>
          <w:trHeight w:val="286"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29,472,585.17</w:t>
            </w: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1"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
        </w:tc>
        <w:tc>
          <w:tcPr>
            <w:tcW w:w="20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
        </w:tc>
        <w:tc>
          <w:tcPr>
            <w:tcW w:w="204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465,850,419.45</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57,190,000.00</w:t>
            </w: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168,639,090.42</w:t>
            </w:r>
          </w:p>
        </w:tc>
        <w:tc>
          <w:tcPr>
            <w:tcW w:w="20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5,912,890,767.06</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4,118,039,056.35</w:t>
            </w: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206"/>
              <w:jc w:val="right"/>
              <w:rPr>
                <w:rFonts w:ascii="宋体" w:hAnsi="宋体" w:cs="宋体" w:eastAsia="宋体" w:hint="default"/>
                <w:sz w:val="21"/>
                <w:szCs w:val="21"/>
              </w:rPr>
            </w:pPr>
            <w:r>
              <w:rPr>
                <w:rFonts w:ascii="宋体"/>
                <w:w w:val="100"/>
                <w:sz w:val="21"/>
              </w:rPr>
              <w:t> </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166,272,916.44</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643,681,816.00</w:t>
            </w: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81,867,449.40</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1,281,187,198.64</w:t>
            </w: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
        </w:tc>
        <w:tc>
          <w:tcPr>
            <w:tcW w:w="20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2"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
        </w:tc>
        <w:tc>
          <w:tcPr>
            <w:tcW w:w="204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
        </w:tc>
        <w:tc>
          <w:tcPr>
            <w:tcW w:w="20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
        </w:tc>
        <w:tc>
          <w:tcPr>
            <w:tcW w:w="20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
        </w:tc>
        <w:tc>
          <w:tcPr>
            <w:tcW w:w="204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
        </w:tc>
        <w:tc>
          <w:tcPr>
            <w:tcW w:w="20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9,533,332.47</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11,333,332.59</w:t>
            </w: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
        </w:tc>
        <w:tc>
          <w:tcPr>
            <w:tcW w:w="20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
        </w:tc>
        <w:tc>
          <w:tcPr>
            <w:tcW w:w="2045"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35"/>
          <w:pgSz w:w="11910" w:h="16840"/>
          <w:pgMar w:footer="1195" w:header="877" w:top="1100" w:bottom="1380" w:left="1000" w:right="1500"/>
        </w:sectPr>
      </w:pPr>
    </w:p>
    <w:p>
      <w:pPr>
        <w:spacing w:line="240" w:lineRule="auto" w:before="11"/>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4357"/>
        <w:gridCol w:w="730"/>
        <w:gridCol w:w="2038"/>
        <w:gridCol w:w="2045"/>
      </w:tblGrid>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257,673,698.31</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1,936,202,347.23</w:t>
            </w:r>
          </w:p>
        </w:tc>
      </w:tr>
      <w:tr>
        <w:trPr>
          <w:trHeight w:val="286"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6,170,564,465.37</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6,054,241,403.58</w:t>
            </w: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98" w:right="0"/>
              <w:jc w:val="left"/>
              <w:rPr>
                <w:rFonts w:ascii="宋体" w:hAnsi="宋体" w:cs="宋体" w:eastAsia="宋体" w:hint="default"/>
                <w:sz w:val="21"/>
                <w:szCs w:val="21"/>
              </w:rPr>
            </w:pPr>
            <w:r>
              <w:rPr>
                <w:rFonts w:ascii="宋体"/>
                <w:w w:val="100"/>
                <w:sz w:val="21"/>
              </w:rPr>
              <w:t> </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866,298,784.00</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866,298,784.00</w:t>
            </w: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
        </w:tc>
        <w:tc>
          <w:tcPr>
            <w:tcW w:w="204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
        </w:tc>
        <w:tc>
          <w:tcPr>
            <w:tcW w:w="20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2"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
        </w:tc>
        <w:tc>
          <w:tcPr>
            <w:tcW w:w="20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2,446,552,965.19</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2,487,058,915.53</w:t>
            </w: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90,773,946.46</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174,824,068.42</w:t>
            </w:r>
          </w:p>
        </w:tc>
      </w:tr>
      <w:tr>
        <w:trPr>
          <w:trHeight w:val="286"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
        </w:tc>
        <w:tc>
          <w:tcPr>
            <w:tcW w:w="20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
        </w:tc>
        <w:tc>
          <w:tcPr>
            <w:tcW w:w="20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104,050,836.58</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97,970,211.84</w:t>
            </w:r>
          </w:p>
        </w:tc>
      </w:tr>
      <w:tr>
        <w:trPr>
          <w:trHeight w:val="286"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54,725,622.64</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-52,065,686.98</w:t>
            </w:r>
          </w:p>
        </w:tc>
      </w:tr>
      <w:tr>
        <w:trPr>
          <w:trHeight w:val="289"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21"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3,380,854,261.95</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6"/>
              <w:jc w:val="right"/>
              <w:rPr>
                <w:rFonts w:ascii="Times New Roman" w:hAnsi="Times New Roman" w:cs="Times New Roman" w:eastAsia="Times New Roman" w:hint="default"/>
                <w:sz w:val="21"/>
                <w:szCs w:val="21"/>
              </w:rPr>
            </w:pPr>
            <w:r>
              <w:rPr>
                <w:rFonts w:ascii="Times New Roman"/>
                <w:spacing w:val="-1"/>
                <w:sz w:val="21"/>
              </w:rPr>
              <w:t>3,224,438,155.97</w:t>
            </w:r>
          </w:p>
        </w:tc>
      </w:tr>
      <w:tr>
        <w:trPr>
          <w:trHeight w:val="288" w:hRule="exact"/>
        </w:trPr>
        <w:tc>
          <w:tcPr>
            <w:tcW w:w="43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5"/>
              <w:jc w:val="left"/>
              <w:rPr>
                <w:rFonts w:ascii="宋体" w:hAnsi="宋体" w:cs="宋体" w:eastAsia="宋体" w:hint="default"/>
                <w:sz w:val="21"/>
                <w:szCs w:val="21"/>
              </w:rPr>
            </w:pPr>
            <w:r>
              <w:rPr>
                <w:rFonts w:ascii="宋体" w:hAnsi="宋体" w:cs="宋体" w:eastAsia="宋体" w:hint="default"/>
                <w:spacing w:val="-6"/>
                <w:sz w:val="21"/>
                <w:szCs w:val="21"/>
              </w:rPr>
              <w:t>负债和所有者权益（或股东权益）总计</w:t>
            </w:r>
            <w:r>
              <w:rPr>
                <w:rFonts w:ascii="宋体" w:hAnsi="宋体" w:cs="宋体" w:eastAsia="宋体" w:hint="default"/>
                <w:sz w:val="21"/>
                <w:szCs w:val="21"/>
              </w:rPr>
              <w:t> </w:t>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9,551,418,727.32</w:t>
            </w:r>
          </w:p>
        </w:tc>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9,278,679,559.55</w:t>
            </w:r>
          </w:p>
        </w:tc>
      </w:tr>
    </w:tbl>
    <w:p>
      <w:pPr>
        <w:pStyle w:val="BodyText"/>
        <w:spacing w:line="240" w:lineRule="exact"/>
        <w:ind w:left="276" w:right="0"/>
        <w:jc w:val="left"/>
        <w:rPr>
          <w:rFonts w:ascii="宋体" w:hAnsi="宋体" w:cs="宋体" w:eastAsia="宋体" w:hint="default"/>
        </w:rPr>
      </w:pPr>
      <w:r>
        <w:rPr>
          <w:rFonts w:ascii="宋体"/>
          <w:w w:val="100"/>
        </w:rPr>
        <w:t> </w:t>
      </w:r>
    </w:p>
    <w:p>
      <w:pPr>
        <w:pStyle w:val="BodyText"/>
        <w:spacing w:line="269" w:lineRule="exact"/>
        <w:ind w:left="276" w:right="0"/>
        <w:jc w:val="left"/>
        <w:rPr>
          <w:rFonts w:ascii="宋体" w:hAnsi="宋体" w:cs="宋体" w:eastAsia="宋体" w:hint="default"/>
        </w:rPr>
      </w:pPr>
      <w:r>
        <w:rPr/>
        <w:t>法定代表人：杨剑           </w:t>
      </w:r>
      <w:r>
        <w:rPr>
          <w:rFonts w:ascii="宋体" w:hAnsi="宋体" w:cs="宋体" w:eastAsia="宋体" w:hint="default"/>
        </w:rPr>
      </w:r>
      <w:r>
        <w:rPr/>
        <w:t>主管会计工作负责人：朱宇华    </w:t>
      </w:r>
      <w:r>
        <w:rPr>
          <w:spacing w:val="96"/>
        </w:rPr>
        <w:t> </w:t>
      </w:r>
      <w:r>
        <w:rPr>
          <w:rFonts w:ascii="宋体" w:hAnsi="宋体" w:cs="宋体" w:eastAsia="宋体" w:hint="default"/>
          <w:spacing w:val="96"/>
        </w:rPr>
      </w:r>
      <w:r>
        <w:rPr/>
        <w:t>会计机构负责人：熊美福</w:t>
      </w:r>
      <w:r>
        <w:rPr>
          <w:rFonts w:ascii="宋体" w:hAnsi="宋体" w:cs="宋体" w:eastAsia="宋体" w:hint="default"/>
        </w:rPr>
        <w:t> </w:t>
      </w:r>
    </w:p>
    <w:p>
      <w:pPr>
        <w:pStyle w:val="Heading3"/>
        <w:spacing w:line="308" w:lineRule="exact"/>
        <w:ind w:left="276" w:right="0"/>
        <w:jc w:val="left"/>
        <w:rPr>
          <w:rFonts w:ascii="宋体" w:hAnsi="宋体" w:cs="宋体" w:eastAsia="宋体" w:hint="default"/>
        </w:rPr>
      </w:pPr>
      <w:r>
        <w:rPr>
          <w:rFonts w:ascii="宋体"/>
        </w:rPr>
        <w:t> </w:t>
      </w:r>
    </w:p>
    <w:p>
      <w:pPr>
        <w:pStyle w:val="Heading3"/>
        <w:spacing w:line="313" w:lineRule="exact"/>
        <w:ind w:left="276" w:right="0"/>
        <w:jc w:val="left"/>
        <w:rPr>
          <w:rFonts w:ascii="宋体" w:hAnsi="宋体" w:cs="宋体" w:eastAsia="宋体" w:hint="default"/>
        </w:rPr>
      </w:pPr>
      <w:r>
        <w:rPr>
          <w:rFonts w:ascii="宋体"/>
          <w:color w:val="FF0000"/>
        </w:rPr>
        <w:t> </w:t>
      </w:r>
      <w:r>
        <w:rPr>
          <w:rFonts w:ascii="宋体"/>
        </w:rPr>
      </w:r>
    </w:p>
    <w:p>
      <w:pPr>
        <w:spacing w:after="0" w:line="313" w:lineRule="exact"/>
        <w:jc w:val="left"/>
        <w:rPr>
          <w:rFonts w:ascii="宋体" w:hAnsi="宋体" w:cs="宋体" w:eastAsia="宋体" w:hint="default"/>
        </w:rPr>
        <w:sectPr>
          <w:footerReference w:type="default" r:id="rId36"/>
          <w:pgSz w:w="11910" w:h="16840"/>
          <w:pgMar w:footer="1195" w:header="877" w:top="1100" w:bottom="1380" w:left="1000" w:right="1500"/>
          <w:pgNumType w:start="71"/>
        </w:sectPr>
      </w:pPr>
    </w:p>
    <w:p>
      <w:pPr>
        <w:spacing w:line="290" w:lineRule="auto" w:before="61"/>
        <w:ind w:left="3933" w:right="0"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43"/>
        <w:ind w:left="1409"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00" w:right="1500"/>
          <w:cols w:num="2" w:equalWidth="0">
            <w:col w:w="5561" w:space="40"/>
            <w:col w:w="3809"/>
          </w:cols>
        </w:sectPr>
      </w:pPr>
    </w:p>
    <w:p>
      <w:pPr>
        <w:spacing w:line="240" w:lineRule="auto" w:before="7"/>
        <w:rPr>
          <w:rFonts w:ascii="宋体" w:hAnsi="宋体" w:cs="宋体" w:eastAsia="宋体" w:hint="default"/>
          <w:sz w:val="2"/>
          <w:szCs w:val="2"/>
        </w:rPr>
      </w:pPr>
    </w:p>
    <w:tbl>
      <w:tblPr>
        <w:tblW w:w="0" w:type="auto"/>
        <w:jc w:val="left"/>
        <w:tblInd w:w="163" w:type="dxa"/>
        <w:tblLayout w:type="fixed"/>
        <w:tblCellMar>
          <w:top w:w="0" w:type="dxa"/>
          <w:left w:w="0" w:type="dxa"/>
          <w:bottom w:w="0" w:type="dxa"/>
          <w:right w:w="0" w:type="dxa"/>
        </w:tblCellMar>
        <w:tblLook w:val="01E0"/>
      </w:tblPr>
      <w:tblGrid>
        <w:gridCol w:w="4794"/>
        <w:gridCol w:w="728"/>
        <w:gridCol w:w="1745"/>
        <w:gridCol w:w="1784"/>
      </w:tblGrid>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6"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5,304,460,043.57</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6,127,385,118.49</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5,304,460,043.57</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6,127,385,118.49</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已赚保费</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手续费及佣金收入</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4,955,817,696.72</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5,745,219,426.33</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4,038,514,088.01</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4,847,608,583.05</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利息支出</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手续费及佣金支出</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退保金</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赔付支出净额</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提取保险责任准备金净额</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保单红利支出</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分保费用</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35,033,178.90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31,116,687.80</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195,298,836.73</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201,598,684.31</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324,044,570.24</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298,509,946.94</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187,466,183.47</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178,330,685.56</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175,460,839.37</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188,054,838.67</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168,360,035.72</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183,328,034.71</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63"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7,088,502.95</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6,213,031.33</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38,227,239.45</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20,264,800.48</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63,466,287.26</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41,969,474.01</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58"/>
              <w:jc w:val="right"/>
              <w:rPr>
                <w:rFonts w:ascii="宋体" w:hAnsi="宋体" w:cs="宋体" w:eastAsia="宋体" w:hint="default"/>
                <w:sz w:val="21"/>
                <w:szCs w:val="21"/>
              </w:rPr>
            </w:pPr>
            <w:r>
              <w:rPr>
                <w:rFonts w:ascii="宋体" w:hAnsi="宋体" w:cs="宋体" w:eastAsia="宋体" w:hint="default"/>
                <w:spacing w:val="-2"/>
                <w:sz w:val="21"/>
                <w:szCs w:val="21"/>
              </w:rPr>
              <w:t>其中：对联营企业和合营企业的投资收益</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41,866,730.63</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24,614,369.84</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8"/>
              <w:jc w:val="right"/>
              <w:rPr>
                <w:rFonts w:ascii="宋体" w:hAnsi="宋体" w:cs="宋体" w:eastAsia="宋体" w:hint="default"/>
                <w:sz w:val="21"/>
                <w:szCs w:val="21"/>
              </w:rPr>
            </w:pPr>
            <w:r>
              <w:rPr>
                <w:rFonts w:ascii="宋体" w:hAnsi="宋体" w:cs="宋体" w:eastAsia="宋体" w:hint="default"/>
                <w:spacing w:val="-2"/>
                <w:sz w:val="21"/>
                <w:szCs w:val="21"/>
              </w:rPr>
              <w:t>以摊余成本计量的金融资产终止确认</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-92,937,789.98</w:t>
            </w:r>
          </w:p>
        </w:tc>
        <w:tc>
          <w:tcPr>
            <w:tcW w:w="178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00" w:right="1500"/>
        </w:sectPr>
      </w:pPr>
    </w:p>
    <w:p>
      <w:pPr>
        <w:spacing w:line="240" w:lineRule="auto" w:before="11"/>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4794"/>
        <w:gridCol w:w="728"/>
        <w:gridCol w:w="1745"/>
        <w:gridCol w:w="1784"/>
      </w:tblGrid>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净敞口套期收益（损失以“</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4"/>
                <w:sz w:val="21"/>
                <w:szCs w:val="21"/>
              </w:rPr>
              <w:t>公允价值变动收益（损失以“－”号填列）</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5" w:right="0"/>
              <w:jc w:val="left"/>
              <w:rPr>
                <w:rFonts w:ascii="Times New Roman" w:hAnsi="Times New Roman" w:cs="Times New Roman" w:eastAsia="Times New Roman" w:hint="default"/>
                <w:sz w:val="21"/>
                <w:szCs w:val="21"/>
              </w:rPr>
            </w:pPr>
            <w:r>
              <w:rPr>
                <w:rFonts w:ascii="Times New Roman"/>
                <w:sz w:val="21"/>
              </w:rPr>
              <w:t>-12,657,937.44</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5" w:right="0"/>
              <w:jc w:val="left"/>
              <w:rPr>
                <w:rFonts w:ascii="Times New Roman" w:hAnsi="Times New Roman" w:cs="Times New Roman" w:eastAsia="Times New Roman" w:hint="default"/>
                <w:sz w:val="21"/>
                <w:szCs w:val="21"/>
              </w:rPr>
            </w:pPr>
            <w:r>
              <w:rPr>
                <w:rFonts w:ascii="Times New Roman"/>
                <w:sz w:val="21"/>
              </w:rPr>
              <w:t>-49,927,605.75</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9" w:right="0"/>
              <w:jc w:val="left"/>
              <w:rPr>
                <w:rFonts w:ascii="Times New Roman" w:hAnsi="Times New Roman" w:cs="Times New Roman" w:eastAsia="Times New Roman" w:hint="default"/>
                <w:sz w:val="21"/>
                <w:szCs w:val="21"/>
              </w:rPr>
            </w:pPr>
            <w:r>
              <w:rPr>
                <w:rFonts w:ascii="Times New Roman"/>
                <w:sz w:val="21"/>
              </w:rPr>
              <w:t>-157,338,445.12</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-119,038,241.81</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资产处置收益（损失以“－”号填列）</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-8,349,728.88</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3,615,148.58</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19" w:right="0"/>
              <w:jc w:val="left"/>
              <w:rPr>
                <w:rFonts w:ascii="Times New Roman" w:hAnsi="Times New Roman" w:cs="Times New Roman" w:eastAsia="Times New Roman" w:hint="default"/>
                <w:sz w:val="21"/>
                <w:szCs w:val="21"/>
              </w:rPr>
            </w:pPr>
            <w:r>
              <w:rPr>
                <w:rFonts w:ascii="Times New Roman"/>
                <w:sz w:val="21"/>
              </w:rPr>
              <w:t>222,062,156.37</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328,976,873.42</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9,716,340.79</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8,324,591.67</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7,818,250.04</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10,347,444.51</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四、利润总额（亏损总额以“－”号填列）</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9" w:right="0"/>
              <w:jc w:val="left"/>
              <w:rPr>
                <w:rFonts w:ascii="Times New Roman" w:hAnsi="Times New Roman" w:cs="Times New Roman" w:eastAsia="Times New Roman" w:hint="default"/>
                <w:sz w:val="21"/>
                <w:szCs w:val="21"/>
              </w:rPr>
            </w:pPr>
            <w:r>
              <w:rPr>
                <w:rFonts w:ascii="Times New Roman"/>
                <w:sz w:val="21"/>
              </w:rPr>
              <w:t>223,960,247.12</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326,954,020.58</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24" w:right="0"/>
              <w:jc w:val="left"/>
              <w:rPr>
                <w:rFonts w:ascii="Times New Roman" w:hAnsi="Times New Roman" w:cs="Times New Roman" w:eastAsia="Times New Roman" w:hint="default"/>
                <w:sz w:val="21"/>
                <w:szCs w:val="21"/>
              </w:rPr>
            </w:pPr>
            <w:r>
              <w:rPr>
                <w:rFonts w:ascii="Times New Roman"/>
                <w:sz w:val="21"/>
              </w:rPr>
              <w:t>73,204,765.73</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52,789,882.86</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19" w:right="0"/>
              <w:jc w:val="left"/>
              <w:rPr>
                <w:rFonts w:ascii="Times New Roman" w:hAnsi="Times New Roman" w:cs="Times New Roman" w:eastAsia="Times New Roman" w:hint="default"/>
                <w:sz w:val="21"/>
                <w:szCs w:val="21"/>
              </w:rPr>
            </w:pPr>
            <w:r>
              <w:rPr>
                <w:rFonts w:ascii="Times New Roman"/>
                <w:sz w:val="21"/>
              </w:rPr>
              <w:t>150,755,481.39</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274,164,137.72</w:t>
            </w:r>
          </w:p>
        </w:tc>
      </w:tr>
      <w:tr>
        <w:trPr>
          <w:trHeight w:val="284"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4"/>
                <w:sz w:val="21"/>
                <w:szCs w:val="21"/>
              </w:rPr>
              <w:t>1.</w:t>
            </w:r>
            <w:r>
              <w:rPr>
                <w:rFonts w:ascii="宋体" w:hAnsi="宋体" w:cs="宋体" w:eastAsia="宋体" w:hint="default"/>
                <w:spacing w:val="-4"/>
                <w:sz w:val="21"/>
                <w:szCs w:val="21"/>
              </w:rPr>
              <w:t>持续经营净利润（净亏损以“－”号填列）</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9" w:right="0"/>
              <w:jc w:val="left"/>
              <w:rPr>
                <w:rFonts w:ascii="Times New Roman" w:hAnsi="Times New Roman" w:cs="Times New Roman" w:eastAsia="Times New Roman" w:hint="default"/>
                <w:sz w:val="21"/>
                <w:szCs w:val="21"/>
              </w:rPr>
            </w:pPr>
            <w:r>
              <w:rPr>
                <w:rFonts w:ascii="Times New Roman"/>
                <w:sz w:val="21"/>
              </w:rPr>
              <w:t>170,014,785.32</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281,459,516.93</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4"/>
                <w:sz w:val="21"/>
                <w:szCs w:val="21"/>
              </w:rPr>
              <w:t>2.</w:t>
            </w:r>
            <w:r>
              <w:rPr>
                <w:rFonts w:ascii="宋体" w:hAnsi="宋体" w:cs="宋体" w:eastAsia="宋体" w:hint="default"/>
                <w:spacing w:val="-4"/>
                <w:sz w:val="21"/>
                <w:szCs w:val="21"/>
              </w:rPr>
              <w:t>终止经营净利润（净亏损以“－”号填列）</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5" w:right="0"/>
              <w:jc w:val="left"/>
              <w:rPr>
                <w:rFonts w:ascii="Times New Roman" w:hAnsi="Times New Roman" w:cs="Times New Roman" w:eastAsia="Times New Roman" w:hint="default"/>
                <w:sz w:val="21"/>
                <w:szCs w:val="21"/>
              </w:rPr>
            </w:pPr>
            <w:r>
              <w:rPr>
                <w:rFonts w:ascii="Times New Roman"/>
                <w:sz w:val="21"/>
              </w:rPr>
              <w:t>-19,259,303.93</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98" w:right="0"/>
              <w:jc w:val="left"/>
              <w:rPr>
                <w:rFonts w:ascii="Times New Roman" w:hAnsi="Times New Roman" w:cs="Times New Roman" w:eastAsia="Times New Roman" w:hint="default"/>
                <w:sz w:val="21"/>
                <w:szCs w:val="21"/>
              </w:rPr>
            </w:pPr>
            <w:r>
              <w:rPr>
                <w:rFonts w:ascii="Times New Roman"/>
                <w:sz w:val="21"/>
              </w:rPr>
              <w:t>-7,295,379.21</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p>
        </w:tc>
      </w:tr>
      <w:tr>
        <w:trPr>
          <w:trHeight w:val="554"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pacing w:val="-8"/>
                <w:sz w:val="21"/>
                <w:szCs w:val="21"/>
              </w:rPr>
              <w:t>1.</w:t>
            </w:r>
            <w:r>
              <w:rPr>
                <w:rFonts w:ascii="宋体" w:hAnsi="宋体" w:cs="宋体" w:eastAsia="宋体" w:hint="default"/>
                <w:spacing w:val="-8"/>
                <w:sz w:val="21"/>
                <w:szCs w:val="21"/>
              </w:rPr>
              <w:t>归属于母公司股东的净利润（净亏损以“</w:t>
            </w:r>
            <w:r>
              <w:rPr>
                <w:rFonts w:ascii="宋体" w:hAnsi="宋体" w:cs="宋体" w:eastAsia="宋体" w:hint="default"/>
                <w:spacing w:val="-8"/>
                <w:sz w:val="21"/>
                <w:szCs w:val="21"/>
              </w:rPr>
              <w:t>-</w:t>
            </w:r>
            <w:r>
              <w:rPr>
                <w:rFonts w:ascii="宋体" w:hAnsi="宋体" w:cs="宋体" w:eastAsia="宋体" w:hint="default"/>
                <w:spacing w:val="-8"/>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19" w:right="0"/>
              <w:jc w:val="left"/>
              <w:rPr>
                <w:rFonts w:ascii="Times New Roman" w:hAnsi="Times New Roman" w:cs="Times New Roman" w:eastAsia="Times New Roman" w:hint="default"/>
                <w:sz w:val="21"/>
                <w:szCs w:val="21"/>
              </w:rPr>
            </w:pPr>
            <w:r>
              <w:rPr>
                <w:rFonts w:ascii="Times New Roman"/>
                <w:sz w:val="21"/>
              </w:rPr>
              <w:t>144,049,459.21</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262,178,814.19</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少数股东损益（净亏损以“</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6,706,022.18</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11,985,323.53</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-2,516.90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80,189.88</w:t>
            </w:r>
          </w:p>
        </w:tc>
      </w:tr>
      <w:tr>
        <w:trPr>
          <w:trHeight w:val="554"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4"/>
                <w:sz w:val="21"/>
                <w:szCs w:val="21"/>
              </w:rPr>
              <w:t>（一）归属母公司所有者的其他综合收益的税后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净额</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-2,516.90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80,189.88</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．不能重分类进损益的其他综合收益</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）重新计量设定受益计划变动额</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）权益法下不能转损益的其他综合收益</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）其他权益工具投资公允价值变动</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）企业自身信用风险公允价值变动</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．将重分类进损益的其他综合收益</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-2,516.90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80,189.88</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）权益法下可转损益的其他综合收益</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）其他债权投资公允价值变动</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）可供出售金融资产公允价值变动损益</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）金融资产重分类计入其他综合收益的金额</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）持有至到期投资重分类为可供出售金融资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产损益</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）其他债权投资信用减值准备</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）现金流量套期储备（现金流量套期损益的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有效部分）</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-2,516.90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80,189.88</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4"/>
                <w:sz w:val="21"/>
                <w:szCs w:val="21"/>
              </w:rPr>
              <w:t>（二）归属于少数股东的其他综合收益的税后净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9" w:right="0"/>
              <w:jc w:val="left"/>
              <w:rPr>
                <w:rFonts w:ascii="Times New Roman" w:hAnsi="Times New Roman" w:cs="Times New Roman" w:eastAsia="Times New Roman" w:hint="default"/>
                <w:sz w:val="21"/>
                <w:szCs w:val="21"/>
              </w:rPr>
            </w:pPr>
            <w:r>
              <w:rPr>
                <w:rFonts w:ascii="Times New Roman"/>
                <w:sz w:val="21"/>
              </w:rPr>
              <w:t>150,752,964.49</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274,244,327.60</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（一）归属于母公司所有者的综合收益总额</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19" w:right="0"/>
              <w:jc w:val="left"/>
              <w:rPr>
                <w:rFonts w:ascii="Times New Roman" w:hAnsi="Times New Roman" w:cs="Times New Roman" w:eastAsia="Times New Roman" w:hint="default"/>
                <w:sz w:val="21"/>
                <w:szCs w:val="21"/>
              </w:rPr>
            </w:pPr>
            <w:r>
              <w:rPr>
                <w:rFonts w:ascii="Times New Roman"/>
                <w:sz w:val="21"/>
              </w:rPr>
              <w:t>144,046,942.31</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262,259,004.07</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（二）归属于少数股东的综合收益总额</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6,706,022.18</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11,985,323.53</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0.17</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0.34</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0.17</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0.34</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1195" w:top="1100" w:bottom="1380" w:left="1060" w:right="1560"/>
        </w:sectPr>
      </w:pPr>
    </w:p>
    <w:p>
      <w:pPr>
        <w:spacing w:line="240" w:lineRule="auto" w:before="10"/>
        <w:rPr>
          <w:rFonts w:ascii="Times New Roman" w:hAnsi="Times New Roman" w:cs="Times New Roman" w:eastAsia="Times New Roman" w:hint="default"/>
          <w:sz w:val="21"/>
          <w:szCs w:val="21"/>
        </w:rPr>
      </w:pPr>
    </w:p>
    <w:p>
      <w:pPr>
        <w:pStyle w:val="BodyText"/>
        <w:spacing w:line="272" w:lineRule="exact" w:before="64"/>
        <w:ind w:left="216" w:right="236"/>
        <w:jc w:val="left"/>
        <w:rPr>
          <w:rFonts w:ascii="宋体" w:hAnsi="宋体" w:cs="宋体" w:eastAsia="宋体" w:hint="default"/>
        </w:rPr>
      </w:pPr>
      <w:r>
        <w:rPr/>
        <w:t>本期发生同一控制下企业合并的，被合并方在合并前实现的净利润为：</w:t>
      </w:r>
      <w:r>
        <w:rPr>
          <w:rFonts w:ascii="宋体" w:hAnsi="宋体" w:cs="宋体" w:eastAsia="宋体" w:hint="default"/>
        </w:rPr>
        <w:t>0 </w:t>
      </w:r>
      <w:r>
        <w:rPr>
          <w:spacing w:val="-3"/>
        </w:rPr>
        <w:t>元</w:t>
      </w:r>
      <w:r>
        <w:rPr>
          <w:rFonts w:ascii="宋体" w:hAnsi="宋体" w:cs="宋体" w:eastAsia="宋体" w:hint="default"/>
          <w:spacing w:val="-3"/>
        </w:rPr>
        <w:t>,</w:t>
      </w:r>
      <w:r>
        <w:rPr>
          <w:rFonts w:ascii="宋体" w:hAnsi="宋体" w:cs="宋体" w:eastAsia="宋体" w:hint="default"/>
        </w:rPr>
        <w:t> </w:t>
      </w:r>
      <w:r>
        <w:rPr/>
        <w:t>上期被合并方实现</w:t>
      </w:r>
      <w:r>
        <w:rPr>
          <w:w w:val="100"/>
        </w:rPr>
        <w:t> </w:t>
      </w:r>
      <w:r>
        <w:rPr/>
        <w:t>的净利润为： </w:t>
      </w:r>
      <w:r>
        <w:rPr>
          <w:rFonts w:ascii="宋体" w:hAnsi="宋体" w:cs="宋体" w:eastAsia="宋体" w:hint="default"/>
        </w:rPr>
      </w:r>
      <w:r>
        <w:rPr>
          <w:rFonts w:ascii="宋体" w:hAnsi="宋体" w:cs="宋体" w:eastAsia="宋体" w:hint="default"/>
          <w:spacing w:val="-3"/>
        </w:rPr>
        <w:t>0</w:t>
      </w:r>
      <w:r>
        <w:rPr>
          <w:rFonts w:ascii="宋体" w:hAnsi="宋体" w:cs="宋体" w:eastAsia="宋体" w:hint="default"/>
          <w:spacing w:val="5"/>
        </w:rPr>
        <w:t> </w:t>
      </w:r>
      <w:r>
        <w:rPr>
          <w:spacing w:val="-3"/>
        </w:rPr>
        <w:t>元。</w:t>
      </w:r>
      <w:r>
        <w:rPr>
          <w:rFonts w:ascii="宋体" w:hAnsi="宋体" w:cs="宋体" w:eastAsia="宋体" w:hint="default"/>
          <w:b/>
          <w:bCs/>
          <w:color w:val="FF0000"/>
          <w:w w:val="99"/>
        </w:rPr>
        <w:t> </w:t>
      </w:r>
      <w:r>
        <w:rPr>
          <w:rFonts w:ascii="宋体" w:hAnsi="宋体" w:cs="宋体" w:eastAsia="宋体" w:hint="default"/>
        </w:rPr>
      </w:r>
    </w:p>
    <w:p>
      <w:pPr>
        <w:pStyle w:val="BodyText"/>
        <w:spacing w:line="247" w:lineRule="exact"/>
        <w:ind w:left="216" w:right="0"/>
        <w:jc w:val="left"/>
        <w:rPr>
          <w:rFonts w:ascii="宋体" w:hAnsi="宋体" w:cs="宋体" w:eastAsia="宋体" w:hint="default"/>
        </w:rPr>
      </w:pPr>
      <w:r>
        <w:rPr/>
        <w:t>法定代表人：杨剑         </w:t>
      </w:r>
      <w:r>
        <w:rPr>
          <w:rFonts w:ascii="宋体" w:hAnsi="宋体" w:cs="宋体" w:eastAsia="宋体" w:hint="default"/>
        </w:rPr>
      </w:r>
      <w:r>
        <w:rPr/>
        <w:t>主管会计工作负责人：朱宇华       </w:t>
      </w:r>
      <w:r>
        <w:rPr>
          <w:spacing w:val="93"/>
        </w:rPr>
        <w:t> </w:t>
      </w:r>
      <w:r>
        <w:rPr>
          <w:rFonts w:ascii="宋体" w:hAnsi="宋体" w:cs="宋体" w:eastAsia="宋体" w:hint="default"/>
          <w:spacing w:val="93"/>
        </w:rPr>
      </w:r>
      <w:r>
        <w:rPr/>
        <w:t>会计机构负责人：熊美福</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color w:val="FF0000"/>
          <w:w w:val="100"/>
        </w:rPr>
        <w:t> </w:t>
      </w:r>
      <w:r>
        <w:rPr>
          <w:rFonts w:ascii="宋体"/>
          <w:w w:val="100"/>
        </w:rPr>
      </w:r>
    </w:p>
    <w:p>
      <w:pPr>
        <w:spacing w:after="0" w:line="273" w:lineRule="exact"/>
        <w:jc w:val="left"/>
        <w:rPr>
          <w:rFonts w:ascii="宋体" w:hAnsi="宋体" w:cs="宋体" w:eastAsia="宋体" w:hint="default"/>
        </w:rPr>
        <w:sectPr>
          <w:pgSz w:w="11910" w:h="16840"/>
          <w:pgMar w:header="877" w:footer="1195" w:top="1100" w:bottom="1380" w:left="1060" w:right="1560"/>
        </w:sectPr>
      </w:pPr>
    </w:p>
    <w:p>
      <w:pPr>
        <w:spacing w:line="290" w:lineRule="auto" w:before="58"/>
        <w:ind w:left="3873" w:right="0"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40"/>
        <w:ind w:left="1409"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b/>
          <w:bCs/>
          <w:color w:val="FF0000"/>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5501" w:space="40"/>
            <w:col w:w="3749"/>
          </w:cols>
        </w:sectPr>
      </w:pPr>
    </w:p>
    <w:p>
      <w:pPr>
        <w:spacing w:line="240" w:lineRule="auto" w:before="4"/>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4794"/>
        <w:gridCol w:w="584"/>
        <w:gridCol w:w="1889"/>
        <w:gridCol w:w="1784"/>
      </w:tblGrid>
      <w:tr>
        <w:trPr>
          <w:trHeight w:val="554"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9"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b/>
                <w:bCs/>
                <w:w w:val="100"/>
                <w:sz w:val="21"/>
                <w:szCs w:val="21"/>
              </w:rPr>
              <w:t>附</w:t>
            </w:r>
            <w:r>
              <w:rPr>
                <w:rFonts w:ascii="宋体" w:hAnsi="宋体" w:cs="宋体" w:eastAsia="宋体" w:hint="default"/>
                <w:w w:val="100"/>
                <w:sz w:val="21"/>
                <w:szCs w:val="21"/>
              </w:rPr>
            </w:r>
          </w:p>
          <w:p>
            <w:pPr>
              <w:pStyle w:val="TableParagraph"/>
              <w:spacing w:line="273" w:lineRule="exact"/>
              <w:ind w:left="179" w:right="0"/>
              <w:jc w:val="left"/>
              <w:rPr>
                <w:rFonts w:ascii="宋体" w:hAnsi="宋体" w:cs="宋体" w:eastAsia="宋体" w:hint="default"/>
                <w:sz w:val="21"/>
                <w:szCs w:val="21"/>
              </w:rPr>
            </w:pPr>
            <w:r>
              <w:rPr>
                <w:rFonts w:ascii="宋体" w:hAnsi="宋体" w:cs="宋体" w:eastAsia="宋体" w:hint="default"/>
                <w:b/>
                <w:bCs/>
                <w:sz w:val="21"/>
                <w:szCs w:val="21"/>
              </w:rPr>
              <w:t>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89"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36"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 w:right="0"/>
              <w:jc w:val="left"/>
              <w:rPr>
                <w:rFonts w:ascii="宋体" w:hAnsi="宋体" w:cs="宋体" w:eastAsia="宋体" w:hint="default"/>
                <w:sz w:val="21"/>
                <w:szCs w:val="21"/>
              </w:rPr>
            </w:pPr>
            <w:r>
              <w:rPr>
                <w:rFonts w:ascii="宋体" w:hAnsi="宋体" w:cs="宋体" w:eastAsia="宋体" w:hint="default"/>
                <w:sz w:val="21"/>
                <w:szCs w:val="21"/>
              </w:rPr>
              <w:t>一、营业收入</w:t>
            </w:r>
            <w:r>
              <w:rPr>
                <w:rFonts w:ascii="宋体" w:hAnsi="宋体" w:cs="宋体" w:eastAsia="宋体" w:hint="default"/>
                <w:sz w:val="21"/>
                <w:szCs w:val="21"/>
              </w:rPr>
              <w:t> </w:t>
            </w:r>
          </w:p>
        </w:tc>
        <w:tc>
          <w:tcPr>
            <w:tcW w:w="58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2,022,859,591.20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1,656,920,292.98</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减：营业成本</w:t>
            </w:r>
            <w:r>
              <w:rPr>
                <w:rFonts w:ascii="宋体" w:hAnsi="宋体" w:cs="宋体" w:eastAsia="宋体" w:hint="default"/>
                <w:sz w:val="21"/>
                <w:szCs w:val="21"/>
              </w:rPr>
              <w:t> </w:t>
            </w:r>
          </w:p>
        </w:tc>
        <w:tc>
          <w:tcPr>
            <w:tcW w:w="58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1,798,946,396.44</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1,335,819,076.41</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58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12,522,981.42</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11,332,000.89</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58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35,504,027.13</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33,072,835.70</w:t>
            </w:r>
          </w:p>
        </w:tc>
      </w:tr>
      <w:tr>
        <w:trPr>
          <w:trHeight w:val="284"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58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140,995,081.42</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1"/>
                <w:szCs w:val="21"/>
              </w:rPr>
            </w:pPr>
            <w:r>
              <w:rPr>
                <w:rFonts w:ascii="Times New Roman"/>
                <w:spacing w:val="-1"/>
                <w:sz w:val="21"/>
              </w:rPr>
              <w:t>138,669,260.83</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58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21,328,269.89</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19,613,315.68</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58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139,288,354.32</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144,917,657.94</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r>
              <w:rPr>
                <w:rFonts w:ascii="宋体" w:hAnsi="宋体" w:cs="宋体" w:eastAsia="宋体" w:hint="default"/>
                <w:sz w:val="21"/>
                <w:szCs w:val="21"/>
              </w:rPr>
              <w:t> </w:t>
            </w:r>
          </w:p>
        </w:tc>
        <w:tc>
          <w:tcPr>
            <w:tcW w:w="58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130,055,494.61</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126,252,557.63</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3"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58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2,383,923.99</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2,339,683.00</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58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4,899,700.12</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2,925,100.12</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r>
              <w:rPr>
                <w:rFonts w:ascii="宋体" w:hAnsi="宋体" w:cs="宋体" w:eastAsia="宋体" w:hint="default"/>
                <w:sz w:val="21"/>
                <w:szCs w:val="21"/>
              </w:rPr>
              <w:t> </w:t>
            </w:r>
          </w:p>
        </w:tc>
        <w:tc>
          <w:tcPr>
            <w:tcW w:w="58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442,936,889.57</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21,905,339.88</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r>
              <w:rPr>
                <w:rFonts w:ascii="宋体" w:hAnsi="宋体" w:cs="宋体" w:eastAsia="宋体" w:hint="default"/>
                <w:sz w:val="21"/>
                <w:szCs w:val="21"/>
              </w:rPr>
              <w:t> </w:t>
            </w:r>
          </w:p>
        </w:tc>
        <w:tc>
          <w:tcPr>
            <w:tcW w:w="58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17,807,236.77</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15,044,766.25</w:t>
            </w:r>
          </w:p>
        </w:tc>
      </w:tr>
      <w:tr>
        <w:trPr>
          <w:trHeight w:val="554"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58" w:right="0"/>
              <w:jc w:val="left"/>
              <w:rPr>
                <w:rFonts w:ascii="宋体" w:hAnsi="宋体" w:cs="宋体" w:eastAsia="宋体" w:hint="default"/>
                <w:sz w:val="21"/>
                <w:szCs w:val="21"/>
              </w:rPr>
            </w:pPr>
            <w:r>
              <w:rPr>
                <w:rFonts w:ascii="宋体" w:hAnsi="宋体" w:cs="宋体" w:eastAsia="宋体" w:hint="default"/>
                <w:sz w:val="21"/>
                <w:szCs w:val="21"/>
              </w:rPr>
              <w:t>以摊余成本计量的金融资产终止确认</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 </w:t>
            </w:r>
          </w:p>
        </w:tc>
        <w:tc>
          <w:tcPr>
            <w:tcW w:w="58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-92,937,789.98</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净敞口套期收益（损失以“</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58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4"/>
                <w:sz w:val="21"/>
                <w:szCs w:val="21"/>
              </w:rPr>
              <w:t>公允价值变动收益（损失以“－”号填列）</w:t>
            </w:r>
            <w:r>
              <w:rPr>
                <w:rFonts w:ascii="宋体" w:hAnsi="宋体" w:cs="宋体" w:eastAsia="宋体" w:hint="default"/>
                <w:sz w:val="21"/>
                <w:szCs w:val="21"/>
              </w:rPr>
              <w:t> </w:t>
            </w:r>
          </w:p>
        </w:tc>
        <w:tc>
          <w:tcPr>
            <w:tcW w:w="58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-9,667,403.34</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58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-40,654,756.93</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58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-55,167,372.68</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资产处置收益（损失以“－”号填列）</w:t>
            </w:r>
            <w:r>
              <w:rPr>
                <w:rFonts w:ascii="宋体" w:hAnsi="宋体" w:cs="宋体" w:eastAsia="宋体" w:hint="default"/>
                <w:sz w:val="21"/>
                <w:szCs w:val="21"/>
              </w:rPr>
              <w:t> </w:t>
            </w:r>
          </w:p>
        </w:tc>
        <w:tc>
          <w:tcPr>
            <w:tcW w:w="58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15,150.00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3,625,192.76</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r>
              <w:rPr>
                <w:rFonts w:ascii="宋体" w:hAnsi="宋体" w:cs="宋体" w:eastAsia="宋体" w:hint="default"/>
                <w:sz w:val="21"/>
                <w:szCs w:val="21"/>
              </w:rPr>
              <w:t> </w:t>
            </w:r>
          </w:p>
        </w:tc>
        <w:tc>
          <w:tcPr>
            <w:tcW w:w="58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271,804,060.00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-53,215,594.39</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58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2,243,228.47</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3,552,338.29</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58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1,034,448.68</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4,031,070.81</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r>
              <w:rPr>
                <w:rFonts w:ascii="宋体" w:hAnsi="宋体" w:cs="宋体" w:eastAsia="宋体" w:hint="default"/>
                <w:sz w:val="21"/>
                <w:szCs w:val="21"/>
              </w:rPr>
              <w:t> </w:t>
            </w:r>
          </w:p>
        </w:tc>
        <w:tc>
          <w:tcPr>
            <w:tcW w:w="58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273,012,839.79</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-53,694,326.91</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58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153,255.16</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617,287.14</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r>
              <w:rPr>
                <w:rFonts w:ascii="宋体" w:hAnsi="宋体" w:cs="宋体" w:eastAsia="宋体" w:hint="default"/>
                <w:sz w:val="21"/>
                <w:szCs w:val="21"/>
              </w:rPr>
              <w:t> </w:t>
            </w:r>
          </w:p>
        </w:tc>
        <w:tc>
          <w:tcPr>
            <w:tcW w:w="58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272,859,584.63</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-54,311,614.05</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3"/>
                <w:w w:val="100"/>
                <w:sz w:val="21"/>
                <w:szCs w:val="21"/>
              </w:rPr>
              <w:t>一</w:t>
            </w:r>
            <w:r>
              <w:rPr>
                <w:rFonts w:ascii="宋体" w:hAnsi="宋体" w:cs="宋体" w:eastAsia="宋体" w:hint="default"/>
                <w:spacing w:val="-82"/>
                <w:w w:val="100"/>
                <w:sz w:val="21"/>
                <w:szCs w:val="21"/>
              </w:rPr>
              <w:t>）</w:t>
            </w:r>
            <w:r>
              <w:rPr>
                <w:rFonts w:ascii="宋体" w:hAnsi="宋体" w:cs="宋体" w:eastAsia="宋体" w:hint="default"/>
                <w:spacing w:val="-3"/>
                <w:w w:val="100"/>
                <w:sz w:val="21"/>
                <w:szCs w:val="21"/>
              </w:rPr>
              <w:t>持</w:t>
            </w:r>
            <w:r>
              <w:rPr>
                <w:rFonts w:ascii="宋体" w:hAnsi="宋体" w:cs="宋体" w:eastAsia="宋体" w:hint="default"/>
                <w:w w:val="100"/>
                <w:sz w:val="21"/>
                <w:szCs w:val="21"/>
              </w:rPr>
              <w:t>续</w:t>
            </w:r>
            <w:r>
              <w:rPr>
                <w:rFonts w:ascii="宋体" w:hAnsi="宋体" w:cs="宋体" w:eastAsia="宋体" w:hint="default"/>
                <w:spacing w:val="-3"/>
                <w:w w:val="100"/>
                <w:sz w:val="21"/>
                <w:szCs w:val="21"/>
              </w:rPr>
              <w:t>经</w:t>
            </w:r>
            <w:r>
              <w:rPr>
                <w:rFonts w:ascii="宋体" w:hAnsi="宋体" w:cs="宋体" w:eastAsia="宋体" w:hint="default"/>
                <w:w w:val="100"/>
                <w:sz w:val="21"/>
                <w:szCs w:val="21"/>
              </w:rPr>
              <w:t>营</w:t>
            </w:r>
            <w:r>
              <w:rPr>
                <w:rFonts w:ascii="宋体" w:hAnsi="宋体" w:cs="宋体" w:eastAsia="宋体" w:hint="default"/>
                <w:spacing w:val="-3"/>
                <w:w w:val="100"/>
                <w:sz w:val="21"/>
                <w:szCs w:val="21"/>
              </w:rPr>
              <w:t>净</w:t>
            </w:r>
            <w:r>
              <w:rPr>
                <w:rFonts w:ascii="宋体" w:hAnsi="宋体" w:cs="宋体" w:eastAsia="宋体" w:hint="default"/>
                <w:w w:val="100"/>
                <w:sz w:val="21"/>
                <w:szCs w:val="21"/>
              </w:rPr>
              <w:t>利</w:t>
            </w:r>
            <w:r>
              <w:rPr>
                <w:rFonts w:ascii="宋体" w:hAnsi="宋体" w:cs="宋体" w:eastAsia="宋体" w:hint="default"/>
                <w:spacing w:val="-85"/>
                <w:w w:val="100"/>
                <w:sz w:val="21"/>
                <w:szCs w:val="21"/>
              </w:rPr>
              <w:t>润</w:t>
            </w:r>
            <w:r>
              <w:rPr>
                <w:rFonts w:ascii="宋体" w:hAnsi="宋体" w:cs="宋体" w:eastAsia="宋体" w:hint="default"/>
                <w:spacing w:val="-3"/>
                <w:w w:val="100"/>
                <w:sz w:val="21"/>
                <w:szCs w:val="21"/>
              </w:rPr>
              <w:t>（净</w:t>
            </w:r>
            <w:r>
              <w:rPr>
                <w:rFonts w:ascii="宋体" w:hAnsi="宋体" w:cs="宋体" w:eastAsia="宋体" w:hint="default"/>
                <w:w w:val="100"/>
                <w:sz w:val="21"/>
                <w:szCs w:val="21"/>
              </w:rPr>
              <w:t>亏损</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58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272,859,584.63</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-54,311,614.05</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3"/>
                <w:w w:val="100"/>
                <w:sz w:val="21"/>
                <w:szCs w:val="21"/>
              </w:rPr>
              <w:t>二</w:t>
            </w:r>
            <w:r>
              <w:rPr>
                <w:rFonts w:ascii="宋体" w:hAnsi="宋体" w:cs="宋体" w:eastAsia="宋体" w:hint="default"/>
                <w:spacing w:val="-41"/>
                <w:w w:val="100"/>
                <w:sz w:val="21"/>
                <w:szCs w:val="21"/>
              </w:rPr>
              <w:t>）</w:t>
            </w:r>
            <w:r>
              <w:rPr>
                <w:rFonts w:ascii="宋体" w:hAnsi="宋体" w:cs="宋体" w:eastAsia="宋体" w:hint="default"/>
                <w:spacing w:val="-3"/>
                <w:w w:val="100"/>
                <w:sz w:val="21"/>
                <w:szCs w:val="21"/>
              </w:rPr>
              <w:t>终</w:t>
            </w:r>
            <w:r>
              <w:rPr>
                <w:rFonts w:ascii="宋体" w:hAnsi="宋体" w:cs="宋体" w:eastAsia="宋体" w:hint="default"/>
                <w:w w:val="100"/>
                <w:sz w:val="21"/>
                <w:szCs w:val="21"/>
              </w:rPr>
              <w:t>止</w:t>
            </w:r>
            <w:r>
              <w:rPr>
                <w:rFonts w:ascii="宋体" w:hAnsi="宋体" w:cs="宋体" w:eastAsia="宋体" w:hint="default"/>
                <w:spacing w:val="-3"/>
                <w:w w:val="100"/>
                <w:sz w:val="21"/>
                <w:szCs w:val="21"/>
              </w:rPr>
              <w:t>经</w:t>
            </w:r>
            <w:r>
              <w:rPr>
                <w:rFonts w:ascii="宋体" w:hAnsi="宋体" w:cs="宋体" w:eastAsia="宋体" w:hint="default"/>
                <w:w w:val="100"/>
                <w:sz w:val="21"/>
                <w:szCs w:val="21"/>
              </w:rPr>
              <w:t>营</w:t>
            </w:r>
            <w:r>
              <w:rPr>
                <w:rFonts w:ascii="宋体" w:hAnsi="宋体" w:cs="宋体" w:eastAsia="宋体" w:hint="default"/>
                <w:spacing w:val="-3"/>
                <w:w w:val="100"/>
                <w:sz w:val="21"/>
                <w:szCs w:val="21"/>
              </w:rPr>
              <w:t>净</w:t>
            </w:r>
            <w:r>
              <w:rPr>
                <w:rFonts w:ascii="宋体" w:hAnsi="宋体" w:cs="宋体" w:eastAsia="宋体" w:hint="default"/>
                <w:w w:val="100"/>
                <w:sz w:val="21"/>
                <w:szCs w:val="21"/>
              </w:rPr>
              <w:t>利</w:t>
            </w:r>
            <w:r>
              <w:rPr>
                <w:rFonts w:ascii="宋体" w:hAnsi="宋体" w:cs="宋体" w:eastAsia="宋体" w:hint="default"/>
                <w:spacing w:val="-44"/>
                <w:w w:val="100"/>
                <w:sz w:val="21"/>
                <w:szCs w:val="21"/>
              </w:rPr>
              <w:t>润</w:t>
            </w:r>
            <w:r>
              <w:rPr>
                <w:rFonts w:ascii="宋体" w:hAnsi="宋体" w:cs="宋体" w:eastAsia="宋体" w:hint="default"/>
                <w:w w:val="100"/>
                <w:sz w:val="21"/>
                <w:szCs w:val="21"/>
              </w:rPr>
              <w:t>（</w:t>
            </w:r>
            <w:r>
              <w:rPr>
                <w:rFonts w:ascii="宋体" w:hAnsi="宋体" w:cs="宋体" w:eastAsia="宋体" w:hint="default"/>
                <w:spacing w:val="-3"/>
                <w:w w:val="100"/>
                <w:sz w:val="21"/>
                <w:szCs w:val="21"/>
              </w:rPr>
              <w:t>净</w:t>
            </w:r>
            <w:r>
              <w:rPr>
                <w:rFonts w:ascii="宋体" w:hAnsi="宋体" w:cs="宋体" w:eastAsia="宋体" w:hint="default"/>
                <w:w w:val="100"/>
                <w:sz w:val="21"/>
                <w:szCs w:val="21"/>
              </w:rPr>
              <w:t>亏损</w:t>
            </w:r>
            <w:r>
              <w:rPr>
                <w:rFonts w:ascii="宋体" w:hAnsi="宋体" w:cs="宋体" w:eastAsia="宋体" w:hint="default"/>
                <w:spacing w:val="-44"/>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r>
              <w:rPr>
                <w:rFonts w:ascii="宋体" w:hAnsi="宋体" w:cs="宋体" w:eastAsia="宋体" w:hint="default"/>
                <w:spacing w:val="-44"/>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58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r>
              <w:rPr>
                <w:rFonts w:ascii="宋体" w:hAnsi="宋体" w:cs="宋体" w:eastAsia="宋体" w:hint="default"/>
                <w:sz w:val="21"/>
                <w:szCs w:val="21"/>
              </w:rPr>
              <w:t> </w:t>
            </w:r>
          </w:p>
        </w:tc>
        <w:tc>
          <w:tcPr>
            <w:tcW w:w="58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（一）不能重分类进损益的其他综合收益</w:t>
            </w:r>
            <w:r>
              <w:rPr>
                <w:rFonts w:ascii="宋体" w:hAnsi="宋体" w:cs="宋体" w:eastAsia="宋体" w:hint="default"/>
                <w:sz w:val="21"/>
                <w:szCs w:val="21"/>
              </w:rPr>
              <w:t> </w:t>
            </w:r>
          </w:p>
        </w:tc>
        <w:tc>
          <w:tcPr>
            <w:tcW w:w="58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重新计量设定受益计划变动额</w:t>
            </w:r>
            <w:r>
              <w:rPr>
                <w:rFonts w:ascii="宋体" w:hAnsi="宋体" w:cs="宋体" w:eastAsia="宋体" w:hint="default"/>
                <w:sz w:val="21"/>
                <w:szCs w:val="21"/>
              </w:rPr>
              <w:t> </w:t>
            </w:r>
          </w:p>
        </w:tc>
        <w:tc>
          <w:tcPr>
            <w:tcW w:w="58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权益法下不能转损益的其他综合收益</w:t>
            </w:r>
            <w:r>
              <w:rPr>
                <w:rFonts w:ascii="宋体" w:hAnsi="宋体" w:cs="宋体" w:eastAsia="宋体" w:hint="default"/>
                <w:sz w:val="21"/>
                <w:szCs w:val="21"/>
              </w:rPr>
              <w:t> </w:t>
            </w:r>
          </w:p>
        </w:tc>
        <w:tc>
          <w:tcPr>
            <w:tcW w:w="58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其他权益工具投资公允价值变动</w:t>
            </w:r>
            <w:r>
              <w:rPr>
                <w:rFonts w:ascii="宋体" w:hAnsi="宋体" w:cs="宋体" w:eastAsia="宋体" w:hint="default"/>
                <w:sz w:val="21"/>
                <w:szCs w:val="21"/>
              </w:rPr>
              <w:t> </w:t>
            </w:r>
          </w:p>
        </w:tc>
        <w:tc>
          <w:tcPr>
            <w:tcW w:w="58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企业自身信用风险公允价值变动</w:t>
            </w:r>
            <w:r>
              <w:rPr>
                <w:rFonts w:ascii="宋体" w:hAnsi="宋体" w:cs="宋体" w:eastAsia="宋体" w:hint="default"/>
                <w:sz w:val="21"/>
                <w:szCs w:val="21"/>
              </w:rPr>
              <w:t> </w:t>
            </w:r>
          </w:p>
        </w:tc>
        <w:tc>
          <w:tcPr>
            <w:tcW w:w="58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（二）将重分类进损益的其他综合收益</w:t>
            </w:r>
            <w:r>
              <w:rPr>
                <w:rFonts w:ascii="宋体" w:hAnsi="宋体" w:cs="宋体" w:eastAsia="宋体" w:hint="default"/>
                <w:sz w:val="21"/>
                <w:szCs w:val="21"/>
              </w:rPr>
              <w:t> </w:t>
            </w:r>
          </w:p>
        </w:tc>
        <w:tc>
          <w:tcPr>
            <w:tcW w:w="58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权益法下可转损益的其他综合收益</w:t>
            </w:r>
            <w:r>
              <w:rPr>
                <w:rFonts w:ascii="宋体" w:hAnsi="宋体" w:cs="宋体" w:eastAsia="宋体" w:hint="default"/>
                <w:sz w:val="21"/>
                <w:szCs w:val="21"/>
              </w:rPr>
              <w:t> </w:t>
            </w:r>
          </w:p>
        </w:tc>
        <w:tc>
          <w:tcPr>
            <w:tcW w:w="58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其他债权投资公允价值变动</w:t>
            </w:r>
            <w:r>
              <w:rPr>
                <w:rFonts w:ascii="宋体" w:hAnsi="宋体" w:cs="宋体" w:eastAsia="宋体" w:hint="default"/>
                <w:sz w:val="21"/>
                <w:szCs w:val="21"/>
              </w:rPr>
              <w:t> </w:t>
            </w:r>
          </w:p>
        </w:tc>
        <w:tc>
          <w:tcPr>
            <w:tcW w:w="58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可供出售金融资产公允价值变动损益</w:t>
            </w:r>
            <w:r>
              <w:rPr>
                <w:rFonts w:ascii="宋体" w:hAnsi="宋体" w:cs="宋体" w:eastAsia="宋体" w:hint="default"/>
                <w:sz w:val="21"/>
                <w:szCs w:val="21"/>
              </w:rPr>
              <w:t> </w:t>
            </w:r>
          </w:p>
        </w:tc>
        <w:tc>
          <w:tcPr>
            <w:tcW w:w="58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金融资产重分类计入其他综合收益的金额</w:t>
            </w:r>
            <w:r>
              <w:rPr>
                <w:rFonts w:ascii="宋体" w:hAnsi="宋体" w:cs="宋体" w:eastAsia="宋体" w:hint="default"/>
                <w:sz w:val="21"/>
                <w:szCs w:val="21"/>
              </w:rPr>
              <w:t> </w:t>
            </w:r>
          </w:p>
        </w:tc>
        <w:tc>
          <w:tcPr>
            <w:tcW w:w="58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持有至到期投资重分类为可供出售金融资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产损益</w:t>
            </w:r>
            <w:r>
              <w:rPr>
                <w:rFonts w:ascii="宋体" w:hAnsi="宋体" w:cs="宋体" w:eastAsia="宋体" w:hint="default"/>
                <w:sz w:val="21"/>
                <w:szCs w:val="21"/>
              </w:rPr>
              <w:t> </w:t>
            </w:r>
          </w:p>
        </w:tc>
        <w:tc>
          <w:tcPr>
            <w:tcW w:w="58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60" w:right="1560"/>
        </w:sectPr>
      </w:pPr>
    </w:p>
    <w:p>
      <w:pPr>
        <w:spacing w:line="240" w:lineRule="auto" w:before="8"/>
        <w:rPr>
          <w:rFonts w:ascii="宋体" w:hAnsi="宋体" w:cs="宋体" w:eastAsia="宋体" w:hint="default"/>
          <w:b/>
          <w:bCs/>
          <w:sz w:val="24"/>
          <w:szCs w:val="24"/>
        </w:rPr>
      </w:pPr>
    </w:p>
    <w:tbl>
      <w:tblPr>
        <w:tblW w:w="0" w:type="auto"/>
        <w:jc w:val="left"/>
        <w:tblInd w:w="103" w:type="dxa"/>
        <w:tblLayout w:type="fixed"/>
        <w:tblCellMar>
          <w:top w:w="0" w:type="dxa"/>
          <w:left w:w="0" w:type="dxa"/>
          <w:bottom w:w="0" w:type="dxa"/>
          <w:right w:w="0" w:type="dxa"/>
        </w:tblCellMar>
        <w:tblLook w:val="01E0"/>
      </w:tblPr>
      <w:tblGrid>
        <w:gridCol w:w="4794"/>
        <w:gridCol w:w="584"/>
        <w:gridCol w:w="1889"/>
        <w:gridCol w:w="1784"/>
      </w:tblGrid>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其他债权投资信用减值准备</w:t>
            </w:r>
            <w:r>
              <w:rPr>
                <w:rFonts w:ascii="宋体" w:hAnsi="宋体" w:cs="宋体" w:eastAsia="宋体" w:hint="default"/>
                <w:sz w:val="21"/>
                <w:szCs w:val="21"/>
              </w:rPr>
              <w:t> </w:t>
            </w:r>
          </w:p>
        </w:tc>
        <w:tc>
          <w:tcPr>
            <w:tcW w:w="58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pacing w:val="-4"/>
                <w:sz w:val="21"/>
                <w:szCs w:val="21"/>
              </w:rPr>
              <w:t>7.</w:t>
            </w:r>
            <w:r>
              <w:rPr>
                <w:rFonts w:ascii="宋体" w:hAnsi="宋体" w:cs="宋体" w:eastAsia="宋体" w:hint="default"/>
                <w:spacing w:val="-4"/>
                <w:sz w:val="21"/>
                <w:szCs w:val="21"/>
              </w:rPr>
              <w:t>现金流量套期储备（现金流量套期损益的有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效部分）</w:t>
            </w:r>
            <w:r>
              <w:rPr>
                <w:rFonts w:ascii="宋体" w:hAnsi="宋体" w:cs="宋体" w:eastAsia="宋体" w:hint="default"/>
                <w:sz w:val="21"/>
                <w:szCs w:val="21"/>
              </w:rPr>
              <w:t> </w:t>
            </w:r>
          </w:p>
        </w:tc>
        <w:tc>
          <w:tcPr>
            <w:tcW w:w="58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58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58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六、综合收益总额</w:t>
            </w:r>
            <w:r>
              <w:rPr>
                <w:rFonts w:ascii="宋体" w:hAnsi="宋体" w:cs="宋体" w:eastAsia="宋体" w:hint="default"/>
                <w:sz w:val="21"/>
                <w:szCs w:val="21"/>
              </w:rPr>
              <w:t> </w:t>
            </w:r>
          </w:p>
        </w:tc>
        <w:tc>
          <w:tcPr>
            <w:tcW w:w="58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272,859,584.63</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93" w:right="0"/>
              <w:jc w:val="left"/>
              <w:rPr>
                <w:rFonts w:ascii="Times New Roman" w:hAnsi="Times New Roman" w:cs="Times New Roman" w:eastAsia="Times New Roman" w:hint="default"/>
                <w:sz w:val="21"/>
                <w:szCs w:val="21"/>
              </w:rPr>
            </w:pPr>
            <w:r>
              <w:rPr>
                <w:rFonts w:ascii="Times New Roman"/>
                <w:sz w:val="21"/>
              </w:rPr>
              <w:t>-54,311,614.05</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 w:right="0"/>
              <w:jc w:val="left"/>
              <w:rPr>
                <w:rFonts w:ascii="宋体" w:hAnsi="宋体" w:cs="宋体" w:eastAsia="宋体" w:hint="default"/>
                <w:sz w:val="21"/>
                <w:szCs w:val="21"/>
              </w:rPr>
            </w:pPr>
            <w:r>
              <w:rPr>
                <w:rFonts w:ascii="宋体" w:hAnsi="宋体" w:cs="宋体" w:eastAsia="宋体" w:hint="default"/>
                <w:sz w:val="21"/>
                <w:szCs w:val="21"/>
              </w:rPr>
              <w:t>七、每股收益：</w:t>
            </w:r>
            <w:r>
              <w:rPr>
                <w:rFonts w:ascii="宋体" w:hAnsi="宋体" w:cs="宋体" w:eastAsia="宋体" w:hint="default"/>
                <w:sz w:val="21"/>
                <w:szCs w:val="21"/>
              </w:rPr>
              <w:t> </w:t>
            </w:r>
          </w:p>
        </w:tc>
        <w:tc>
          <w:tcPr>
            <w:tcW w:w="58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4"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58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584"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b/>
          <w:bCs/>
          <w:sz w:val="12"/>
          <w:szCs w:val="12"/>
        </w:rPr>
      </w:pPr>
    </w:p>
    <w:p>
      <w:pPr>
        <w:pStyle w:val="BodyText"/>
        <w:spacing w:line="271" w:lineRule="exact" w:before="36"/>
        <w:ind w:left="216" w:right="0"/>
        <w:jc w:val="left"/>
        <w:rPr>
          <w:rFonts w:ascii="宋体" w:hAnsi="宋体" w:cs="宋体" w:eastAsia="宋体" w:hint="default"/>
        </w:rPr>
      </w:pPr>
      <w:r>
        <w:rPr/>
        <w:t>法定代表人：杨剑       </w:t>
      </w:r>
      <w:r>
        <w:rPr>
          <w:rFonts w:ascii="宋体" w:hAnsi="宋体" w:cs="宋体" w:eastAsia="宋体" w:hint="default"/>
        </w:rPr>
      </w:r>
      <w:r>
        <w:rPr/>
        <w:t>主管会计工作负责人：朱宇华      </w:t>
      </w:r>
      <w:r>
        <w:rPr>
          <w:spacing w:val="93"/>
        </w:rPr>
        <w:t> </w:t>
      </w:r>
      <w:r>
        <w:rPr>
          <w:rFonts w:ascii="宋体" w:hAnsi="宋体" w:cs="宋体" w:eastAsia="宋体" w:hint="default"/>
          <w:spacing w:val="93"/>
        </w:rPr>
      </w:r>
      <w:r>
        <w:rPr/>
        <w:t>会计机构负责人：熊美福</w:t>
      </w:r>
      <w:r>
        <w:rPr>
          <w:rFonts w:ascii="宋体" w:hAnsi="宋体" w:cs="宋体" w:eastAsia="宋体" w:hint="default"/>
        </w:rPr>
        <w:t> </w:t>
      </w:r>
    </w:p>
    <w:p>
      <w:pPr>
        <w:pStyle w:val="Heading3"/>
        <w:spacing w:line="309" w:lineRule="exact"/>
        <w:ind w:right="0"/>
        <w:jc w:val="left"/>
        <w:rPr>
          <w:rFonts w:ascii="宋体" w:hAnsi="宋体" w:cs="宋体" w:eastAsia="宋体" w:hint="default"/>
        </w:rPr>
      </w:pPr>
      <w:r>
        <w:rPr>
          <w:rFonts w:ascii="宋体"/>
          <w:color w:val="FF0000"/>
        </w:rPr>
        <w:t> </w:t>
      </w:r>
      <w:r>
        <w:rPr>
          <w:rFonts w:ascii="宋体"/>
        </w:rPr>
      </w:r>
    </w:p>
    <w:p>
      <w:pPr>
        <w:pStyle w:val="Heading3"/>
        <w:spacing w:line="313" w:lineRule="exact"/>
        <w:ind w:right="0"/>
        <w:jc w:val="left"/>
        <w:rPr>
          <w:rFonts w:ascii="宋体" w:hAnsi="宋体" w:cs="宋体" w:eastAsia="宋体" w:hint="default"/>
        </w:rPr>
      </w:pPr>
      <w:r>
        <w:rPr>
          <w:rFonts w:ascii="宋体"/>
          <w:color w:val="FF0000"/>
        </w:rPr>
        <w:t> </w:t>
      </w:r>
      <w:r>
        <w:rPr>
          <w:rFonts w:ascii="宋体"/>
        </w:rPr>
      </w:r>
    </w:p>
    <w:p>
      <w:pPr>
        <w:spacing w:after="0" w:line="313" w:lineRule="exact"/>
        <w:jc w:val="left"/>
        <w:rPr>
          <w:rFonts w:ascii="宋体" w:hAnsi="宋体" w:cs="宋体" w:eastAsia="宋体" w:hint="default"/>
        </w:rPr>
        <w:sectPr>
          <w:pgSz w:w="11910" w:h="16840"/>
          <w:pgMar w:header="877" w:footer="1195" w:top="1100" w:bottom="1380" w:left="1060" w:right="1560"/>
        </w:sectPr>
      </w:pPr>
    </w:p>
    <w:p>
      <w:pPr>
        <w:spacing w:before="2"/>
        <w:ind w:left="3873" w:right="0" w:firstLine="21"/>
        <w:jc w:val="right"/>
        <w:rPr>
          <w:rFonts w:ascii="宋体" w:hAnsi="宋体" w:cs="宋体" w:eastAsia="宋体" w:hint="default"/>
          <w:sz w:val="21"/>
          <w:szCs w:val="21"/>
        </w:rPr>
      </w:pPr>
      <w:r>
        <w:rPr>
          <w:rFonts w:ascii="宋体" w:hAnsi="宋体" w:cs="宋体" w:eastAsia="宋体" w:hint="default"/>
          <w:b/>
          <w:bCs/>
          <w:spacing w:val="-1"/>
          <w:sz w:val="21"/>
          <w:szCs w:val="21"/>
        </w:rPr>
        <w:t>合并现金流量表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11"/>
        <w:rPr>
          <w:rFonts w:ascii="宋体" w:hAnsi="宋体" w:cs="宋体" w:eastAsia="宋体" w:hint="default"/>
          <w:b/>
          <w:bCs/>
          <w:sz w:val="17"/>
          <w:szCs w:val="17"/>
        </w:rPr>
      </w:pPr>
    </w:p>
    <w:p>
      <w:pPr>
        <w:pStyle w:val="BodyText"/>
        <w:spacing w:line="240" w:lineRule="auto"/>
        <w:ind w:left="1198" w:right="0"/>
        <w:jc w:val="left"/>
        <w:rPr>
          <w:rFonts w:ascii="宋体" w:hAnsi="宋体" w:cs="宋体" w:eastAsia="宋体" w:hint="default"/>
          <w:sz w:val="24"/>
          <w:szCs w:val="24"/>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1060" w:right="1560"/>
          <w:cols w:num="2" w:equalWidth="0">
            <w:col w:w="5501" w:space="40"/>
            <w:col w:w="3749"/>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928"/>
        <w:gridCol w:w="720"/>
        <w:gridCol w:w="1716"/>
        <w:gridCol w:w="1685"/>
      </w:tblGrid>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w w:val="100"/>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9" w:right="0"/>
              <w:jc w:val="left"/>
              <w:rPr>
                <w:rFonts w:ascii="Times New Roman" w:hAnsi="Times New Roman" w:cs="Times New Roman" w:eastAsia="Times New Roman" w:hint="default"/>
                <w:sz w:val="21"/>
                <w:szCs w:val="21"/>
              </w:rPr>
            </w:pPr>
            <w:r>
              <w:rPr>
                <w:rFonts w:ascii="Times New Roman"/>
                <w:sz w:val="21"/>
              </w:rPr>
              <w:t>6,384,891,664.95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4,503,667,514.73</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4"/>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4"/>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收到再保业务现金净额</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拆入资金净增加额</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代理买卖证券收到的现金净额</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93" w:right="0"/>
              <w:jc w:val="left"/>
              <w:rPr>
                <w:rFonts w:ascii="Times New Roman" w:hAnsi="Times New Roman" w:cs="Times New Roman" w:eastAsia="Times New Roman" w:hint="default"/>
                <w:sz w:val="21"/>
                <w:szCs w:val="21"/>
              </w:rPr>
            </w:pPr>
            <w:r>
              <w:rPr>
                <w:rFonts w:ascii="Times New Roman"/>
                <w:sz w:val="21"/>
              </w:rPr>
              <w:t>24,225,775.38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28,323,821.73</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7" w:right="0"/>
              <w:jc w:val="left"/>
              <w:rPr>
                <w:rFonts w:ascii="Times New Roman" w:hAnsi="Times New Roman" w:cs="Times New Roman" w:eastAsia="Times New Roman" w:hint="default"/>
                <w:sz w:val="21"/>
                <w:szCs w:val="21"/>
              </w:rPr>
            </w:pPr>
            <w:r>
              <w:rPr>
                <w:rFonts w:ascii="Times New Roman"/>
                <w:sz w:val="21"/>
              </w:rPr>
              <w:t>404,099,126.34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109,488,544.86</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9" w:right="0"/>
              <w:jc w:val="left"/>
              <w:rPr>
                <w:rFonts w:ascii="Times New Roman" w:hAnsi="Times New Roman" w:cs="Times New Roman" w:eastAsia="Times New Roman" w:hint="default"/>
                <w:sz w:val="21"/>
                <w:szCs w:val="21"/>
              </w:rPr>
            </w:pPr>
            <w:r>
              <w:rPr>
                <w:rFonts w:ascii="Times New Roman"/>
                <w:sz w:val="21"/>
              </w:rPr>
              <w:t>6,813,216,566.67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4,641,479,881.32</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9" w:right="0"/>
              <w:jc w:val="left"/>
              <w:rPr>
                <w:rFonts w:ascii="Times New Roman" w:hAnsi="Times New Roman" w:cs="Times New Roman" w:eastAsia="Times New Roman" w:hint="default"/>
                <w:sz w:val="21"/>
                <w:szCs w:val="21"/>
              </w:rPr>
            </w:pPr>
            <w:r>
              <w:rPr>
                <w:rFonts w:ascii="Times New Roman"/>
                <w:sz w:val="21"/>
              </w:rPr>
              <w:t>4,604,817,706.37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3,667,485,093.07</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4"/>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拆出资金净增加额</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支付给职工及为职工支付的现金</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7" w:right="0"/>
              <w:jc w:val="left"/>
              <w:rPr>
                <w:rFonts w:ascii="Times New Roman" w:hAnsi="Times New Roman" w:cs="Times New Roman" w:eastAsia="Times New Roman" w:hint="default"/>
                <w:sz w:val="21"/>
                <w:szCs w:val="21"/>
              </w:rPr>
            </w:pPr>
            <w:r>
              <w:rPr>
                <w:rFonts w:ascii="Times New Roman"/>
                <w:sz w:val="21"/>
              </w:rPr>
              <w:t>402,384,274.21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302,153,776.31</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7" w:right="0"/>
              <w:jc w:val="left"/>
              <w:rPr>
                <w:rFonts w:ascii="Times New Roman" w:hAnsi="Times New Roman" w:cs="Times New Roman" w:eastAsia="Times New Roman" w:hint="default"/>
                <w:sz w:val="21"/>
                <w:szCs w:val="21"/>
              </w:rPr>
            </w:pPr>
            <w:r>
              <w:rPr>
                <w:rFonts w:ascii="Times New Roman"/>
                <w:sz w:val="21"/>
              </w:rPr>
              <w:t>270,321,412.76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202,521,592.86</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9" w:right="0"/>
              <w:jc w:val="left"/>
              <w:rPr>
                <w:rFonts w:ascii="Times New Roman" w:hAnsi="Times New Roman" w:cs="Times New Roman" w:eastAsia="Times New Roman" w:hint="default"/>
                <w:sz w:val="21"/>
                <w:szCs w:val="21"/>
              </w:rPr>
            </w:pPr>
            <w:r>
              <w:rPr>
                <w:rFonts w:ascii="Times New Roman"/>
                <w:sz w:val="21"/>
              </w:rPr>
              <w:t>1,123,685,520.55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453,136,583.93</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9" w:right="0"/>
              <w:jc w:val="left"/>
              <w:rPr>
                <w:rFonts w:ascii="Times New Roman" w:hAnsi="Times New Roman" w:cs="Times New Roman" w:eastAsia="Times New Roman" w:hint="default"/>
                <w:sz w:val="21"/>
                <w:szCs w:val="21"/>
              </w:rPr>
            </w:pPr>
            <w:r>
              <w:rPr>
                <w:rFonts w:ascii="Times New Roman"/>
                <w:sz w:val="21"/>
              </w:rPr>
              <w:t>6,401,208,913.89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4,625,297,046.17</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4"/>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7" w:right="0"/>
              <w:jc w:val="left"/>
              <w:rPr>
                <w:rFonts w:ascii="Times New Roman" w:hAnsi="Times New Roman" w:cs="Times New Roman" w:eastAsia="Times New Roman" w:hint="default"/>
                <w:sz w:val="21"/>
                <w:szCs w:val="21"/>
              </w:rPr>
            </w:pPr>
            <w:r>
              <w:rPr>
                <w:rFonts w:ascii="Times New Roman"/>
                <w:sz w:val="21"/>
              </w:rPr>
              <w:t>412,007,652.78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16,182,835.15</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w w:val="100"/>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7" w:right="0"/>
              <w:jc w:val="left"/>
              <w:rPr>
                <w:rFonts w:ascii="Times New Roman" w:hAnsi="Times New Roman" w:cs="Times New Roman" w:eastAsia="Times New Roman" w:hint="default"/>
                <w:sz w:val="21"/>
                <w:szCs w:val="21"/>
              </w:rPr>
            </w:pPr>
            <w:r>
              <w:rPr>
                <w:rFonts w:ascii="Times New Roman"/>
                <w:sz w:val="21"/>
              </w:rPr>
              <w:t>194,004,107.70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226,584,407.49</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93" w:right="0"/>
              <w:jc w:val="left"/>
              <w:rPr>
                <w:rFonts w:ascii="Times New Roman" w:hAnsi="Times New Roman" w:cs="Times New Roman" w:eastAsia="Times New Roman" w:hint="default"/>
                <w:sz w:val="21"/>
                <w:szCs w:val="21"/>
              </w:rPr>
            </w:pPr>
            <w:r>
              <w:rPr>
                <w:rFonts w:ascii="Times New Roman"/>
                <w:sz w:val="21"/>
              </w:rPr>
              <w:t>30,619,934.80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58,705,154.20</w:t>
            </w:r>
          </w:p>
        </w:tc>
      </w:tr>
      <w:tr>
        <w:trPr>
          <w:trHeight w:val="55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处置固定资产、无形资产和其他长期资产收回的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现金净额</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93" w:right="0"/>
              <w:jc w:val="left"/>
              <w:rPr>
                <w:rFonts w:ascii="Times New Roman" w:hAnsi="Times New Roman" w:cs="Times New Roman" w:eastAsia="Times New Roman" w:hint="default"/>
                <w:sz w:val="21"/>
                <w:szCs w:val="21"/>
              </w:rPr>
            </w:pPr>
            <w:r>
              <w:rPr>
                <w:rFonts w:ascii="Times New Roman"/>
                <w:sz w:val="21"/>
              </w:rPr>
              <w:t>16,510,881.80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3,962,083.55</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060" w:right="1560"/>
        </w:sectPr>
      </w:pPr>
    </w:p>
    <w:p>
      <w:pPr>
        <w:spacing w:line="240" w:lineRule="auto" w:before="8"/>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4928"/>
        <w:gridCol w:w="720"/>
        <w:gridCol w:w="1716"/>
        <w:gridCol w:w="1685"/>
      </w:tblGrid>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4"/>
              <w:jc w:val="righ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处置子公司及其他营业单位收到的现金净额</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7" w:right="0"/>
              <w:jc w:val="left"/>
              <w:rPr>
                <w:rFonts w:ascii="Times New Roman" w:hAnsi="Times New Roman" w:cs="Times New Roman" w:eastAsia="Times New Roman" w:hint="default"/>
                <w:sz w:val="21"/>
                <w:szCs w:val="21"/>
              </w:rPr>
            </w:pPr>
            <w:r>
              <w:rPr>
                <w:rFonts w:ascii="Times New Roman"/>
                <w:sz w:val="21"/>
              </w:rPr>
              <w:t>103,229,769.25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99,972,013.14</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93" w:right="0"/>
              <w:jc w:val="left"/>
              <w:rPr>
                <w:rFonts w:ascii="Times New Roman" w:hAnsi="Times New Roman" w:cs="Times New Roman" w:eastAsia="Times New Roman" w:hint="default"/>
                <w:sz w:val="21"/>
                <w:szCs w:val="21"/>
              </w:rPr>
            </w:pPr>
            <w:r>
              <w:rPr>
                <w:rFonts w:ascii="Times New Roman"/>
                <w:sz w:val="21"/>
              </w:rPr>
              <w:t>21,650,711.17</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7" w:right="0"/>
              <w:jc w:val="left"/>
              <w:rPr>
                <w:rFonts w:ascii="Times New Roman" w:hAnsi="Times New Roman" w:cs="Times New Roman" w:eastAsia="Times New Roman" w:hint="default"/>
                <w:sz w:val="21"/>
                <w:szCs w:val="21"/>
              </w:rPr>
            </w:pPr>
            <w:r>
              <w:rPr>
                <w:rFonts w:ascii="Times New Roman"/>
                <w:sz w:val="21"/>
              </w:rPr>
              <w:t>366,015,404.72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389,223,658.38</w:t>
            </w:r>
          </w:p>
        </w:tc>
      </w:tr>
      <w:tr>
        <w:trPr>
          <w:trHeight w:val="55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购建固定资产、无形资产和其他长期资产支付的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87" w:right="0"/>
              <w:jc w:val="left"/>
              <w:rPr>
                <w:rFonts w:ascii="Times New Roman" w:hAnsi="Times New Roman" w:cs="Times New Roman" w:eastAsia="Times New Roman" w:hint="default"/>
                <w:sz w:val="21"/>
                <w:szCs w:val="21"/>
              </w:rPr>
            </w:pPr>
            <w:r>
              <w:rPr>
                <w:rFonts w:ascii="Times New Roman"/>
                <w:sz w:val="21"/>
              </w:rPr>
              <w:t>233,009,451.14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261,114,594.21</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7" w:right="0"/>
              <w:jc w:val="left"/>
              <w:rPr>
                <w:rFonts w:ascii="Times New Roman" w:hAnsi="Times New Roman" w:cs="Times New Roman" w:eastAsia="Times New Roman" w:hint="default"/>
                <w:sz w:val="21"/>
                <w:szCs w:val="21"/>
              </w:rPr>
            </w:pPr>
            <w:r>
              <w:rPr>
                <w:rFonts w:ascii="Times New Roman"/>
                <w:sz w:val="21"/>
              </w:rPr>
              <w:t>165,680,000.00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118,051,200.00</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质押贷款净增加额</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04"/>
              <w:jc w:val="righ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取得子公司及其他营业单位支付的现金净额</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60,986,040.96</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13,700,000.00</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7" w:right="0"/>
              <w:jc w:val="left"/>
              <w:rPr>
                <w:rFonts w:ascii="Times New Roman" w:hAnsi="Times New Roman" w:cs="Times New Roman" w:eastAsia="Times New Roman" w:hint="default"/>
                <w:sz w:val="21"/>
                <w:szCs w:val="21"/>
              </w:rPr>
            </w:pPr>
            <w:r>
              <w:rPr>
                <w:rFonts w:ascii="Times New Roman"/>
                <w:sz w:val="21"/>
              </w:rPr>
              <w:t>398,689,451.14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453,851,835.17</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3" w:right="0"/>
              <w:jc w:val="left"/>
              <w:rPr>
                <w:rFonts w:ascii="Times New Roman" w:hAnsi="Times New Roman" w:cs="Times New Roman" w:eastAsia="Times New Roman" w:hint="default"/>
                <w:sz w:val="21"/>
                <w:szCs w:val="21"/>
              </w:rPr>
            </w:pPr>
            <w:r>
              <w:rPr>
                <w:rFonts w:ascii="Times New Roman"/>
                <w:sz w:val="21"/>
              </w:rPr>
              <w:t>-32,674,046.42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-64,628,176.79</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w w:val="100"/>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173,401,000.00</w:t>
            </w:r>
          </w:p>
        </w:tc>
      </w:tr>
      <w:tr>
        <w:trPr>
          <w:trHeight w:val="28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4"/>
              <w:jc w:val="right"/>
              <w:rPr>
                <w:rFonts w:ascii="宋体" w:hAnsi="宋体" w:cs="宋体" w:eastAsia="宋体" w:hint="default"/>
                <w:sz w:val="21"/>
                <w:szCs w:val="21"/>
              </w:rPr>
            </w:pPr>
            <w:r>
              <w:rPr>
                <w:rFonts w:ascii="宋体" w:hAnsi="宋体" w:cs="宋体" w:eastAsia="宋体" w:hint="default"/>
                <w:spacing w:val="-2"/>
                <w:sz w:val="21"/>
                <w:szCs w:val="21"/>
              </w:rPr>
              <w:t>其中：子公司吸收少数股东投资收到的现金</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6"/>
              <w:jc w:val="right"/>
              <w:rPr>
                <w:rFonts w:ascii="Times New Roman" w:hAnsi="Times New Roman" w:cs="Times New Roman" w:eastAsia="Times New Roman" w:hint="default"/>
                <w:sz w:val="21"/>
                <w:szCs w:val="21"/>
              </w:rPr>
            </w:pPr>
            <w:r>
              <w:rPr>
                <w:rFonts w:ascii="Times New Roman"/>
                <w:spacing w:val="-1"/>
                <w:sz w:val="21"/>
              </w:rPr>
              <w:t>173,401,000.00</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9" w:right="0"/>
              <w:jc w:val="left"/>
              <w:rPr>
                <w:rFonts w:ascii="Times New Roman" w:hAnsi="Times New Roman" w:cs="Times New Roman" w:eastAsia="Times New Roman" w:hint="default"/>
                <w:sz w:val="21"/>
                <w:szCs w:val="21"/>
              </w:rPr>
            </w:pPr>
            <w:r>
              <w:rPr>
                <w:rFonts w:ascii="Times New Roman"/>
                <w:sz w:val="21"/>
              </w:rPr>
              <w:t>2,848,001,150.00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1,711,190,000.00</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7" w:right="0"/>
              <w:jc w:val="left"/>
              <w:rPr>
                <w:rFonts w:ascii="Times New Roman" w:hAnsi="Times New Roman" w:cs="Times New Roman" w:eastAsia="Times New Roman" w:hint="default"/>
                <w:sz w:val="21"/>
                <w:szCs w:val="21"/>
              </w:rPr>
            </w:pPr>
            <w:r>
              <w:rPr>
                <w:rFonts w:ascii="Times New Roman"/>
                <w:sz w:val="21"/>
              </w:rPr>
              <w:t>421,783,588.24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12,849,578.52</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9" w:right="0"/>
              <w:jc w:val="left"/>
              <w:rPr>
                <w:rFonts w:ascii="Times New Roman" w:hAnsi="Times New Roman" w:cs="Times New Roman" w:eastAsia="Times New Roman" w:hint="default"/>
                <w:sz w:val="21"/>
                <w:szCs w:val="21"/>
              </w:rPr>
            </w:pPr>
            <w:r>
              <w:rPr>
                <w:rFonts w:ascii="Times New Roman"/>
                <w:sz w:val="21"/>
              </w:rPr>
              <w:t>3,269,784,738.24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1,897,440,578.52</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9" w:right="0"/>
              <w:jc w:val="left"/>
              <w:rPr>
                <w:rFonts w:ascii="Times New Roman" w:hAnsi="Times New Roman" w:cs="Times New Roman" w:eastAsia="Times New Roman" w:hint="default"/>
                <w:sz w:val="21"/>
                <w:szCs w:val="21"/>
              </w:rPr>
            </w:pPr>
            <w:r>
              <w:rPr>
                <w:rFonts w:ascii="Times New Roman"/>
                <w:sz w:val="21"/>
              </w:rPr>
              <w:t>2,976,362,816.00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1,280,749,411.00</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7" w:right="0"/>
              <w:jc w:val="left"/>
              <w:rPr>
                <w:rFonts w:ascii="Times New Roman" w:hAnsi="Times New Roman" w:cs="Times New Roman" w:eastAsia="Times New Roman" w:hint="default"/>
                <w:sz w:val="21"/>
                <w:szCs w:val="21"/>
              </w:rPr>
            </w:pPr>
            <w:r>
              <w:rPr>
                <w:rFonts w:ascii="Times New Roman"/>
                <w:sz w:val="21"/>
              </w:rPr>
              <w:t>219,845,941.74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271,192,607.00</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4"/>
              <w:jc w:val="right"/>
              <w:rPr>
                <w:rFonts w:ascii="宋体" w:hAnsi="宋体" w:cs="宋体" w:eastAsia="宋体" w:hint="default"/>
                <w:sz w:val="21"/>
                <w:szCs w:val="21"/>
              </w:rPr>
            </w:pPr>
            <w:r>
              <w:rPr>
                <w:rFonts w:ascii="宋体" w:hAnsi="宋体" w:cs="宋体" w:eastAsia="宋体" w:hint="default"/>
                <w:spacing w:val="-2"/>
                <w:sz w:val="21"/>
                <w:szCs w:val="21"/>
              </w:rPr>
              <w:t>其中：子公司支付给少数股东的股利、利润</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99" w:right="0"/>
              <w:jc w:val="left"/>
              <w:rPr>
                <w:rFonts w:ascii="Times New Roman" w:hAnsi="Times New Roman" w:cs="Times New Roman" w:eastAsia="Times New Roman" w:hint="default"/>
                <w:sz w:val="21"/>
                <w:szCs w:val="21"/>
              </w:rPr>
            </w:pPr>
            <w:r>
              <w:rPr>
                <w:rFonts w:ascii="Times New Roman"/>
                <w:sz w:val="21"/>
              </w:rPr>
              <w:t>7,733,123.66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753,160.00</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7" w:right="0"/>
              <w:jc w:val="left"/>
              <w:rPr>
                <w:rFonts w:ascii="Times New Roman" w:hAnsi="Times New Roman" w:cs="Times New Roman" w:eastAsia="Times New Roman" w:hint="default"/>
                <w:sz w:val="21"/>
                <w:szCs w:val="21"/>
              </w:rPr>
            </w:pPr>
            <w:r>
              <w:rPr>
                <w:rFonts w:ascii="Times New Roman"/>
                <w:sz w:val="21"/>
              </w:rPr>
              <w:t>134,487,600.00</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9" w:right="0"/>
              <w:jc w:val="left"/>
              <w:rPr>
                <w:rFonts w:ascii="Times New Roman" w:hAnsi="Times New Roman" w:cs="Times New Roman" w:eastAsia="Times New Roman" w:hint="default"/>
                <w:sz w:val="21"/>
                <w:szCs w:val="21"/>
              </w:rPr>
            </w:pPr>
            <w:r>
              <w:rPr>
                <w:rFonts w:ascii="Times New Roman"/>
                <w:sz w:val="21"/>
              </w:rPr>
              <w:t>3,330,696,357.74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1,551,942,018.00</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3" w:right="0"/>
              <w:jc w:val="left"/>
              <w:rPr>
                <w:rFonts w:ascii="Times New Roman" w:hAnsi="Times New Roman" w:cs="Times New Roman" w:eastAsia="Times New Roman" w:hint="default"/>
                <w:sz w:val="21"/>
                <w:szCs w:val="21"/>
              </w:rPr>
            </w:pPr>
            <w:r>
              <w:rPr>
                <w:rFonts w:ascii="Times New Roman"/>
                <w:sz w:val="21"/>
              </w:rPr>
              <w:t>-60,911,619.50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345,498,560.52</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w w:val="100"/>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7" w:right="0"/>
              <w:jc w:val="left"/>
              <w:rPr>
                <w:rFonts w:ascii="Times New Roman" w:hAnsi="Times New Roman" w:cs="Times New Roman" w:eastAsia="Times New Roman" w:hint="default"/>
                <w:sz w:val="21"/>
                <w:szCs w:val="21"/>
              </w:rPr>
            </w:pPr>
            <w:r>
              <w:rPr>
                <w:rFonts w:ascii="Times New Roman"/>
                <w:sz w:val="21"/>
              </w:rPr>
              <w:t>-1,220,025.73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3,816,992.51</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w w:val="100"/>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7" w:right="0"/>
              <w:jc w:val="left"/>
              <w:rPr>
                <w:rFonts w:ascii="Times New Roman" w:hAnsi="Times New Roman" w:cs="Times New Roman" w:eastAsia="Times New Roman" w:hint="default"/>
                <w:sz w:val="21"/>
                <w:szCs w:val="21"/>
              </w:rPr>
            </w:pPr>
            <w:r>
              <w:rPr>
                <w:rFonts w:ascii="Times New Roman"/>
                <w:sz w:val="21"/>
              </w:rPr>
              <w:t>317,201,961.13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300,870,211.39</w:t>
            </w:r>
          </w:p>
        </w:tc>
      </w:tr>
      <w:tr>
        <w:trPr>
          <w:trHeight w:val="28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9" w:right="0"/>
              <w:jc w:val="left"/>
              <w:rPr>
                <w:rFonts w:ascii="Times New Roman" w:hAnsi="Times New Roman" w:cs="Times New Roman" w:eastAsia="Times New Roman" w:hint="default"/>
                <w:sz w:val="21"/>
                <w:szCs w:val="21"/>
              </w:rPr>
            </w:pPr>
            <w:r>
              <w:rPr>
                <w:rFonts w:ascii="Times New Roman"/>
                <w:sz w:val="21"/>
              </w:rPr>
              <w:t>1,333,950,955.50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1,033,080,744.11</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w w:val="100"/>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9" w:right="0"/>
              <w:jc w:val="left"/>
              <w:rPr>
                <w:rFonts w:ascii="Times New Roman" w:hAnsi="Times New Roman" w:cs="Times New Roman" w:eastAsia="Times New Roman" w:hint="default"/>
                <w:sz w:val="21"/>
                <w:szCs w:val="21"/>
              </w:rPr>
            </w:pPr>
            <w:r>
              <w:rPr>
                <w:rFonts w:ascii="Times New Roman"/>
                <w:sz w:val="21"/>
              </w:rPr>
              <w:t>1,651,152,916.63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1,333,950,955.50</w:t>
            </w:r>
          </w:p>
        </w:tc>
      </w:tr>
    </w:tbl>
    <w:p>
      <w:pPr>
        <w:spacing w:line="240" w:lineRule="auto" w:before="3"/>
        <w:rPr>
          <w:rFonts w:ascii="宋体" w:hAnsi="宋体" w:cs="宋体" w:eastAsia="宋体" w:hint="default"/>
          <w:sz w:val="11"/>
          <w:szCs w:val="11"/>
        </w:rPr>
      </w:pPr>
    </w:p>
    <w:p>
      <w:pPr>
        <w:pStyle w:val="BodyText"/>
        <w:spacing w:line="270" w:lineRule="exact" w:before="61"/>
        <w:ind w:left="0" w:right="14"/>
        <w:jc w:val="center"/>
        <w:rPr>
          <w:rFonts w:ascii="宋体" w:hAnsi="宋体" w:cs="宋体" w:eastAsia="宋体" w:hint="default"/>
          <w:sz w:val="24"/>
          <w:szCs w:val="24"/>
        </w:rPr>
      </w:pPr>
      <w:r>
        <w:rPr/>
        <w:t>法定代表人：杨剑        </w:t>
      </w:r>
      <w:r>
        <w:rPr>
          <w:rFonts w:ascii="宋体" w:hAnsi="宋体" w:cs="宋体" w:eastAsia="宋体" w:hint="default"/>
        </w:rPr>
      </w:r>
      <w:r>
        <w:rPr/>
        <w:t>主管会计工作负责人：朱宇华         </w:t>
      </w:r>
      <w:r>
        <w:rPr>
          <w:spacing w:val="90"/>
        </w:rPr>
        <w:t> </w:t>
      </w:r>
      <w:r>
        <w:rPr>
          <w:rFonts w:ascii="宋体" w:hAnsi="宋体" w:cs="宋体" w:eastAsia="宋体" w:hint="default"/>
          <w:spacing w:val="90"/>
        </w:rPr>
      </w:r>
      <w:r>
        <w:rPr/>
        <w:t>会计机构负责人：熊美福</w:t>
      </w:r>
      <w:r>
        <w:rPr>
          <w:rFonts w:ascii="宋体" w:hAnsi="宋体" w:cs="宋体" w:eastAsia="宋体" w:hint="default"/>
          <w:b/>
          <w:bCs/>
          <w:color w:val="FF0000"/>
          <w:w w:val="99"/>
          <w:sz w:val="24"/>
          <w:szCs w:val="24"/>
        </w:rPr>
        <w:t> </w:t>
      </w:r>
      <w:r>
        <w:rPr>
          <w:rFonts w:ascii="宋体" w:hAnsi="宋体" w:cs="宋体" w:eastAsia="宋体" w:hint="default"/>
          <w:sz w:val="24"/>
          <w:szCs w:val="24"/>
        </w:rPr>
      </w:r>
    </w:p>
    <w:p>
      <w:pPr>
        <w:spacing w:line="240" w:lineRule="auto" w:before="0"/>
        <w:ind w:left="3789" w:right="3702" w:firstLine="16"/>
        <w:jc w:val="center"/>
        <w:rPr>
          <w:rFonts w:ascii="宋体" w:hAnsi="宋体" w:cs="宋体" w:eastAsia="宋体" w:hint="default"/>
          <w:sz w:val="21"/>
          <w:szCs w:val="21"/>
        </w:rPr>
      </w:pPr>
      <w:r>
        <w:rPr>
          <w:rFonts w:ascii="宋体" w:hAnsi="宋体" w:cs="宋体" w:eastAsia="宋体" w:hint="default"/>
          <w:b/>
          <w:bCs/>
          <w:w w:val="99"/>
          <w:sz w:val="24"/>
          <w:szCs w:val="24"/>
        </w:rPr>
        <w:t> </w:t>
      </w:r>
      <w:r>
        <w:rPr>
          <w:rFonts w:ascii="宋体" w:hAnsi="宋体" w:cs="宋体" w:eastAsia="宋体" w:hint="default"/>
          <w:b/>
          <w:bCs/>
          <w:w w:val="100"/>
          <w:sz w:val="21"/>
          <w:szCs w:val="21"/>
        </w:rPr>
        <w:t>母公司现金流量</w:t>
      </w:r>
      <w:r>
        <w:rPr>
          <w:rFonts w:ascii="宋体" w:hAnsi="宋体" w:cs="宋体" w:eastAsia="宋体" w:hint="default"/>
          <w:b/>
          <w:bCs/>
          <w:spacing w:val="-2"/>
          <w:w w:val="100"/>
          <w:sz w:val="21"/>
          <w:szCs w:val="21"/>
        </w:rPr>
        <w:t>表</w:t>
      </w:r>
      <w:r>
        <w:rPr>
          <w:rFonts w:ascii="宋体" w:hAnsi="宋体" w:cs="宋体" w:eastAsia="宋体" w:hint="default"/>
          <w:b/>
          <w:bCs/>
          <w:w w:val="99"/>
          <w:sz w:val="21"/>
          <w:szCs w:val="21"/>
        </w:rPr>
        <w:t> </w:t>
      </w:r>
      <w:r>
        <w:rPr>
          <w:rFonts w:ascii="宋体" w:hAnsi="宋体" w:cs="宋体" w:eastAsia="宋体" w:hint="default"/>
          <w:w w:val="100"/>
          <w:sz w:val="21"/>
          <w:szCs w:val="21"/>
        </w:rPr>
        <w:t>2019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1</w:t>
      </w:r>
      <w:r>
        <w:rPr>
          <w:rFonts w:ascii="宋体" w:hAnsi="宋体" w:cs="宋体" w:eastAsia="宋体" w:hint="default"/>
          <w:spacing w:val="-3"/>
          <w:w w:val="100"/>
          <w:sz w:val="21"/>
          <w:szCs w:val="21"/>
        </w:rPr>
        <w:t>—</w:t>
      </w:r>
      <w:r>
        <w:rPr>
          <w:rFonts w:ascii="宋体" w:hAnsi="宋体" w:cs="宋体" w:eastAsia="宋体" w:hint="default"/>
          <w:w w:val="100"/>
          <w:sz w:val="21"/>
          <w:szCs w:val="21"/>
        </w:rPr>
        <w:t>12</w:t>
      </w:r>
      <w:r>
        <w:rPr>
          <w:rFonts w:ascii="宋体" w:hAnsi="宋体" w:cs="宋体" w:eastAsia="宋体" w:hint="default"/>
          <w:spacing w:val="-55"/>
          <w:sz w:val="21"/>
          <w:szCs w:val="21"/>
        </w:rPr>
        <w:t> </w:t>
      </w:r>
      <w:r>
        <w:rPr>
          <w:rFonts w:ascii="宋体" w:hAnsi="宋体" w:cs="宋体" w:eastAsia="宋体" w:hint="default"/>
          <w:spacing w:val="-3"/>
          <w:w w:val="100"/>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1" w:lineRule="exact"/>
        <w:ind w:left="0" w:right="128"/>
        <w:jc w:val="righ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650"/>
        <w:gridCol w:w="872"/>
        <w:gridCol w:w="1745"/>
        <w:gridCol w:w="1784"/>
      </w:tblGrid>
      <w:tr>
        <w:trPr>
          <w:trHeight w:val="281"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w w:val="100"/>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2" w:right="0"/>
              <w:jc w:val="left"/>
              <w:rPr>
                <w:rFonts w:ascii="Times New Roman" w:hAnsi="Times New Roman" w:cs="Times New Roman" w:eastAsia="Times New Roman" w:hint="default"/>
                <w:sz w:val="20"/>
                <w:szCs w:val="20"/>
              </w:rPr>
            </w:pPr>
            <w:r>
              <w:rPr>
                <w:rFonts w:ascii="Times New Roman"/>
                <w:sz w:val="20"/>
              </w:rPr>
              <w:t>1,532,494,932.69</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spacing w:val="-1"/>
                <w:sz w:val="20"/>
              </w:rPr>
              <w:t>1,174,439,759.75</w:t>
            </w:r>
          </w:p>
        </w:tc>
      </w:tr>
      <w:tr>
        <w:trPr>
          <w:trHeight w:val="281"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0"/>
                <w:szCs w:val="20"/>
              </w:rPr>
            </w:pPr>
            <w:r>
              <w:rPr>
                <w:rFonts w:ascii="Times New Roman"/>
                <w:w w:val="95"/>
                <w:sz w:val="20"/>
              </w:rPr>
              <w:t>5,331,576.80</w:t>
            </w:r>
            <w:r>
              <w:rPr>
                <w:rFonts w:ascii="Times New Roman"/>
                <w:sz w:val="20"/>
              </w:rPr>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0"/>
                <w:szCs w:val="20"/>
              </w:rPr>
            </w:pPr>
            <w:r>
              <w:rPr>
                <w:rFonts w:ascii="Times New Roman"/>
                <w:w w:val="95"/>
                <w:sz w:val="20"/>
              </w:rPr>
              <w:t>7,462,065.55</w:t>
            </w:r>
            <w:r>
              <w:rPr>
                <w:rFonts w:ascii="Times New Roman"/>
                <w:sz w:val="20"/>
              </w:rPr>
            </w:r>
          </w:p>
        </w:tc>
      </w:tr>
      <w:tr>
        <w:trPr>
          <w:trHeight w:val="283"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2" w:right="0"/>
              <w:jc w:val="left"/>
              <w:rPr>
                <w:rFonts w:ascii="Times New Roman" w:hAnsi="Times New Roman" w:cs="Times New Roman" w:eastAsia="Times New Roman" w:hint="default"/>
                <w:sz w:val="20"/>
                <w:szCs w:val="20"/>
              </w:rPr>
            </w:pPr>
            <w:r>
              <w:rPr>
                <w:rFonts w:ascii="Times New Roman"/>
                <w:sz w:val="20"/>
              </w:rPr>
              <w:t>1,777,752,672.88</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267,604,155.72</w:t>
            </w:r>
            <w:r>
              <w:rPr>
                <w:rFonts w:ascii="Times New Roman"/>
                <w:sz w:val="20"/>
              </w:rPr>
            </w:r>
          </w:p>
        </w:tc>
      </w:tr>
      <w:tr>
        <w:trPr>
          <w:trHeight w:val="281"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2" w:right="0"/>
              <w:jc w:val="left"/>
              <w:rPr>
                <w:rFonts w:ascii="Times New Roman" w:hAnsi="Times New Roman" w:cs="Times New Roman" w:eastAsia="Times New Roman" w:hint="default"/>
                <w:sz w:val="20"/>
                <w:szCs w:val="20"/>
              </w:rPr>
            </w:pPr>
            <w:r>
              <w:rPr>
                <w:rFonts w:ascii="Times New Roman"/>
                <w:sz w:val="20"/>
              </w:rPr>
              <w:t>3,315,579,182.37</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spacing w:val="-1"/>
                <w:sz w:val="20"/>
              </w:rPr>
              <w:t>1,449,505,981.02</w:t>
            </w:r>
          </w:p>
        </w:tc>
      </w:tr>
      <w:tr>
        <w:trPr>
          <w:trHeight w:val="283"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2" w:right="0"/>
              <w:jc w:val="left"/>
              <w:rPr>
                <w:rFonts w:ascii="Times New Roman" w:hAnsi="Times New Roman" w:cs="Times New Roman" w:eastAsia="Times New Roman" w:hint="default"/>
                <w:sz w:val="20"/>
                <w:szCs w:val="20"/>
              </w:rPr>
            </w:pPr>
            <w:r>
              <w:rPr>
                <w:rFonts w:ascii="Times New Roman"/>
                <w:sz w:val="20"/>
              </w:rPr>
              <w:t>1,899,361,473.16</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spacing w:val="-1"/>
                <w:sz w:val="20"/>
              </w:rPr>
              <w:t>1,219,415,665.60</w:t>
            </w:r>
          </w:p>
        </w:tc>
      </w:tr>
      <w:tr>
        <w:trPr>
          <w:trHeight w:val="283"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支付给职工及为职工支付的现金</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77,887,995.26</w:t>
            </w:r>
            <w:r>
              <w:rPr>
                <w:rFonts w:ascii="Times New Roman"/>
                <w:sz w:val="20"/>
              </w:rPr>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56,898,108.81</w:t>
            </w:r>
            <w:r>
              <w:rPr>
                <w:rFonts w:ascii="Times New Roman"/>
                <w:sz w:val="20"/>
              </w:rPr>
            </w:r>
          </w:p>
        </w:tc>
      </w:tr>
      <w:tr>
        <w:trPr>
          <w:trHeight w:val="281"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56,683,040.83</w:t>
            </w:r>
            <w:r>
              <w:rPr>
                <w:rFonts w:ascii="Times New Roman"/>
                <w:sz w:val="20"/>
              </w:rPr>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17,173,476.71</w:t>
            </w:r>
            <w:r>
              <w:rPr>
                <w:rFonts w:ascii="Times New Roman"/>
                <w:sz w:val="20"/>
              </w:rPr>
            </w:r>
          </w:p>
        </w:tc>
      </w:tr>
      <w:tr>
        <w:trPr>
          <w:trHeight w:val="283"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81" w:right="0"/>
              <w:jc w:val="left"/>
              <w:rPr>
                <w:rFonts w:ascii="Times New Roman" w:hAnsi="Times New Roman" w:cs="Times New Roman" w:eastAsia="Times New Roman" w:hint="default"/>
                <w:sz w:val="20"/>
                <w:szCs w:val="20"/>
              </w:rPr>
            </w:pPr>
            <w:r>
              <w:rPr>
                <w:rFonts w:ascii="Times New Roman"/>
                <w:sz w:val="20"/>
              </w:rPr>
              <w:t>296,639,328.86</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369,073,603.49</w:t>
            </w:r>
            <w:r>
              <w:rPr>
                <w:rFonts w:ascii="Times New Roman"/>
                <w:sz w:val="20"/>
              </w:rPr>
            </w:r>
          </w:p>
        </w:tc>
      </w:tr>
      <w:tr>
        <w:trPr>
          <w:trHeight w:val="283"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2" w:right="0"/>
              <w:jc w:val="left"/>
              <w:rPr>
                <w:rFonts w:ascii="Times New Roman" w:hAnsi="Times New Roman" w:cs="Times New Roman" w:eastAsia="Times New Roman" w:hint="default"/>
                <w:sz w:val="20"/>
                <w:szCs w:val="20"/>
              </w:rPr>
            </w:pPr>
            <w:r>
              <w:rPr>
                <w:rFonts w:ascii="Times New Roman"/>
                <w:sz w:val="20"/>
              </w:rPr>
              <w:t>2,330,571,838.11</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spacing w:val="-1"/>
                <w:sz w:val="20"/>
              </w:rPr>
              <w:t>1,662,560,854.61</w:t>
            </w:r>
          </w:p>
        </w:tc>
      </w:tr>
      <w:tr>
        <w:trPr>
          <w:trHeight w:val="281"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81" w:right="0"/>
              <w:jc w:val="left"/>
              <w:rPr>
                <w:rFonts w:ascii="Times New Roman" w:hAnsi="Times New Roman" w:cs="Times New Roman" w:eastAsia="Times New Roman" w:hint="default"/>
                <w:sz w:val="20"/>
                <w:szCs w:val="20"/>
              </w:rPr>
            </w:pPr>
            <w:r>
              <w:rPr>
                <w:rFonts w:ascii="Times New Roman"/>
                <w:sz w:val="20"/>
              </w:rPr>
              <w:t>985,007,344.26</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-213,054,873.59</w:t>
            </w:r>
            <w:r>
              <w:rPr>
                <w:rFonts w:ascii="Times New Roman"/>
                <w:sz w:val="20"/>
              </w:rPr>
            </w:r>
          </w:p>
        </w:tc>
      </w:tr>
      <w:tr>
        <w:trPr>
          <w:trHeight w:val="283"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w w:val="100"/>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81" w:right="0"/>
              <w:jc w:val="left"/>
              <w:rPr>
                <w:rFonts w:ascii="Times New Roman" w:hAnsi="Times New Roman" w:cs="Times New Roman" w:eastAsia="Times New Roman" w:hint="default"/>
                <w:sz w:val="20"/>
                <w:szCs w:val="20"/>
              </w:rPr>
            </w:pPr>
            <w:r>
              <w:rPr>
                <w:rFonts w:ascii="Times New Roman"/>
                <w:sz w:val="20"/>
              </w:rPr>
              <w:t>115,983,630.69</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204,600,000.00</w:t>
            </w:r>
            <w:r>
              <w:rPr>
                <w:rFonts w:ascii="Times New Roman"/>
                <w:sz w:val="20"/>
              </w:rPr>
            </w:r>
          </w:p>
        </w:tc>
      </w:tr>
      <w:tr>
        <w:trPr>
          <w:trHeight w:val="281"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15,445,265.33</w:t>
            </w:r>
            <w:r>
              <w:rPr>
                <w:rFonts w:ascii="Times New Roman"/>
                <w:sz w:val="20"/>
              </w:rPr>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53,221,000.00</w:t>
            </w:r>
            <w:r>
              <w:rPr>
                <w:rFonts w:ascii="Times New Roman"/>
                <w:sz w:val="20"/>
              </w:rPr>
            </w:r>
          </w:p>
        </w:tc>
      </w:tr>
      <w:tr>
        <w:trPr>
          <w:trHeight w:val="283"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处置固定资产、无形资产和其他长期资产收回</w:t>
            </w:r>
          </w:p>
        </w:tc>
        <w:tc>
          <w:tcPr>
            <w:tcW w:w="872"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15,150.00</w:t>
            </w:r>
            <w:r>
              <w:rPr>
                <w:rFonts w:ascii="Times New Roman"/>
                <w:sz w:val="20"/>
              </w:rPr>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3,631,392.76</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877" w:footer="1195" w:top="1100" w:bottom="1380" w:left="1060" w:right="1560"/>
        </w:sectPr>
      </w:pPr>
    </w:p>
    <w:p>
      <w:pPr>
        <w:spacing w:line="240" w:lineRule="auto" w:before="8"/>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4650"/>
        <w:gridCol w:w="872"/>
        <w:gridCol w:w="1745"/>
        <w:gridCol w:w="1784"/>
      </w:tblGrid>
      <w:tr>
        <w:trPr>
          <w:trHeight w:val="283"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的现金净额</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7"/>
              <w:jc w:val="righ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处置子公司及其他营业单位收到的现金净额</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sz w:val="20"/>
              </w:rPr>
              <w:t>1.00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101,500,000.00</w:t>
            </w:r>
            <w:r>
              <w:rPr>
                <w:rFonts w:ascii="Times New Roman"/>
                <w:sz w:val="20"/>
              </w:rPr>
            </w:r>
          </w:p>
        </w:tc>
      </w:tr>
      <w:tr>
        <w:trPr>
          <w:trHeight w:val="283"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21,650,711.17</w:t>
            </w:r>
            <w:r>
              <w:rPr>
                <w:rFonts w:ascii="Times New Roman"/>
                <w:sz w:val="20"/>
              </w:rPr>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81" w:right="0"/>
              <w:jc w:val="left"/>
              <w:rPr>
                <w:rFonts w:ascii="Times New Roman" w:hAnsi="Times New Roman" w:cs="Times New Roman" w:eastAsia="Times New Roman" w:hint="default"/>
                <w:sz w:val="20"/>
                <w:szCs w:val="20"/>
              </w:rPr>
            </w:pPr>
            <w:r>
              <w:rPr>
                <w:rFonts w:ascii="Times New Roman"/>
                <w:sz w:val="20"/>
              </w:rPr>
              <w:t>153,094,758.19</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362,952,392.76</w:t>
            </w:r>
            <w:r>
              <w:rPr>
                <w:rFonts w:ascii="Times New Roman"/>
                <w:sz w:val="20"/>
              </w:rPr>
            </w:r>
          </w:p>
        </w:tc>
      </w:tr>
      <w:tr>
        <w:trPr>
          <w:trHeight w:val="554"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0"/>
                <w:szCs w:val="20"/>
              </w:rPr>
            </w:pPr>
            <w:r>
              <w:rPr>
                <w:rFonts w:ascii="Times New Roman"/>
                <w:w w:val="95"/>
                <w:sz w:val="20"/>
              </w:rPr>
              <w:t>37,394,625.45</w:t>
            </w:r>
            <w:r>
              <w:rPr>
                <w:rFonts w:ascii="Times New Roman"/>
                <w:sz w:val="20"/>
              </w:rPr>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Times New Roman" w:hAnsi="Times New Roman" w:cs="Times New Roman" w:eastAsia="Times New Roman" w:hint="default"/>
                <w:sz w:val="20"/>
                <w:szCs w:val="20"/>
              </w:rPr>
            </w:pPr>
            <w:r>
              <w:rPr>
                <w:rFonts w:ascii="Times New Roman"/>
                <w:w w:val="95"/>
                <w:sz w:val="20"/>
              </w:rPr>
              <w:t>32,661,051.01</w:t>
            </w:r>
            <w:r>
              <w:rPr>
                <w:rFonts w:ascii="Times New Roman"/>
                <w:sz w:val="20"/>
              </w:rPr>
            </w:r>
          </w:p>
        </w:tc>
      </w:tr>
      <w:tr>
        <w:trPr>
          <w:trHeight w:val="281"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83,467,900.00</w:t>
            </w:r>
            <w:r>
              <w:rPr>
                <w:rFonts w:ascii="Times New Roman"/>
                <w:sz w:val="20"/>
              </w:rPr>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310,734,200.00</w:t>
            </w:r>
            <w:r>
              <w:rPr>
                <w:rFonts w:ascii="Times New Roman"/>
                <w:sz w:val="20"/>
              </w:rPr>
            </w:r>
          </w:p>
        </w:tc>
      </w:tr>
      <w:tr>
        <w:trPr>
          <w:trHeight w:val="283"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7"/>
              <w:jc w:val="righ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取得子公司及其他营业单位支付的现金净额</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70,000,000.00</w:t>
            </w:r>
            <w:r>
              <w:rPr>
                <w:rFonts w:ascii="Times New Roman"/>
                <w:sz w:val="20"/>
              </w:rPr>
            </w:r>
          </w:p>
        </w:tc>
      </w:tr>
      <w:tr>
        <w:trPr>
          <w:trHeight w:val="283"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81" w:right="0"/>
              <w:jc w:val="left"/>
              <w:rPr>
                <w:rFonts w:ascii="Times New Roman" w:hAnsi="Times New Roman" w:cs="Times New Roman" w:eastAsia="Times New Roman" w:hint="default"/>
                <w:sz w:val="20"/>
                <w:szCs w:val="20"/>
              </w:rPr>
            </w:pPr>
            <w:r>
              <w:rPr>
                <w:rFonts w:ascii="Times New Roman"/>
                <w:sz w:val="20"/>
              </w:rPr>
              <w:t>120,862,525.45</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413,395,251.01</w:t>
            </w:r>
            <w:r>
              <w:rPr>
                <w:rFonts w:ascii="Times New Roman"/>
                <w:sz w:val="20"/>
              </w:rPr>
            </w:r>
          </w:p>
        </w:tc>
      </w:tr>
      <w:tr>
        <w:trPr>
          <w:trHeight w:val="283"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32,232,232.74</w:t>
            </w:r>
            <w:r>
              <w:rPr>
                <w:rFonts w:ascii="Times New Roman"/>
                <w:sz w:val="20"/>
              </w:rPr>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-50,442,858.25</w:t>
            </w:r>
            <w:r>
              <w:rPr>
                <w:rFonts w:ascii="Times New Roman"/>
                <w:sz w:val="20"/>
              </w:rPr>
            </w:r>
          </w:p>
        </w:tc>
      </w:tr>
      <w:tr>
        <w:trPr>
          <w:trHeight w:val="283"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w w:val="100"/>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2" w:right="0"/>
              <w:jc w:val="left"/>
              <w:rPr>
                <w:rFonts w:ascii="Times New Roman" w:hAnsi="Times New Roman" w:cs="Times New Roman" w:eastAsia="Times New Roman" w:hint="default"/>
                <w:sz w:val="20"/>
                <w:szCs w:val="20"/>
              </w:rPr>
            </w:pPr>
            <w:r>
              <w:rPr>
                <w:rFonts w:ascii="Times New Roman"/>
                <w:sz w:val="20"/>
              </w:rPr>
              <w:t>1,737,167,290.00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spacing w:val="-1"/>
                <w:sz w:val="20"/>
              </w:rPr>
              <w:t>1,113,000,000.00</w:t>
            </w:r>
          </w:p>
        </w:tc>
      </w:tr>
      <w:tr>
        <w:trPr>
          <w:trHeight w:val="281"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18,573,302.10</w:t>
            </w:r>
            <w:r>
              <w:rPr>
                <w:rFonts w:ascii="Times New Roman"/>
                <w:sz w:val="20"/>
              </w:rPr>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12,849,578.52</w:t>
            </w:r>
            <w:r>
              <w:rPr>
                <w:rFonts w:ascii="Times New Roman"/>
                <w:sz w:val="20"/>
              </w:rPr>
            </w:r>
          </w:p>
        </w:tc>
      </w:tr>
      <w:tr>
        <w:trPr>
          <w:trHeight w:val="283"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2" w:right="0"/>
              <w:jc w:val="left"/>
              <w:rPr>
                <w:rFonts w:ascii="Times New Roman" w:hAnsi="Times New Roman" w:cs="Times New Roman" w:eastAsia="Times New Roman" w:hint="default"/>
                <w:sz w:val="20"/>
                <w:szCs w:val="20"/>
              </w:rPr>
            </w:pPr>
            <w:r>
              <w:rPr>
                <w:rFonts w:ascii="Times New Roman"/>
                <w:sz w:val="20"/>
              </w:rPr>
              <w:t>1,755,740,592.10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spacing w:val="-1"/>
                <w:sz w:val="20"/>
              </w:rPr>
              <w:t>1,125,849,578.52</w:t>
            </w:r>
          </w:p>
        </w:tc>
      </w:tr>
      <w:tr>
        <w:trPr>
          <w:trHeight w:val="283"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2" w:right="0"/>
              <w:jc w:val="left"/>
              <w:rPr>
                <w:rFonts w:ascii="Times New Roman" w:hAnsi="Times New Roman" w:cs="Times New Roman" w:eastAsia="Times New Roman" w:hint="default"/>
                <w:sz w:val="20"/>
                <w:szCs w:val="20"/>
              </w:rPr>
            </w:pPr>
            <w:r>
              <w:rPr>
                <w:rFonts w:ascii="Times New Roman"/>
                <w:sz w:val="20"/>
              </w:rPr>
              <w:t>2,252,132,816.00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796,857,273.00</w:t>
            </w:r>
            <w:r>
              <w:rPr>
                <w:rFonts w:ascii="Times New Roman"/>
                <w:sz w:val="20"/>
              </w:rPr>
            </w:r>
          </w:p>
        </w:tc>
      </w:tr>
      <w:tr>
        <w:trPr>
          <w:trHeight w:val="281"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81" w:right="0"/>
              <w:jc w:val="left"/>
              <w:rPr>
                <w:rFonts w:ascii="Times New Roman" w:hAnsi="Times New Roman" w:cs="Times New Roman" w:eastAsia="Times New Roman" w:hint="default"/>
                <w:sz w:val="20"/>
                <w:szCs w:val="20"/>
              </w:rPr>
            </w:pPr>
            <w:r>
              <w:rPr>
                <w:rFonts w:ascii="Times New Roman"/>
                <w:sz w:val="20"/>
              </w:rPr>
              <w:t>164,021,695.43</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198,270,201.59</w:t>
            </w:r>
            <w:r>
              <w:rPr>
                <w:rFonts w:ascii="Times New Roman"/>
                <w:sz w:val="20"/>
              </w:rPr>
            </w:r>
          </w:p>
        </w:tc>
      </w:tr>
      <w:tr>
        <w:trPr>
          <w:trHeight w:val="283"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81" w:right="0"/>
              <w:jc w:val="left"/>
              <w:rPr>
                <w:rFonts w:ascii="Times New Roman" w:hAnsi="Times New Roman" w:cs="Times New Roman" w:eastAsia="Times New Roman" w:hint="default"/>
                <w:sz w:val="20"/>
                <w:szCs w:val="20"/>
              </w:rPr>
            </w:pPr>
            <w:r>
              <w:rPr>
                <w:rFonts w:ascii="Times New Roman"/>
                <w:sz w:val="20"/>
              </w:rPr>
              <w:t>134,487,600.00</w:t>
            </w:r>
          </w:p>
        </w:tc>
        <w:tc>
          <w:tcPr>
            <w:tcW w:w="17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2" w:right="0"/>
              <w:jc w:val="left"/>
              <w:rPr>
                <w:rFonts w:ascii="Times New Roman" w:hAnsi="Times New Roman" w:cs="Times New Roman" w:eastAsia="Times New Roman" w:hint="default"/>
                <w:sz w:val="20"/>
                <w:szCs w:val="20"/>
              </w:rPr>
            </w:pPr>
            <w:r>
              <w:rPr>
                <w:rFonts w:ascii="Times New Roman"/>
                <w:sz w:val="20"/>
              </w:rPr>
              <w:t>2,550,642,111.43</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995,127,474.59</w:t>
            </w:r>
            <w:r>
              <w:rPr>
                <w:rFonts w:ascii="Times New Roman"/>
                <w:sz w:val="20"/>
              </w:rPr>
            </w:r>
          </w:p>
        </w:tc>
      </w:tr>
      <w:tr>
        <w:trPr>
          <w:trHeight w:val="281"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14" w:right="0"/>
              <w:jc w:val="left"/>
              <w:rPr>
                <w:rFonts w:ascii="Times New Roman" w:hAnsi="Times New Roman" w:cs="Times New Roman" w:eastAsia="Times New Roman" w:hint="default"/>
                <w:sz w:val="20"/>
                <w:szCs w:val="20"/>
              </w:rPr>
            </w:pPr>
            <w:r>
              <w:rPr>
                <w:rFonts w:ascii="Times New Roman"/>
                <w:sz w:val="20"/>
              </w:rPr>
              <w:t>-794,901,519.33</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130,722,103.93</w:t>
            </w:r>
            <w:r>
              <w:rPr>
                <w:rFonts w:ascii="Times New Roman"/>
                <w:sz w:val="20"/>
              </w:rPr>
            </w:r>
          </w:p>
        </w:tc>
      </w:tr>
      <w:tr>
        <w:trPr>
          <w:trHeight w:val="283"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w w:val="100"/>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-2,400,430.36</w:t>
            </w:r>
            <w:r>
              <w:rPr>
                <w:rFonts w:ascii="Times New Roman"/>
                <w:sz w:val="20"/>
              </w:rPr>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-10,971,554.72</w:t>
            </w:r>
            <w:r>
              <w:rPr>
                <w:rFonts w:ascii="Times New Roman"/>
                <w:sz w:val="20"/>
              </w:rPr>
            </w:r>
          </w:p>
        </w:tc>
      </w:tr>
      <w:tr>
        <w:trPr>
          <w:trHeight w:val="283"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w w:val="100"/>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81" w:right="0"/>
              <w:jc w:val="left"/>
              <w:rPr>
                <w:rFonts w:ascii="Times New Roman" w:hAnsi="Times New Roman" w:cs="Times New Roman" w:eastAsia="Times New Roman" w:hint="default"/>
                <w:sz w:val="20"/>
                <w:szCs w:val="20"/>
              </w:rPr>
            </w:pPr>
            <w:r>
              <w:rPr>
                <w:rFonts w:ascii="Times New Roman"/>
                <w:sz w:val="20"/>
              </w:rPr>
              <w:t>219,937,627.31</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-143,747,182.63</w:t>
            </w:r>
            <w:r>
              <w:rPr>
                <w:rFonts w:ascii="Times New Roman"/>
                <w:sz w:val="20"/>
              </w:rPr>
            </w:r>
          </w:p>
        </w:tc>
      </w:tr>
      <w:tr>
        <w:trPr>
          <w:trHeight w:val="281"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81" w:right="0"/>
              <w:jc w:val="left"/>
              <w:rPr>
                <w:rFonts w:ascii="Times New Roman" w:hAnsi="Times New Roman" w:cs="Times New Roman" w:eastAsia="Times New Roman" w:hint="default"/>
                <w:sz w:val="20"/>
                <w:szCs w:val="20"/>
              </w:rPr>
            </w:pPr>
            <w:r>
              <w:rPr>
                <w:rFonts w:ascii="Times New Roman"/>
                <w:sz w:val="20"/>
              </w:rPr>
              <w:t>619,860,415.33</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763,607,597.96</w:t>
            </w:r>
            <w:r>
              <w:rPr>
                <w:rFonts w:ascii="Times New Roman"/>
                <w:sz w:val="20"/>
              </w:rPr>
            </w:r>
          </w:p>
        </w:tc>
      </w:tr>
      <w:tr>
        <w:trPr>
          <w:trHeight w:val="283"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w w:val="100"/>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81" w:right="0"/>
              <w:jc w:val="left"/>
              <w:rPr>
                <w:rFonts w:ascii="Times New Roman" w:hAnsi="Times New Roman" w:cs="Times New Roman" w:eastAsia="Times New Roman" w:hint="default"/>
                <w:sz w:val="20"/>
                <w:szCs w:val="20"/>
              </w:rPr>
            </w:pPr>
            <w:r>
              <w:rPr>
                <w:rFonts w:ascii="Times New Roman"/>
                <w:sz w:val="20"/>
              </w:rPr>
              <w:t>839,798,042.64</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619,860,415.33</w:t>
            </w:r>
            <w:r>
              <w:rPr>
                <w:rFonts w:ascii="Times New Roman"/>
                <w:sz w:val="20"/>
              </w:rPr>
            </w:r>
          </w:p>
        </w:tc>
      </w:tr>
    </w:tbl>
    <w:p>
      <w:pPr>
        <w:spacing w:line="240" w:lineRule="auto" w:before="4"/>
        <w:rPr>
          <w:rFonts w:ascii="宋体" w:hAnsi="宋体" w:cs="宋体" w:eastAsia="宋体" w:hint="default"/>
          <w:sz w:val="11"/>
          <w:szCs w:val="11"/>
        </w:rPr>
      </w:pPr>
    </w:p>
    <w:p>
      <w:pPr>
        <w:pStyle w:val="BodyText"/>
        <w:spacing w:line="270" w:lineRule="exact" w:before="61"/>
        <w:ind w:left="216" w:right="0"/>
        <w:jc w:val="left"/>
        <w:rPr>
          <w:rFonts w:ascii="宋体" w:hAnsi="宋体" w:cs="宋体" w:eastAsia="宋体" w:hint="default"/>
          <w:sz w:val="24"/>
          <w:szCs w:val="24"/>
        </w:rPr>
      </w:pPr>
      <w:r>
        <w:rPr/>
        <w:t>法定代表人：杨剑          </w:t>
      </w:r>
      <w:r>
        <w:rPr>
          <w:rFonts w:ascii="宋体" w:hAnsi="宋体" w:cs="宋体" w:eastAsia="宋体" w:hint="default"/>
        </w:rPr>
      </w:r>
      <w:r>
        <w:rPr/>
        <w:t>主管会计工作负责人：朱宇华       </w:t>
      </w:r>
      <w:r>
        <w:rPr>
          <w:spacing w:val="92"/>
        </w:rPr>
        <w:t> </w:t>
      </w:r>
      <w:r>
        <w:rPr>
          <w:rFonts w:ascii="宋体" w:hAnsi="宋体" w:cs="宋体" w:eastAsia="宋体" w:hint="default"/>
          <w:spacing w:val="92"/>
        </w:rPr>
      </w:r>
      <w:r>
        <w:rPr/>
        <w:t>会计机构负责人：熊美福</w:t>
      </w:r>
      <w:r>
        <w:rPr>
          <w:rFonts w:ascii="宋体" w:hAnsi="宋体" w:cs="宋体" w:eastAsia="宋体" w:hint="default"/>
          <w:b/>
          <w:bCs/>
          <w:color w:val="FF0000"/>
          <w:w w:val="99"/>
          <w:sz w:val="24"/>
          <w:szCs w:val="24"/>
        </w:rPr>
        <w:t> </w:t>
      </w:r>
      <w:r>
        <w:rPr>
          <w:rFonts w:ascii="宋体" w:hAnsi="宋体" w:cs="宋体" w:eastAsia="宋体" w:hint="default"/>
          <w:sz w:val="24"/>
          <w:szCs w:val="24"/>
        </w:rPr>
      </w:r>
    </w:p>
    <w:p>
      <w:pPr>
        <w:pStyle w:val="Heading2"/>
        <w:spacing w:line="308" w:lineRule="exact"/>
        <w:ind w:left="216" w:right="0"/>
        <w:jc w:val="left"/>
        <w:rPr>
          <w:rFonts w:ascii="宋体" w:hAnsi="宋体" w:cs="宋体" w:eastAsia="宋体" w:hint="default"/>
          <w:b w:val="0"/>
          <w:bCs w:val="0"/>
        </w:rPr>
      </w:pPr>
      <w:r>
        <w:rPr>
          <w:rFonts w:ascii="宋体"/>
          <w:color w:val="FF0000"/>
          <w:w w:val="99"/>
        </w:rPr>
        <w:t> </w:t>
      </w:r>
      <w:r>
        <w:rPr>
          <w:rFonts w:ascii="宋体"/>
          <w:b w:val="0"/>
        </w:rPr>
      </w:r>
    </w:p>
    <w:p>
      <w:pPr>
        <w:pStyle w:val="Heading3"/>
        <w:spacing w:line="313" w:lineRule="exact"/>
        <w:ind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pgSz w:w="11910" w:h="16840"/>
          <w:pgMar w:header="877" w:footer="1195" w:top="1100" w:bottom="1380" w:left="1060" w:right="1560"/>
        </w:sectPr>
      </w:pPr>
    </w:p>
    <w:p>
      <w:pPr>
        <w:spacing w:line="272" w:lineRule="exact" w:before="145"/>
        <w:ind w:left="7485" w:right="0" w:hanging="293"/>
        <w:jc w:val="left"/>
        <w:rPr>
          <w:rFonts w:ascii="宋体" w:hAnsi="宋体" w:cs="宋体" w:eastAsia="宋体" w:hint="default"/>
          <w:sz w:val="21"/>
          <w:szCs w:val="21"/>
        </w:rPr>
      </w:pPr>
      <w:r>
        <w:rPr>
          <w:rFonts w:ascii="宋体" w:hAnsi="宋体" w:cs="宋体" w:eastAsia="宋体" w:hint="default"/>
          <w:b/>
          <w:bCs/>
          <w:sz w:val="21"/>
          <w:szCs w:val="21"/>
        </w:rPr>
        <w:t>合并所有者权益变动表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9"/>
        <w:ind w:left="3651"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37"/>
          <w:footerReference w:type="default" r:id="rId38"/>
          <w:pgSz w:w="16840" w:h="11910" w:orient="landscape"/>
          <w:pgMar w:header="882" w:footer="1195" w:top="1120" w:bottom="1380" w:left="200" w:right="120"/>
          <w:pgNumType w:start="77"/>
          <w:cols w:num="2" w:equalWidth="0">
            <w:col w:w="9407" w:space="40"/>
            <w:col w:w="7073"/>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582"/>
        <w:gridCol w:w="1294"/>
        <w:gridCol w:w="434"/>
        <w:gridCol w:w="432"/>
        <w:gridCol w:w="434"/>
        <w:gridCol w:w="1438"/>
        <w:gridCol w:w="1298"/>
        <w:gridCol w:w="1010"/>
        <w:gridCol w:w="576"/>
        <w:gridCol w:w="1294"/>
        <w:gridCol w:w="434"/>
        <w:gridCol w:w="1298"/>
        <w:gridCol w:w="577"/>
        <w:gridCol w:w="1442"/>
        <w:gridCol w:w="1296"/>
        <w:gridCol w:w="1433"/>
      </w:tblGrid>
      <w:tr>
        <w:trPr>
          <w:trHeight w:val="250" w:hRule="exact"/>
        </w:trPr>
        <w:tc>
          <w:tcPr>
            <w:tcW w:w="15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604"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692" w:type="dxa"/>
            <w:gridSpan w:val="15"/>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911" w:right="0"/>
              <w:jc w:val="center"/>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2019</w:t>
            </w:r>
            <w:r>
              <w:rPr>
                <w:rFonts w:ascii="宋体" w:hAnsi="宋体" w:cs="宋体" w:eastAsia="宋体" w:hint="default"/>
                <w:spacing w:val="-50"/>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550" w:hRule="exact"/>
        </w:trPr>
        <w:tc>
          <w:tcPr>
            <w:tcW w:w="1582" w:type="dxa"/>
            <w:vMerge/>
            <w:tcBorders>
              <w:left w:val="single" w:sz="4" w:space="0" w:color="000000"/>
              <w:right w:val="single" w:sz="4" w:space="0" w:color="000000"/>
            </w:tcBorders>
          </w:tcPr>
          <w:p>
            <w:pPr/>
          </w:p>
        </w:tc>
        <w:tc>
          <w:tcPr>
            <w:tcW w:w="11963"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87"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r>
              <w:rPr>
                <w:rFonts w:ascii="宋体" w:hAnsi="宋体" w:cs="宋体" w:eastAsia="宋体" w:hint="default"/>
                <w:sz w:val="18"/>
                <w:szCs w:val="18"/>
              </w:rPr>
              <w:t> </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32" w:lineRule="exact"/>
              <w:ind w:left="552" w:right="192" w:hanging="360"/>
              <w:jc w:val="left"/>
              <w:rPr>
                <w:rFonts w:ascii="宋体" w:hAnsi="宋体" w:cs="宋体" w:eastAsia="宋体" w:hint="default"/>
                <w:sz w:val="18"/>
                <w:szCs w:val="18"/>
              </w:rPr>
            </w:pPr>
            <w:r>
              <w:rPr>
                <w:rFonts w:ascii="宋体" w:hAnsi="宋体" w:cs="宋体" w:eastAsia="宋体" w:hint="default"/>
                <w:sz w:val="18"/>
                <w:szCs w:val="18"/>
              </w:rPr>
              <w:t>少数股东权 益</w:t>
            </w:r>
            <w:r>
              <w:rPr>
                <w:rFonts w:ascii="宋体" w:hAnsi="宋体" w:cs="宋体" w:eastAsia="宋体" w:hint="default"/>
                <w:sz w:val="18"/>
                <w:szCs w:val="18"/>
              </w:rPr>
              <w:t> </w:t>
            </w:r>
          </w:p>
        </w:tc>
        <w:tc>
          <w:tcPr>
            <w:tcW w:w="14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32" w:lineRule="exact"/>
              <w:ind w:left="621" w:right="168" w:hanging="450"/>
              <w:jc w:val="left"/>
              <w:rPr>
                <w:rFonts w:ascii="宋体" w:hAnsi="宋体" w:cs="宋体" w:eastAsia="宋体" w:hint="default"/>
                <w:sz w:val="18"/>
                <w:szCs w:val="18"/>
              </w:rPr>
            </w:pPr>
            <w:r>
              <w:rPr>
                <w:rFonts w:ascii="宋体" w:hAnsi="宋体" w:cs="宋体" w:eastAsia="宋体" w:hint="default"/>
                <w:sz w:val="18"/>
                <w:szCs w:val="18"/>
              </w:rPr>
              <w:t>所有者权益合 计</w:t>
            </w:r>
            <w:r>
              <w:rPr>
                <w:rFonts w:ascii="宋体" w:hAnsi="宋体" w:cs="宋体" w:eastAsia="宋体" w:hint="default"/>
                <w:sz w:val="18"/>
                <w:szCs w:val="18"/>
              </w:rPr>
              <w:t> </w:t>
            </w:r>
          </w:p>
        </w:tc>
      </w:tr>
      <w:tr>
        <w:trPr>
          <w:trHeight w:val="362" w:hRule="exact"/>
        </w:trPr>
        <w:tc>
          <w:tcPr>
            <w:tcW w:w="1582" w:type="dxa"/>
            <w:vMerge/>
            <w:tcBorders>
              <w:left w:val="single" w:sz="4" w:space="0" w:color="000000"/>
              <w:right w:val="single" w:sz="4" w:space="0" w:color="000000"/>
            </w:tcBorders>
          </w:tcPr>
          <w:p>
            <w:pPr/>
          </w:p>
        </w:tc>
        <w:tc>
          <w:tcPr>
            <w:tcW w:w="12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4" w:lineRule="auto"/>
              <w:ind w:left="417" w:right="144" w:hanging="272"/>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w:t>
            </w:r>
            <w:r>
              <w:rPr>
                <w:rFonts w:ascii="宋体" w:hAnsi="宋体" w:cs="宋体" w:eastAsia="宋体" w:hint="default"/>
                <w:sz w:val="18"/>
                <w:szCs w:val="18"/>
              </w:rPr>
              <w:t>或 股本</w:t>
            </w:r>
            <w:r>
              <w:rPr>
                <w:rFonts w:ascii="宋体" w:hAnsi="宋体" w:cs="宋体" w:eastAsia="宋体" w:hint="default"/>
                <w:sz w:val="18"/>
                <w:szCs w:val="18"/>
              </w:rPr>
              <w:t>) </w:t>
            </w:r>
          </w:p>
        </w:tc>
        <w:tc>
          <w:tcPr>
            <w:tcW w:w="13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4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2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减：库存股</w:t>
            </w:r>
            <w:r>
              <w:rPr>
                <w:rFonts w:ascii="宋体" w:hAnsi="宋体" w:cs="宋体" w:eastAsia="宋体" w:hint="default"/>
                <w:sz w:val="18"/>
                <w:szCs w:val="18"/>
              </w:rPr>
              <w:t> </w:t>
            </w:r>
          </w:p>
        </w:tc>
        <w:tc>
          <w:tcPr>
            <w:tcW w:w="10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4" w:lineRule="auto"/>
              <w:ind w:left="321" w:right="137" w:hanging="180"/>
              <w:jc w:val="left"/>
              <w:rPr>
                <w:rFonts w:ascii="宋体" w:hAnsi="宋体" w:cs="宋体" w:eastAsia="宋体" w:hint="default"/>
                <w:sz w:val="18"/>
                <w:szCs w:val="18"/>
              </w:rPr>
            </w:pPr>
            <w:r>
              <w:rPr>
                <w:rFonts w:ascii="宋体" w:hAnsi="宋体" w:cs="宋体" w:eastAsia="宋体" w:hint="default"/>
                <w:sz w:val="18"/>
                <w:szCs w:val="18"/>
              </w:rPr>
              <w:t>其他综合 收益</w:t>
            </w:r>
            <w:r>
              <w:rPr>
                <w:rFonts w:ascii="宋体" w:hAnsi="宋体" w:cs="宋体" w:eastAsia="宋体" w:hint="default"/>
                <w:sz w:val="18"/>
                <w:szCs w:val="18"/>
              </w:rPr>
              <w:t> </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4" w:lineRule="auto"/>
              <w:ind w:left="103" w:right="11"/>
              <w:jc w:val="left"/>
              <w:rPr>
                <w:rFonts w:ascii="宋体" w:hAnsi="宋体" w:cs="宋体" w:eastAsia="宋体" w:hint="default"/>
                <w:sz w:val="18"/>
                <w:szCs w:val="18"/>
              </w:rPr>
            </w:pPr>
            <w:r>
              <w:rPr>
                <w:rFonts w:ascii="宋体" w:hAnsi="宋体" w:cs="宋体" w:eastAsia="宋体" w:hint="default"/>
                <w:sz w:val="18"/>
                <w:szCs w:val="18"/>
              </w:rPr>
              <w:t>专项 储备</w:t>
            </w:r>
            <w:r>
              <w:rPr>
                <w:rFonts w:ascii="宋体" w:hAnsi="宋体" w:cs="宋体" w:eastAsia="宋体" w:hint="default"/>
                <w:sz w:val="18"/>
                <w:szCs w:val="18"/>
              </w:rPr>
              <w:t> </w:t>
            </w:r>
          </w:p>
        </w:tc>
        <w:tc>
          <w:tcPr>
            <w:tcW w:w="12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434" w:type="dxa"/>
            <w:vMerge w:val="restart"/>
            <w:tcBorders>
              <w:top w:val="single" w:sz="4" w:space="0" w:color="000000"/>
              <w:left w:val="single" w:sz="4" w:space="0" w:color="000000"/>
              <w:right w:val="single" w:sz="4" w:space="0" w:color="000000"/>
            </w:tcBorders>
          </w:tcPr>
          <w:p>
            <w:pPr>
              <w:pStyle w:val="TableParagraph"/>
              <w:spacing w:line="215" w:lineRule="exact"/>
              <w:ind w:left="122"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22" w:right="30"/>
              <w:jc w:val="both"/>
              <w:rPr>
                <w:rFonts w:ascii="宋体" w:hAnsi="宋体" w:cs="宋体" w:eastAsia="宋体" w:hint="default"/>
                <w:sz w:val="18"/>
                <w:szCs w:val="18"/>
              </w:rPr>
            </w:pPr>
            <w:r>
              <w:rPr>
                <w:rFonts w:ascii="宋体" w:hAnsi="宋体" w:cs="宋体" w:eastAsia="宋体" w:hint="default"/>
                <w:sz w:val="18"/>
                <w:szCs w:val="18"/>
              </w:rPr>
              <w:t>般 风 险 准 备</w:t>
            </w:r>
            <w:r>
              <w:rPr>
                <w:rFonts w:ascii="宋体" w:hAnsi="宋体" w:cs="宋体" w:eastAsia="宋体" w:hint="default"/>
                <w:sz w:val="18"/>
                <w:szCs w:val="18"/>
              </w:rPr>
              <w:t> </w:t>
            </w:r>
          </w:p>
        </w:tc>
        <w:tc>
          <w:tcPr>
            <w:tcW w:w="12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5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4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296" w:type="dxa"/>
            <w:vMerge/>
            <w:tcBorders>
              <w:left w:val="single" w:sz="4" w:space="0" w:color="000000"/>
              <w:right w:val="single" w:sz="4" w:space="0" w:color="000000"/>
            </w:tcBorders>
          </w:tcPr>
          <w:p>
            <w:pPr/>
          </w:p>
        </w:tc>
        <w:tc>
          <w:tcPr>
            <w:tcW w:w="1433" w:type="dxa"/>
            <w:vMerge/>
            <w:tcBorders>
              <w:left w:val="single" w:sz="4" w:space="0" w:color="000000"/>
              <w:right w:val="single" w:sz="4" w:space="0" w:color="000000"/>
            </w:tcBorders>
          </w:tcPr>
          <w:p>
            <w:pPr/>
          </w:p>
        </w:tc>
      </w:tr>
      <w:tr>
        <w:trPr>
          <w:trHeight w:val="1090" w:hRule="exact"/>
        </w:trPr>
        <w:tc>
          <w:tcPr>
            <w:tcW w:w="1582" w:type="dxa"/>
            <w:vMerge/>
            <w:tcBorders>
              <w:left w:val="single" w:sz="4" w:space="0" w:color="000000"/>
              <w:bottom w:val="single" w:sz="4" w:space="0" w:color="000000"/>
              <w:right w:val="single" w:sz="4" w:space="0" w:color="000000"/>
            </w:tcBorders>
          </w:tcPr>
          <w:p>
            <w:pPr/>
          </w:p>
        </w:tc>
        <w:tc>
          <w:tcPr>
            <w:tcW w:w="1294" w:type="dxa"/>
            <w:vMerge/>
            <w:tcBorders>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7"/>
              <w:ind w:left="122" w:right="30"/>
              <w:jc w:val="both"/>
              <w:rPr>
                <w:rFonts w:ascii="宋体" w:hAnsi="宋体" w:cs="宋体" w:eastAsia="宋体" w:hint="default"/>
                <w:sz w:val="18"/>
                <w:szCs w:val="18"/>
              </w:rPr>
            </w:pPr>
            <w:r>
              <w:rPr>
                <w:rFonts w:ascii="宋体" w:hAnsi="宋体" w:cs="宋体" w:eastAsia="宋体" w:hint="default"/>
                <w:sz w:val="18"/>
                <w:szCs w:val="18"/>
              </w:rPr>
              <w:t>优 先 股</w:t>
            </w:r>
            <w:r>
              <w:rPr>
                <w:rFonts w:ascii="宋体" w:hAnsi="宋体" w:cs="宋体" w:eastAsia="宋体" w:hint="default"/>
                <w:sz w:val="18"/>
                <w:szCs w:val="18"/>
              </w:rPr>
              <w:t> </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7"/>
              <w:ind w:left="120" w:right="30"/>
              <w:jc w:val="both"/>
              <w:rPr>
                <w:rFonts w:ascii="宋体" w:hAnsi="宋体" w:cs="宋体" w:eastAsia="宋体" w:hint="default"/>
                <w:sz w:val="18"/>
                <w:szCs w:val="18"/>
              </w:rPr>
            </w:pPr>
            <w:r>
              <w:rPr>
                <w:rFonts w:ascii="宋体" w:hAnsi="宋体" w:cs="宋体" w:eastAsia="宋体" w:hint="default"/>
                <w:sz w:val="18"/>
                <w:szCs w:val="18"/>
              </w:rPr>
              <w:t>永 续 债</w:t>
            </w:r>
            <w:r>
              <w:rPr>
                <w:rFonts w:ascii="宋体" w:hAnsi="宋体" w:cs="宋体" w:eastAsia="宋体" w:hint="default"/>
                <w:sz w:val="18"/>
                <w:szCs w:val="18"/>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4" w:lineRule="auto"/>
              <w:ind w:left="122" w:right="30"/>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438" w:type="dxa"/>
            <w:vMerge/>
            <w:tcBorders>
              <w:left w:val="single" w:sz="4" w:space="0" w:color="000000"/>
              <w:bottom w:val="single" w:sz="4" w:space="0" w:color="000000"/>
              <w:right w:val="single" w:sz="4" w:space="0" w:color="000000"/>
            </w:tcBorders>
          </w:tcPr>
          <w:p>
            <w:pPr/>
          </w:p>
        </w:tc>
        <w:tc>
          <w:tcPr>
            <w:tcW w:w="129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1294" w:type="dxa"/>
            <w:vMerge/>
            <w:tcBorders>
              <w:left w:val="single" w:sz="4" w:space="0" w:color="000000"/>
              <w:bottom w:val="single" w:sz="4" w:space="0" w:color="000000"/>
              <w:right w:val="single" w:sz="4" w:space="0" w:color="000000"/>
            </w:tcBorders>
          </w:tcPr>
          <w:p>
            <w:pPr/>
          </w:p>
        </w:tc>
        <w:tc>
          <w:tcPr>
            <w:tcW w:w="434" w:type="dxa"/>
            <w:vMerge/>
            <w:tcBorders>
              <w:left w:val="single" w:sz="4" w:space="0" w:color="000000"/>
              <w:bottom w:val="single" w:sz="4" w:space="0" w:color="000000"/>
              <w:right w:val="single" w:sz="4" w:space="0" w:color="000000"/>
            </w:tcBorders>
          </w:tcPr>
          <w:p>
            <w:pPr/>
          </w:p>
        </w:tc>
        <w:tc>
          <w:tcPr>
            <w:tcW w:w="1298"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1442"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1433" w:type="dxa"/>
            <w:vMerge/>
            <w:tcBorders>
              <w:left w:val="single" w:sz="4" w:space="0" w:color="000000"/>
              <w:bottom w:val="single" w:sz="4" w:space="0" w:color="000000"/>
              <w:right w:val="single" w:sz="4" w:space="0" w:color="000000"/>
            </w:tcBorders>
          </w:tcPr>
          <w:p>
            <w:pPr/>
          </w:p>
        </w:tc>
      </w:tr>
      <w:tr>
        <w:trPr>
          <w:trHeight w:val="242"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75"/>
                <w:sz w:val="18"/>
                <w:szCs w:val="18"/>
              </w:rPr>
              <w:t>、</w:t>
            </w:r>
            <w:r>
              <w:rPr>
                <w:rFonts w:ascii="宋体" w:hAnsi="宋体" w:cs="宋体" w:eastAsia="宋体" w:hint="default"/>
                <w:sz w:val="18"/>
                <w:szCs w:val="18"/>
              </w:rPr>
              <w:t>上</w:t>
            </w:r>
            <w:r>
              <w:rPr>
                <w:rFonts w:ascii="宋体" w:hAnsi="宋体" w:cs="宋体" w:eastAsia="宋体" w:hint="default"/>
                <w:spacing w:val="-1"/>
                <w:sz w:val="18"/>
                <w:szCs w:val="18"/>
              </w:rPr>
              <w:t>年</w:t>
            </w:r>
            <w:r>
              <w:rPr>
                <w:rFonts w:ascii="宋体" w:hAnsi="宋体" w:cs="宋体" w:eastAsia="宋体" w:hint="default"/>
                <w:sz w:val="18"/>
                <w:szCs w:val="18"/>
              </w:rPr>
              <w:t>期末余额</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16"/>
                <w:szCs w:val="16"/>
              </w:rPr>
            </w:pPr>
            <w:r>
              <w:rPr>
                <w:rFonts w:ascii="Times New Roman"/>
                <w:spacing w:val="-1"/>
                <w:sz w:val="16"/>
              </w:rPr>
              <w:t>866,298,784.00</w:t>
            </w:r>
          </w:p>
        </w:tc>
        <w:tc>
          <w:tcPr>
            <w:tcW w:w="434"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16"/>
                <w:szCs w:val="16"/>
              </w:rPr>
            </w:pPr>
            <w:r>
              <w:rPr>
                <w:rFonts w:ascii="Times New Roman"/>
                <w:spacing w:val="-1"/>
                <w:sz w:val="16"/>
              </w:rPr>
              <w:t>2,488,987,862.43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16"/>
                <w:szCs w:val="16"/>
              </w:rPr>
            </w:pPr>
            <w:r>
              <w:rPr>
                <w:rFonts w:ascii="Times New Roman"/>
                <w:spacing w:val="-1"/>
                <w:sz w:val="16"/>
              </w:rPr>
              <w:t>174,824,068.42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16"/>
                <w:szCs w:val="16"/>
              </w:rPr>
            </w:pPr>
            <w:r>
              <w:rPr>
                <w:rFonts w:ascii="Times New Roman"/>
                <w:spacing w:val="-1"/>
                <w:sz w:val="16"/>
              </w:rPr>
              <w:t>173,389.38</w:t>
            </w:r>
          </w:p>
        </w:tc>
        <w:tc>
          <w:tcPr>
            <w:tcW w:w="57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16"/>
                <w:szCs w:val="16"/>
              </w:rPr>
            </w:pPr>
            <w:r>
              <w:rPr>
                <w:rFonts w:ascii="Times New Roman"/>
                <w:spacing w:val="-2"/>
                <w:sz w:val="16"/>
              </w:rPr>
              <w:t>97,970,211.84</w:t>
            </w:r>
          </w:p>
        </w:tc>
        <w:tc>
          <w:tcPr>
            <w:tcW w:w="434"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16"/>
                <w:szCs w:val="16"/>
              </w:rPr>
            </w:pPr>
            <w:r>
              <w:rPr>
                <w:rFonts w:ascii="Times New Roman"/>
                <w:spacing w:val="-1"/>
                <w:sz w:val="16"/>
              </w:rPr>
              <w:t>729,556,091.90</w:t>
            </w:r>
          </w:p>
        </w:tc>
        <w:tc>
          <w:tcPr>
            <w:tcW w:w="577"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16"/>
                <w:szCs w:val="16"/>
              </w:rPr>
            </w:pPr>
            <w:r>
              <w:rPr>
                <w:rFonts w:ascii="Times New Roman"/>
                <w:spacing w:val="-1"/>
                <w:sz w:val="16"/>
              </w:rPr>
              <w:t>4,008,162,271.13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16"/>
                <w:szCs w:val="16"/>
              </w:rPr>
            </w:pPr>
            <w:r>
              <w:rPr>
                <w:rFonts w:ascii="Times New Roman"/>
                <w:spacing w:val="-1"/>
                <w:sz w:val="16"/>
              </w:rPr>
              <w:t>374,743,874.48</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16"/>
                <w:szCs w:val="16"/>
              </w:rPr>
            </w:pPr>
            <w:r>
              <w:rPr>
                <w:rFonts w:ascii="Times New Roman"/>
                <w:spacing w:val="-1"/>
                <w:sz w:val="16"/>
              </w:rPr>
              <w:t>4,382,906,145.61</w:t>
            </w:r>
          </w:p>
        </w:tc>
      </w:tr>
      <w:tr>
        <w:trPr>
          <w:trHeight w:val="242"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pacing w:val="-75"/>
                <w:sz w:val="18"/>
                <w:szCs w:val="18"/>
              </w:rPr>
              <w:t>：</w:t>
            </w:r>
            <w:r>
              <w:rPr>
                <w:rFonts w:ascii="宋体" w:hAnsi="宋体" w:cs="宋体" w:eastAsia="宋体" w:hint="default"/>
                <w:sz w:val="18"/>
                <w:szCs w:val="18"/>
              </w:rPr>
              <w:t>会计政策变更</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16"/>
                <w:szCs w:val="16"/>
              </w:rPr>
            </w:pPr>
            <w:r>
              <w:rPr>
                <w:rFonts w:ascii="Times New Roman"/>
                <w:spacing w:val="-1"/>
                <w:sz w:val="16"/>
              </w:rPr>
              <w:t>-237,216,300.18</w:t>
            </w:r>
          </w:p>
        </w:tc>
        <w:tc>
          <w:tcPr>
            <w:tcW w:w="577"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16"/>
                <w:szCs w:val="16"/>
              </w:rPr>
            </w:pPr>
            <w:r>
              <w:rPr>
                <w:rFonts w:ascii="Times New Roman"/>
                <w:spacing w:val="-1"/>
                <w:sz w:val="16"/>
              </w:rPr>
              <w:t>-237,216,300.18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16"/>
                <w:szCs w:val="16"/>
              </w:rPr>
            </w:pPr>
            <w:r>
              <w:rPr>
                <w:rFonts w:ascii="Times New Roman"/>
                <w:spacing w:val="-1"/>
                <w:sz w:val="16"/>
              </w:rPr>
              <w:t>-9,677,271.01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16"/>
                <w:szCs w:val="16"/>
              </w:rPr>
            </w:pPr>
            <w:r>
              <w:rPr>
                <w:rFonts w:ascii="Times New Roman"/>
                <w:spacing w:val="-1"/>
                <w:sz w:val="16"/>
              </w:rPr>
              <w:t>-246,893,571.19</w:t>
            </w:r>
          </w:p>
        </w:tc>
      </w:tr>
      <w:tr>
        <w:trPr>
          <w:trHeight w:val="478"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正</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企业合并</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747"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1"/>
              <w:jc w:val="righ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75"/>
                <w:sz w:val="18"/>
                <w:szCs w:val="18"/>
              </w:rPr>
              <w:t>、</w:t>
            </w:r>
            <w:r>
              <w:rPr>
                <w:rFonts w:ascii="宋体" w:hAnsi="宋体" w:cs="宋体" w:eastAsia="宋体" w:hint="default"/>
                <w:sz w:val="18"/>
                <w:szCs w:val="18"/>
              </w:rPr>
              <w:t>本</w:t>
            </w:r>
            <w:r>
              <w:rPr>
                <w:rFonts w:ascii="宋体" w:hAnsi="宋体" w:cs="宋体" w:eastAsia="宋体" w:hint="default"/>
                <w:spacing w:val="-1"/>
                <w:sz w:val="18"/>
                <w:szCs w:val="18"/>
              </w:rPr>
              <w:t>年</w:t>
            </w:r>
            <w:r>
              <w:rPr>
                <w:rFonts w:ascii="宋体" w:hAnsi="宋体" w:cs="宋体" w:eastAsia="宋体" w:hint="default"/>
                <w:sz w:val="18"/>
                <w:szCs w:val="18"/>
              </w:rPr>
              <w:t>期初余额</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866,298,784.00</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271" w:right="0"/>
              <w:jc w:val="left"/>
              <w:rPr>
                <w:rFonts w:ascii="Times New Roman" w:hAnsi="Times New Roman" w:cs="Times New Roman" w:eastAsia="Times New Roman" w:hint="default"/>
                <w:sz w:val="16"/>
                <w:szCs w:val="16"/>
              </w:rPr>
            </w:pPr>
            <w:r>
              <w:rPr>
                <w:rFonts w:ascii="Times New Roman"/>
                <w:w w:val="100"/>
                <w:sz w:val="16"/>
              </w:rPr>
              <w:t>-</w:t>
            </w: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2,488,987,862.43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174,824,068.42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173,389.38</w:t>
            </w:r>
          </w:p>
        </w:tc>
        <w:tc>
          <w:tcPr>
            <w:tcW w:w="57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2"/>
                <w:sz w:val="16"/>
              </w:rPr>
              <w:t>97,970,211.84</w:t>
            </w:r>
          </w:p>
        </w:tc>
        <w:tc>
          <w:tcPr>
            <w:tcW w:w="434"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492,339,791.72</w:t>
            </w:r>
          </w:p>
        </w:tc>
        <w:tc>
          <w:tcPr>
            <w:tcW w:w="577"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3,770,945,970.95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365,066,603.47</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4,136,012,574.42</w:t>
            </w:r>
          </w:p>
        </w:tc>
      </w:tr>
      <w:tr>
        <w:trPr>
          <w:trHeight w:val="7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75"/>
                <w:sz w:val="18"/>
                <w:szCs w:val="18"/>
              </w:rPr>
              <w:t>、</w:t>
            </w:r>
            <w:r>
              <w:rPr>
                <w:rFonts w:ascii="宋体" w:hAnsi="宋体" w:cs="宋体" w:eastAsia="宋体" w:hint="default"/>
                <w:spacing w:val="-1"/>
                <w:sz w:val="18"/>
                <w:szCs w:val="18"/>
              </w:rPr>
              <w:t>本</w:t>
            </w:r>
            <w:r>
              <w:rPr>
                <w:rFonts w:ascii="宋体" w:hAnsi="宋体" w:cs="宋体" w:eastAsia="宋体" w:hint="default"/>
                <w:sz w:val="18"/>
                <w:szCs w:val="18"/>
              </w:rPr>
              <w:t>期增减变动</w:t>
            </w:r>
          </w:p>
          <w:p>
            <w:pPr>
              <w:pStyle w:val="TableParagraph"/>
              <w:spacing w:line="232" w:lineRule="exact" w:before="24"/>
              <w:ind w:left="103" w:right="117"/>
              <w:jc w:val="left"/>
              <w:rPr>
                <w:rFonts w:ascii="宋体" w:hAnsi="宋体" w:cs="宋体" w:eastAsia="宋体" w:hint="default"/>
                <w:sz w:val="18"/>
                <w:szCs w:val="18"/>
              </w:rPr>
            </w:pPr>
            <w:r>
              <w:rPr>
                <w:rFonts w:ascii="宋体" w:hAnsi="宋体" w:cs="宋体" w:eastAsia="宋体" w:hint="default"/>
                <w:sz w:val="18"/>
                <w:szCs w:val="18"/>
              </w:rPr>
              <w:t>金额（减少以 “－”号填列）</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-14,748,104.08</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-84,050,121.96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-2,516.90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5"/>
              <w:ind w:right="180"/>
              <w:jc w:val="right"/>
              <w:rPr>
                <w:rFonts w:ascii="Times New Roman" w:hAnsi="Times New Roman" w:cs="Times New Roman" w:eastAsia="Times New Roman" w:hint="default"/>
                <w:sz w:val="16"/>
                <w:szCs w:val="16"/>
              </w:rPr>
            </w:pPr>
            <w:r>
              <w:rPr>
                <w:rFonts w:ascii="Times New Roman"/>
                <w:w w:val="100"/>
                <w:sz w:val="16"/>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6,080,624.74</w:t>
            </w:r>
          </w:p>
        </w:tc>
        <w:tc>
          <w:tcPr>
            <w:tcW w:w="434"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137,968,834.47</w:t>
            </w:r>
          </w:p>
        </w:tc>
        <w:tc>
          <w:tcPr>
            <w:tcW w:w="577"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213,348,960.19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-132,199,953.35</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2"/>
                <w:sz w:val="16"/>
              </w:rPr>
              <w:t>81,149,006.84</w:t>
            </w:r>
          </w:p>
        </w:tc>
      </w:tr>
      <w:tr>
        <w:trPr>
          <w:trHeight w:val="478"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75"/>
                <w:sz w:val="18"/>
                <w:szCs w:val="18"/>
              </w:rPr>
              <w:t>）</w:t>
            </w:r>
            <w:r>
              <w:rPr>
                <w:rFonts w:ascii="宋体" w:hAnsi="宋体" w:cs="宋体" w:eastAsia="宋体" w:hint="default"/>
                <w:sz w:val="18"/>
                <w:szCs w:val="18"/>
              </w:rPr>
              <w:t>综合收益总</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6"/>
                <w:szCs w:val="16"/>
              </w:rPr>
            </w:pPr>
            <w:r>
              <w:rPr>
                <w:rFonts w:ascii="Times New Roman"/>
                <w:spacing w:val="-1"/>
                <w:sz w:val="16"/>
              </w:rPr>
              <w:t>-2,516.90</w:t>
            </w:r>
          </w:p>
        </w:tc>
        <w:tc>
          <w:tcPr>
            <w:tcW w:w="57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6"/>
                <w:szCs w:val="16"/>
              </w:rPr>
            </w:pPr>
            <w:r>
              <w:rPr>
                <w:rFonts w:ascii="Times New Roman"/>
                <w:spacing w:val="-1"/>
                <w:sz w:val="16"/>
              </w:rPr>
              <w:t>144,049,459.21</w:t>
            </w:r>
          </w:p>
        </w:tc>
        <w:tc>
          <w:tcPr>
            <w:tcW w:w="577"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6"/>
                <w:szCs w:val="16"/>
              </w:rPr>
            </w:pPr>
            <w:r>
              <w:rPr>
                <w:rFonts w:ascii="Times New Roman"/>
                <w:spacing w:val="-1"/>
                <w:sz w:val="16"/>
              </w:rPr>
              <w:t>144,046,942.31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6"/>
                <w:szCs w:val="16"/>
              </w:rPr>
            </w:pPr>
            <w:r>
              <w:rPr>
                <w:rFonts w:ascii="Times New Roman"/>
                <w:spacing w:val="-1"/>
                <w:sz w:val="16"/>
              </w:rPr>
              <w:t>6,706,022.18</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Times New Roman" w:hAnsi="Times New Roman" w:cs="Times New Roman" w:eastAsia="Times New Roman" w:hint="default"/>
                <w:sz w:val="16"/>
                <w:szCs w:val="16"/>
              </w:rPr>
            </w:pPr>
            <w:r>
              <w:rPr>
                <w:rFonts w:ascii="Times New Roman"/>
                <w:spacing w:val="-1"/>
                <w:sz w:val="16"/>
              </w:rPr>
              <w:t>150,752,964.49</w:t>
            </w:r>
          </w:p>
        </w:tc>
      </w:tr>
      <w:tr>
        <w:trPr>
          <w:trHeight w:val="475"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75"/>
                <w:sz w:val="18"/>
                <w:szCs w:val="18"/>
              </w:rPr>
              <w:t>）</w:t>
            </w:r>
            <w:r>
              <w:rPr>
                <w:rFonts w:ascii="宋体" w:hAnsi="宋体" w:cs="宋体" w:eastAsia="宋体" w:hint="default"/>
                <w:sz w:val="18"/>
                <w:szCs w:val="18"/>
              </w:rPr>
              <w:t>所有者投入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和减少资本</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9"/>
              <w:jc w:val="right"/>
              <w:rPr>
                <w:rFonts w:ascii="Times New Roman" w:hAnsi="Times New Roman" w:cs="Times New Roman" w:eastAsia="Times New Roman" w:hint="default"/>
                <w:sz w:val="16"/>
                <w:szCs w:val="16"/>
              </w:rPr>
            </w:pPr>
            <w:r>
              <w:rPr>
                <w:rFonts w:ascii="Times New Roman"/>
                <w:spacing w:val="-1"/>
                <w:sz w:val="16"/>
              </w:rPr>
              <w:t>-14,748,104.08</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Times New Roman" w:hAnsi="Times New Roman" w:cs="Times New Roman" w:eastAsia="Times New Roman" w:hint="default"/>
                <w:sz w:val="16"/>
                <w:szCs w:val="16"/>
              </w:rPr>
            </w:pPr>
            <w:r>
              <w:rPr>
                <w:rFonts w:ascii="Times New Roman"/>
                <w:spacing w:val="-1"/>
                <w:sz w:val="16"/>
              </w:rPr>
              <w:t>-84,050,121.96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77"/>
              <w:jc w:val="right"/>
              <w:rPr>
                <w:rFonts w:ascii="Times New Roman" w:hAnsi="Times New Roman" w:cs="Times New Roman" w:eastAsia="Times New Roman" w:hint="default"/>
                <w:sz w:val="16"/>
                <w:szCs w:val="16"/>
              </w:rPr>
            </w:pPr>
            <w:r>
              <w:rPr>
                <w:rFonts w:ascii="Times New Roman"/>
                <w:w w:val="100"/>
                <w:sz w:val="16"/>
              </w:rPr>
              <w:t>-</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0"/>
              <w:jc w:val="right"/>
              <w:rPr>
                <w:rFonts w:ascii="Times New Roman" w:hAnsi="Times New Roman" w:cs="Times New Roman" w:eastAsia="Times New Roman" w:hint="default"/>
                <w:sz w:val="16"/>
                <w:szCs w:val="16"/>
              </w:rPr>
            </w:pPr>
            <w:r>
              <w:rPr>
                <w:rFonts w:ascii="Times New Roman"/>
                <w:w w:val="100"/>
                <w:sz w:val="16"/>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77"/>
              <w:jc w:val="right"/>
              <w:rPr>
                <w:rFonts w:ascii="Times New Roman" w:hAnsi="Times New Roman" w:cs="Times New Roman" w:eastAsia="Times New Roman" w:hint="default"/>
                <w:sz w:val="16"/>
                <w:szCs w:val="16"/>
              </w:rPr>
            </w:pPr>
            <w:r>
              <w:rPr>
                <w:rFonts w:ascii="Times New Roman"/>
                <w:w w:val="100"/>
                <w:sz w:val="16"/>
              </w:rPr>
              <w:t>-</w:t>
            </w:r>
          </w:p>
        </w:tc>
        <w:tc>
          <w:tcPr>
            <w:tcW w:w="434"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79"/>
              <w:jc w:val="right"/>
              <w:rPr>
                <w:rFonts w:ascii="Times New Roman" w:hAnsi="Times New Roman" w:cs="Times New Roman" w:eastAsia="Times New Roman" w:hint="default"/>
                <w:sz w:val="16"/>
                <w:szCs w:val="16"/>
              </w:rPr>
            </w:pPr>
            <w:r>
              <w:rPr>
                <w:rFonts w:ascii="Times New Roman"/>
                <w:w w:val="100"/>
                <w:sz w:val="16"/>
              </w:rPr>
              <w:t>-</w:t>
            </w:r>
          </w:p>
        </w:tc>
        <w:tc>
          <w:tcPr>
            <w:tcW w:w="577"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6"/>
                <w:szCs w:val="16"/>
              </w:rPr>
            </w:pPr>
            <w:r>
              <w:rPr>
                <w:rFonts w:ascii="Times New Roman"/>
                <w:spacing w:val="-2"/>
                <w:sz w:val="16"/>
              </w:rPr>
              <w:t>69,302,017.88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6"/>
                <w:szCs w:val="16"/>
              </w:rPr>
            </w:pPr>
            <w:r>
              <w:rPr>
                <w:rFonts w:ascii="Times New Roman"/>
                <w:spacing w:val="-1"/>
                <w:sz w:val="16"/>
              </w:rPr>
              <w:t>-138,905,975.53</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Times New Roman" w:hAnsi="Times New Roman" w:cs="Times New Roman" w:eastAsia="Times New Roman" w:hint="default"/>
                <w:sz w:val="16"/>
                <w:szCs w:val="16"/>
              </w:rPr>
            </w:pPr>
            <w:r>
              <w:rPr>
                <w:rFonts w:ascii="Times New Roman"/>
                <w:spacing w:val="-1"/>
                <w:sz w:val="16"/>
              </w:rPr>
              <w:t>-69,603,957.65</w:t>
            </w:r>
          </w:p>
        </w:tc>
      </w:tr>
      <w:tr>
        <w:trPr>
          <w:trHeight w:val="478"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普通股</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8"/>
              <w:jc w:val="right"/>
              <w:rPr>
                <w:rFonts w:ascii="Times New Roman" w:hAnsi="Times New Roman" w:cs="Times New Roman" w:eastAsia="Times New Roman" w:hint="default"/>
                <w:sz w:val="16"/>
                <w:szCs w:val="16"/>
              </w:rPr>
            </w:pPr>
            <w:r>
              <w:rPr>
                <w:rFonts w:ascii="Times New Roman"/>
                <w:spacing w:val="-2"/>
                <w:sz w:val="16"/>
              </w:rPr>
              <w:t>24,273,654.89</w:t>
            </w:r>
          </w:p>
        </w:tc>
        <w:tc>
          <w:tcPr>
            <w:tcW w:w="129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0"/>
              <w:jc w:val="right"/>
              <w:rPr>
                <w:rFonts w:ascii="Times New Roman" w:hAnsi="Times New Roman" w:cs="Times New Roman" w:eastAsia="Times New Roman" w:hint="default"/>
                <w:sz w:val="16"/>
                <w:szCs w:val="16"/>
              </w:rPr>
            </w:pPr>
            <w:r>
              <w:rPr>
                <w:rFonts w:ascii="Times New Roman"/>
                <w:spacing w:val="-2"/>
                <w:sz w:val="16"/>
              </w:rPr>
              <w:t>24,273,654.89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0"/>
              <w:jc w:val="right"/>
              <w:rPr>
                <w:rFonts w:ascii="Times New Roman" w:hAnsi="Times New Roman" w:cs="Times New Roman" w:eastAsia="Times New Roman" w:hint="default"/>
                <w:sz w:val="16"/>
                <w:szCs w:val="16"/>
              </w:rPr>
            </w:pPr>
            <w:r>
              <w:rPr>
                <w:rFonts w:ascii="Times New Roman"/>
                <w:spacing w:val="-1"/>
                <w:sz w:val="16"/>
              </w:rPr>
              <w:t>-138,905,975.53</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8"/>
              <w:jc w:val="right"/>
              <w:rPr>
                <w:rFonts w:ascii="Times New Roman" w:hAnsi="Times New Roman" w:cs="Times New Roman" w:eastAsia="Times New Roman" w:hint="default"/>
                <w:sz w:val="16"/>
                <w:szCs w:val="16"/>
              </w:rPr>
            </w:pPr>
            <w:r>
              <w:rPr>
                <w:rFonts w:ascii="Times New Roman"/>
                <w:spacing w:val="-1"/>
                <w:sz w:val="16"/>
              </w:rPr>
              <w:t>-114,632,320.64</w:t>
            </w:r>
          </w:p>
        </w:tc>
      </w:tr>
      <w:tr>
        <w:trPr>
          <w:trHeight w:val="478"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持有者投入资本</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所有者权益的金</w:t>
            </w: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9"/>
              <w:jc w:val="right"/>
              <w:rPr>
                <w:rFonts w:ascii="Times New Roman" w:hAnsi="Times New Roman" w:cs="Times New Roman" w:eastAsia="Times New Roman" w:hint="default"/>
                <w:sz w:val="16"/>
                <w:szCs w:val="16"/>
              </w:rPr>
            </w:pPr>
            <w:r>
              <w:rPr>
                <w:rFonts w:ascii="Times New Roman"/>
                <w:spacing w:val="-1"/>
                <w:sz w:val="16"/>
              </w:rPr>
              <w:t>-39,021,758.97</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Times New Roman" w:hAnsi="Times New Roman" w:cs="Times New Roman" w:eastAsia="Times New Roman" w:hint="default"/>
                <w:sz w:val="16"/>
                <w:szCs w:val="16"/>
              </w:rPr>
            </w:pPr>
            <w:r>
              <w:rPr>
                <w:rFonts w:ascii="Times New Roman"/>
                <w:spacing w:val="-1"/>
                <w:sz w:val="16"/>
              </w:rPr>
              <w:t>-84,050,121.96</w:t>
            </w:r>
          </w:p>
        </w:tc>
        <w:tc>
          <w:tcPr>
            <w:tcW w:w="101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6"/>
                <w:szCs w:val="16"/>
              </w:rPr>
            </w:pPr>
            <w:r>
              <w:rPr>
                <w:rFonts w:ascii="Times New Roman"/>
                <w:spacing w:val="-2"/>
                <w:sz w:val="16"/>
              </w:rPr>
              <w:t>45,028,362.99</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Times New Roman" w:hAnsi="Times New Roman" w:cs="Times New Roman" w:eastAsia="Times New Roman" w:hint="default"/>
                <w:sz w:val="16"/>
                <w:szCs w:val="16"/>
              </w:rPr>
            </w:pPr>
            <w:r>
              <w:rPr>
                <w:rFonts w:ascii="Times New Roman"/>
                <w:spacing w:val="-2"/>
                <w:sz w:val="16"/>
              </w:rPr>
              <w:t>45,028,362.99</w:t>
            </w:r>
          </w:p>
        </w:tc>
      </w:tr>
    </w:tbl>
    <w:p>
      <w:pPr>
        <w:spacing w:after="0" w:line="240" w:lineRule="auto"/>
        <w:jc w:val="right"/>
        <w:rPr>
          <w:rFonts w:ascii="Times New Roman" w:hAnsi="Times New Roman" w:cs="Times New Roman" w:eastAsia="Times New Roman" w:hint="default"/>
          <w:sz w:val="16"/>
          <w:szCs w:val="16"/>
        </w:rPr>
        <w:sectPr>
          <w:type w:val="continuous"/>
          <w:pgSz w:w="16840" w:h="11910" w:orient="landscape"/>
          <w:pgMar w:top="1120" w:bottom="1380" w:left="200" w:right="120"/>
        </w:sectPr>
      </w:pPr>
    </w:p>
    <w:p>
      <w:pPr>
        <w:spacing w:line="240" w:lineRule="auto" w:before="7"/>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1582"/>
        <w:gridCol w:w="1294"/>
        <w:gridCol w:w="434"/>
        <w:gridCol w:w="432"/>
        <w:gridCol w:w="434"/>
        <w:gridCol w:w="1438"/>
        <w:gridCol w:w="1298"/>
        <w:gridCol w:w="1010"/>
        <w:gridCol w:w="576"/>
        <w:gridCol w:w="1294"/>
        <w:gridCol w:w="434"/>
        <w:gridCol w:w="1298"/>
        <w:gridCol w:w="577"/>
        <w:gridCol w:w="1442"/>
        <w:gridCol w:w="1296"/>
        <w:gridCol w:w="1433"/>
      </w:tblGrid>
      <w:tr>
        <w:trPr>
          <w:trHeight w:val="243"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377"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98"/>
              <w:jc w:val="right"/>
              <w:rPr>
                <w:rFonts w:ascii="Times New Roman" w:hAnsi="Times New Roman" w:cs="Times New Roman" w:eastAsia="Times New Roman" w:hint="default"/>
                <w:sz w:val="16"/>
                <w:szCs w:val="16"/>
              </w:rPr>
            </w:pPr>
            <w:r>
              <w:rPr>
                <w:rFonts w:ascii="Times New Roman"/>
                <w:w w:val="100"/>
                <w:sz w:val="16"/>
              </w:rPr>
              <w:t>-</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7"/>
              <w:jc w:val="right"/>
              <w:rPr>
                <w:rFonts w:ascii="Times New Roman" w:hAnsi="Times New Roman" w:cs="Times New Roman" w:eastAsia="Times New Roman" w:hint="default"/>
                <w:sz w:val="16"/>
                <w:szCs w:val="16"/>
              </w:rPr>
            </w:pPr>
            <w:r>
              <w:rPr>
                <w:rFonts w:ascii="Times New Roman"/>
                <w:w w:val="100"/>
                <w:sz w:val="16"/>
              </w:rPr>
              <w:t>-</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7"/>
              <w:jc w:val="right"/>
              <w:rPr>
                <w:rFonts w:ascii="Times New Roman" w:hAnsi="Times New Roman" w:cs="Times New Roman" w:eastAsia="Times New Roman" w:hint="default"/>
                <w:sz w:val="16"/>
                <w:szCs w:val="16"/>
              </w:rPr>
            </w:pPr>
            <w:r>
              <w:rPr>
                <w:rFonts w:ascii="Times New Roman"/>
                <w:w w:val="100"/>
                <w:sz w:val="16"/>
              </w:rPr>
              <w:t>-</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80"/>
              <w:jc w:val="right"/>
              <w:rPr>
                <w:rFonts w:ascii="Times New Roman" w:hAnsi="Times New Roman" w:cs="Times New Roman" w:eastAsia="Times New Roman" w:hint="default"/>
                <w:sz w:val="16"/>
                <w:szCs w:val="16"/>
              </w:rPr>
            </w:pPr>
            <w:r>
              <w:rPr>
                <w:rFonts w:ascii="Times New Roman"/>
                <w:w w:val="100"/>
                <w:sz w:val="16"/>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6"/>
                <w:szCs w:val="16"/>
              </w:rPr>
            </w:pPr>
            <w:r>
              <w:rPr>
                <w:rFonts w:ascii="Times New Roman"/>
                <w:spacing w:val="-1"/>
                <w:sz w:val="16"/>
              </w:rPr>
              <w:t>6,080,624.74</w:t>
            </w:r>
          </w:p>
        </w:tc>
        <w:tc>
          <w:tcPr>
            <w:tcW w:w="434"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-6,080,624.74</w:t>
            </w:r>
          </w:p>
        </w:tc>
        <w:tc>
          <w:tcPr>
            <w:tcW w:w="577"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9"/>
              <w:jc w:val="right"/>
              <w:rPr>
                <w:rFonts w:ascii="Times New Roman" w:hAnsi="Times New Roman" w:cs="Times New Roman" w:eastAsia="Times New Roman" w:hint="default"/>
                <w:sz w:val="16"/>
                <w:szCs w:val="16"/>
              </w:rPr>
            </w:pPr>
            <w:r>
              <w:rPr>
                <w:rFonts w:ascii="Times New Roman"/>
                <w:w w:val="100"/>
                <w:sz w:val="16"/>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98"/>
              <w:jc w:val="right"/>
              <w:rPr>
                <w:rFonts w:ascii="Times New Roman" w:hAnsi="Times New Roman" w:cs="Times New Roman" w:eastAsia="Times New Roman" w:hint="default"/>
                <w:sz w:val="16"/>
                <w:szCs w:val="16"/>
              </w:rPr>
            </w:pPr>
            <w:r>
              <w:rPr>
                <w:rFonts w:ascii="Times New Roman"/>
                <w:w w:val="100"/>
                <w:sz w:val="16"/>
              </w:rPr>
              <w:t>-</w:t>
            </w:r>
          </w:p>
        </w:tc>
      </w:tr>
      <w:tr>
        <w:trPr>
          <w:trHeight w:val="379"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6"/>
                <w:szCs w:val="16"/>
              </w:rPr>
            </w:pPr>
            <w:r>
              <w:rPr>
                <w:rFonts w:ascii="Times New Roman"/>
                <w:spacing w:val="-1"/>
                <w:sz w:val="16"/>
              </w:rPr>
              <w:t>6,080,624.74</w:t>
            </w:r>
          </w:p>
        </w:tc>
        <w:tc>
          <w:tcPr>
            <w:tcW w:w="434"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-6,080,624.74</w:t>
            </w:r>
          </w:p>
        </w:tc>
        <w:tc>
          <w:tcPr>
            <w:tcW w:w="577"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98"/>
              <w:jc w:val="right"/>
              <w:rPr>
                <w:rFonts w:ascii="Times New Roman" w:hAnsi="Times New Roman" w:cs="Times New Roman" w:eastAsia="Times New Roman" w:hint="default"/>
                <w:sz w:val="16"/>
                <w:szCs w:val="16"/>
              </w:rPr>
            </w:pPr>
            <w:r>
              <w:rPr>
                <w:rFonts w:ascii="Times New Roman"/>
                <w:w w:val="100"/>
                <w:sz w:val="16"/>
              </w:rPr>
              <w:t>-</w:t>
            </w:r>
          </w:p>
        </w:tc>
      </w:tr>
      <w:tr>
        <w:trPr>
          <w:trHeight w:val="475"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准备</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股东）的分配</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75"/>
                <w:sz w:val="18"/>
                <w:szCs w:val="18"/>
              </w:rPr>
              <w:t>）</w:t>
            </w:r>
            <w:r>
              <w:rPr>
                <w:rFonts w:ascii="宋体" w:hAnsi="宋体" w:cs="宋体" w:eastAsia="宋体" w:hint="default"/>
                <w:sz w:val="18"/>
                <w:szCs w:val="18"/>
              </w:rPr>
              <w:t>所有者权益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内部结转</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资本（或股本）</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资本（或股本）</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亏损</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4</w:t>
            </w:r>
            <w:r>
              <w:rPr>
                <w:rFonts w:ascii="宋体" w:hAnsi="宋体" w:cs="宋体" w:eastAsia="宋体" w:hint="default"/>
                <w:spacing w:val="2"/>
                <w:sz w:val="18"/>
                <w:szCs w:val="18"/>
              </w:rPr>
              <w:t>．设定受益计划</w:t>
            </w:r>
            <w:r>
              <w:rPr>
                <w:rFonts w:ascii="宋体" w:hAnsi="宋体" w:cs="宋体" w:eastAsia="宋体" w:hint="default"/>
                <w:sz w:val="18"/>
                <w:szCs w:val="18"/>
              </w:rPr>
            </w:r>
          </w:p>
          <w:p>
            <w:pPr>
              <w:pStyle w:val="TableParagraph"/>
              <w:spacing w:line="232" w:lineRule="exact" w:before="24"/>
              <w:ind w:left="103" w:right="105"/>
              <w:jc w:val="left"/>
              <w:rPr>
                <w:rFonts w:ascii="宋体" w:hAnsi="宋体" w:cs="宋体" w:eastAsia="宋体" w:hint="default"/>
                <w:sz w:val="18"/>
                <w:szCs w:val="18"/>
              </w:rPr>
            </w:pPr>
            <w:r>
              <w:rPr>
                <w:rFonts w:ascii="宋体" w:hAnsi="宋体" w:cs="宋体" w:eastAsia="宋体" w:hint="default"/>
                <w:spacing w:val="14"/>
                <w:sz w:val="18"/>
                <w:szCs w:val="18"/>
              </w:rPr>
              <w:t>变动额结转留存</w:t>
            </w:r>
            <w:r>
              <w:rPr>
                <w:rFonts w:ascii="宋体" w:hAnsi="宋体" w:cs="宋体" w:eastAsia="宋体" w:hint="default"/>
                <w:sz w:val="18"/>
                <w:szCs w:val="18"/>
              </w:rPr>
              <w:t> 收益</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．其他综合收益</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结转留存收益</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75"/>
                <w:sz w:val="18"/>
                <w:szCs w:val="18"/>
              </w:rPr>
              <w:t>、</w:t>
            </w:r>
            <w:r>
              <w:rPr>
                <w:rFonts w:ascii="宋体" w:hAnsi="宋体" w:cs="宋体" w:eastAsia="宋体" w:hint="default"/>
                <w:sz w:val="18"/>
                <w:szCs w:val="18"/>
              </w:rPr>
              <w:t>本期期末余额</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82" w:right="0"/>
              <w:jc w:val="left"/>
              <w:rPr>
                <w:rFonts w:ascii="Times New Roman" w:hAnsi="Times New Roman" w:cs="Times New Roman" w:eastAsia="Times New Roman" w:hint="default"/>
                <w:sz w:val="16"/>
                <w:szCs w:val="16"/>
              </w:rPr>
            </w:pPr>
            <w:r>
              <w:rPr>
                <w:rFonts w:ascii="Times New Roman"/>
                <w:sz w:val="16"/>
              </w:rPr>
              <w:t>866,298,784.00</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7" w:right="0"/>
              <w:jc w:val="center"/>
              <w:rPr>
                <w:rFonts w:ascii="Times New Roman" w:hAnsi="Times New Roman" w:cs="Times New Roman" w:eastAsia="Times New Roman" w:hint="default"/>
                <w:sz w:val="16"/>
                <w:szCs w:val="16"/>
              </w:rPr>
            </w:pPr>
            <w:r>
              <w:rPr>
                <w:rFonts w:ascii="Times New Roman"/>
                <w:w w:val="100"/>
                <w:sz w:val="16"/>
              </w:rPr>
              <w:t>-</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w w:val="100"/>
                <w:sz w:val="16"/>
              </w:rPr>
              <w:t>-</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7" w:right="0"/>
              <w:jc w:val="center"/>
              <w:rPr>
                <w:rFonts w:ascii="Times New Roman" w:hAnsi="Times New Roman" w:cs="Times New Roman" w:eastAsia="Times New Roman" w:hint="default"/>
                <w:sz w:val="16"/>
                <w:szCs w:val="16"/>
              </w:rPr>
            </w:pPr>
            <w:r>
              <w:rPr>
                <w:rFonts w:ascii="Times New Roman"/>
                <w:w w:val="100"/>
                <w:sz w:val="16"/>
              </w:rPr>
              <w:t>-</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6"/>
                <w:szCs w:val="16"/>
              </w:rPr>
            </w:pPr>
            <w:r>
              <w:rPr>
                <w:rFonts w:ascii="Times New Roman"/>
                <w:spacing w:val="-1"/>
                <w:sz w:val="16"/>
              </w:rPr>
              <w:t>2,474,239,758.35</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6"/>
                <w:szCs w:val="16"/>
              </w:rPr>
            </w:pPr>
            <w:r>
              <w:rPr>
                <w:rFonts w:ascii="Times New Roman"/>
                <w:spacing w:val="-2"/>
                <w:sz w:val="16"/>
              </w:rPr>
              <w:t>90,773,946.46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170,872.48</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80"/>
              <w:jc w:val="right"/>
              <w:rPr>
                <w:rFonts w:ascii="Times New Roman" w:hAnsi="Times New Roman" w:cs="Times New Roman" w:eastAsia="Times New Roman" w:hint="default"/>
                <w:sz w:val="16"/>
                <w:szCs w:val="16"/>
              </w:rPr>
            </w:pPr>
            <w:r>
              <w:rPr>
                <w:rFonts w:ascii="Times New Roman"/>
                <w:w w:val="100"/>
                <w:sz w:val="16"/>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6"/>
                <w:szCs w:val="16"/>
              </w:rPr>
            </w:pPr>
            <w:r>
              <w:rPr>
                <w:rFonts w:ascii="Times New Roman"/>
                <w:spacing w:val="-1"/>
                <w:sz w:val="16"/>
              </w:rPr>
              <w:t>104,050,836.58</w:t>
            </w:r>
          </w:p>
        </w:tc>
        <w:tc>
          <w:tcPr>
            <w:tcW w:w="434"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630,308,626.19</w:t>
            </w:r>
          </w:p>
        </w:tc>
        <w:tc>
          <w:tcPr>
            <w:tcW w:w="577"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1"/>
                <w:sz w:val="16"/>
              </w:rPr>
              <w:t>3,984,294,931.14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1"/>
                <w:sz w:val="16"/>
              </w:rPr>
              <w:t>232,866,650.12</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6"/>
                <w:szCs w:val="16"/>
              </w:rPr>
            </w:pPr>
            <w:r>
              <w:rPr>
                <w:rFonts w:ascii="Times New Roman"/>
                <w:spacing w:val="-1"/>
                <w:sz w:val="16"/>
              </w:rPr>
              <w:t>4,217,161,581.26</w:t>
            </w:r>
          </w:p>
        </w:tc>
      </w:tr>
    </w:tbl>
    <w:p>
      <w:pPr>
        <w:pStyle w:val="Heading3"/>
        <w:spacing w:line="274" w:lineRule="exact"/>
        <w:ind w:left="1324" w:right="0"/>
        <w:jc w:val="left"/>
        <w:rPr>
          <w:rFonts w:ascii="宋体" w:hAnsi="宋体" w:cs="宋体" w:eastAsia="宋体" w:hint="default"/>
        </w:rPr>
      </w:pPr>
      <w:r>
        <w:rPr>
          <w:rFonts w:ascii="宋体"/>
        </w:rPr>
        <w:t> </w:t>
      </w:r>
    </w:p>
    <w:p>
      <w:pPr>
        <w:spacing w:line="240" w:lineRule="auto" w:before="10"/>
        <w:rPr>
          <w:rFonts w:ascii="宋体" w:hAnsi="宋体" w:cs="宋体" w:eastAsia="宋体" w:hint="default"/>
          <w:sz w:val="2"/>
          <w:szCs w:val="2"/>
        </w:rPr>
      </w:pPr>
    </w:p>
    <w:tbl>
      <w:tblPr>
        <w:tblW w:w="0" w:type="auto"/>
        <w:jc w:val="left"/>
        <w:tblInd w:w="320" w:type="dxa"/>
        <w:tblLayout w:type="fixed"/>
        <w:tblCellMar>
          <w:top w:w="0" w:type="dxa"/>
          <w:left w:w="0" w:type="dxa"/>
          <w:bottom w:w="0" w:type="dxa"/>
          <w:right w:w="0" w:type="dxa"/>
        </w:tblCellMar>
        <w:tblLook w:val="01E0"/>
      </w:tblPr>
      <w:tblGrid>
        <w:gridCol w:w="1556"/>
        <w:gridCol w:w="1274"/>
        <w:gridCol w:w="1418"/>
        <w:gridCol w:w="1417"/>
        <w:gridCol w:w="1277"/>
        <w:gridCol w:w="991"/>
        <w:gridCol w:w="567"/>
        <w:gridCol w:w="710"/>
        <w:gridCol w:w="708"/>
        <w:gridCol w:w="1277"/>
        <w:gridCol w:w="567"/>
        <w:gridCol w:w="1418"/>
        <w:gridCol w:w="1274"/>
        <w:gridCol w:w="1419"/>
      </w:tblGrid>
      <w:tr>
        <w:trPr>
          <w:trHeight w:val="250" w:hRule="exact"/>
        </w:trPr>
        <w:tc>
          <w:tcPr>
            <w:tcW w:w="15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31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939" w:right="0"/>
              <w:jc w:val="center"/>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sz w:val="24"/>
                <w:szCs w:val="24"/>
              </w:rPr>
              <w:t> </w:t>
            </w:r>
          </w:p>
        </w:tc>
      </w:tr>
      <w:tr>
        <w:trPr>
          <w:trHeight w:val="483" w:hRule="exact"/>
        </w:trPr>
        <w:tc>
          <w:tcPr>
            <w:tcW w:w="1556" w:type="dxa"/>
            <w:vMerge/>
            <w:tcBorders>
              <w:left w:val="single" w:sz="4" w:space="0" w:color="000000"/>
              <w:right w:val="single" w:sz="4" w:space="0" w:color="000000"/>
            </w:tcBorders>
          </w:tcPr>
          <w:p>
            <w:pPr/>
          </w:p>
        </w:tc>
        <w:tc>
          <w:tcPr>
            <w:tcW w:w="1162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20" w:right="0"/>
              <w:jc w:val="center"/>
              <w:rPr>
                <w:rFonts w:ascii="宋体" w:hAnsi="宋体" w:cs="宋体" w:eastAsia="宋体" w:hint="default"/>
                <w:sz w:val="24"/>
                <w:szCs w:val="24"/>
              </w:rPr>
            </w:pPr>
            <w:r>
              <w:rPr>
                <w:rFonts w:ascii="宋体" w:hAnsi="宋体" w:cs="宋体" w:eastAsia="宋体" w:hint="default"/>
                <w:sz w:val="18"/>
                <w:szCs w:val="18"/>
              </w:rPr>
              <w:t>归属于母公司所有者权益</w:t>
            </w:r>
            <w:r>
              <w:rPr>
                <w:rFonts w:ascii="宋体" w:hAnsi="宋体" w:cs="宋体" w:eastAsia="宋体" w:hint="default"/>
                <w:sz w:val="24"/>
                <w:szCs w:val="24"/>
              </w:rPr>
              <w:t> </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42" w:right="180" w:hanging="360"/>
              <w:jc w:val="left"/>
              <w:rPr>
                <w:rFonts w:ascii="宋体" w:hAnsi="宋体" w:cs="宋体" w:eastAsia="宋体" w:hint="default"/>
                <w:sz w:val="18"/>
                <w:szCs w:val="18"/>
              </w:rPr>
            </w:pPr>
            <w:r>
              <w:rPr>
                <w:rFonts w:ascii="宋体" w:hAnsi="宋体" w:cs="宋体" w:eastAsia="宋体" w:hint="default"/>
                <w:sz w:val="18"/>
                <w:szCs w:val="18"/>
              </w:rPr>
              <w:t>少数股东权 益</w:t>
            </w:r>
            <w:r>
              <w:rPr>
                <w:rFonts w:ascii="宋体" w:hAnsi="宋体" w:cs="宋体" w:eastAsia="宋体" w:hint="default"/>
                <w:sz w:val="18"/>
                <w:szCs w:val="18"/>
              </w:rPr>
              <w:t> </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14" w:right="161" w:hanging="449"/>
              <w:jc w:val="left"/>
              <w:rPr>
                <w:rFonts w:ascii="宋体" w:hAnsi="宋体" w:cs="宋体" w:eastAsia="宋体" w:hint="default"/>
                <w:sz w:val="18"/>
                <w:szCs w:val="18"/>
              </w:rPr>
            </w:pPr>
            <w:r>
              <w:rPr>
                <w:rFonts w:ascii="宋体" w:hAnsi="宋体" w:cs="宋体" w:eastAsia="宋体" w:hint="default"/>
                <w:sz w:val="18"/>
                <w:szCs w:val="18"/>
              </w:rPr>
              <w:t>所有者权益合 计</w:t>
            </w:r>
            <w:r>
              <w:rPr>
                <w:rFonts w:ascii="宋体" w:hAnsi="宋体" w:cs="宋体" w:eastAsia="宋体" w:hint="default"/>
                <w:sz w:val="18"/>
                <w:szCs w:val="18"/>
              </w:rPr>
              <w:t> </w:t>
            </w:r>
          </w:p>
        </w:tc>
      </w:tr>
      <w:tr>
        <w:trPr>
          <w:trHeight w:val="394" w:hRule="exact"/>
        </w:trPr>
        <w:tc>
          <w:tcPr>
            <w:tcW w:w="1556"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减：库存股</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其他综合</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专</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盈余</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一般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其</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25"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274"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200" w:right="120"/>
        </w:sectPr>
      </w:pPr>
    </w:p>
    <w:p>
      <w:pPr>
        <w:spacing w:line="240" w:lineRule="auto" w:before="2"/>
        <w:rPr>
          <w:rFonts w:ascii="Times New Roman" w:hAnsi="Times New Roman" w:cs="Times New Roman" w:eastAsia="Times New Roman"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1556"/>
        <w:gridCol w:w="1274"/>
        <w:gridCol w:w="425"/>
        <w:gridCol w:w="427"/>
        <w:gridCol w:w="566"/>
        <w:gridCol w:w="1417"/>
        <w:gridCol w:w="1277"/>
        <w:gridCol w:w="991"/>
        <w:gridCol w:w="567"/>
        <w:gridCol w:w="710"/>
        <w:gridCol w:w="708"/>
        <w:gridCol w:w="1277"/>
        <w:gridCol w:w="567"/>
        <w:gridCol w:w="1418"/>
        <w:gridCol w:w="1274"/>
        <w:gridCol w:w="1419"/>
      </w:tblGrid>
      <w:tr>
        <w:trPr>
          <w:trHeight w:val="730" w:hRule="exact"/>
        </w:trPr>
        <w:tc>
          <w:tcPr>
            <w:tcW w:w="155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7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
              <w:ind w:left="117" w:right="25"/>
              <w:jc w:val="both"/>
              <w:rPr>
                <w:rFonts w:ascii="宋体" w:hAnsi="宋体" w:cs="宋体" w:eastAsia="宋体" w:hint="default"/>
                <w:sz w:val="18"/>
                <w:szCs w:val="18"/>
              </w:rPr>
            </w:pPr>
            <w:r>
              <w:rPr>
                <w:rFonts w:ascii="宋体" w:hAnsi="宋体" w:cs="宋体" w:eastAsia="宋体" w:hint="default"/>
                <w:sz w:val="18"/>
                <w:szCs w:val="18"/>
              </w:rPr>
              <w:t>优 先 股</w:t>
            </w:r>
            <w:r>
              <w:rPr>
                <w:rFonts w:ascii="宋体" w:hAnsi="宋体" w:cs="宋体" w:eastAsia="宋体" w:hint="default"/>
                <w:sz w:val="18"/>
                <w:szCs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
              <w:ind w:left="119" w:right="25"/>
              <w:jc w:val="both"/>
              <w:rPr>
                <w:rFonts w:ascii="宋体" w:hAnsi="宋体" w:cs="宋体" w:eastAsia="宋体" w:hint="default"/>
                <w:sz w:val="18"/>
                <w:szCs w:val="18"/>
              </w:rPr>
            </w:pPr>
            <w:r>
              <w:rPr>
                <w:rFonts w:ascii="宋体" w:hAnsi="宋体" w:cs="宋体" w:eastAsia="宋体" w:hint="default"/>
                <w:sz w:val="18"/>
                <w:szCs w:val="18"/>
              </w:rPr>
              <w:t>永 续 债</w:t>
            </w:r>
            <w:r>
              <w:rPr>
                <w:rFonts w:ascii="宋体" w:hAnsi="宋体" w:cs="宋体" w:eastAsia="宋体"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2"/>
              <w:ind w:left="187" w:right="97"/>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309" w:right="0"/>
              <w:jc w:val="left"/>
              <w:rPr>
                <w:rFonts w:ascii="宋体" w:hAnsi="宋体" w:cs="宋体" w:eastAsia="宋体" w:hint="default"/>
                <w:sz w:val="18"/>
                <w:szCs w:val="18"/>
              </w:rPr>
            </w:pPr>
            <w:r>
              <w:rPr>
                <w:rFonts w:ascii="宋体" w:hAnsi="宋体" w:cs="宋体" w:eastAsia="宋体" w:hint="default"/>
                <w:sz w:val="18"/>
                <w:szCs w:val="18"/>
              </w:rPr>
              <w:t>收益</w:t>
            </w:r>
            <w:r>
              <w:rPr>
                <w:rFonts w:ascii="宋体" w:hAnsi="宋体" w:cs="宋体" w:eastAsia="宋体" w:hint="default"/>
                <w:sz w:val="18"/>
                <w:szCs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 w:right="0"/>
              <w:jc w:val="center"/>
              <w:rPr>
                <w:rFonts w:ascii="宋体" w:hAnsi="宋体" w:cs="宋体" w:eastAsia="宋体" w:hint="default"/>
                <w:sz w:val="18"/>
                <w:szCs w:val="18"/>
              </w:rPr>
            </w:pPr>
            <w:r>
              <w:rPr>
                <w:rFonts w:ascii="宋体" w:hAnsi="宋体" w:cs="宋体" w:eastAsia="宋体" w:hint="default"/>
                <w:sz w:val="18"/>
                <w:szCs w:val="18"/>
              </w:rPr>
              <w:t>项</w:t>
            </w:r>
          </w:p>
          <w:p>
            <w:pPr>
              <w:pStyle w:val="TableParagraph"/>
              <w:spacing w:line="244" w:lineRule="auto" w:before="4"/>
              <w:ind w:left="189" w:right="95"/>
              <w:jc w:val="left"/>
              <w:rPr>
                <w:rFonts w:ascii="宋体" w:hAnsi="宋体" w:cs="宋体" w:eastAsia="宋体" w:hint="default"/>
                <w:sz w:val="18"/>
                <w:szCs w:val="18"/>
              </w:rPr>
            </w:pPr>
            <w:r>
              <w:rPr>
                <w:rFonts w:ascii="宋体" w:hAnsi="宋体" w:cs="宋体" w:eastAsia="宋体" w:hint="default"/>
                <w:sz w:val="18"/>
                <w:szCs w:val="18"/>
              </w:rPr>
              <w:t>储 备</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70" w:right="0"/>
              <w:jc w:val="left"/>
              <w:rPr>
                <w:rFonts w:ascii="宋体" w:hAnsi="宋体" w:cs="宋体" w:eastAsia="宋体" w:hint="default"/>
                <w:sz w:val="18"/>
                <w:szCs w:val="18"/>
              </w:rPr>
            </w:pPr>
            <w:r>
              <w:rPr>
                <w:rFonts w:ascii="宋体" w:hAnsi="宋体" w:cs="宋体" w:eastAsia="宋体" w:hint="default"/>
                <w:sz w:val="18"/>
                <w:szCs w:val="18"/>
              </w:rPr>
              <w:t>公积</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67" w:right="0"/>
              <w:jc w:val="left"/>
              <w:rPr>
                <w:rFonts w:ascii="宋体" w:hAnsi="宋体" w:cs="宋体" w:eastAsia="宋体" w:hint="default"/>
                <w:sz w:val="18"/>
                <w:szCs w:val="18"/>
              </w:rPr>
            </w:pPr>
            <w:r>
              <w:rPr>
                <w:rFonts w:ascii="宋体" w:hAnsi="宋体" w:cs="宋体" w:eastAsia="宋体" w:hint="default"/>
                <w:sz w:val="18"/>
                <w:szCs w:val="18"/>
              </w:rPr>
              <w:t>风险</w:t>
            </w:r>
          </w:p>
          <w:p>
            <w:pPr>
              <w:pStyle w:val="TableParagraph"/>
              <w:spacing w:line="240" w:lineRule="auto" w:before="4"/>
              <w:ind w:left="167" w:right="0"/>
              <w:jc w:val="left"/>
              <w:rPr>
                <w:rFonts w:ascii="宋体" w:hAnsi="宋体" w:cs="宋体" w:eastAsia="宋体" w:hint="default"/>
                <w:sz w:val="18"/>
                <w:szCs w:val="18"/>
              </w:rPr>
            </w:pPr>
            <w:r>
              <w:rPr>
                <w:rFonts w:ascii="宋体" w:hAnsi="宋体" w:cs="宋体" w:eastAsia="宋体" w:hint="default"/>
                <w:sz w:val="18"/>
                <w:szCs w:val="18"/>
              </w:rPr>
              <w:t>准备</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7" w:right="0"/>
              <w:jc w:val="left"/>
              <w:rPr>
                <w:rFonts w:ascii="宋体" w:hAnsi="宋体" w:cs="宋体" w:eastAsia="宋体" w:hint="default"/>
                <w:sz w:val="18"/>
                <w:szCs w:val="18"/>
              </w:rPr>
            </w:pPr>
            <w:r>
              <w:rPr>
                <w:rFonts w:ascii="宋体" w:hAnsi="宋体" w:cs="宋体" w:eastAsia="宋体" w:hint="default"/>
                <w:sz w:val="18"/>
                <w:szCs w:val="18"/>
              </w:rPr>
              <w:t>他</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6"/>
                <w:szCs w:val="16"/>
              </w:rPr>
            </w:pPr>
            <w:r>
              <w:rPr>
                <w:rFonts w:ascii="Times New Roman"/>
                <w:spacing w:val="-1"/>
                <w:sz w:val="16"/>
              </w:rPr>
              <w:t>666,960,584.00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6"/>
                <w:szCs w:val="16"/>
              </w:rPr>
            </w:pPr>
            <w:r>
              <w:rPr>
                <w:rFonts w:ascii="Times New Roman"/>
                <w:spacing w:val="-1"/>
                <w:sz w:val="16"/>
              </w:rPr>
              <w:t>2,487,862,032.25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Times New Roman" w:hAnsi="Times New Roman" w:cs="Times New Roman" w:eastAsia="Times New Roman" w:hint="default"/>
                <w:sz w:val="16"/>
                <w:szCs w:val="16"/>
              </w:rPr>
            </w:pPr>
            <w:r>
              <w:rPr>
                <w:rFonts w:ascii="Times New Roman"/>
                <w:spacing w:val="-1"/>
                <w:sz w:val="16"/>
              </w:rPr>
              <w:t>268,960,699.04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6"/>
                <w:szCs w:val="16"/>
              </w:rPr>
            </w:pPr>
            <w:r>
              <w:rPr>
                <w:rFonts w:ascii="Times New Roman"/>
                <w:spacing w:val="-1"/>
                <w:sz w:val="16"/>
              </w:rPr>
              <w:t>93,199.50</w:t>
            </w: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45"/>
              <w:ind w:left="117" w:right="0"/>
              <w:jc w:val="left"/>
              <w:rPr>
                <w:rFonts w:ascii="Times New Roman" w:hAnsi="Times New Roman" w:cs="Times New Roman" w:eastAsia="Times New Roman" w:hint="default"/>
                <w:sz w:val="16"/>
                <w:szCs w:val="16"/>
              </w:rPr>
            </w:pPr>
            <w:r>
              <w:rPr>
                <w:rFonts w:ascii="Times New Roman"/>
                <w:sz w:val="16"/>
              </w:rPr>
              <w:t>97,970,</w:t>
            </w:r>
          </w:p>
          <w:p>
            <w:pPr>
              <w:pStyle w:val="TableParagraph"/>
              <w:spacing w:line="183" w:lineRule="exact"/>
              <w:ind w:left="158" w:right="0"/>
              <w:jc w:val="left"/>
              <w:rPr>
                <w:rFonts w:ascii="Times New Roman" w:hAnsi="Times New Roman" w:cs="Times New Roman" w:eastAsia="Times New Roman" w:hint="default"/>
                <w:sz w:val="16"/>
                <w:szCs w:val="16"/>
              </w:rPr>
            </w:pPr>
            <w:r>
              <w:rPr>
                <w:rFonts w:ascii="Times New Roman"/>
                <w:sz w:val="16"/>
              </w:rPr>
              <w:t>211.84</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Times New Roman" w:hAnsi="Times New Roman" w:cs="Times New Roman" w:eastAsia="Times New Roman" w:hint="default"/>
                <w:sz w:val="16"/>
                <w:szCs w:val="16"/>
              </w:rPr>
            </w:pPr>
            <w:r>
              <w:rPr>
                <w:rFonts w:ascii="Times New Roman"/>
                <w:spacing w:val="-1"/>
                <w:sz w:val="16"/>
              </w:rPr>
              <w:t>746,450,757.63</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6"/>
                <w:szCs w:val="16"/>
              </w:rPr>
            </w:pPr>
            <w:r>
              <w:rPr>
                <w:rFonts w:ascii="Times New Roman"/>
                <w:spacing w:val="-1"/>
                <w:sz w:val="16"/>
              </w:rPr>
              <w:t>3,730,376,086.18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Times New Roman" w:hAnsi="Times New Roman" w:cs="Times New Roman" w:eastAsia="Times New Roman" w:hint="default"/>
                <w:sz w:val="16"/>
                <w:szCs w:val="16"/>
              </w:rPr>
            </w:pPr>
            <w:r>
              <w:rPr>
                <w:rFonts w:ascii="Times New Roman"/>
                <w:spacing w:val="-1"/>
                <w:sz w:val="16"/>
              </w:rPr>
              <w:t>150,445,723.24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6"/>
                <w:szCs w:val="16"/>
              </w:rPr>
            </w:pPr>
            <w:r>
              <w:rPr>
                <w:rFonts w:ascii="Times New Roman"/>
                <w:spacing w:val="-1"/>
                <w:sz w:val="16"/>
              </w:rPr>
              <w:t>3,880,821,809.42</w:t>
            </w:r>
          </w:p>
        </w:tc>
      </w:tr>
      <w:tr>
        <w:trPr>
          <w:trHeight w:val="475"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更</w:t>
            </w:r>
            <w:r>
              <w:rPr>
                <w:rFonts w:ascii="宋体" w:hAnsi="宋体" w:cs="宋体" w:eastAsia="宋体"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79"/>
              <w:jc w:val="right"/>
              <w:rPr>
                <w:rFonts w:ascii="Times New Roman" w:hAnsi="Times New Roman" w:cs="Times New Roman" w:eastAsia="Times New Roman" w:hint="default"/>
                <w:sz w:val="16"/>
                <w:szCs w:val="16"/>
              </w:rPr>
            </w:pPr>
            <w:r>
              <w:rPr>
                <w:rFonts w:ascii="Times New Roman"/>
                <w:w w:val="100"/>
                <w:sz w:val="16"/>
              </w:rPr>
              <w:t>-</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79"/>
              <w:jc w:val="right"/>
              <w:rPr>
                <w:rFonts w:ascii="Times New Roman" w:hAnsi="Times New Roman" w:cs="Times New Roman" w:eastAsia="Times New Roman" w:hint="default"/>
                <w:sz w:val="16"/>
                <w:szCs w:val="16"/>
              </w:rPr>
            </w:pPr>
            <w:r>
              <w:rPr>
                <w:rFonts w:ascii="Times New Roman"/>
                <w:w w:val="100"/>
                <w:sz w:val="16"/>
              </w:rPr>
              <w:t>-</w:t>
            </w:r>
          </w:p>
        </w:tc>
      </w:tr>
      <w:tr>
        <w:trPr>
          <w:trHeight w:val="478"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3" w:right="0"/>
              <w:jc w:val="left"/>
              <w:rPr>
                <w:rFonts w:ascii="宋体" w:hAnsi="宋体" w:cs="宋体" w:eastAsia="宋体" w:hint="default"/>
                <w:sz w:val="18"/>
                <w:szCs w:val="18"/>
              </w:rPr>
            </w:pPr>
            <w:r>
              <w:rPr>
                <w:rFonts w:ascii="宋体" w:hAnsi="宋体" w:cs="宋体" w:eastAsia="宋体" w:hint="default"/>
                <w:sz w:val="18"/>
                <w:szCs w:val="18"/>
              </w:rPr>
              <w:t>前期差错</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更正</w:t>
            </w:r>
            <w:r>
              <w:rPr>
                <w:rFonts w:ascii="宋体" w:hAnsi="宋体" w:cs="宋体" w:eastAsia="宋体"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79"/>
              <w:jc w:val="right"/>
              <w:rPr>
                <w:rFonts w:ascii="Times New Roman" w:hAnsi="Times New Roman" w:cs="Times New Roman" w:eastAsia="Times New Roman" w:hint="default"/>
                <w:sz w:val="16"/>
                <w:szCs w:val="16"/>
              </w:rPr>
            </w:pPr>
            <w:r>
              <w:rPr>
                <w:rFonts w:ascii="Times New Roman"/>
                <w:w w:val="100"/>
                <w:sz w:val="16"/>
              </w:rPr>
              <w:t>-</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79"/>
              <w:jc w:val="right"/>
              <w:rPr>
                <w:rFonts w:ascii="Times New Roman" w:hAnsi="Times New Roman" w:cs="Times New Roman" w:eastAsia="Times New Roman" w:hint="default"/>
                <w:sz w:val="16"/>
                <w:szCs w:val="16"/>
              </w:rPr>
            </w:pPr>
            <w:r>
              <w:rPr>
                <w:rFonts w:ascii="Times New Roman"/>
                <w:w w:val="100"/>
                <w:sz w:val="16"/>
              </w:rPr>
              <w:t>-</w:t>
            </w:r>
          </w:p>
        </w:tc>
      </w:tr>
      <w:tr>
        <w:trPr>
          <w:trHeight w:val="478"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83" w:right="0"/>
              <w:jc w:val="left"/>
              <w:rPr>
                <w:rFonts w:ascii="宋体" w:hAnsi="宋体" w:cs="宋体" w:eastAsia="宋体" w:hint="default"/>
                <w:sz w:val="18"/>
                <w:szCs w:val="18"/>
              </w:rPr>
            </w:pPr>
            <w:r>
              <w:rPr>
                <w:rFonts w:ascii="宋体" w:hAnsi="宋体" w:cs="宋体" w:eastAsia="宋体" w:hint="default"/>
                <w:sz w:val="18"/>
                <w:szCs w:val="18"/>
              </w:rPr>
              <w:t>同一控制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下企业合并</w:t>
            </w:r>
            <w:r>
              <w:rPr>
                <w:rFonts w:ascii="宋体" w:hAnsi="宋体" w:cs="宋体" w:eastAsia="宋体"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79"/>
              <w:jc w:val="right"/>
              <w:rPr>
                <w:rFonts w:ascii="Times New Roman" w:hAnsi="Times New Roman" w:cs="Times New Roman" w:eastAsia="Times New Roman" w:hint="default"/>
                <w:sz w:val="16"/>
                <w:szCs w:val="16"/>
              </w:rPr>
            </w:pPr>
            <w:r>
              <w:rPr>
                <w:rFonts w:ascii="Times New Roman"/>
                <w:w w:val="100"/>
                <w:sz w:val="16"/>
              </w:rPr>
              <w:t>-</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377"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79"/>
              <w:jc w:val="right"/>
              <w:rPr>
                <w:rFonts w:ascii="Times New Roman" w:hAnsi="Times New Roman" w:cs="Times New Roman" w:eastAsia="Times New Roman" w:hint="default"/>
                <w:sz w:val="16"/>
                <w:szCs w:val="16"/>
              </w:rPr>
            </w:pPr>
            <w:r>
              <w:rPr>
                <w:rFonts w:ascii="Times New Roman"/>
                <w:w w:val="100"/>
                <w:sz w:val="16"/>
              </w:rPr>
              <w:t>-</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79"/>
              <w:jc w:val="right"/>
              <w:rPr>
                <w:rFonts w:ascii="Times New Roman" w:hAnsi="Times New Roman" w:cs="Times New Roman" w:eastAsia="Times New Roman" w:hint="default"/>
                <w:sz w:val="16"/>
                <w:szCs w:val="16"/>
              </w:rPr>
            </w:pPr>
            <w:r>
              <w:rPr>
                <w:rFonts w:ascii="Times New Roman"/>
                <w:w w:val="100"/>
                <w:sz w:val="16"/>
              </w:rPr>
              <w:t>-</w:t>
            </w:r>
          </w:p>
        </w:tc>
      </w:tr>
      <w:tr>
        <w:trPr>
          <w:trHeight w:val="746"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180"/>
              <w:jc w:val="left"/>
              <w:rPr>
                <w:rFonts w:ascii="宋体" w:hAnsi="宋体" w:cs="宋体" w:eastAsia="宋体" w:hint="default"/>
                <w:sz w:val="18"/>
                <w:szCs w:val="18"/>
              </w:rPr>
            </w:pPr>
            <w:r>
              <w:rPr>
                <w:rFonts w:ascii="宋体" w:hAnsi="宋体" w:cs="宋体" w:eastAsia="宋体" w:hint="default"/>
                <w:sz w:val="18"/>
                <w:szCs w:val="18"/>
              </w:rPr>
              <w:t>二、本年期初余 额</w:t>
            </w:r>
            <w:r>
              <w:rPr>
                <w:rFonts w:ascii="宋体" w:hAnsi="宋体" w:cs="宋体" w:eastAsia="宋体"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666,960,584.00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6"/>
                <w:szCs w:val="16"/>
              </w:rPr>
            </w:pPr>
            <w:r>
              <w:rPr>
                <w:rFonts w:ascii="Times New Roman"/>
                <w:w w:val="100"/>
                <w:sz w:val="16"/>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2"/>
              <w:jc w:val="center"/>
              <w:rPr>
                <w:rFonts w:ascii="Times New Roman" w:hAnsi="Times New Roman" w:cs="Times New Roman" w:eastAsia="Times New Roman" w:hint="default"/>
                <w:sz w:val="16"/>
                <w:szCs w:val="16"/>
              </w:rPr>
            </w:pPr>
            <w:r>
              <w:rPr>
                <w:rFonts w:ascii="Times New Roman"/>
                <w:w w:val="100"/>
                <w:sz w:val="16"/>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38"/>
              <w:jc w:val="right"/>
              <w:rPr>
                <w:rFonts w:ascii="Times New Roman" w:hAnsi="Times New Roman" w:cs="Times New Roman" w:eastAsia="Times New Roman" w:hint="default"/>
                <w:sz w:val="16"/>
                <w:szCs w:val="16"/>
              </w:rPr>
            </w:pPr>
            <w:r>
              <w:rPr>
                <w:rFonts w:ascii="Times New Roman"/>
                <w:w w:val="100"/>
                <w:sz w:val="16"/>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2,487,862,032.25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268,960,699.04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93,199.50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79"/>
              <w:jc w:val="right"/>
              <w:rPr>
                <w:rFonts w:ascii="Times New Roman" w:hAnsi="Times New Roman" w:cs="Times New Roman" w:eastAsia="Times New Roman" w:hint="default"/>
                <w:sz w:val="16"/>
                <w:szCs w:val="16"/>
              </w:rPr>
            </w:pPr>
            <w:r>
              <w:rPr>
                <w:rFonts w:ascii="Times New Roman"/>
                <w:w w:val="100"/>
                <w:sz w:val="16"/>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17" w:right="0"/>
              <w:jc w:val="left"/>
              <w:rPr>
                <w:rFonts w:ascii="Times New Roman" w:hAnsi="Times New Roman" w:cs="Times New Roman" w:eastAsia="Times New Roman" w:hint="default"/>
                <w:sz w:val="16"/>
                <w:szCs w:val="16"/>
              </w:rPr>
            </w:pPr>
            <w:r>
              <w:rPr>
                <w:rFonts w:ascii="Times New Roman"/>
                <w:sz w:val="16"/>
              </w:rPr>
              <w:t>97,970,</w:t>
            </w:r>
          </w:p>
          <w:p>
            <w:pPr>
              <w:pStyle w:val="TableParagraph"/>
              <w:spacing w:line="240" w:lineRule="auto" w:before="1"/>
              <w:ind w:left="158" w:right="0"/>
              <w:jc w:val="left"/>
              <w:rPr>
                <w:rFonts w:ascii="Times New Roman" w:hAnsi="Times New Roman" w:cs="Times New Roman" w:eastAsia="Times New Roman" w:hint="default"/>
                <w:sz w:val="16"/>
                <w:szCs w:val="16"/>
              </w:rPr>
            </w:pPr>
            <w:r>
              <w:rPr>
                <w:rFonts w:ascii="Times New Roman"/>
                <w:sz w:val="16"/>
              </w:rPr>
              <w:t>211.84</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746,450,757.63</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3,730,376,086.18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150,445,723.24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3,880,821,809.42</w:t>
            </w:r>
          </w:p>
        </w:tc>
      </w:tr>
      <w:tr>
        <w:trPr>
          <w:trHeight w:val="746"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3"/>
              <w:ind w:left="103" w:right="90"/>
              <w:jc w:val="both"/>
              <w:rPr>
                <w:rFonts w:ascii="宋体" w:hAnsi="宋体" w:cs="宋体" w:eastAsia="宋体" w:hint="default"/>
                <w:sz w:val="18"/>
                <w:szCs w:val="18"/>
              </w:rPr>
            </w:pPr>
            <w:r>
              <w:rPr>
                <w:rFonts w:ascii="宋体" w:hAnsi="宋体" w:cs="宋体" w:eastAsia="宋体" w:hint="default"/>
                <w:sz w:val="18"/>
                <w:szCs w:val="18"/>
              </w:rPr>
              <w:t>三、本期增减变 动金额（减少以 “－”号填列）</w:t>
            </w:r>
            <w:r>
              <w:rPr>
                <w:rFonts w:ascii="宋体" w:hAnsi="宋体" w:cs="宋体" w:eastAsia="宋体"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199,338,200.00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6"/>
                <w:szCs w:val="16"/>
              </w:rPr>
            </w:pPr>
            <w:r>
              <w:rPr>
                <w:rFonts w:ascii="Times New Roman"/>
                <w:w w:val="100"/>
                <w:sz w:val="16"/>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2"/>
              <w:jc w:val="center"/>
              <w:rPr>
                <w:rFonts w:ascii="Times New Roman" w:hAnsi="Times New Roman" w:cs="Times New Roman" w:eastAsia="Times New Roman" w:hint="default"/>
                <w:sz w:val="16"/>
                <w:szCs w:val="16"/>
              </w:rPr>
            </w:pPr>
            <w:r>
              <w:rPr>
                <w:rFonts w:ascii="Times New Roman"/>
                <w:w w:val="100"/>
                <w:sz w:val="16"/>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38"/>
              <w:jc w:val="right"/>
              <w:rPr>
                <w:rFonts w:ascii="Times New Roman" w:hAnsi="Times New Roman" w:cs="Times New Roman" w:eastAsia="Times New Roman" w:hint="default"/>
                <w:sz w:val="16"/>
                <w:szCs w:val="16"/>
              </w:rPr>
            </w:pPr>
            <w:r>
              <w:rPr>
                <w:rFonts w:ascii="Times New Roman"/>
                <w:w w:val="100"/>
                <w:sz w:val="16"/>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1,125,830.18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-94,136,630.62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80,189.88</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79"/>
              <w:jc w:val="right"/>
              <w:rPr>
                <w:rFonts w:ascii="Times New Roman" w:hAnsi="Times New Roman" w:cs="Times New Roman" w:eastAsia="Times New Roman" w:hint="default"/>
                <w:sz w:val="16"/>
                <w:szCs w:val="16"/>
              </w:rPr>
            </w:pPr>
            <w:r>
              <w:rPr>
                <w:rFonts w:ascii="Times New Roman"/>
                <w:w w:val="100"/>
                <w:sz w:val="16"/>
              </w:rPr>
              <w:t>-</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-16,894,665.73</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277,786,184.95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224,298,151.24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502,084,336.19</w:t>
            </w:r>
          </w:p>
        </w:tc>
      </w:tr>
      <w:tr>
        <w:trPr>
          <w:trHeight w:val="475"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总额</w:t>
            </w:r>
            <w:r>
              <w:rPr>
                <w:rFonts w:ascii="宋体" w:hAnsi="宋体" w:cs="宋体" w:eastAsia="宋体"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6"/>
                <w:szCs w:val="16"/>
              </w:rPr>
            </w:pPr>
            <w:r>
              <w:rPr>
                <w:rFonts w:ascii="Times New Roman"/>
                <w:spacing w:val="-1"/>
                <w:sz w:val="16"/>
              </w:rPr>
              <w:t>80,189.88</w:t>
            </w: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Times New Roman" w:hAnsi="Times New Roman" w:cs="Times New Roman" w:eastAsia="Times New Roman" w:hint="default"/>
                <w:sz w:val="16"/>
                <w:szCs w:val="16"/>
              </w:rPr>
            </w:pPr>
            <w:r>
              <w:rPr>
                <w:rFonts w:ascii="Times New Roman"/>
                <w:spacing w:val="-1"/>
                <w:sz w:val="16"/>
              </w:rPr>
              <w:t>262,178,814.19</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6"/>
                <w:szCs w:val="16"/>
              </w:rPr>
            </w:pPr>
            <w:r>
              <w:rPr>
                <w:rFonts w:ascii="Times New Roman"/>
                <w:spacing w:val="-1"/>
                <w:sz w:val="16"/>
              </w:rPr>
              <w:t>262,259,004.07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Times New Roman" w:hAnsi="Times New Roman" w:cs="Times New Roman" w:eastAsia="Times New Roman" w:hint="default"/>
                <w:sz w:val="16"/>
                <w:szCs w:val="16"/>
              </w:rPr>
            </w:pPr>
            <w:r>
              <w:rPr>
                <w:rFonts w:ascii="Times New Roman"/>
                <w:spacing w:val="-2"/>
                <w:sz w:val="16"/>
              </w:rPr>
              <w:t>11,985,323.53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6"/>
                <w:szCs w:val="16"/>
              </w:rPr>
            </w:pPr>
            <w:r>
              <w:rPr>
                <w:rFonts w:ascii="Times New Roman"/>
                <w:spacing w:val="-1"/>
                <w:sz w:val="16"/>
              </w:rPr>
              <w:t>274,244,327.60</w:t>
            </w:r>
          </w:p>
        </w:tc>
      </w:tr>
      <w:tr>
        <w:trPr>
          <w:trHeight w:val="747"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31"/>
              <w:ind w:left="103" w:right="180"/>
              <w:jc w:val="left"/>
              <w:rPr>
                <w:rFonts w:ascii="宋体" w:hAnsi="宋体" w:cs="宋体" w:eastAsia="宋体" w:hint="default"/>
                <w:sz w:val="18"/>
                <w:szCs w:val="18"/>
              </w:rPr>
            </w:pPr>
            <w:r>
              <w:rPr>
                <w:rFonts w:ascii="宋体" w:hAnsi="宋体" w:cs="宋体" w:eastAsia="宋体" w:hint="default"/>
                <w:sz w:val="18"/>
                <w:szCs w:val="18"/>
              </w:rPr>
              <w:t>（二）所有者投 入和减少资本</w:t>
            </w:r>
            <w:r>
              <w:rPr>
                <w:rFonts w:ascii="宋体" w:hAnsi="宋体" w:cs="宋体" w:eastAsia="宋体"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77"/>
              <w:jc w:val="right"/>
              <w:rPr>
                <w:rFonts w:ascii="Times New Roman" w:hAnsi="Times New Roman" w:cs="Times New Roman" w:eastAsia="Times New Roman" w:hint="default"/>
                <w:sz w:val="16"/>
                <w:szCs w:val="16"/>
              </w:rPr>
            </w:pPr>
            <w:r>
              <w:rPr>
                <w:rFonts w:ascii="Times New Roman"/>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6"/>
                <w:szCs w:val="16"/>
              </w:rPr>
            </w:pPr>
            <w:r>
              <w:rPr>
                <w:rFonts w:ascii="Times New Roman"/>
                <w:w w:val="100"/>
                <w:sz w:val="16"/>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
              <w:jc w:val="center"/>
              <w:rPr>
                <w:rFonts w:ascii="Times New Roman" w:hAnsi="Times New Roman" w:cs="Times New Roman" w:eastAsia="Times New Roman" w:hint="default"/>
                <w:sz w:val="16"/>
                <w:szCs w:val="16"/>
              </w:rPr>
            </w:pPr>
            <w:r>
              <w:rPr>
                <w:rFonts w:ascii="Times New Roman"/>
                <w:w w:val="100"/>
                <w:sz w:val="16"/>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38"/>
              <w:jc w:val="right"/>
              <w:rPr>
                <w:rFonts w:ascii="Times New Roman" w:hAnsi="Times New Roman" w:cs="Times New Roman" w:eastAsia="Times New Roman" w:hint="default"/>
                <w:sz w:val="16"/>
                <w:szCs w:val="16"/>
              </w:rPr>
            </w:pPr>
            <w:r>
              <w:rPr>
                <w:rFonts w:ascii="Times New Roman"/>
                <w:w w:val="100"/>
                <w:sz w:val="16"/>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-14,594,384.58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-94,136,630.62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77"/>
              <w:jc w:val="right"/>
              <w:rPr>
                <w:rFonts w:ascii="Times New Roman" w:hAnsi="Times New Roman" w:cs="Times New Roman" w:eastAsia="Times New Roman" w:hint="default"/>
                <w:sz w:val="16"/>
                <w:szCs w:val="16"/>
              </w:rPr>
            </w:pPr>
            <w:r>
              <w:rPr>
                <w:rFonts w:ascii="Times New Roman"/>
                <w:w w:val="100"/>
                <w:sz w:val="16"/>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79"/>
              <w:jc w:val="right"/>
              <w:rPr>
                <w:rFonts w:ascii="Times New Roman" w:hAnsi="Times New Roman" w:cs="Times New Roman" w:eastAsia="Times New Roman" w:hint="default"/>
                <w:sz w:val="16"/>
                <w:szCs w:val="16"/>
              </w:rPr>
            </w:pPr>
            <w:r>
              <w:rPr>
                <w:rFonts w:ascii="Times New Roman"/>
                <w:w w:val="100"/>
                <w:sz w:val="16"/>
              </w:rPr>
              <w:t>-</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77"/>
              <w:jc w:val="right"/>
              <w:rPr>
                <w:rFonts w:ascii="Times New Roman" w:hAnsi="Times New Roman" w:cs="Times New Roman" w:eastAsia="Times New Roman" w:hint="default"/>
                <w:sz w:val="16"/>
                <w:szCs w:val="16"/>
              </w:rPr>
            </w:pPr>
            <w:r>
              <w:rPr>
                <w:rFonts w:ascii="Times New Roman"/>
                <w:w w:val="100"/>
                <w:sz w:val="16"/>
              </w:rPr>
              <w:t>-</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79,542,246.04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228,786,202.47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308,328,448.51</w:t>
            </w:r>
          </w:p>
        </w:tc>
      </w:tr>
      <w:tr>
        <w:trPr>
          <w:trHeight w:val="478"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普通股</w:t>
            </w:r>
            <w:r>
              <w:rPr>
                <w:rFonts w:ascii="宋体" w:hAnsi="宋体" w:cs="宋体" w:eastAsia="宋体"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79"/>
              <w:jc w:val="right"/>
              <w:rPr>
                <w:rFonts w:ascii="Times New Roman" w:hAnsi="Times New Roman" w:cs="Times New Roman" w:eastAsia="Times New Roman" w:hint="default"/>
                <w:sz w:val="16"/>
                <w:szCs w:val="16"/>
              </w:rPr>
            </w:pPr>
            <w:r>
              <w:rPr>
                <w:rFonts w:ascii="Times New Roman"/>
                <w:w w:val="100"/>
                <w:sz w:val="16"/>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Times New Roman" w:hAnsi="Times New Roman" w:cs="Times New Roman" w:eastAsia="Times New Roman" w:hint="default"/>
                <w:sz w:val="16"/>
                <w:szCs w:val="16"/>
              </w:rPr>
            </w:pPr>
            <w:r>
              <w:rPr>
                <w:rFonts w:ascii="Times New Roman"/>
                <w:spacing w:val="-1"/>
                <w:sz w:val="16"/>
              </w:rPr>
              <w:t>193,608,866.56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6"/>
                <w:szCs w:val="16"/>
              </w:rPr>
            </w:pPr>
            <w:r>
              <w:rPr>
                <w:rFonts w:ascii="Times New Roman"/>
                <w:spacing w:val="-1"/>
                <w:sz w:val="16"/>
              </w:rPr>
              <w:t>193,608,866.56</w:t>
            </w:r>
          </w:p>
        </w:tc>
      </w:tr>
      <w:tr>
        <w:trPr>
          <w:trHeight w:val="478"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持有者投入资本</w:t>
            </w:r>
            <w:r>
              <w:rPr>
                <w:rFonts w:ascii="宋体" w:hAnsi="宋体" w:cs="宋体" w:eastAsia="宋体"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79"/>
              <w:jc w:val="right"/>
              <w:rPr>
                <w:rFonts w:ascii="Times New Roman" w:hAnsi="Times New Roman" w:cs="Times New Roman" w:eastAsia="Times New Roman" w:hint="default"/>
                <w:sz w:val="16"/>
                <w:szCs w:val="16"/>
              </w:rPr>
            </w:pPr>
            <w:r>
              <w:rPr>
                <w:rFonts w:ascii="Times New Roman"/>
                <w:w w:val="100"/>
                <w:sz w:val="16"/>
              </w:rPr>
              <w:t>-</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79"/>
              <w:jc w:val="right"/>
              <w:rPr>
                <w:rFonts w:ascii="Times New Roman" w:hAnsi="Times New Roman" w:cs="Times New Roman" w:eastAsia="Times New Roman" w:hint="default"/>
                <w:sz w:val="16"/>
                <w:szCs w:val="16"/>
              </w:rPr>
            </w:pPr>
            <w:r>
              <w:rPr>
                <w:rFonts w:ascii="Times New Roman"/>
                <w:w w:val="100"/>
                <w:sz w:val="16"/>
              </w:rPr>
              <w:t>-</w:t>
            </w:r>
          </w:p>
        </w:tc>
      </w:tr>
      <w:tr>
        <w:trPr>
          <w:trHeight w:val="710"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w:t>
            </w:r>
          </w:p>
          <w:p>
            <w:pPr>
              <w:pStyle w:val="TableParagraph"/>
              <w:spacing w:line="232" w:lineRule="exact" w:before="23"/>
              <w:ind w:left="103" w:right="180"/>
              <w:jc w:val="left"/>
              <w:rPr>
                <w:rFonts w:ascii="宋体" w:hAnsi="宋体" w:cs="宋体" w:eastAsia="宋体" w:hint="default"/>
                <w:sz w:val="18"/>
                <w:szCs w:val="18"/>
              </w:rPr>
            </w:pPr>
            <w:r>
              <w:rPr>
                <w:rFonts w:ascii="宋体" w:hAnsi="宋体" w:cs="宋体" w:eastAsia="宋体" w:hint="default"/>
                <w:sz w:val="18"/>
                <w:szCs w:val="18"/>
              </w:rPr>
              <w:t>所有者权益的金 额</w:t>
            </w:r>
            <w:r>
              <w:rPr>
                <w:rFonts w:ascii="宋体" w:hAnsi="宋体" w:cs="宋体" w:eastAsia="宋体"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-238,256.05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-94,136,630.62</w:t>
            </w:r>
          </w:p>
        </w:tc>
        <w:tc>
          <w:tcPr>
            <w:tcW w:w="991"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93,898,374.57</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2"/>
                <w:sz w:val="16"/>
              </w:rPr>
              <w:t>93,898,374.57</w:t>
            </w:r>
          </w:p>
        </w:tc>
      </w:tr>
      <w:tr>
        <w:trPr>
          <w:trHeight w:val="242"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16"/>
                <w:szCs w:val="16"/>
              </w:rPr>
            </w:pPr>
            <w:r>
              <w:rPr>
                <w:rFonts w:ascii="Times New Roman"/>
                <w:spacing w:val="-1"/>
                <w:sz w:val="16"/>
              </w:rPr>
              <w:t>-14,356,128.53</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16"/>
                <w:szCs w:val="16"/>
              </w:rPr>
            </w:pPr>
            <w:r>
              <w:rPr>
                <w:rFonts w:ascii="Times New Roman"/>
                <w:spacing w:val="-1"/>
                <w:sz w:val="16"/>
              </w:rPr>
              <w:t>-14,356,128.53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16"/>
                <w:szCs w:val="16"/>
              </w:rPr>
            </w:pPr>
            <w:r>
              <w:rPr>
                <w:rFonts w:ascii="Times New Roman"/>
                <w:spacing w:val="-2"/>
                <w:sz w:val="16"/>
              </w:rPr>
              <w:t>35,177,335.91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16"/>
                <w:szCs w:val="16"/>
              </w:rPr>
            </w:pPr>
            <w:r>
              <w:rPr>
                <w:rFonts w:ascii="Times New Roman"/>
                <w:spacing w:val="-2"/>
                <w:sz w:val="16"/>
              </w:rPr>
              <w:t>20,821,207.38</w:t>
            </w:r>
          </w:p>
        </w:tc>
      </w:tr>
      <w:tr>
        <w:trPr>
          <w:trHeight w:val="747"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77"/>
              <w:jc w:val="right"/>
              <w:rPr>
                <w:rFonts w:ascii="Times New Roman" w:hAnsi="Times New Roman" w:cs="Times New Roman" w:eastAsia="Times New Roman" w:hint="default"/>
                <w:sz w:val="16"/>
                <w:szCs w:val="16"/>
              </w:rPr>
            </w:pPr>
            <w:r>
              <w:rPr>
                <w:rFonts w:ascii="Times New Roman"/>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6"/>
                <w:szCs w:val="16"/>
              </w:rPr>
            </w:pPr>
            <w:r>
              <w:rPr>
                <w:rFonts w:ascii="Times New Roman"/>
                <w:w w:val="100"/>
                <w:sz w:val="16"/>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2"/>
              <w:jc w:val="center"/>
              <w:rPr>
                <w:rFonts w:ascii="Times New Roman" w:hAnsi="Times New Roman" w:cs="Times New Roman" w:eastAsia="Times New Roman" w:hint="default"/>
                <w:sz w:val="16"/>
                <w:szCs w:val="16"/>
              </w:rPr>
            </w:pPr>
            <w:r>
              <w:rPr>
                <w:rFonts w:ascii="Times New Roman"/>
                <w:w w:val="100"/>
                <w:sz w:val="16"/>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38"/>
              <w:jc w:val="right"/>
              <w:rPr>
                <w:rFonts w:ascii="Times New Roman" w:hAnsi="Times New Roman" w:cs="Times New Roman" w:eastAsia="Times New Roman" w:hint="default"/>
                <w:sz w:val="16"/>
                <w:szCs w:val="16"/>
              </w:rPr>
            </w:pPr>
            <w:r>
              <w:rPr>
                <w:rFonts w:ascii="Times New Roman"/>
                <w:w w:val="100"/>
                <w:sz w:val="16"/>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79"/>
              <w:jc w:val="right"/>
              <w:rPr>
                <w:rFonts w:ascii="Times New Roman" w:hAnsi="Times New Roman" w:cs="Times New Roman" w:eastAsia="Times New Roman" w:hint="default"/>
                <w:sz w:val="16"/>
                <w:szCs w:val="16"/>
              </w:rPr>
            </w:pPr>
            <w:r>
              <w:rPr>
                <w:rFonts w:ascii="Times New Roman"/>
                <w:w w:val="100"/>
                <w:sz w:val="16"/>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77"/>
              <w:jc w:val="right"/>
              <w:rPr>
                <w:rFonts w:ascii="Times New Roman" w:hAnsi="Times New Roman" w:cs="Times New Roman" w:eastAsia="Times New Roman" w:hint="default"/>
                <w:sz w:val="16"/>
                <w:szCs w:val="16"/>
              </w:rPr>
            </w:pPr>
            <w:r>
              <w:rPr>
                <w:rFonts w:ascii="Times New Roman"/>
                <w:w w:val="100"/>
                <w:sz w:val="16"/>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77"/>
              <w:jc w:val="right"/>
              <w:rPr>
                <w:rFonts w:ascii="Times New Roman" w:hAnsi="Times New Roman" w:cs="Times New Roman" w:eastAsia="Times New Roman" w:hint="default"/>
                <w:sz w:val="16"/>
                <w:szCs w:val="16"/>
              </w:rPr>
            </w:pPr>
            <w:r>
              <w:rPr>
                <w:rFonts w:ascii="Times New Roman"/>
                <w:w w:val="100"/>
                <w:sz w:val="16"/>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79"/>
              <w:jc w:val="right"/>
              <w:rPr>
                <w:rFonts w:ascii="Times New Roman" w:hAnsi="Times New Roman" w:cs="Times New Roman" w:eastAsia="Times New Roman" w:hint="default"/>
                <w:sz w:val="16"/>
                <w:szCs w:val="16"/>
              </w:rPr>
            </w:pPr>
            <w:r>
              <w:rPr>
                <w:rFonts w:ascii="Times New Roman"/>
                <w:w w:val="100"/>
                <w:sz w:val="16"/>
              </w:rPr>
              <w:t>-</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-79,735,279.92</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-79,735,279.92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-753,160.00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-80,488,439.92</w:t>
            </w:r>
          </w:p>
        </w:tc>
      </w:tr>
      <w:tr>
        <w:trPr>
          <w:trHeight w:val="377"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79"/>
              <w:jc w:val="right"/>
              <w:rPr>
                <w:rFonts w:ascii="Times New Roman" w:hAnsi="Times New Roman" w:cs="Times New Roman" w:eastAsia="Times New Roman" w:hint="default"/>
                <w:sz w:val="16"/>
                <w:szCs w:val="16"/>
              </w:rPr>
            </w:pPr>
            <w:r>
              <w:rPr>
                <w:rFonts w:ascii="Times New Roman"/>
                <w:w w:val="100"/>
                <w:sz w:val="16"/>
              </w:rPr>
              <w:t>-</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79"/>
              <w:jc w:val="right"/>
              <w:rPr>
                <w:rFonts w:ascii="Times New Roman" w:hAnsi="Times New Roman" w:cs="Times New Roman" w:eastAsia="Times New Roman" w:hint="default"/>
                <w:sz w:val="16"/>
                <w:szCs w:val="16"/>
              </w:rPr>
            </w:pPr>
            <w:r>
              <w:rPr>
                <w:rFonts w:ascii="Times New Roman"/>
                <w:w w:val="100"/>
                <w:sz w:val="16"/>
              </w:rPr>
              <w:t>-</w:t>
            </w:r>
          </w:p>
        </w:tc>
      </w:tr>
    </w:tbl>
    <w:p>
      <w:pPr>
        <w:spacing w:after="0" w:line="240" w:lineRule="auto"/>
        <w:jc w:val="right"/>
        <w:rPr>
          <w:rFonts w:ascii="Times New Roman" w:hAnsi="Times New Roman" w:cs="Times New Roman" w:eastAsia="Times New Roman" w:hint="default"/>
          <w:sz w:val="16"/>
          <w:szCs w:val="16"/>
        </w:rPr>
        <w:sectPr>
          <w:pgSz w:w="16840" w:h="11910" w:orient="landscape"/>
          <w:pgMar w:header="882" w:footer="1195" w:top="1120" w:bottom="1380" w:left="420" w:right="320"/>
        </w:sectPr>
      </w:pPr>
    </w:p>
    <w:p>
      <w:pPr>
        <w:spacing w:line="240" w:lineRule="auto" w:before="2"/>
        <w:rPr>
          <w:rFonts w:ascii="Times New Roman" w:hAnsi="Times New Roman" w:cs="Times New Roman" w:eastAsia="Times New Roman"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1556"/>
        <w:gridCol w:w="1274"/>
        <w:gridCol w:w="425"/>
        <w:gridCol w:w="427"/>
        <w:gridCol w:w="566"/>
        <w:gridCol w:w="1417"/>
        <w:gridCol w:w="1277"/>
        <w:gridCol w:w="991"/>
        <w:gridCol w:w="567"/>
        <w:gridCol w:w="710"/>
        <w:gridCol w:w="708"/>
        <w:gridCol w:w="1277"/>
        <w:gridCol w:w="567"/>
        <w:gridCol w:w="1418"/>
        <w:gridCol w:w="1274"/>
        <w:gridCol w:w="1419"/>
      </w:tblGrid>
      <w:tr>
        <w:trPr>
          <w:trHeight w:val="476"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准备</w:t>
            </w:r>
            <w:r>
              <w:rPr>
                <w:rFonts w:ascii="宋体" w:hAnsi="宋体" w:cs="宋体" w:eastAsia="宋体"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Times New Roman" w:hAnsi="Times New Roman" w:cs="Times New Roman" w:eastAsia="Times New Roman" w:hint="default"/>
                <w:sz w:val="16"/>
                <w:szCs w:val="16"/>
              </w:rPr>
            </w:pPr>
            <w:r>
              <w:rPr>
                <w:rFonts w:ascii="Times New Roman"/>
                <w:spacing w:val="-1"/>
                <w:sz w:val="16"/>
              </w:rPr>
              <w:t>-79,735,279.92</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6"/>
                <w:szCs w:val="16"/>
              </w:rPr>
            </w:pPr>
            <w:r>
              <w:rPr>
                <w:rFonts w:ascii="Times New Roman"/>
                <w:spacing w:val="-1"/>
                <w:sz w:val="16"/>
              </w:rPr>
              <w:t>-79,735,279.92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Times New Roman" w:hAnsi="Times New Roman" w:cs="Times New Roman" w:eastAsia="Times New Roman" w:hint="default"/>
                <w:sz w:val="16"/>
                <w:szCs w:val="16"/>
              </w:rPr>
            </w:pPr>
            <w:r>
              <w:rPr>
                <w:rFonts w:ascii="Times New Roman"/>
                <w:spacing w:val="-1"/>
                <w:sz w:val="16"/>
              </w:rPr>
              <w:t>-753,160.00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6"/>
                <w:szCs w:val="16"/>
              </w:rPr>
            </w:pPr>
            <w:r>
              <w:rPr>
                <w:rFonts w:ascii="Times New Roman"/>
                <w:spacing w:val="-1"/>
                <w:sz w:val="16"/>
              </w:rPr>
              <w:t>-80,488,439.92</w:t>
            </w:r>
          </w:p>
        </w:tc>
      </w:tr>
      <w:tr>
        <w:trPr>
          <w:trHeight w:val="478"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股东）的分配</w:t>
            </w:r>
            <w:r>
              <w:rPr>
                <w:rFonts w:ascii="宋体" w:hAnsi="宋体" w:cs="宋体" w:eastAsia="宋体"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79"/>
              <w:jc w:val="right"/>
              <w:rPr>
                <w:rFonts w:ascii="Times New Roman" w:hAnsi="Times New Roman" w:cs="Times New Roman" w:eastAsia="Times New Roman" w:hint="default"/>
                <w:sz w:val="16"/>
                <w:szCs w:val="16"/>
              </w:rPr>
            </w:pPr>
            <w:r>
              <w:rPr>
                <w:rFonts w:ascii="Times New Roman"/>
                <w:w w:val="100"/>
                <w:sz w:val="16"/>
              </w:rPr>
              <w:t>-</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79"/>
              <w:jc w:val="right"/>
              <w:rPr>
                <w:rFonts w:ascii="Times New Roman" w:hAnsi="Times New Roman" w:cs="Times New Roman" w:eastAsia="Times New Roman" w:hint="default"/>
                <w:sz w:val="16"/>
                <w:szCs w:val="16"/>
              </w:rPr>
            </w:pPr>
            <w:r>
              <w:rPr>
                <w:rFonts w:ascii="Times New Roman"/>
                <w:w w:val="100"/>
                <w:sz w:val="16"/>
              </w:rPr>
              <w:t>-</w:t>
            </w:r>
          </w:p>
        </w:tc>
      </w:tr>
      <w:tr>
        <w:trPr>
          <w:trHeight w:val="744"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8"/>
              <w:ind w:left="103" w:right="180"/>
              <w:jc w:val="left"/>
              <w:rPr>
                <w:rFonts w:ascii="宋体" w:hAnsi="宋体" w:cs="宋体" w:eastAsia="宋体" w:hint="default"/>
                <w:sz w:val="18"/>
                <w:szCs w:val="18"/>
              </w:rPr>
            </w:pPr>
            <w:r>
              <w:rPr>
                <w:rFonts w:ascii="宋体" w:hAnsi="宋体" w:cs="宋体" w:eastAsia="宋体" w:hint="default"/>
                <w:sz w:val="18"/>
                <w:szCs w:val="18"/>
              </w:rPr>
              <w:t>（四）所有者权 益内部结转</w:t>
            </w:r>
            <w:r>
              <w:rPr>
                <w:rFonts w:ascii="宋体" w:hAnsi="宋体" w:cs="宋体" w:eastAsia="宋体"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199,338,200.00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64" w:right="0"/>
              <w:jc w:val="left"/>
              <w:rPr>
                <w:rFonts w:ascii="Times New Roman" w:hAnsi="Times New Roman" w:cs="Times New Roman" w:eastAsia="Times New Roman" w:hint="default"/>
                <w:sz w:val="16"/>
                <w:szCs w:val="16"/>
              </w:rPr>
            </w:pPr>
            <w:r>
              <w:rPr>
                <w:rFonts w:ascii="Times New Roman"/>
                <w:w w:val="100"/>
                <w:sz w:val="16"/>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63" w:right="0"/>
              <w:jc w:val="left"/>
              <w:rPr>
                <w:rFonts w:ascii="Times New Roman" w:hAnsi="Times New Roman" w:cs="Times New Roman" w:eastAsia="Times New Roman" w:hint="default"/>
                <w:sz w:val="16"/>
                <w:szCs w:val="16"/>
              </w:rPr>
            </w:pPr>
            <w:r>
              <w:rPr>
                <w:rFonts w:ascii="Times New Roman"/>
                <w:w w:val="100"/>
                <w:sz w:val="16"/>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38"/>
              <w:jc w:val="right"/>
              <w:rPr>
                <w:rFonts w:ascii="Times New Roman" w:hAnsi="Times New Roman" w:cs="Times New Roman" w:eastAsia="Times New Roman" w:hint="default"/>
                <w:sz w:val="16"/>
                <w:szCs w:val="16"/>
              </w:rPr>
            </w:pPr>
            <w:r>
              <w:rPr>
                <w:rFonts w:ascii="Times New Roman"/>
                <w:w w:val="100"/>
                <w:sz w:val="16"/>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79"/>
              <w:jc w:val="right"/>
              <w:rPr>
                <w:rFonts w:ascii="Times New Roman" w:hAnsi="Times New Roman" w:cs="Times New Roman" w:eastAsia="Times New Roman" w:hint="default"/>
                <w:sz w:val="16"/>
                <w:szCs w:val="16"/>
              </w:rPr>
            </w:pPr>
            <w:r>
              <w:rPr>
                <w:rFonts w:ascii="Times New Roman"/>
                <w:w w:val="100"/>
                <w:sz w:val="16"/>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77"/>
              <w:jc w:val="right"/>
              <w:rPr>
                <w:rFonts w:ascii="Times New Roman" w:hAnsi="Times New Roman" w:cs="Times New Roman" w:eastAsia="Times New Roman" w:hint="default"/>
                <w:sz w:val="16"/>
                <w:szCs w:val="16"/>
              </w:rPr>
            </w:pPr>
            <w:r>
              <w:rPr>
                <w:rFonts w:ascii="Times New Roman"/>
                <w:w w:val="100"/>
                <w:sz w:val="16"/>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77"/>
              <w:jc w:val="right"/>
              <w:rPr>
                <w:rFonts w:ascii="Times New Roman" w:hAnsi="Times New Roman" w:cs="Times New Roman" w:eastAsia="Times New Roman" w:hint="default"/>
                <w:sz w:val="16"/>
                <w:szCs w:val="16"/>
              </w:rPr>
            </w:pPr>
            <w:r>
              <w:rPr>
                <w:rFonts w:ascii="Times New Roman"/>
                <w:w w:val="100"/>
                <w:sz w:val="16"/>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79"/>
              <w:jc w:val="right"/>
              <w:rPr>
                <w:rFonts w:ascii="Times New Roman" w:hAnsi="Times New Roman" w:cs="Times New Roman" w:eastAsia="Times New Roman" w:hint="default"/>
                <w:sz w:val="16"/>
                <w:szCs w:val="16"/>
              </w:rPr>
            </w:pPr>
            <w:r>
              <w:rPr>
                <w:rFonts w:ascii="Times New Roman"/>
                <w:w w:val="100"/>
                <w:sz w:val="16"/>
              </w:rPr>
              <w:t>-</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-199,338,200.00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79"/>
              <w:jc w:val="right"/>
              <w:rPr>
                <w:rFonts w:ascii="Times New Roman" w:hAnsi="Times New Roman" w:cs="Times New Roman" w:eastAsia="Times New Roman" w:hint="default"/>
                <w:sz w:val="16"/>
                <w:szCs w:val="16"/>
              </w:rPr>
            </w:pPr>
            <w:r>
              <w:rPr>
                <w:rFonts w:ascii="Times New Roman"/>
                <w:w w:val="100"/>
                <w:sz w:val="16"/>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77"/>
              <w:jc w:val="right"/>
              <w:rPr>
                <w:rFonts w:ascii="Times New Roman" w:hAnsi="Times New Roman" w:cs="Times New Roman" w:eastAsia="Times New Roman" w:hint="default"/>
                <w:sz w:val="16"/>
                <w:szCs w:val="16"/>
              </w:rPr>
            </w:pPr>
            <w:r>
              <w:rPr>
                <w:rFonts w:ascii="Times New Roman"/>
                <w:w w:val="100"/>
                <w:sz w:val="16"/>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79"/>
              <w:jc w:val="right"/>
              <w:rPr>
                <w:rFonts w:ascii="Times New Roman" w:hAnsi="Times New Roman" w:cs="Times New Roman" w:eastAsia="Times New Roman" w:hint="default"/>
                <w:sz w:val="16"/>
                <w:szCs w:val="16"/>
              </w:rPr>
            </w:pPr>
            <w:r>
              <w:rPr>
                <w:rFonts w:ascii="Times New Roman"/>
                <w:w w:val="100"/>
                <w:sz w:val="16"/>
              </w:rPr>
              <w:t>-</w:t>
            </w:r>
          </w:p>
        </w:tc>
      </w:tr>
      <w:tr>
        <w:trPr>
          <w:trHeight w:val="478"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资本（或股本）</w:t>
            </w:r>
            <w:r>
              <w:rPr>
                <w:rFonts w:ascii="宋体" w:hAnsi="宋体" w:cs="宋体" w:eastAsia="宋体"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79"/>
              <w:jc w:val="right"/>
              <w:rPr>
                <w:rFonts w:ascii="Times New Roman" w:hAnsi="Times New Roman" w:cs="Times New Roman" w:eastAsia="Times New Roman" w:hint="default"/>
                <w:sz w:val="16"/>
                <w:szCs w:val="16"/>
              </w:rPr>
            </w:pPr>
            <w:r>
              <w:rPr>
                <w:rFonts w:ascii="Times New Roman"/>
                <w:w w:val="100"/>
                <w:sz w:val="16"/>
              </w:rPr>
              <w:t>-</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79"/>
              <w:jc w:val="right"/>
              <w:rPr>
                <w:rFonts w:ascii="Times New Roman" w:hAnsi="Times New Roman" w:cs="Times New Roman" w:eastAsia="Times New Roman" w:hint="default"/>
                <w:sz w:val="16"/>
                <w:szCs w:val="16"/>
              </w:rPr>
            </w:pPr>
            <w:r>
              <w:rPr>
                <w:rFonts w:ascii="Times New Roman"/>
                <w:w w:val="100"/>
                <w:sz w:val="16"/>
              </w:rPr>
              <w:t>-</w:t>
            </w:r>
          </w:p>
        </w:tc>
      </w:tr>
      <w:tr>
        <w:trPr>
          <w:trHeight w:val="478"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资本（或股本）</w:t>
            </w:r>
            <w:r>
              <w:rPr>
                <w:rFonts w:ascii="宋体" w:hAnsi="宋体" w:cs="宋体" w:eastAsia="宋体"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79"/>
              <w:jc w:val="right"/>
              <w:rPr>
                <w:rFonts w:ascii="Times New Roman" w:hAnsi="Times New Roman" w:cs="Times New Roman" w:eastAsia="Times New Roman" w:hint="default"/>
                <w:sz w:val="16"/>
                <w:szCs w:val="16"/>
              </w:rPr>
            </w:pPr>
            <w:r>
              <w:rPr>
                <w:rFonts w:ascii="Times New Roman"/>
                <w:w w:val="100"/>
                <w:sz w:val="16"/>
              </w:rPr>
              <w:t>-</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79"/>
              <w:jc w:val="right"/>
              <w:rPr>
                <w:rFonts w:ascii="Times New Roman" w:hAnsi="Times New Roman" w:cs="Times New Roman" w:eastAsia="Times New Roman" w:hint="default"/>
                <w:sz w:val="16"/>
                <w:szCs w:val="16"/>
              </w:rPr>
            </w:pPr>
            <w:r>
              <w:rPr>
                <w:rFonts w:ascii="Times New Roman"/>
                <w:w w:val="100"/>
                <w:sz w:val="16"/>
              </w:rPr>
              <w:t>-</w:t>
            </w:r>
          </w:p>
        </w:tc>
      </w:tr>
      <w:tr>
        <w:trPr>
          <w:trHeight w:val="475"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亏损</w:t>
            </w:r>
            <w:r>
              <w:rPr>
                <w:rFonts w:ascii="宋体" w:hAnsi="宋体" w:cs="宋体" w:eastAsia="宋体"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79"/>
              <w:jc w:val="right"/>
              <w:rPr>
                <w:rFonts w:ascii="Times New Roman" w:hAnsi="Times New Roman" w:cs="Times New Roman" w:eastAsia="Times New Roman" w:hint="default"/>
                <w:sz w:val="16"/>
                <w:szCs w:val="16"/>
              </w:rPr>
            </w:pPr>
            <w:r>
              <w:rPr>
                <w:rFonts w:ascii="Times New Roman"/>
                <w:w w:val="100"/>
                <w:sz w:val="16"/>
              </w:rPr>
              <w:t>-</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79"/>
              <w:jc w:val="right"/>
              <w:rPr>
                <w:rFonts w:ascii="Times New Roman" w:hAnsi="Times New Roman" w:cs="Times New Roman" w:eastAsia="Times New Roman" w:hint="default"/>
                <w:sz w:val="16"/>
                <w:szCs w:val="16"/>
              </w:rPr>
            </w:pPr>
            <w:r>
              <w:rPr>
                <w:rFonts w:ascii="Times New Roman"/>
                <w:w w:val="100"/>
                <w:sz w:val="16"/>
              </w:rPr>
              <w:t>-</w:t>
            </w:r>
          </w:p>
        </w:tc>
      </w:tr>
      <w:tr>
        <w:trPr>
          <w:trHeight w:val="710"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w:t>
            </w:r>
          </w:p>
          <w:p>
            <w:pPr>
              <w:pStyle w:val="TableParagraph"/>
              <w:spacing w:line="232" w:lineRule="exact" w:before="16"/>
              <w:ind w:left="103" w:right="104"/>
              <w:jc w:val="left"/>
              <w:rPr>
                <w:rFonts w:ascii="宋体" w:hAnsi="宋体" w:cs="宋体" w:eastAsia="宋体" w:hint="default"/>
                <w:sz w:val="18"/>
                <w:szCs w:val="18"/>
              </w:rPr>
            </w:pPr>
            <w:r>
              <w:rPr>
                <w:rFonts w:ascii="宋体" w:hAnsi="宋体" w:cs="宋体" w:eastAsia="宋体" w:hint="default"/>
                <w:spacing w:val="10"/>
                <w:sz w:val="18"/>
                <w:szCs w:val="18"/>
              </w:rPr>
              <w:t>变动额结转留存</w:t>
            </w:r>
            <w:r>
              <w:rPr>
                <w:rFonts w:ascii="宋体" w:hAnsi="宋体" w:cs="宋体" w:eastAsia="宋体" w:hint="default"/>
                <w:sz w:val="18"/>
                <w:szCs w:val="18"/>
              </w:rPr>
              <w:t> 收益</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79"/>
              <w:jc w:val="right"/>
              <w:rPr>
                <w:rFonts w:ascii="Times New Roman" w:hAnsi="Times New Roman" w:cs="Times New Roman" w:eastAsia="Times New Roman" w:hint="default"/>
                <w:sz w:val="16"/>
                <w:szCs w:val="16"/>
              </w:rPr>
            </w:pPr>
            <w:r>
              <w:rPr>
                <w:rFonts w:ascii="Times New Roman"/>
                <w:w w:val="100"/>
                <w:sz w:val="16"/>
              </w:rPr>
              <w:t>-</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79"/>
              <w:jc w:val="right"/>
              <w:rPr>
                <w:rFonts w:ascii="Times New Roman" w:hAnsi="Times New Roman" w:cs="Times New Roman" w:eastAsia="Times New Roman" w:hint="default"/>
                <w:sz w:val="16"/>
                <w:szCs w:val="16"/>
              </w:rPr>
            </w:pPr>
            <w:r>
              <w:rPr>
                <w:rFonts w:ascii="Times New Roman"/>
                <w:w w:val="100"/>
                <w:sz w:val="16"/>
              </w:rPr>
              <w:t>-</w:t>
            </w:r>
          </w:p>
        </w:tc>
      </w:tr>
      <w:tr>
        <w:trPr>
          <w:trHeight w:val="478"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结转留存收益</w:t>
            </w:r>
            <w:r>
              <w:rPr>
                <w:rFonts w:ascii="宋体" w:hAnsi="宋体" w:cs="宋体" w:eastAsia="宋体"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79"/>
              <w:jc w:val="right"/>
              <w:rPr>
                <w:rFonts w:ascii="Times New Roman" w:hAnsi="Times New Roman" w:cs="Times New Roman" w:eastAsia="Times New Roman" w:hint="default"/>
                <w:sz w:val="16"/>
                <w:szCs w:val="16"/>
              </w:rPr>
            </w:pPr>
            <w:r>
              <w:rPr>
                <w:rFonts w:ascii="Times New Roman"/>
                <w:w w:val="100"/>
                <w:sz w:val="16"/>
              </w:rPr>
              <w:t>-</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79"/>
              <w:jc w:val="right"/>
              <w:rPr>
                <w:rFonts w:ascii="Times New Roman" w:hAnsi="Times New Roman" w:cs="Times New Roman" w:eastAsia="Times New Roman" w:hint="default"/>
                <w:sz w:val="16"/>
                <w:szCs w:val="16"/>
              </w:rPr>
            </w:pPr>
            <w:r>
              <w:rPr>
                <w:rFonts w:ascii="Times New Roman"/>
                <w:w w:val="100"/>
                <w:sz w:val="16"/>
              </w:rPr>
              <w:t>-</w:t>
            </w:r>
          </w:p>
        </w:tc>
      </w:tr>
      <w:tr>
        <w:trPr>
          <w:trHeight w:val="379"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6"/>
                <w:szCs w:val="16"/>
              </w:rPr>
            </w:pPr>
            <w:r>
              <w:rPr>
                <w:rFonts w:ascii="Times New Roman"/>
                <w:spacing w:val="-1"/>
                <w:sz w:val="16"/>
              </w:rPr>
              <w:t>199,338,200.00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6"/>
                <w:szCs w:val="16"/>
              </w:rPr>
            </w:pPr>
            <w:r>
              <w:rPr>
                <w:rFonts w:ascii="Times New Roman"/>
                <w:spacing w:val="-1"/>
                <w:sz w:val="16"/>
              </w:rPr>
              <w:t>-199,338,200.00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79"/>
              <w:jc w:val="right"/>
              <w:rPr>
                <w:rFonts w:ascii="Times New Roman" w:hAnsi="Times New Roman" w:cs="Times New Roman" w:eastAsia="Times New Roman" w:hint="default"/>
                <w:sz w:val="16"/>
                <w:szCs w:val="16"/>
              </w:rPr>
            </w:pPr>
            <w:r>
              <w:rPr>
                <w:rFonts w:ascii="Times New Roman"/>
                <w:w w:val="100"/>
                <w:sz w:val="16"/>
              </w:rPr>
              <w:t>-</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79"/>
              <w:jc w:val="right"/>
              <w:rPr>
                <w:rFonts w:ascii="Times New Roman" w:hAnsi="Times New Roman" w:cs="Times New Roman" w:eastAsia="Times New Roman" w:hint="default"/>
                <w:sz w:val="16"/>
                <w:szCs w:val="16"/>
              </w:rPr>
            </w:pPr>
            <w:r>
              <w:rPr>
                <w:rFonts w:ascii="Times New Roman"/>
                <w:w w:val="100"/>
                <w:sz w:val="16"/>
              </w:rPr>
              <w:t>-</w:t>
            </w:r>
          </w:p>
        </w:tc>
      </w:tr>
      <w:tr>
        <w:trPr>
          <w:trHeight w:val="562"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82"/>
              <w:jc w:val="right"/>
              <w:rPr>
                <w:rFonts w:ascii="Times New Roman" w:hAnsi="Times New Roman" w:cs="Times New Roman" w:eastAsia="Times New Roman" w:hint="default"/>
                <w:sz w:val="16"/>
                <w:szCs w:val="16"/>
              </w:rPr>
            </w:pPr>
            <w:r>
              <w:rPr>
                <w:rFonts w:ascii="Times New Roman"/>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80" w:right="0"/>
              <w:jc w:val="left"/>
              <w:rPr>
                <w:rFonts w:ascii="Times New Roman" w:hAnsi="Times New Roman" w:cs="Times New Roman" w:eastAsia="Times New Roman" w:hint="default"/>
                <w:sz w:val="16"/>
                <w:szCs w:val="16"/>
              </w:rPr>
            </w:pPr>
            <w:r>
              <w:rPr>
                <w:rFonts w:ascii="Times New Roman"/>
                <w:w w:val="100"/>
                <w:sz w:val="16"/>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79" w:right="0"/>
              <w:jc w:val="left"/>
              <w:rPr>
                <w:rFonts w:ascii="Times New Roman" w:hAnsi="Times New Roman" w:cs="Times New Roman" w:eastAsia="Times New Roman" w:hint="default"/>
                <w:sz w:val="16"/>
                <w:szCs w:val="16"/>
              </w:rPr>
            </w:pPr>
            <w:r>
              <w:rPr>
                <w:rFonts w:ascii="Times New Roman"/>
                <w:w w:val="100"/>
                <w:sz w:val="16"/>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79"/>
              <w:jc w:val="right"/>
              <w:rPr>
                <w:rFonts w:ascii="Times New Roman" w:hAnsi="Times New Roman" w:cs="Times New Roman" w:eastAsia="Times New Roman" w:hint="default"/>
                <w:sz w:val="16"/>
                <w:szCs w:val="16"/>
              </w:rPr>
            </w:pPr>
            <w:r>
              <w:rPr>
                <w:rFonts w:ascii="Times New Roman"/>
                <w:w w:val="100"/>
                <w:sz w:val="16"/>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79"/>
              <w:jc w:val="right"/>
              <w:rPr>
                <w:rFonts w:ascii="Times New Roman" w:hAnsi="Times New Roman" w:cs="Times New Roman" w:eastAsia="Times New Roman" w:hint="default"/>
                <w:sz w:val="16"/>
                <w:szCs w:val="16"/>
              </w:rPr>
            </w:pPr>
            <w:r>
              <w:rPr>
                <w:rFonts w:ascii="Times New Roman"/>
                <w:w w:val="100"/>
                <w:sz w:val="16"/>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77"/>
              <w:jc w:val="right"/>
              <w:rPr>
                <w:rFonts w:ascii="Times New Roman" w:hAnsi="Times New Roman" w:cs="Times New Roman" w:eastAsia="Times New Roman" w:hint="default"/>
                <w:sz w:val="16"/>
                <w:szCs w:val="16"/>
              </w:rPr>
            </w:pPr>
            <w:r>
              <w:rPr>
                <w:rFonts w:ascii="Times New Roman"/>
                <w:w w:val="100"/>
                <w:sz w:val="16"/>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77"/>
              <w:jc w:val="right"/>
              <w:rPr>
                <w:rFonts w:ascii="Times New Roman" w:hAnsi="Times New Roman" w:cs="Times New Roman" w:eastAsia="Times New Roman" w:hint="default"/>
                <w:sz w:val="16"/>
                <w:szCs w:val="16"/>
              </w:rPr>
            </w:pPr>
            <w:r>
              <w:rPr>
                <w:rFonts w:ascii="Times New Roman"/>
                <w:w w:val="100"/>
                <w:sz w:val="16"/>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77"/>
              <w:jc w:val="right"/>
              <w:rPr>
                <w:rFonts w:ascii="Times New Roman" w:hAnsi="Times New Roman" w:cs="Times New Roman" w:eastAsia="Times New Roman" w:hint="default"/>
                <w:sz w:val="16"/>
                <w:szCs w:val="16"/>
              </w:rPr>
            </w:pPr>
            <w:r>
              <w:rPr>
                <w:rFonts w:ascii="Times New Roman"/>
                <w:w w:val="100"/>
                <w:sz w:val="16"/>
              </w:rPr>
              <w:t>-</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77"/>
              <w:jc w:val="right"/>
              <w:rPr>
                <w:rFonts w:ascii="Times New Roman" w:hAnsi="Times New Roman" w:cs="Times New Roman" w:eastAsia="Times New Roman" w:hint="default"/>
                <w:sz w:val="16"/>
                <w:szCs w:val="16"/>
              </w:rPr>
            </w:pPr>
            <w:r>
              <w:rPr>
                <w:rFonts w:ascii="Times New Roman"/>
                <w:w w:val="100"/>
                <w:sz w:val="16"/>
              </w:rPr>
              <w:t>-</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79"/>
              <w:jc w:val="right"/>
              <w:rPr>
                <w:rFonts w:ascii="Times New Roman" w:hAnsi="Times New Roman" w:cs="Times New Roman" w:eastAsia="Times New Roman" w:hint="default"/>
                <w:sz w:val="16"/>
                <w:szCs w:val="16"/>
              </w:rPr>
            </w:pPr>
            <w:r>
              <w:rPr>
                <w:rFonts w:ascii="Times New Roman"/>
                <w:w w:val="100"/>
                <w:sz w:val="16"/>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77"/>
              <w:jc w:val="right"/>
              <w:rPr>
                <w:rFonts w:ascii="Times New Roman" w:hAnsi="Times New Roman" w:cs="Times New Roman" w:eastAsia="Times New Roman" w:hint="default"/>
                <w:sz w:val="16"/>
                <w:szCs w:val="16"/>
              </w:rPr>
            </w:pPr>
            <w:r>
              <w:rPr>
                <w:rFonts w:ascii="Times New Roman"/>
                <w:w w:val="100"/>
                <w:sz w:val="16"/>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79"/>
              <w:jc w:val="right"/>
              <w:rPr>
                <w:rFonts w:ascii="Times New Roman" w:hAnsi="Times New Roman" w:cs="Times New Roman" w:eastAsia="Times New Roman" w:hint="default"/>
                <w:sz w:val="16"/>
                <w:szCs w:val="16"/>
              </w:rPr>
            </w:pPr>
            <w:r>
              <w:rPr>
                <w:rFonts w:ascii="Times New Roman"/>
                <w:w w:val="100"/>
                <w:sz w:val="16"/>
              </w:rPr>
              <w:t>-</w:t>
            </w:r>
          </w:p>
        </w:tc>
      </w:tr>
      <w:tr>
        <w:trPr>
          <w:trHeight w:val="377"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79"/>
              <w:jc w:val="right"/>
              <w:rPr>
                <w:rFonts w:ascii="Times New Roman" w:hAnsi="Times New Roman" w:cs="Times New Roman" w:eastAsia="Times New Roman" w:hint="default"/>
                <w:sz w:val="16"/>
                <w:szCs w:val="16"/>
              </w:rPr>
            </w:pPr>
            <w:r>
              <w:rPr>
                <w:rFonts w:ascii="Times New Roman"/>
                <w:w w:val="100"/>
                <w:sz w:val="16"/>
              </w:rPr>
              <w:t>-</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79"/>
              <w:jc w:val="right"/>
              <w:rPr>
                <w:rFonts w:ascii="Times New Roman" w:hAnsi="Times New Roman" w:cs="Times New Roman" w:eastAsia="Times New Roman" w:hint="default"/>
                <w:sz w:val="16"/>
                <w:szCs w:val="16"/>
              </w:rPr>
            </w:pPr>
            <w:r>
              <w:rPr>
                <w:rFonts w:ascii="Times New Roman"/>
                <w:w w:val="100"/>
                <w:sz w:val="16"/>
              </w:rPr>
              <w:t>-</w:t>
            </w:r>
          </w:p>
        </w:tc>
      </w:tr>
      <w:tr>
        <w:trPr>
          <w:trHeight w:val="379"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79"/>
              <w:jc w:val="right"/>
              <w:rPr>
                <w:rFonts w:ascii="Times New Roman" w:hAnsi="Times New Roman" w:cs="Times New Roman" w:eastAsia="Times New Roman" w:hint="default"/>
                <w:sz w:val="16"/>
                <w:szCs w:val="16"/>
              </w:rPr>
            </w:pPr>
            <w:r>
              <w:rPr>
                <w:rFonts w:ascii="Times New Roman"/>
                <w:w w:val="100"/>
                <w:sz w:val="16"/>
              </w:rPr>
              <w:t>-</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79"/>
              <w:jc w:val="right"/>
              <w:rPr>
                <w:rFonts w:ascii="Times New Roman" w:hAnsi="Times New Roman" w:cs="Times New Roman" w:eastAsia="Times New Roman" w:hint="default"/>
                <w:sz w:val="16"/>
                <w:szCs w:val="16"/>
              </w:rPr>
            </w:pPr>
            <w:r>
              <w:rPr>
                <w:rFonts w:ascii="Times New Roman"/>
                <w:w w:val="100"/>
                <w:sz w:val="16"/>
              </w:rPr>
              <w:t>-</w:t>
            </w:r>
          </w:p>
        </w:tc>
      </w:tr>
      <w:tr>
        <w:trPr>
          <w:trHeight w:val="377"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6"/>
                <w:szCs w:val="16"/>
              </w:rPr>
            </w:pPr>
            <w:r>
              <w:rPr>
                <w:rFonts w:ascii="Times New Roman"/>
                <w:spacing w:val="-2"/>
                <w:sz w:val="16"/>
              </w:rPr>
              <w:t>15,720,214.76</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Times New Roman" w:hAnsi="Times New Roman" w:cs="Times New Roman" w:eastAsia="Times New Roman" w:hint="default"/>
                <w:sz w:val="16"/>
                <w:szCs w:val="16"/>
              </w:rPr>
            </w:pPr>
            <w:r>
              <w:rPr>
                <w:rFonts w:ascii="Times New Roman"/>
                <w:spacing w:val="-2"/>
                <w:sz w:val="16"/>
              </w:rPr>
              <w:t>15,720,214.76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8"/>
              <w:jc w:val="right"/>
              <w:rPr>
                <w:rFonts w:ascii="Times New Roman" w:hAnsi="Times New Roman" w:cs="Times New Roman" w:eastAsia="Times New Roman" w:hint="default"/>
                <w:sz w:val="16"/>
                <w:szCs w:val="16"/>
              </w:rPr>
            </w:pPr>
            <w:r>
              <w:rPr>
                <w:rFonts w:ascii="Times New Roman"/>
                <w:spacing w:val="-1"/>
                <w:sz w:val="16"/>
              </w:rPr>
              <w:t>-15,720,214.76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79"/>
              <w:jc w:val="right"/>
              <w:rPr>
                <w:rFonts w:ascii="Times New Roman" w:hAnsi="Times New Roman" w:cs="Times New Roman" w:eastAsia="Times New Roman" w:hint="default"/>
                <w:sz w:val="16"/>
                <w:szCs w:val="16"/>
              </w:rPr>
            </w:pPr>
            <w:r>
              <w:rPr>
                <w:rFonts w:ascii="Times New Roman"/>
                <w:w w:val="100"/>
                <w:sz w:val="16"/>
              </w:rPr>
              <w:t>-</w:t>
            </w:r>
          </w:p>
        </w:tc>
      </w:tr>
      <w:tr>
        <w:trPr>
          <w:trHeight w:val="564"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103" w:right="180"/>
              <w:jc w:val="left"/>
              <w:rPr>
                <w:rFonts w:ascii="宋体" w:hAnsi="宋体" w:cs="宋体" w:eastAsia="宋体" w:hint="default"/>
                <w:sz w:val="18"/>
                <w:szCs w:val="18"/>
              </w:rPr>
            </w:pPr>
            <w:r>
              <w:rPr>
                <w:rFonts w:ascii="宋体" w:hAnsi="宋体" w:cs="宋体" w:eastAsia="宋体" w:hint="default"/>
                <w:sz w:val="18"/>
                <w:szCs w:val="18"/>
              </w:rPr>
              <w:t>四、本期期末余 额</w:t>
            </w:r>
            <w:r>
              <w:rPr>
                <w:rFonts w:ascii="宋体" w:hAnsi="宋体" w:cs="宋体" w:eastAsia="宋体"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866,298,784.00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80" w:right="0"/>
              <w:jc w:val="left"/>
              <w:rPr>
                <w:rFonts w:ascii="Times New Roman" w:hAnsi="Times New Roman" w:cs="Times New Roman" w:eastAsia="Times New Roman" w:hint="default"/>
                <w:sz w:val="16"/>
                <w:szCs w:val="16"/>
              </w:rPr>
            </w:pPr>
            <w:r>
              <w:rPr>
                <w:rFonts w:ascii="Times New Roman"/>
                <w:w w:val="100"/>
                <w:sz w:val="16"/>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79" w:right="0"/>
              <w:jc w:val="left"/>
              <w:rPr>
                <w:rFonts w:ascii="Times New Roman" w:hAnsi="Times New Roman" w:cs="Times New Roman" w:eastAsia="Times New Roman" w:hint="default"/>
                <w:sz w:val="16"/>
                <w:szCs w:val="16"/>
              </w:rPr>
            </w:pPr>
            <w:r>
              <w:rPr>
                <w:rFonts w:ascii="Times New Roman"/>
                <w:w w:val="100"/>
                <w:sz w:val="16"/>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38"/>
              <w:jc w:val="right"/>
              <w:rPr>
                <w:rFonts w:ascii="Times New Roman" w:hAnsi="Times New Roman" w:cs="Times New Roman" w:eastAsia="Times New Roman" w:hint="default"/>
                <w:sz w:val="16"/>
                <w:szCs w:val="16"/>
              </w:rPr>
            </w:pPr>
            <w:r>
              <w:rPr>
                <w:rFonts w:ascii="Times New Roman"/>
                <w:w w:val="100"/>
                <w:sz w:val="16"/>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2,488,987,862.43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174,824,068.42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173,389.38</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74"/>
              <w:jc w:val="right"/>
              <w:rPr>
                <w:rFonts w:ascii="Times New Roman" w:hAnsi="Times New Roman" w:cs="Times New Roman" w:eastAsia="Times New Roman" w:hint="default"/>
                <w:sz w:val="16"/>
                <w:szCs w:val="16"/>
              </w:rPr>
            </w:pPr>
            <w:r>
              <w:rPr>
                <w:rFonts w:ascii="Times New Roman"/>
                <w:w w:val="100"/>
                <w:sz w:val="16"/>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88"/>
              <w:ind w:left="117" w:right="0"/>
              <w:jc w:val="left"/>
              <w:rPr>
                <w:rFonts w:ascii="Times New Roman" w:hAnsi="Times New Roman" w:cs="Times New Roman" w:eastAsia="Times New Roman" w:hint="default"/>
                <w:sz w:val="16"/>
                <w:szCs w:val="16"/>
              </w:rPr>
            </w:pPr>
            <w:r>
              <w:rPr>
                <w:rFonts w:ascii="Times New Roman"/>
                <w:sz w:val="16"/>
              </w:rPr>
              <w:t>97,970,</w:t>
            </w:r>
          </w:p>
          <w:p>
            <w:pPr>
              <w:pStyle w:val="TableParagraph"/>
              <w:spacing w:line="183" w:lineRule="exact"/>
              <w:ind w:left="158" w:right="0"/>
              <w:jc w:val="left"/>
              <w:rPr>
                <w:rFonts w:ascii="Times New Roman" w:hAnsi="Times New Roman" w:cs="Times New Roman" w:eastAsia="Times New Roman" w:hint="default"/>
                <w:sz w:val="16"/>
                <w:szCs w:val="16"/>
              </w:rPr>
            </w:pPr>
            <w:r>
              <w:rPr>
                <w:rFonts w:ascii="Times New Roman"/>
                <w:sz w:val="16"/>
              </w:rPr>
              <w:t>211.84</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729,556,091.90</w:t>
            </w: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4,008,162,271.13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374,743,874.48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4,382,906,145.61</w:t>
            </w:r>
          </w:p>
        </w:tc>
      </w:tr>
    </w:tbl>
    <w:p>
      <w:pPr>
        <w:spacing w:line="240" w:lineRule="auto" w:before="2"/>
        <w:rPr>
          <w:rFonts w:ascii="Times New Roman" w:hAnsi="Times New Roman" w:cs="Times New Roman" w:eastAsia="Times New Roman" w:hint="default"/>
          <w:sz w:val="15"/>
          <w:szCs w:val="15"/>
        </w:rPr>
      </w:pPr>
    </w:p>
    <w:p>
      <w:pPr>
        <w:pStyle w:val="Heading3"/>
        <w:spacing w:line="313" w:lineRule="exact" w:before="26"/>
        <w:ind w:left="1104" w:right="0"/>
        <w:jc w:val="left"/>
        <w:rPr>
          <w:rFonts w:ascii="宋体" w:hAnsi="宋体" w:cs="宋体" w:eastAsia="宋体" w:hint="default"/>
        </w:rPr>
      </w:pPr>
      <w:r>
        <w:rPr/>
        <w:t>法定代表人：杨剑                               </w:t>
      </w:r>
      <w:r>
        <w:rPr>
          <w:rFonts w:ascii="宋体" w:hAnsi="宋体" w:cs="宋体" w:eastAsia="宋体" w:hint="default"/>
        </w:rPr>
      </w:r>
      <w:r>
        <w:rPr/>
        <w:t>主管会计工作负责人：朱宇华                 </w:t>
      </w:r>
      <w:r>
        <w:rPr>
          <w:rFonts w:ascii="宋体" w:hAnsi="宋体" w:cs="宋体" w:eastAsia="宋体" w:hint="default"/>
        </w:rPr>
      </w:r>
      <w:r>
        <w:rPr/>
        <w:t>会计机构负责人：熊美福</w:t>
      </w:r>
      <w:r>
        <w:rPr>
          <w:rFonts w:ascii="宋体" w:hAnsi="宋体" w:cs="宋体" w:eastAsia="宋体" w:hint="default"/>
          <w:b/>
          <w:bCs/>
          <w:color w:val="FF0000"/>
          <w:w w:val="99"/>
        </w:rPr>
        <w:t> </w:t>
      </w:r>
      <w:r>
        <w:rPr>
          <w:rFonts w:ascii="宋体" w:hAnsi="宋体" w:cs="宋体" w:eastAsia="宋体" w:hint="default"/>
        </w:rPr>
      </w:r>
    </w:p>
    <w:p>
      <w:pPr>
        <w:pStyle w:val="Heading3"/>
        <w:spacing w:line="313" w:lineRule="exact"/>
        <w:ind w:left="1104" w:right="0"/>
        <w:jc w:val="left"/>
        <w:rPr>
          <w:rFonts w:ascii="宋体" w:hAnsi="宋体" w:cs="宋体" w:eastAsia="宋体" w:hint="default"/>
        </w:rPr>
      </w:pPr>
      <w:r>
        <w:rPr>
          <w:rFonts w:ascii="宋体"/>
        </w:rPr>
        <w:t> </w:t>
      </w:r>
    </w:p>
    <w:p>
      <w:pPr>
        <w:spacing w:line="272" w:lineRule="exact" w:before="32"/>
        <w:ind w:left="6901" w:right="6838" w:firstLine="0"/>
        <w:jc w:val="center"/>
        <w:rPr>
          <w:rFonts w:ascii="宋体" w:hAnsi="宋体" w:cs="宋体" w:eastAsia="宋体" w:hint="default"/>
          <w:sz w:val="21"/>
          <w:szCs w:val="21"/>
        </w:rPr>
      </w:pPr>
      <w:r>
        <w:rPr>
          <w:rFonts w:ascii="宋体" w:hAnsi="宋体" w:cs="宋体" w:eastAsia="宋体" w:hint="default"/>
          <w:b/>
          <w:bCs/>
          <w:sz w:val="21"/>
          <w:szCs w:val="21"/>
        </w:rPr>
        <w:t>母公司所有者权益变动表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after="0" w:line="272" w:lineRule="exact"/>
        <w:jc w:val="center"/>
        <w:rPr>
          <w:rFonts w:ascii="宋体" w:hAnsi="宋体" w:cs="宋体" w:eastAsia="宋体" w:hint="default"/>
          <w:sz w:val="21"/>
          <w:szCs w:val="21"/>
        </w:rPr>
        <w:sectPr>
          <w:footerReference w:type="default" r:id="rId39"/>
          <w:pgSz w:w="16840" w:h="11910" w:orient="landscape"/>
          <w:pgMar w:footer="1195" w:header="882" w:top="1120" w:bottom="1380" w:left="420" w:right="320"/>
        </w:sectPr>
      </w:pPr>
    </w:p>
    <w:p>
      <w:pPr>
        <w:pStyle w:val="BodyText"/>
        <w:spacing w:line="240" w:lineRule="auto" w:before="117"/>
        <w:ind w:left="0" w:right="112"/>
        <w:jc w:val="righ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451"/>
        <w:gridCol w:w="1229"/>
        <w:gridCol w:w="428"/>
        <w:gridCol w:w="566"/>
        <w:gridCol w:w="425"/>
        <w:gridCol w:w="1418"/>
        <w:gridCol w:w="1275"/>
        <w:gridCol w:w="708"/>
        <w:gridCol w:w="710"/>
        <w:gridCol w:w="1418"/>
        <w:gridCol w:w="1558"/>
        <w:gridCol w:w="1774"/>
      </w:tblGrid>
      <w:tr>
        <w:trPr>
          <w:trHeight w:val="245" w:hRule="exact"/>
        </w:trPr>
        <w:tc>
          <w:tcPr>
            <w:tcW w:w="24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151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0" w:right="0"/>
              <w:jc w:val="center"/>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sz w:val="24"/>
                <w:szCs w:val="24"/>
              </w:rPr>
              <w:t> </w:t>
            </w:r>
          </w:p>
        </w:tc>
      </w:tr>
      <w:tr>
        <w:trPr>
          <w:trHeight w:val="324" w:hRule="exact"/>
        </w:trPr>
        <w:tc>
          <w:tcPr>
            <w:tcW w:w="2451" w:type="dxa"/>
            <w:vMerge/>
            <w:tcBorders>
              <w:left w:val="single" w:sz="4" w:space="0" w:color="000000"/>
              <w:right w:val="single" w:sz="4" w:space="0" w:color="000000"/>
            </w:tcBorders>
          </w:tcPr>
          <w:p>
            <w:pPr/>
          </w:p>
        </w:tc>
        <w:tc>
          <w:tcPr>
            <w:tcW w:w="122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32" w:lineRule="exact"/>
              <w:ind w:left="249" w:right="157"/>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 (</w:t>
            </w:r>
            <w:r>
              <w:rPr>
                <w:rFonts w:ascii="宋体" w:hAnsi="宋体" w:cs="宋体" w:eastAsia="宋体" w:hint="default"/>
                <w:sz w:val="18"/>
                <w:szCs w:val="18"/>
              </w:rPr>
              <w:t>或股本</w:t>
            </w:r>
            <w:r>
              <w:rPr>
                <w:rFonts w:ascii="宋体" w:hAnsi="宋体" w:cs="宋体" w:eastAsia="宋体" w:hint="default"/>
                <w:sz w:val="18"/>
                <w:szCs w:val="18"/>
              </w:rPr>
              <w:t>) </w:t>
            </w:r>
          </w:p>
        </w:tc>
        <w:tc>
          <w:tcPr>
            <w:tcW w:w="14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6"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43"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82" w:right="0"/>
              <w:jc w:val="left"/>
              <w:rPr>
                <w:rFonts w:ascii="宋体" w:hAnsi="宋体" w:cs="宋体" w:eastAsia="宋体" w:hint="default"/>
                <w:sz w:val="18"/>
                <w:szCs w:val="18"/>
              </w:rPr>
            </w:pPr>
            <w:r>
              <w:rPr>
                <w:rFonts w:ascii="宋体" w:hAnsi="宋体" w:cs="宋体" w:eastAsia="宋体" w:hint="default"/>
                <w:sz w:val="18"/>
                <w:szCs w:val="18"/>
              </w:rPr>
              <w:t>减：库存股</w:t>
            </w:r>
            <w:r>
              <w:rPr>
                <w:rFonts w:ascii="宋体" w:hAnsi="宋体" w:cs="宋体" w:eastAsia="宋体" w:hint="default"/>
                <w:sz w:val="18"/>
                <w:szCs w:val="18"/>
              </w:rPr>
              <w:t> </w:t>
            </w:r>
          </w:p>
        </w:tc>
        <w:tc>
          <w:tcPr>
            <w:tcW w:w="708" w:type="dxa"/>
            <w:vMerge w:val="restart"/>
            <w:tcBorders>
              <w:top w:val="single" w:sz="4" w:space="0" w:color="000000"/>
              <w:left w:val="single" w:sz="4" w:space="0" w:color="000000"/>
              <w:right w:val="single" w:sz="4" w:space="0" w:color="000000"/>
            </w:tcBorders>
          </w:tcPr>
          <w:p>
            <w:pPr>
              <w:pStyle w:val="TableParagraph"/>
              <w:spacing w:line="237" w:lineRule="auto" w:before="132"/>
              <w:ind w:left="170" w:right="77"/>
              <w:jc w:val="both"/>
              <w:rPr>
                <w:rFonts w:ascii="宋体" w:hAnsi="宋体" w:cs="宋体" w:eastAsia="宋体" w:hint="default"/>
                <w:sz w:val="18"/>
                <w:szCs w:val="18"/>
              </w:rPr>
            </w:pPr>
            <w:r>
              <w:rPr>
                <w:rFonts w:ascii="宋体" w:hAnsi="宋体" w:cs="宋体" w:eastAsia="宋体" w:hint="default"/>
                <w:sz w:val="18"/>
                <w:szCs w:val="18"/>
              </w:rPr>
              <w:t>其他 综合 收益</w:t>
            </w:r>
            <w:r>
              <w:rPr>
                <w:rFonts w:ascii="宋体" w:hAnsi="宋体" w:cs="宋体" w:eastAsia="宋体" w:hint="default"/>
                <w:sz w:val="18"/>
                <w:szCs w:val="18"/>
              </w:rPr>
              <w:t> </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32" w:lineRule="exact"/>
              <w:ind w:left="170" w:right="78"/>
              <w:jc w:val="left"/>
              <w:rPr>
                <w:rFonts w:ascii="宋体" w:hAnsi="宋体" w:cs="宋体" w:eastAsia="宋体" w:hint="default"/>
                <w:sz w:val="18"/>
                <w:szCs w:val="18"/>
              </w:rPr>
            </w:pPr>
            <w:r>
              <w:rPr>
                <w:rFonts w:ascii="宋体" w:hAnsi="宋体" w:cs="宋体" w:eastAsia="宋体" w:hint="default"/>
                <w:sz w:val="18"/>
                <w:szCs w:val="18"/>
              </w:rPr>
              <w:t>专项 储备</w:t>
            </w:r>
            <w:r>
              <w:rPr>
                <w:rFonts w:ascii="宋体" w:hAnsi="宋体" w:cs="宋体" w:eastAsia="宋体" w:hint="default"/>
                <w:sz w:val="18"/>
                <w:szCs w:val="18"/>
              </w:rPr>
              <w:t> </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43"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24"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7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54"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710" w:hRule="exact"/>
        </w:trPr>
        <w:tc>
          <w:tcPr>
            <w:tcW w:w="2451" w:type="dxa"/>
            <w:vMerge/>
            <w:tcBorders>
              <w:left w:val="single" w:sz="4" w:space="0" w:color="000000"/>
              <w:bottom w:val="single" w:sz="4" w:space="0" w:color="000000"/>
              <w:right w:val="single" w:sz="4" w:space="0" w:color="000000"/>
            </w:tcBorders>
          </w:tcPr>
          <w:p>
            <w:pPr/>
          </w:p>
        </w:tc>
        <w:tc>
          <w:tcPr>
            <w:tcW w:w="1229" w:type="dxa"/>
            <w:vMerge/>
            <w:tcBorders>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0" w:right="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40" w:lineRule="auto"/>
              <w:ind w:left="120" w:right="25"/>
              <w:jc w:val="left"/>
              <w:rPr>
                <w:rFonts w:ascii="宋体" w:hAnsi="宋体" w:cs="宋体" w:eastAsia="宋体" w:hint="default"/>
                <w:sz w:val="18"/>
                <w:szCs w:val="18"/>
              </w:rPr>
            </w:pPr>
            <w:r>
              <w:rPr>
                <w:rFonts w:ascii="宋体" w:hAnsi="宋体" w:cs="宋体" w:eastAsia="宋体" w:hint="default"/>
                <w:sz w:val="18"/>
                <w:szCs w:val="18"/>
              </w:rPr>
              <w:t>先 股</w:t>
            </w:r>
            <w:r>
              <w:rPr>
                <w:rFonts w:ascii="宋体" w:hAnsi="宋体" w:cs="宋体" w:eastAsia="宋体"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40" w:lineRule="auto"/>
              <w:ind w:left="187" w:right="97"/>
              <w:jc w:val="left"/>
              <w:rPr>
                <w:rFonts w:ascii="宋体" w:hAnsi="宋体" w:cs="宋体" w:eastAsia="宋体" w:hint="default"/>
                <w:sz w:val="18"/>
                <w:szCs w:val="18"/>
              </w:rPr>
            </w:pPr>
            <w:r>
              <w:rPr>
                <w:rFonts w:ascii="宋体" w:hAnsi="宋体" w:cs="宋体" w:eastAsia="宋体" w:hint="default"/>
                <w:sz w:val="18"/>
                <w:szCs w:val="18"/>
              </w:rPr>
              <w:t>续 债</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17" w:right="25"/>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418"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774" w:type="dxa"/>
            <w:vMerge/>
            <w:tcBorders>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7" w:right="0"/>
              <w:jc w:val="center"/>
              <w:rPr>
                <w:rFonts w:ascii="Times New Roman" w:hAnsi="Times New Roman" w:cs="Times New Roman" w:eastAsia="Times New Roman" w:hint="default"/>
                <w:sz w:val="16"/>
                <w:szCs w:val="16"/>
              </w:rPr>
            </w:pPr>
            <w:r>
              <w:rPr>
                <w:rFonts w:ascii="Times New Roman"/>
                <w:sz w:val="16"/>
              </w:rPr>
              <w:t>866,298,784.00</w:t>
            </w: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16"/>
                <w:szCs w:val="16"/>
              </w:rPr>
            </w:pPr>
            <w:r>
              <w:rPr>
                <w:rFonts w:ascii="Times New Roman"/>
                <w:spacing w:val="-1"/>
                <w:sz w:val="16"/>
              </w:rPr>
              <w:t>2,487,058,915.53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16"/>
                <w:szCs w:val="16"/>
              </w:rPr>
            </w:pPr>
            <w:r>
              <w:rPr>
                <w:rFonts w:ascii="Times New Roman"/>
                <w:spacing w:val="-1"/>
                <w:sz w:val="16"/>
              </w:rPr>
              <w:t>174,824,068.42</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16"/>
                <w:szCs w:val="16"/>
              </w:rPr>
            </w:pPr>
            <w:r>
              <w:rPr>
                <w:rFonts w:ascii="Times New Roman"/>
                <w:spacing w:val="-2"/>
                <w:sz w:val="16"/>
              </w:rPr>
              <w:t>97,970,211.84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16"/>
                <w:szCs w:val="16"/>
              </w:rPr>
            </w:pPr>
            <w:r>
              <w:rPr>
                <w:rFonts w:ascii="Times New Roman"/>
                <w:spacing w:val="-1"/>
                <w:sz w:val="16"/>
              </w:rPr>
              <w:t>-52,065,686.98</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16"/>
                <w:szCs w:val="16"/>
              </w:rPr>
            </w:pPr>
            <w:r>
              <w:rPr>
                <w:rFonts w:ascii="Times New Roman"/>
                <w:spacing w:val="-1"/>
                <w:sz w:val="16"/>
              </w:rPr>
              <w:t>3,224,438,155.97</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6"/>
                <w:szCs w:val="16"/>
              </w:rPr>
            </w:pPr>
            <w:r>
              <w:rPr>
                <w:rFonts w:ascii="Times New Roman"/>
                <w:spacing w:val="-1"/>
                <w:sz w:val="16"/>
              </w:rPr>
              <w:t>-159,987,650.27</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6"/>
                <w:szCs w:val="16"/>
              </w:rPr>
            </w:pPr>
            <w:r>
              <w:rPr>
                <w:rFonts w:ascii="Times New Roman"/>
                <w:spacing w:val="-1"/>
                <w:sz w:val="16"/>
              </w:rPr>
              <w:t>-159,987,650.27</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16"/>
                <w:szCs w:val="16"/>
              </w:rPr>
            </w:pPr>
            <w:r>
              <w:rPr>
                <w:rFonts w:ascii="Times New Roman"/>
                <w:spacing w:val="-1"/>
                <w:sz w:val="16"/>
              </w:rPr>
              <w:t>0.00</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6"/>
                <w:szCs w:val="16"/>
              </w:rPr>
            </w:pPr>
            <w:r>
              <w:rPr>
                <w:rFonts w:ascii="Times New Roman"/>
                <w:spacing w:val="-1"/>
                <w:sz w:val="16"/>
              </w:rPr>
              <w:t>0.00</w:t>
            </w:r>
          </w:p>
        </w:tc>
      </w:tr>
      <w:tr>
        <w:trPr>
          <w:trHeight w:val="24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7" w:right="0"/>
              <w:jc w:val="center"/>
              <w:rPr>
                <w:rFonts w:ascii="Times New Roman" w:hAnsi="Times New Roman" w:cs="Times New Roman" w:eastAsia="Times New Roman" w:hint="default"/>
                <w:sz w:val="16"/>
                <w:szCs w:val="16"/>
              </w:rPr>
            </w:pPr>
            <w:r>
              <w:rPr>
                <w:rFonts w:ascii="Times New Roman"/>
                <w:sz w:val="16"/>
              </w:rPr>
              <w:t>866,298,784.00</w:t>
            </w: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6"/>
                <w:szCs w:val="16"/>
              </w:rPr>
            </w:pPr>
            <w:r>
              <w:rPr>
                <w:rFonts w:ascii="Times New Roman"/>
                <w:spacing w:val="-1"/>
                <w:sz w:val="16"/>
              </w:rPr>
              <w:t>2,487,058,915.53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Times New Roman" w:hAnsi="Times New Roman" w:cs="Times New Roman" w:eastAsia="Times New Roman" w:hint="default"/>
                <w:sz w:val="16"/>
                <w:szCs w:val="16"/>
              </w:rPr>
            </w:pPr>
            <w:r>
              <w:rPr>
                <w:rFonts w:ascii="Times New Roman"/>
                <w:spacing w:val="-1"/>
                <w:sz w:val="16"/>
              </w:rPr>
              <w:t>174,824,068.42</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6"/>
                <w:szCs w:val="16"/>
              </w:rPr>
            </w:pPr>
            <w:r>
              <w:rPr>
                <w:rFonts w:ascii="Times New Roman"/>
                <w:spacing w:val="-2"/>
                <w:sz w:val="16"/>
              </w:rPr>
              <w:t>97,970,211.84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Times New Roman" w:hAnsi="Times New Roman" w:cs="Times New Roman" w:eastAsia="Times New Roman" w:hint="default"/>
                <w:sz w:val="16"/>
                <w:szCs w:val="16"/>
              </w:rPr>
            </w:pPr>
            <w:r>
              <w:rPr>
                <w:rFonts w:ascii="Times New Roman"/>
                <w:spacing w:val="-1"/>
                <w:sz w:val="16"/>
              </w:rPr>
              <w:t>-212,053,337.25</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Times New Roman" w:hAnsi="Times New Roman" w:cs="Times New Roman" w:eastAsia="Times New Roman" w:hint="default"/>
                <w:sz w:val="16"/>
                <w:szCs w:val="16"/>
              </w:rPr>
            </w:pPr>
            <w:r>
              <w:rPr>
                <w:rFonts w:ascii="Times New Roman"/>
                <w:spacing w:val="-1"/>
                <w:sz w:val="16"/>
              </w:rPr>
              <w:t>3,064,450,505.70</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6"/>
                <w:szCs w:val="16"/>
              </w:rPr>
            </w:pPr>
            <w:r>
              <w:rPr>
                <w:rFonts w:ascii="Times New Roman"/>
                <w:spacing w:val="-1"/>
                <w:sz w:val="16"/>
              </w:rPr>
              <w:t>-40,505,950.34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Times New Roman" w:hAnsi="Times New Roman" w:cs="Times New Roman" w:eastAsia="Times New Roman" w:hint="default"/>
                <w:sz w:val="16"/>
                <w:szCs w:val="16"/>
              </w:rPr>
            </w:pPr>
            <w:r>
              <w:rPr>
                <w:rFonts w:ascii="Times New Roman"/>
                <w:spacing w:val="-1"/>
                <w:sz w:val="16"/>
              </w:rPr>
              <w:t>-84,050,121.96</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6"/>
                <w:szCs w:val="16"/>
              </w:rPr>
            </w:pPr>
            <w:r>
              <w:rPr>
                <w:rFonts w:ascii="Times New Roman"/>
                <w:spacing w:val="-1"/>
                <w:sz w:val="16"/>
              </w:rPr>
              <w:t>6,080,624.74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Times New Roman" w:hAnsi="Times New Roman" w:cs="Times New Roman" w:eastAsia="Times New Roman" w:hint="default"/>
                <w:sz w:val="16"/>
                <w:szCs w:val="16"/>
              </w:rPr>
            </w:pPr>
            <w:r>
              <w:rPr>
                <w:rFonts w:ascii="Times New Roman"/>
                <w:spacing w:val="-1"/>
                <w:sz w:val="16"/>
              </w:rPr>
              <w:t>266,778,959.89</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Times New Roman" w:hAnsi="Times New Roman" w:cs="Times New Roman" w:eastAsia="Times New Roman" w:hint="default"/>
                <w:sz w:val="16"/>
                <w:szCs w:val="16"/>
              </w:rPr>
            </w:pPr>
            <w:r>
              <w:rPr>
                <w:rFonts w:ascii="Times New Roman"/>
                <w:spacing w:val="-1"/>
                <w:sz w:val="16"/>
              </w:rPr>
              <w:t>316,403,756.25</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16"/>
                <w:szCs w:val="16"/>
              </w:rPr>
            </w:pPr>
            <w:r>
              <w:rPr>
                <w:rFonts w:ascii="Times New Roman"/>
                <w:spacing w:val="-1"/>
                <w:sz w:val="16"/>
              </w:rPr>
              <w:t>272,859,584.63</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16"/>
                <w:szCs w:val="16"/>
              </w:rPr>
            </w:pPr>
            <w:r>
              <w:rPr>
                <w:rFonts w:ascii="Times New Roman"/>
                <w:spacing w:val="-1"/>
                <w:sz w:val="16"/>
              </w:rPr>
              <w:t>272,859,584.63</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6"/>
                <w:szCs w:val="16"/>
              </w:rPr>
            </w:pPr>
            <w:r>
              <w:rPr>
                <w:rFonts w:ascii="Times New Roman"/>
                <w:spacing w:val="-1"/>
                <w:sz w:val="16"/>
              </w:rPr>
              <w:t>-40,505,950.34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Times New Roman" w:hAnsi="Times New Roman" w:cs="Times New Roman" w:eastAsia="Times New Roman" w:hint="default"/>
                <w:sz w:val="16"/>
                <w:szCs w:val="16"/>
              </w:rPr>
            </w:pPr>
            <w:r>
              <w:rPr>
                <w:rFonts w:ascii="Times New Roman"/>
                <w:spacing w:val="-1"/>
                <w:sz w:val="16"/>
              </w:rPr>
              <w:t>-84,050,121.96</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98"/>
              <w:jc w:val="right"/>
              <w:rPr>
                <w:rFonts w:ascii="Times New Roman" w:hAnsi="Times New Roman" w:cs="Times New Roman" w:eastAsia="Times New Roman" w:hint="default"/>
                <w:sz w:val="16"/>
                <w:szCs w:val="16"/>
              </w:rPr>
            </w:pPr>
            <w:r>
              <w:rPr>
                <w:rFonts w:ascii="Times New Roman"/>
                <w:spacing w:val="-2"/>
                <w:sz w:val="16"/>
              </w:rPr>
              <w:t>43,544,171.62</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的金额</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Times New Roman" w:hAnsi="Times New Roman" w:cs="Times New Roman" w:eastAsia="Times New Roman" w:hint="default"/>
                <w:sz w:val="16"/>
                <w:szCs w:val="16"/>
              </w:rPr>
            </w:pPr>
            <w:r>
              <w:rPr>
                <w:rFonts w:ascii="Times New Roman"/>
                <w:spacing w:val="-1"/>
                <w:sz w:val="16"/>
              </w:rPr>
              <w:t>-40,505,950.34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Times New Roman" w:hAnsi="Times New Roman" w:cs="Times New Roman" w:eastAsia="Times New Roman" w:hint="default"/>
                <w:sz w:val="16"/>
                <w:szCs w:val="16"/>
              </w:rPr>
            </w:pPr>
            <w:r>
              <w:rPr>
                <w:rFonts w:ascii="Times New Roman"/>
                <w:spacing w:val="-1"/>
                <w:sz w:val="16"/>
              </w:rPr>
              <w:t>-84,050,121.96</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8"/>
              <w:jc w:val="right"/>
              <w:rPr>
                <w:rFonts w:ascii="Times New Roman" w:hAnsi="Times New Roman" w:cs="Times New Roman" w:eastAsia="Times New Roman" w:hint="default"/>
                <w:sz w:val="16"/>
                <w:szCs w:val="16"/>
              </w:rPr>
            </w:pPr>
            <w:r>
              <w:rPr>
                <w:rFonts w:ascii="Times New Roman"/>
                <w:spacing w:val="-2"/>
                <w:sz w:val="16"/>
              </w:rPr>
              <w:t>43,544,171.62</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6"/>
                <w:szCs w:val="16"/>
              </w:rPr>
            </w:pPr>
            <w:r>
              <w:rPr>
                <w:rFonts w:ascii="Times New Roman"/>
                <w:spacing w:val="-1"/>
                <w:sz w:val="16"/>
              </w:rPr>
              <w:t>6,080,624.74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16"/>
                <w:szCs w:val="16"/>
              </w:rPr>
            </w:pPr>
            <w:r>
              <w:rPr>
                <w:rFonts w:ascii="Times New Roman"/>
                <w:spacing w:val="-1"/>
                <w:sz w:val="16"/>
              </w:rPr>
              <w:t>-6,080,624.74</w:t>
            </w: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16"/>
                <w:szCs w:val="16"/>
              </w:rPr>
            </w:pPr>
            <w:r>
              <w:rPr>
                <w:rFonts w:ascii="Times New Roman"/>
                <w:spacing w:val="-1"/>
                <w:sz w:val="16"/>
              </w:rPr>
              <w:t>6,080,624.74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16"/>
                <w:szCs w:val="16"/>
              </w:rPr>
            </w:pPr>
            <w:r>
              <w:rPr>
                <w:rFonts w:ascii="Times New Roman"/>
                <w:spacing w:val="-1"/>
                <w:sz w:val="16"/>
              </w:rPr>
              <w:t>-6,080,624.74</w:t>
            </w: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配</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．设定受益计划变动额结转</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122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．其他综合收益结转留存收</w:t>
            </w:r>
          </w:p>
        </w:tc>
        <w:tc>
          <w:tcPr>
            <w:tcW w:w="122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40"/>
          <w:pgSz w:w="16840" w:h="11910" w:orient="landscape"/>
          <w:pgMar w:footer="1195" w:header="882" w:top="1120" w:bottom="1380" w:left="1360" w:right="1220"/>
          <w:pgNumType w:start="81"/>
        </w:sectPr>
      </w:pPr>
    </w:p>
    <w:p>
      <w:pPr>
        <w:spacing w:line="240" w:lineRule="auto" w:before="7"/>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2451"/>
        <w:gridCol w:w="1229"/>
        <w:gridCol w:w="428"/>
        <w:gridCol w:w="566"/>
        <w:gridCol w:w="425"/>
        <w:gridCol w:w="1418"/>
        <w:gridCol w:w="1275"/>
        <w:gridCol w:w="708"/>
        <w:gridCol w:w="710"/>
        <w:gridCol w:w="1418"/>
        <w:gridCol w:w="1558"/>
        <w:gridCol w:w="1774"/>
      </w:tblGrid>
      <w:tr>
        <w:trPr>
          <w:trHeight w:val="24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22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19" w:right="0"/>
              <w:jc w:val="left"/>
              <w:rPr>
                <w:rFonts w:ascii="Times New Roman" w:hAnsi="Times New Roman" w:cs="Times New Roman" w:eastAsia="Times New Roman" w:hint="default"/>
                <w:sz w:val="16"/>
                <w:szCs w:val="16"/>
              </w:rPr>
            </w:pPr>
            <w:r>
              <w:rPr>
                <w:rFonts w:ascii="Times New Roman"/>
                <w:sz w:val="16"/>
              </w:rPr>
              <w:t>866,298,784</w:t>
            </w:r>
          </w:p>
        </w:tc>
        <w:tc>
          <w:tcPr>
            <w:tcW w:w="42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86" w:right="0"/>
              <w:jc w:val="left"/>
              <w:rPr>
                <w:rFonts w:ascii="Times New Roman" w:hAnsi="Times New Roman" w:cs="Times New Roman" w:eastAsia="Times New Roman" w:hint="default"/>
                <w:sz w:val="16"/>
                <w:szCs w:val="16"/>
              </w:rPr>
            </w:pPr>
            <w:r>
              <w:rPr>
                <w:rFonts w:ascii="Times New Roman"/>
                <w:sz w:val="16"/>
              </w:rPr>
              <w:t>2,446,552,965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4" w:right="0"/>
              <w:jc w:val="left"/>
              <w:rPr>
                <w:rFonts w:ascii="Times New Roman" w:hAnsi="Times New Roman" w:cs="Times New Roman" w:eastAsia="Times New Roman" w:hint="default"/>
                <w:sz w:val="16"/>
                <w:szCs w:val="16"/>
              </w:rPr>
            </w:pPr>
            <w:r>
              <w:rPr>
                <w:rFonts w:ascii="Times New Roman"/>
                <w:sz w:val="16"/>
              </w:rPr>
              <w:t>90,773,946.46</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86" w:right="0"/>
              <w:jc w:val="left"/>
              <w:rPr>
                <w:rFonts w:ascii="Times New Roman" w:hAnsi="Times New Roman" w:cs="Times New Roman" w:eastAsia="Times New Roman" w:hint="default"/>
                <w:sz w:val="16"/>
                <w:szCs w:val="16"/>
              </w:rPr>
            </w:pPr>
            <w:r>
              <w:rPr>
                <w:rFonts w:ascii="Times New Roman"/>
                <w:sz w:val="16"/>
              </w:rPr>
              <w:t>104,050,836.6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28" w:right="0"/>
              <w:jc w:val="left"/>
              <w:rPr>
                <w:rFonts w:ascii="Times New Roman" w:hAnsi="Times New Roman" w:cs="Times New Roman" w:eastAsia="Times New Roman" w:hint="default"/>
                <w:sz w:val="16"/>
                <w:szCs w:val="16"/>
              </w:rPr>
            </w:pPr>
            <w:r>
              <w:rPr>
                <w:rFonts w:ascii="Times New Roman"/>
                <w:sz w:val="16"/>
              </w:rPr>
              <w:t>54,725,622.64</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42" w:right="0"/>
              <w:jc w:val="left"/>
              <w:rPr>
                <w:rFonts w:ascii="Times New Roman" w:hAnsi="Times New Roman" w:cs="Times New Roman" w:eastAsia="Times New Roman" w:hint="default"/>
                <w:sz w:val="16"/>
                <w:szCs w:val="16"/>
              </w:rPr>
            </w:pPr>
            <w:r>
              <w:rPr>
                <w:rFonts w:ascii="Times New Roman"/>
                <w:sz w:val="16"/>
              </w:rPr>
              <w:t>3,380,854,261.95</w:t>
            </w:r>
          </w:p>
        </w:tc>
      </w:tr>
    </w:tbl>
    <w:p>
      <w:pPr>
        <w:spacing w:line="240" w:lineRule="auto" w:before="4"/>
        <w:rPr>
          <w:rFonts w:ascii="宋体" w:hAnsi="宋体" w:cs="宋体" w:eastAsia="宋体" w:hint="default"/>
          <w:sz w:val="13"/>
          <w:szCs w:val="13"/>
        </w:rPr>
      </w:pPr>
    </w:p>
    <w:p>
      <w:pPr>
        <w:pStyle w:val="Heading3"/>
        <w:spacing w:line="240" w:lineRule="auto" w:before="26"/>
        <w:ind w:left="164" w:right="0"/>
        <w:jc w:val="left"/>
        <w:rPr>
          <w:rFonts w:ascii="宋体" w:hAnsi="宋体" w:cs="宋体" w:eastAsia="宋体" w:hint="default"/>
        </w:rPr>
      </w:pPr>
      <w:r>
        <w:rPr>
          <w:rFonts w:ascii="宋体"/>
        </w:rPr>
        <w:t> </w:t>
      </w:r>
    </w:p>
    <w:p>
      <w:pPr>
        <w:spacing w:line="240" w:lineRule="auto" w:before="12"/>
        <w:rPr>
          <w:rFonts w:ascii="宋体" w:hAnsi="宋体" w:cs="宋体" w:eastAsia="宋体" w:hint="default"/>
          <w:sz w:val="2"/>
          <w:szCs w:val="2"/>
        </w:rPr>
      </w:pPr>
    </w:p>
    <w:tbl>
      <w:tblPr>
        <w:tblW w:w="0" w:type="auto"/>
        <w:jc w:val="left"/>
        <w:tblInd w:w="140" w:type="dxa"/>
        <w:tblLayout w:type="fixed"/>
        <w:tblCellMar>
          <w:top w:w="0" w:type="dxa"/>
          <w:left w:w="0" w:type="dxa"/>
          <w:bottom w:w="0" w:type="dxa"/>
          <w:right w:w="0" w:type="dxa"/>
        </w:tblCellMar>
        <w:tblLook w:val="01E0"/>
      </w:tblPr>
      <w:tblGrid>
        <w:gridCol w:w="2396"/>
        <w:gridCol w:w="1426"/>
        <w:gridCol w:w="425"/>
        <w:gridCol w:w="566"/>
        <w:gridCol w:w="569"/>
        <w:gridCol w:w="1416"/>
        <w:gridCol w:w="1277"/>
        <w:gridCol w:w="850"/>
        <w:gridCol w:w="708"/>
        <w:gridCol w:w="1419"/>
        <w:gridCol w:w="1277"/>
        <w:gridCol w:w="1579"/>
      </w:tblGrid>
      <w:tr>
        <w:trPr>
          <w:trHeight w:val="250" w:hRule="exact"/>
        </w:trPr>
        <w:tc>
          <w:tcPr>
            <w:tcW w:w="239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1512"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27" w:hRule="exact"/>
        </w:trPr>
        <w:tc>
          <w:tcPr>
            <w:tcW w:w="2396" w:type="dxa"/>
            <w:vMerge/>
            <w:tcBorders>
              <w:left w:val="single" w:sz="6" w:space="0" w:color="000000"/>
              <w:right w:val="single" w:sz="6" w:space="0" w:color="000000"/>
            </w:tcBorders>
          </w:tcPr>
          <w:p>
            <w:pPr/>
          </w:p>
        </w:tc>
        <w:tc>
          <w:tcPr>
            <w:tcW w:w="1426" w:type="dxa"/>
            <w:vMerge w:val="restart"/>
            <w:tcBorders>
              <w:top w:val="single" w:sz="6" w:space="0" w:color="000000"/>
              <w:left w:val="single" w:sz="6"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80" w:right="164" w:hanging="315"/>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w:t>
            </w:r>
            <w:r>
              <w:rPr>
                <w:rFonts w:ascii="宋体" w:hAnsi="宋体" w:cs="宋体" w:eastAsia="宋体" w:hint="default"/>
                <w:sz w:val="18"/>
                <w:szCs w:val="18"/>
              </w:rPr>
              <w:t>或 股本</w:t>
            </w:r>
            <w:r>
              <w:rPr>
                <w:rFonts w:ascii="宋体" w:hAnsi="宋体" w:cs="宋体" w:eastAsia="宋体" w:hint="default"/>
                <w:sz w:val="18"/>
                <w:szCs w:val="18"/>
              </w:rPr>
              <w:t>) </w:t>
            </w:r>
          </w:p>
        </w:tc>
        <w:tc>
          <w:tcPr>
            <w:tcW w:w="1560"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1"/>
              <w:ind w:left="235"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41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340"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180" w:right="0"/>
              <w:jc w:val="left"/>
              <w:rPr>
                <w:rFonts w:ascii="宋体" w:hAnsi="宋体" w:cs="宋体" w:eastAsia="宋体" w:hint="default"/>
                <w:sz w:val="18"/>
                <w:szCs w:val="18"/>
              </w:rPr>
            </w:pPr>
            <w:r>
              <w:rPr>
                <w:rFonts w:ascii="宋体" w:hAnsi="宋体" w:cs="宋体" w:eastAsia="宋体" w:hint="default"/>
                <w:sz w:val="18"/>
                <w:szCs w:val="18"/>
              </w:rPr>
              <w:t>减：库存股</w:t>
            </w:r>
            <w:r>
              <w:rPr>
                <w:rFonts w:ascii="宋体" w:hAnsi="宋体" w:cs="宋体" w:eastAsia="宋体" w:hint="default"/>
                <w:sz w:val="18"/>
                <w:szCs w:val="18"/>
              </w:rPr>
              <w:t> </w:t>
            </w:r>
          </w:p>
        </w:tc>
        <w:tc>
          <w:tcPr>
            <w:tcW w:w="850"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8" w:right="54"/>
              <w:jc w:val="left"/>
              <w:rPr>
                <w:rFonts w:ascii="宋体" w:hAnsi="宋体" w:cs="宋体" w:eastAsia="宋体" w:hint="default"/>
                <w:sz w:val="18"/>
                <w:szCs w:val="18"/>
              </w:rPr>
            </w:pPr>
            <w:r>
              <w:rPr>
                <w:rFonts w:ascii="宋体" w:hAnsi="宋体" w:cs="宋体" w:eastAsia="宋体" w:hint="default"/>
                <w:sz w:val="18"/>
                <w:szCs w:val="18"/>
              </w:rPr>
              <w:t>其他综 合收益</w:t>
            </w:r>
            <w:r>
              <w:rPr>
                <w:rFonts w:ascii="宋体" w:hAnsi="宋体" w:cs="宋体" w:eastAsia="宋体" w:hint="default"/>
                <w:sz w:val="18"/>
                <w:szCs w:val="18"/>
              </w:rPr>
              <w:t> </w:t>
            </w:r>
          </w:p>
        </w:tc>
        <w:tc>
          <w:tcPr>
            <w:tcW w:w="708"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7" w:right="73"/>
              <w:jc w:val="left"/>
              <w:rPr>
                <w:rFonts w:ascii="宋体" w:hAnsi="宋体" w:cs="宋体" w:eastAsia="宋体" w:hint="default"/>
                <w:sz w:val="18"/>
                <w:szCs w:val="18"/>
              </w:rPr>
            </w:pPr>
            <w:r>
              <w:rPr>
                <w:rFonts w:ascii="宋体" w:hAnsi="宋体" w:cs="宋体" w:eastAsia="宋体" w:hint="default"/>
                <w:sz w:val="18"/>
                <w:szCs w:val="18"/>
              </w:rPr>
              <w:t>专项 储备</w:t>
            </w:r>
            <w:r>
              <w:rPr>
                <w:rFonts w:ascii="宋体" w:hAnsi="宋体" w:cs="宋体" w:eastAsia="宋体" w:hint="default"/>
                <w:sz w:val="18"/>
                <w:szCs w:val="18"/>
              </w:rPr>
              <w:t> </w:t>
            </w:r>
          </w:p>
        </w:tc>
        <w:tc>
          <w:tcPr>
            <w:tcW w:w="141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343"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57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151"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718" w:hRule="exact"/>
        </w:trPr>
        <w:tc>
          <w:tcPr>
            <w:tcW w:w="2396" w:type="dxa"/>
            <w:vMerge/>
            <w:tcBorders>
              <w:left w:val="single" w:sz="6" w:space="0" w:color="000000"/>
              <w:bottom w:val="single" w:sz="6" w:space="0" w:color="000000"/>
              <w:right w:val="single" w:sz="6" w:space="0" w:color="000000"/>
            </w:tcBorders>
          </w:tcPr>
          <w:p>
            <w:pPr/>
          </w:p>
        </w:tc>
        <w:tc>
          <w:tcPr>
            <w:tcW w:w="1426" w:type="dxa"/>
            <w:vMerge/>
            <w:tcBorders>
              <w:left w:val="single" w:sz="6" w:space="0" w:color="000000"/>
              <w:bottom w:val="single" w:sz="6" w:space="0" w:color="000000"/>
              <w:right w:val="single" w:sz="4" w:space="0" w:color="000000"/>
            </w:tcBorders>
          </w:tcPr>
          <w:p>
            <w:pPr/>
          </w:p>
        </w:tc>
        <w:tc>
          <w:tcPr>
            <w:tcW w:w="425" w:type="dxa"/>
            <w:tcBorders>
              <w:top w:val="single" w:sz="4" w:space="0" w:color="000000"/>
              <w:left w:val="single" w:sz="4" w:space="0" w:color="000000"/>
              <w:bottom w:val="single" w:sz="6" w:space="0" w:color="000000"/>
              <w:right w:val="single" w:sz="4" w:space="0" w:color="000000"/>
            </w:tcBorders>
          </w:tcPr>
          <w:p>
            <w:pPr>
              <w:pStyle w:val="TableParagraph"/>
              <w:spacing w:line="210" w:lineRule="exact"/>
              <w:ind w:left="117" w:right="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32" w:lineRule="exact" w:before="24"/>
              <w:ind w:left="117" w:right="25"/>
              <w:jc w:val="left"/>
              <w:rPr>
                <w:rFonts w:ascii="宋体" w:hAnsi="宋体" w:cs="宋体" w:eastAsia="宋体" w:hint="default"/>
                <w:sz w:val="18"/>
                <w:szCs w:val="18"/>
              </w:rPr>
            </w:pPr>
            <w:r>
              <w:rPr>
                <w:rFonts w:ascii="宋体" w:hAnsi="宋体" w:cs="宋体" w:eastAsia="宋体" w:hint="default"/>
                <w:sz w:val="18"/>
                <w:szCs w:val="18"/>
              </w:rPr>
              <w:t>先 股</w:t>
            </w:r>
            <w:r>
              <w:rPr>
                <w:rFonts w:ascii="宋体" w:hAnsi="宋体" w:cs="宋体" w:eastAsia="宋体" w:hint="default"/>
                <w:sz w:val="18"/>
                <w:szCs w:val="18"/>
              </w:rPr>
              <w:t> </w:t>
            </w:r>
          </w:p>
        </w:tc>
        <w:tc>
          <w:tcPr>
            <w:tcW w:w="566" w:type="dxa"/>
            <w:tcBorders>
              <w:top w:val="single" w:sz="4" w:space="0" w:color="000000"/>
              <w:left w:val="single" w:sz="4" w:space="0" w:color="000000"/>
              <w:bottom w:val="single" w:sz="6" w:space="0" w:color="000000"/>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32" w:lineRule="exact" w:before="24"/>
              <w:ind w:left="187" w:right="97"/>
              <w:jc w:val="left"/>
              <w:rPr>
                <w:rFonts w:ascii="宋体" w:hAnsi="宋体" w:cs="宋体" w:eastAsia="宋体" w:hint="default"/>
                <w:sz w:val="18"/>
                <w:szCs w:val="18"/>
              </w:rPr>
            </w:pPr>
            <w:r>
              <w:rPr>
                <w:rFonts w:ascii="宋体" w:hAnsi="宋体" w:cs="宋体" w:eastAsia="宋体" w:hint="default"/>
                <w:sz w:val="18"/>
                <w:szCs w:val="18"/>
              </w:rPr>
              <w:t>续 债</w:t>
            </w:r>
            <w:r>
              <w:rPr>
                <w:rFonts w:ascii="宋体" w:hAnsi="宋体" w:cs="宋体" w:eastAsia="宋体" w:hint="default"/>
                <w:sz w:val="18"/>
                <w:szCs w:val="18"/>
              </w:rPr>
              <w:t> </w:t>
            </w:r>
          </w:p>
        </w:tc>
        <w:tc>
          <w:tcPr>
            <w:tcW w:w="569" w:type="dxa"/>
            <w:tcBorders>
              <w:top w:val="single" w:sz="4" w:space="0" w:color="000000"/>
              <w:left w:val="single" w:sz="4" w:space="0" w:color="000000"/>
              <w:bottom w:val="single" w:sz="6" w:space="0" w:color="000000"/>
              <w:right w:val="single" w:sz="6" w:space="0" w:color="000000"/>
            </w:tcBorders>
          </w:tcPr>
          <w:p>
            <w:pPr>
              <w:pStyle w:val="TableParagraph"/>
              <w:spacing w:line="232" w:lineRule="exact" w:before="116"/>
              <w:ind w:left="189" w:right="95"/>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416"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850"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1419"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1579" w:type="dxa"/>
            <w:vMerge/>
            <w:tcBorders>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42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6"/>
                <w:szCs w:val="16"/>
              </w:rPr>
            </w:pPr>
            <w:r>
              <w:rPr>
                <w:rFonts w:ascii="Times New Roman"/>
                <w:spacing w:val="-1"/>
                <w:sz w:val="16"/>
              </w:rPr>
              <w:t>666,960,584.00</w:t>
            </w: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16"/>
                <w:szCs w:val="16"/>
              </w:rPr>
            </w:pPr>
            <w:r>
              <w:rPr>
                <w:rFonts w:ascii="Times New Roman"/>
                <w:spacing w:val="-1"/>
                <w:sz w:val="16"/>
              </w:rPr>
              <w:t>2,487,763,015.14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9" w:right="0"/>
              <w:jc w:val="center"/>
              <w:rPr>
                <w:rFonts w:ascii="Times New Roman" w:hAnsi="Times New Roman" w:cs="Times New Roman" w:eastAsia="Times New Roman" w:hint="default"/>
                <w:sz w:val="16"/>
                <w:szCs w:val="16"/>
              </w:rPr>
            </w:pPr>
            <w:r>
              <w:rPr>
                <w:rFonts w:ascii="Times New Roman"/>
                <w:sz w:val="16"/>
              </w:rPr>
              <w:t>268,960,699.04</w:t>
            </w: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6"/>
              <w:jc w:val="right"/>
              <w:rPr>
                <w:rFonts w:ascii="Times New Roman" w:hAnsi="Times New Roman" w:cs="Times New Roman" w:eastAsia="Times New Roman" w:hint="default"/>
                <w:sz w:val="16"/>
                <w:szCs w:val="16"/>
              </w:rPr>
            </w:pPr>
            <w:r>
              <w:rPr>
                <w:rFonts w:ascii="Times New Roman"/>
                <w:spacing w:val="-2"/>
                <w:sz w:val="16"/>
              </w:rPr>
              <w:t>97,970,211.84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5" w:right="0"/>
              <w:jc w:val="center"/>
              <w:rPr>
                <w:rFonts w:ascii="Times New Roman" w:hAnsi="Times New Roman" w:cs="Times New Roman" w:eastAsia="Times New Roman" w:hint="default"/>
                <w:sz w:val="16"/>
                <w:szCs w:val="16"/>
              </w:rPr>
            </w:pPr>
            <w:r>
              <w:rPr>
                <w:rFonts w:ascii="Times New Roman"/>
                <w:sz w:val="16"/>
              </w:rPr>
              <w:t>281,319,406.99</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16"/>
                <w:szCs w:val="16"/>
              </w:rPr>
            </w:pPr>
            <w:r>
              <w:rPr>
                <w:rFonts w:ascii="Times New Roman"/>
                <w:spacing w:val="-1"/>
                <w:sz w:val="16"/>
              </w:rPr>
              <w:t>3,265,052,518.93</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42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58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42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8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42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42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6"/>
                <w:szCs w:val="16"/>
              </w:rPr>
            </w:pPr>
            <w:r>
              <w:rPr>
                <w:rFonts w:ascii="Times New Roman"/>
                <w:spacing w:val="-1"/>
                <w:sz w:val="16"/>
              </w:rPr>
              <w:t>666,960,584.00</w:t>
            </w: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141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16"/>
                <w:szCs w:val="16"/>
              </w:rPr>
            </w:pPr>
            <w:r>
              <w:rPr>
                <w:rFonts w:ascii="Times New Roman"/>
                <w:spacing w:val="-1"/>
                <w:sz w:val="16"/>
              </w:rPr>
              <w:t>2,487,763,015.14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9" w:right="0"/>
              <w:jc w:val="center"/>
              <w:rPr>
                <w:rFonts w:ascii="Times New Roman" w:hAnsi="Times New Roman" w:cs="Times New Roman" w:eastAsia="Times New Roman" w:hint="default"/>
                <w:sz w:val="16"/>
                <w:szCs w:val="16"/>
              </w:rPr>
            </w:pPr>
            <w:r>
              <w:rPr>
                <w:rFonts w:ascii="Times New Roman"/>
                <w:sz w:val="16"/>
              </w:rPr>
              <w:t>268,960,699.04</w:t>
            </w: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6"/>
              <w:jc w:val="right"/>
              <w:rPr>
                <w:rFonts w:ascii="Times New Roman" w:hAnsi="Times New Roman" w:cs="Times New Roman" w:eastAsia="Times New Roman" w:hint="default"/>
                <w:sz w:val="16"/>
                <w:szCs w:val="16"/>
              </w:rPr>
            </w:pPr>
            <w:r>
              <w:rPr>
                <w:rFonts w:ascii="Times New Roman"/>
                <w:spacing w:val="-2"/>
                <w:sz w:val="16"/>
              </w:rPr>
              <w:t>97,970,211.84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5" w:right="0"/>
              <w:jc w:val="center"/>
              <w:rPr>
                <w:rFonts w:ascii="Times New Roman" w:hAnsi="Times New Roman" w:cs="Times New Roman" w:eastAsia="Times New Roman" w:hint="default"/>
                <w:sz w:val="16"/>
                <w:szCs w:val="16"/>
              </w:rPr>
            </w:pPr>
            <w:r>
              <w:rPr>
                <w:rFonts w:ascii="Times New Roman"/>
                <w:sz w:val="16"/>
              </w:rPr>
              <w:t>281,319,406.99</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16"/>
                <w:szCs w:val="16"/>
              </w:rPr>
            </w:pPr>
            <w:r>
              <w:rPr>
                <w:rFonts w:ascii="Times New Roman"/>
                <w:spacing w:val="-1"/>
                <w:sz w:val="16"/>
              </w:rPr>
              <w:t>3,265,052,518.93</w:t>
            </w:r>
          </w:p>
        </w:tc>
      </w:tr>
      <w:tr>
        <w:trPr>
          <w:trHeight w:val="48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r>
              <w:rPr>
                <w:rFonts w:ascii="宋体" w:hAnsi="宋体" w:cs="宋体" w:eastAsia="宋体" w:hint="default"/>
                <w:sz w:val="18"/>
                <w:szCs w:val="18"/>
              </w:rPr>
              <w:t> </w:t>
            </w:r>
          </w:p>
        </w:tc>
        <w:tc>
          <w:tcPr>
            <w:tcW w:w="142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6"/>
                <w:szCs w:val="16"/>
              </w:rPr>
            </w:pPr>
            <w:r>
              <w:rPr>
                <w:rFonts w:ascii="Times New Roman"/>
                <w:spacing w:val="-1"/>
                <w:sz w:val="16"/>
              </w:rPr>
              <w:t>199,338,200.00</w:t>
            </w: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8"/>
              <w:jc w:val="right"/>
              <w:rPr>
                <w:rFonts w:ascii="Times New Roman" w:hAnsi="Times New Roman" w:cs="Times New Roman" w:eastAsia="Times New Roman" w:hint="default"/>
                <w:sz w:val="16"/>
                <w:szCs w:val="16"/>
              </w:rPr>
            </w:pPr>
            <w:r>
              <w:rPr>
                <w:rFonts w:ascii="Times New Roman"/>
                <w:spacing w:val="-1"/>
                <w:sz w:val="16"/>
              </w:rPr>
              <w:t>-704,099.61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86" w:right="0"/>
              <w:jc w:val="center"/>
              <w:rPr>
                <w:rFonts w:ascii="Times New Roman" w:hAnsi="Times New Roman" w:cs="Times New Roman" w:eastAsia="Times New Roman" w:hint="default"/>
                <w:sz w:val="16"/>
                <w:szCs w:val="16"/>
              </w:rPr>
            </w:pPr>
            <w:r>
              <w:rPr>
                <w:rFonts w:ascii="Times New Roman"/>
                <w:sz w:val="16"/>
              </w:rPr>
              <w:t>-94,136,630.62</w:t>
            </w: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6"/>
              <w:jc w:val="right"/>
              <w:rPr>
                <w:rFonts w:ascii="Times New Roman" w:hAnsi="Times New Roman" w:cs="Times New Roman" w:eastAsia="Times New Roman" w:hint="default"/>
                <w:sz w:val="16"/>
                <w:szCs w:val="16"/>
              </w:rPr>
            </w:pPr>
            <w:r>
              <w:rPr>
                <w:rFonts w:ascii="Times New Roman"/>
                <w:spacing w:val="-1"/>
                <w:sz w:val="16"/>
              </w:rPr>
              <w:t>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12" w:right="0"/>
              <w:jc w:val="center"/>
              <w:rPr>
                <w:rFonts w:ascii="Times New Roman" w:hAnsi="Times New Roman" w:cs="Times New Roman" w:eastAsia="Times New Roman" w:hint="default"/>
                <w:sz w:val="16"/>
                <w:szCs w:val="16"/>
              </w:rPr>
            </w:pPr>
            <w:r>
              <w:rPr>
                <w:rFonts w:ascii="Times New Roman"/>
                <w:sz w:val="16"/>
              </w:rPr>
              <w:t>-333,385,093.97</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8"/>
              <w:jc w:val="right"/>
              <w:rPr>
                <w:rFonts w:ascii="Times New Roman" w:hAnsi="Times New Roman" w:cs="Times New Roman" w:eastAsia="Times New Roman" w:hint="default"/>
                <w:sz w:val="16"/>
                <w:szCs w:val="16"/>
              </w:rPr>
            </w:pPr>
            <w:r>
              <w:rPr>
                <w:rFonts w:ascii="Times New Roman"/>
                <w:spacing w:val="-1"/>
                <w:sz w:val="16"/>
              </w:rPr>
              <w:t>-40,614,362.96</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42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8"/>
              <w:jc w:val="right"/>
              <w:rPr>
                <w:rFonts w:ascii="Times New Roman" w:hAnsi="Times New Roman" w:cs="Times New Roman" w:eastAsia="Times New Roman" w:hint="default"/>
                <w:sz w:val="16"/>
                <w:szCs w:val="16"/>
              </w:rPr>
            </w:pPr>
            <w:r>
              <w:rPr>
                <w:rFonts w:ascii="Times New Roman"/>
                <w:spacing w:val="-1"/>
                <w:sz w:val="16"/>
              </w:rPr>
              <w:t>0.00</w:t>
            </w: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91" w:right="0"/>
              <w:jc w:val="center"/>
              <w:rPr>
                <w:rFonts w:ascii="Times New Roman" w:hAnsi="Times New Roman" w:cs="Times New Roman" w:eastAsia="Times New Roman" w:hint="default"/>
                <w:sz w:val="16"/>
                <w:szCs w:val="16"/>
              </w:rPr>
            </w:pPr>
            <w:r>
              <w:rPr>
                <w:rFonts w:ascii="Times New Roman"/>
                <w:sz w:val="16"/>
              </w:rPr>
              <w:t>-54,311,614.05</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8"/>
              <w:jc w:val="right"/>
              <w:rPr>
                <w:rFonts w:ascii="Times New Roman" w:hAnsi="Times New Roman" w:cs="Times New Roman" w:eastAsia="Times New Roman" w:hint="default"/>
                <w:sz w:val="16"/>
                <w:szCs w:val="16"/>
              </w:rPr>
            </w:pPr>
            <w:r>
              <w:rPr>
                <w:rFonts w:ascii="Times New Roman"/>
                <w:spacing w:val="-1"/>
                <w:sz w:val="16"/>
              </w:rPr>
              <w:t>-54,311,614.05</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42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8"/>
              <w:jc w:val="right"/>
              <w:rPr>
                <w:rFonts w:ascii="Times New Roman" w:hAnsi="Times New Roman" w:cs="Times New Roman" w:eastAsia="Times New Roman" w:hint="default"/>
                <w:sz w:val="16"/>
                <w:szCs w:val="16"/>
              </w:rPr>
            </w:pPr>
            <w:r>
              <w:rPr>
                <w:rFonts w:ascii="Times New Roman"/>
                <w:spacing w:val="-1"/>
                <w:sz w:val="16"/>
              </w:rPr>
              <w:t>-704,099.61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86" w:right="0"/>
              <w:jc w:val="center"/>
              <w:rPr>
                <w:rFonts w:ascii="Times New Roman" w:hAnsi="Times New Roman" w:cs="Times New Roman" w:eastAsia="Times New Roman" w:hint="default"/>
                <w:sz w:val="16"/>
                <w:szCs w:val="16"/>
              </w:rPr>
            </w:pPr>
            <w:r>
              <w:rPr>
                <w:rFonts w:ascii="Times New Roman"/>
                <w:sz w:val="16"/>
              </w:rPr>
              <w:t>-94,136,630.62</w:t>
            </w: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8"/>
              <w:jc w:val="right"/>
              <w:rPr>
                <w:rFonts w:ascii="Times New Roman" w:hAnsi="Times New Roman" w:cs="Times New Roman" w:eastAsia="Times New Roman" w:hint="default"/>
                <w:sz w:val="16"/>
                <w:szCs w:val="16"/>
              </w:rPr>
            </w:pPr>
            <w:r>
              <w:rPr>
                <w:rFonts w:ascii="Times New Roman"/>
                <w:spacing w:val="-2"/>
                <w:sz w:val="16"/>
              </w:rPr>
              <w:t>93,432,531.01</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r>
              <w:rPr>
                <w:rFonts w:ascii="宋体" w:hAnsi="宋体" w:cs="宋体" w:eastAsia="宋体" w:hint="default"/>
                <w:sz w:val="18"/>
                <w:szCs w:val="18"/>
              </w:rPr>
              <w:t> </w:t>
            </w:r>
          </w:p>
        </w:tc>
        <w:tc>
          <w:tcPr>
            <w:tcW w:w="142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72"/>
                <w:sz w:val="18"/>
                <w:szCs w:val="18"/>
              </w:rPr>
              <w:t>．</w:t>
            </w:r>
            <w:r>
              <w:rPr>
                <w:rFonts w:ascii="宋体" w:hAnsi="宋体" w:cs="宋体" w:eastAsia="宋体" w:hint="default"/>
                <w:sz w:val="18"/>
                <w:szCs w:val="18"/>
              </w:rPr>
              <w:t>其他权益工具持有者投入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z w:val="18"/>
                <w:szCs w:val="18"/>
              </w:rPr>
              <w:t> </w:t>
            </w:r>
          </w:p>
        </w:tc>
        <w:tc>
          <w:tcPr>
            <w:tcW w:w="142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72"/>
                <w:sz w:val="18"/>
                <w:szCs w:val="18"/>
              </w:rPr>
              <w:t>．</w:t>
            </w:r>
            <w:r>
              <w:rPr>
                <w:rFonts w:ascii="宋体" w:hAnsi="宋体" w:cs="宋体" w:eastAsia="宋体" w:hint="default"/>
                <w:sz w:val="18"/>
                <w:szCs w:val="18"/>
              </w:rPr>
              <w:t>股份支付计入所有者权益</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的金额</w:t>
            </w:r>
            <w:r>
              <w:rPr>
                <w:rFonts w:ascii="宋体" w:hAnsi="宋体" w:cs="宋体" w:eastAsia="宋体" w:hint="default"/>
                <w:sz w:val="18"/>
                <w:szCs w:val="18"/>
              </w:rPr>
              <w:t> </w:t>
            </w:r>
          </w:p>
        </w:tc>
        <w:tc>
          <w:tcPr>
            <w:tcW w:w="142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8"/>
              <w:jc w:val="right"/>
              <w:rPr>
                <w:rFonts w:ascii="Times New Roman" w:hAnsi="Times New Roman" w:cs="Times New Roman" w:eastAsia="Times New Roman" w:hint="default"/>
                <w:sz w:val="16"/>
                <w:szCs w:val="16"/>
              </w:rPr>
            </w:pPr>
            <w:r>
              <w:rPr>
                <w:rFonts w:ascii="Times New Roman"/>
                <w:spacing w:val="-1"/>
                <w:sz w:val="16"/>
              </w:rPr>
              <w:t>-238,256.05</w:t>
            </w: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8"/>
              <w:jc w:val="right"/>
              <w:rPr>
                <w:rFonts w:ascii="Times New Roman" w:hAnsi="Times New Roman" w:cs="Times New Roman" w:eastAsia="Times New Roman" w:hint="default"/>
                <w:sz w:val="16"/>
                <w:szCs w:val="16"/>
              </w:rPr>
            </w:pPr>
            <w:r>
              <w:rPr>
                <w:rFonts w:ascii="Times New Roman"/>
                <w:spacing w:val="-1"/>
                <w:sz w:val="16"/>
              </w:rPr>
              <w:t>-238,256.05</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42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16"/>
                <w:szCs w:val="16"/>
              </w:rPr>
            </w:pPr>
            <w:r>
              <w:rPr>
                <w:rFonts w:ascii="Times New Roman"/>
                <w:spacing w:val="-1"/>
                <w:sz w:val="16"/>
              </w:rPr>
              <w:t>-465,843.56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6" w:right="0"/>
              <w:jc w:val="center"/>
              <w:rPr>
                <w:rFonts w:ascii="Times New Roman" w:hAnsi="Times New Roman" w:cs="Times New Roman" w:eastAsia="Times New Roman" w:hint="default"/>
                <w:sz w:val="16"/>
                <w:szCs w:val="16"/>
              </w:rPr>
            </w:pPr>
            <w:r>
              <w:rPr>
                <w:rFonts w:ascii="Times New Roman"/>
                <w:sz w:val="16"/>
              </w:rPr>
              <w:t>-94,136,630.62</w:t>
            </w: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16"/>
                <w:szCs w:val="16"/>
              </w:rPr>
            </w:pPr>
            <w:r>
              <w:rPr>
                <w:rFonts w:ascii="Times New Roman"/>
                <w:spacing w:val="-2"/>
                <w:sz w:val="16"/>
              </w:rPr>
              <w:t>93,670,787.06</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42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 w:right="0"/>
              <w:jc w:val="center"/>
              <w:rPr>
                <w:rFonts w:ascii="Times New Roman" w:hAnsi="Times New Roman" w:cs="Times New Roman" w:eastAsia="Times New Roman" w:hint="default"/>
                <w:sz w:val="16"/>
                <w:szCs w:val="16"/>
              </w:rPr>
            </w:pPr>
            <w:r>
              <w:rPr>
                <w:rFonts w:ascii="Times New Roman"/>
                <w:sz w:val="16"/>
              </w:rPr>
              <w:t>-279,073,479.92</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16"/>
                <w:szCs w:val="16"/>
              </w:rPr>
            </w:pPr>
            <w:r>
              <w:rPr>
                <w:rFonts w:ascii="Times New Roman"/>
                <w:spacing w:val="-1"/>
                <w:sz w:val="16"/>
              </w:rPr>
              <w:t>-279,073,479.92</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42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．对所有者（或股东）的分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配</w:t>
            </w:r>
            <w:r>
              <w:rPr>
                <w:rFonts w:ascii="宋体" w:hAnsi="宋体" w:cs="宋体" w:eastAsia="宋体" w:hint="default"/>
                <w:sz w:val="18"/>
                <w:szCs w:val="18"/>
              </w:rPr>
              <w:t> </w:t>
            </w:r>
          </w:p>
        </w:tc>
        <w:tc>
          <w:tcPr>
            <w:tcW w:w="142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left="12" w:right="0"/>
              <w:jc w:val="center"/>
              <w:rPr>
                <w:rFonts w:ascii="Times New Roman" w:hAnsi="Times New Roman" w:cs="Times New Roman" w:eastAsia="Times New Roman" w:hint="default"/>
                <w:sz w:val="16"/>
                <w:szCs w:val="16"/>
              </w:rPr>
            </w:pPr>
            <w:r>
              <w:rPr>
                <w:rFonts w:ascii="Times New Roman"/>
                <w:sz w:val="16"/>
              </w:rPr>
              <w:t>-279,073,479.92</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8"/>
              <w:jc w:val="right"/>
              <w:rPr>
                <w:rFonts w:ascii="Times New Roman" w:hAnsi="Times New Roman" w:cs="Times New Roman" w:eastAsia="Times New Roman" w:hint="default"/>
                <w:sz w:val="16"/>
                <w:szCs w:val="16"/>
              </w:rPr>
            </w:pPr>
            <w:r>
              <w:rPr>
                <w:rFonts w:ascii="Times New Roman"/>
                <w:spacing w:val="-1"/>
                <w:sz w:val="16"/>
              </w:rPr>
              <w:t>-279,073,479.92</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42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82" w:footer="1195" w:top="1120" w:bottom="1380" w:left="1360" w:right="1280"/>
        </w:sectPr>
      </w:pPr>
    </w:p>
    <w:p>
      <w:pPr>
        <w:spacing w:line="240" w:lineRule="auto" w:before="7"/>
        <w:rPr>
          <w:rFonts w:ascii="宋体" w:hAnsi="宋体" w:cs="宋体" w:eastAsia="宋体" w:hint="default"/>
          <w:sz w:val="11"/>
          <w:szCs w:val="11"/>
        </w:rPr>
      </w:pPr>
    </w:p>
    <w:tbl>
      <w:tblPr>
        <w:tblW w:w="0" w:type="auto"/>
        <w:jc w:val="left"/>
        <w:tblInd w:w="120" w:type="dxa"/>
        <w:tblLayout w:type="fixed"/>
        <w:tblCellMar>
          <w:top w:w="0" w:type="dxa"/>
          <w:left w:w="0" w:type="dxa"/>
          <w:bottom w:w="0" w:type="dxa"/>
          <w:right w:w="0" w:type="dxa"/>
        </w:tblCellMar>
        <w:tblLook w:val="01E0"/>
      </w:tblPr>
      <w:tblGrid>
        <w:gridCol w:w="2396"/>
        <w:gridCol w:w="1426"/>
        <w:gridCol w:w="425"/>
        <w:gridCol w:w="566"/>
        <w:gridCol w:w="569"/>
        <w:gridCol w:w="1416"/>
        <w:gridCol w:w="1277"/>
        <w:gridCol w:w="850"/>
        <w:gridCol w:w="708"/>
        <w:gridCol w:w="1419"/>
        <w:gridCol w:w="1277"/>
        <w:gridCol w:w="1579"/>
      </w:tblGrid>
      <w:tr>
        <w:trPr>
          <w:trHeight w:val="24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r>
              <w:rPr>
                <w:rFonts w:ascii="宋体" w:hAnsi="宋体" w:cs="宋体" w:eastAsia="宋体" w:hint="default"/>
                <w:sz w:val="18"/>
                <w:szCs w:val="18"/>
              </w:rPr>
              <w:t> </w:t>
            </w:r>
          </w:p>
        </w:tc>
        <w:tc>
          <w:tcPr>
            <w:tcW w:w="142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．资本公积转增资本（或股</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42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．盈余公积转增资本（或股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42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42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72"/>
                <w:sz w:val="18"/>
                <w:szCs w:val="18"/>
              </w:rPr>
              <w:t>．</w:t>
            </w:r>
            <w:r>
              <w:rPr>
                <w:rFonts w:ascii="宋体" w:hAnsi="宋体" w:cs="宋体" w:eastAsia="宋体" w:hint="default"/>
                <w:sz w:val="18"/>
                <w:szCs w:val="18"/>
              </w:rPr>
              <w:t>设定受益计划变动额结转</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142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5</w:t>
            </w:r>
            <w:r>
              <w:rPr>
                <w:rFonts w:ascii="宋体" w:hAnsi="宋体" w:cs="宋体" w:eastAsia="宋体" w:hint="default"/>
                <w:spacing w:val="-72"/>
                <w:sz w:val="18"/>
                <w:szCs w:val="18"/>
              </w:rPr>
              <w:t>．</w:t>
            </w:r>
            <w:r>
              <w:rPr>
                <w:rFonts w:ascii="宋体" w:hAnsi="宋体" w:cs="宋体" w:eastAsia="宋体" w:hint="default"/>
                <w:sz w:val="18"/>
                <w:szCs w:val="18"/>
              </w:rPr>
              <w:t>其他综合收益结转留存收</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z w:val="18"/>
                <w:szCs w:val="18"/>
              </w:rPr>
              <w:t> </w:t>
            </w:r>
          </w:p>
        </w:tc>
        <w:tc>
          <w:tcPr>
            <w:tcW w:w="142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42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42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42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426" w:type="dxa"/>
            <w:tcBorders>
              <w:top w:val="single" w:sz="6" w:space="0" w:color="000000"/>
              <w:left w:val="single" w:sz="6" w:space="0" w:color="000000"/>
              <w:bottom w:val="single" w:sz="6" w:space="0" w:color="000000"/>
              <w:right w:val="single" w:sz="4" w:space="0" w:color="000000"/>
            </w:tcBorders>
          </w:tcPr>
          <w:p>
            <w:pP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42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16"/>
                <w:szCs w:val="16"/>
              </w:rPr>
            </w:pPr>
            <w:r>
              <w:rPr>
                <w:rFonts w:ascii="Times New Roman"/>
                <w:spacing w:val="-1"/>
                <w:sz w:val="16"/>
              </w:rPr>
              <w:t>199,338,200.00</w:t>
            </w: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8"/>
              <w:jc w:val="right"/>
              <w:rPr>
                <w:rFonts w:ascii="Times New Roman" w:hAnsi="Times New Roman" w:cs="Times New Roman" w:eastAsia="Times New Roman" w:hint="default"/>
                <w:sz w:val="16"/>
                <w:szCs w:val="16"/>
              </w:rPr>
            </w:pPr>
            <w:r>
              <w:rPr>
                <w:rFonts w:ascii="Times New Roman"/>
                <w:spacing w:val="-1"/>
                <w:sz w:val="16"/>
              </w:rPr>
              <w:t>199,338,200.00</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42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6"/>
                <w:szCs w:val="16"/>
              </w:rPr>
            </w:pPr>
            <w:r>
              <w:rPr>
                <w:rFonts w:ascii="Times New Roman"/>
                <w:spacing w:val="-1"/>
                <w:sz w:val="16"/>
              </w:rPr>
              <w:t>866,298,784.00</w:t>
            </w:r>
          </w:p>
        </w:tc>
        <w:tc>
          <w:tcPr>
            <w:tcW w:w="425"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0" w:right="0"/>
              <w:jc w:val="left"/>
              <w:rPr>
                <w:rFonts w:ascii="Times New Roman" w:hAnsi="Times New Roman" w:cs="Times New Roman" w:eastAsia="Times New Roman" w:hint="default"/>
                <w:sz w:val="16"/>
                <w:szCs w:val="16"/>
              </w:rPr>
            </w:pPr>
            <w:r>
              <w:rPr>
                <w:rFonts w:ascii="Times New Roman"/>
                <w:sz w:val="16"/>
              </w:rPr>
              <w:t>2,487,058,915.53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60" w:right="0"/>
              <w:jc w:val="left"/>
              <w:rPr>
                <w:rFonts w:ascii="Times New Roman" w:hAnsi="Times New Roman" w:cs="Times New Roman" w:eastAsia="Times New Roman" w:hint="default"/>
                <w:sz w:val="16"/>
                <w:szCs w:val="16"/>
              </w:rPr>
            </w:pPr>
            <w:r>
              <w:rPr>
                <w:rFonts w:ascii="Times New Roman"/>
                <w:sz w:val="16"/>
              </w:rPr>
              <w:t>174,824,068.42</w:t>
            </w:r>
          </w:p>
        </w:tc>
        <w:tc>
          <w:tcPr>
            <w:tcW w:w="85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86" w:right="0"/>
              <w:jc w:val="left"/>
              <w:rPr>
                <w:rFonts w:ascii="Times New Roman" w:hAnsi="Times New Roman" w:cs="Times New Roman" w:eastAsia="Times New Roman" w:hint="default"/>
                <w:sz w:val="16"/>
                <w:szCs w:val="16"/>
              </w:rPr>
            </w:pPr>
            <w:r>
              <w:rPr>
                <w:rFonts w:ascii="Times New Roman"/>
                <w:sz w:val="16"/>
              </w:rPr>
              <w:t>97,970,211.84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9" w:right="0"/>
              <w:jc w:val="left"/>
              <w:rPr>
                <w:rFonts w:ascii="Times New Roman" w:hAnsi="Times New Roman" w:cs="Times New Roman" w:eastAsia="Times New Roman" w:hint="default"/>
                <w:sz w:val="16"/>
                <w:szCs w:val="16"/>
              </w:rPr>
            </w:pPr>
            <w:r>
              <w:rPr>
                <w:rFonts w:ascii="Times New Roman"/>
                <w:sz w:val="16"/>
              </w:rPr>
              <w:t>-52,065,686.98</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8"/>
              <w:jc w:val="right"/>
              <w:rPr>
                <w:rFonts w:ascii="Times New Roman" w:hAnsi="Times New Roman" w:cs="Times New Roman" w:eastAsia="Times New Roman" w:hint="default"/>
                <w:sz w:val="16"/>
                <w:szCs w:val="16"/>
              </w:rPr>
            </w:pPr>
            <w:r>
              <w:rPr>
                <w:rFonts w:ascii="Times New Roman"/>
                <w:spacing w:val="-1"/>
                <w:sz w:val="16"/>
              </w:rPr>
              <w:t>3,224,438,155.97</w:t>
            </w:r>
          </w:p>
        </w:tc>
      </w:tr>
    </w:tbl>
    <w:p>
      <w:pPr>
        <w:spacing w:line="240" w:lineRule="auto" w:before="3"/>
        <w:rPr>
          <w:rFonts w:ascii="宋体" w:hAnsi="宋体" w:cs="宋体" w:eastAsia="宋体" w:hint="default"/>
          <w:sz w:val="11"/>
          <w:szCs w:val="11"/>
        </w:rPr>
      </w:pPr>
    </w:p>
    <w:p>
      <w:pPr>
        <w:pStyle w:val="BodyText"/>
        <w:spacing w:line="240" w:lineRule="auto" w:before="61"/>
        <w:ind w:left="144" w:right="0"/>
        <w:jc w:val="left"/>
        <w:rPr>
          <w:rFonts w:ascii="宋体" w:hAnsi="宋体" w:cs="宋体" w:eastAsia="宋体" w:hint="default"/>
          <w:sz w:val="24"/>
          <w:szCs w:val="24"/>
        </w:rPr>
      </w:pPr>
      <w:r>
        <w:rPr/>
        <w:t>法定代表人：杨剑                                     </w:t>
      </w:r>
      <w:r>
        <w:rPr>
          <w:rFonts w:ascii="宋体" w:hAnsi="宋体" w:cs="宋体" w:eastAsia="宋体" w:hint="default"/>
        </w:rPr>
      </w:r>
      <w:r>
        <w:rPr/>
        <w:t>主管会计工作负责人：朱宇华                            </w:t>
      </w:r>
      <w:r>
        <w:rPr>
          <w:spacing w:val="80"/>
        </w:rPr>
        <w:t> </w:t>
      </w:r>
      <w:r>
        <w:rPr>
          <w:rFonts w:ascii="宋体" w:hAnsi="宋体" w:cs="宋体" w:eastAsia="宋体" w:hint="default"/>
          <w:spacing w:val="80"/>
        </w:rPr>
      </w:r>
      <w:r>
        <w:rPr/>
        <w:t>会计机构负责人：熊美福</w:t>
      </w:r>
      <w:r>
        <w:rPr>
          <w:rFonts w:ascii="宋体" w:hAnsi="宋体" w:cs="宋体" w:eastAsia="宋体" w:hint="default"/>
          <w:b/>
          <w:bCs/>
          <w:color w:val="FF0000"/>
          <w:w w:val="99"/>
          <w:sz w:val="24"/>
          <w:szCs w:val="24"/>
        </w:rPr>
        <w:t> </w:t>
      </w:r>
      <w:r>
        <w:rPr>
          <w:rFonts w:ascii="宋体" w:hAnsi="宋体" w:cs="宋体" w:eastAsia="宋体" w:hint="default"/>
          <w:sz w:val="24"/>
          <w:szCs w:val="24"/>
        </w:rPr>
      </w:r>
    </w:p>
    <w:p>
      <w:pPr>
        <w:spacing w:after="0" w:line="240" w:lineRule="auto"/>
        <w:jc w:val="left"/>
        <w:rPr>
          <w:rFonts w:ascii="宋体" w:hAnsi="宋体" w:cs="宋体" w:eastAsia="宋体" w:hint="default"/>
          <w:sz w:val="24"/>
          <w:szCs w:val="24"/>
        </w:rPr>
        <w:sectPr>
          <w:pgSz w:w="16840" w:h="11910" w:orient="landscape"/>
          <w:pgMar w:header="882" w:footer="1195" w:top="1120" w:bottom="1380" w:left="1380" w:right="1300"/>
        </w:sectPr>
      </w:pPr>
    </w:p>
    <w:p>
      <w:pPr>
        <w:spacing w:line="240" w:lineRule="auto" w:before="3"/>
        <w:rPr>
          <w:rFonts w:ascii="宋体" w:hAnsi="宋体" w:cs="宋体" w:eastAsia="宋体" w:hint="default"/>
          <w:b/>
          <w:bCs/>
          <w:sz w:val="23"/>
          <w:szCs w:val="23"/>
        </w:rPr>
      </w:pPr>
    </w:p>
    <w:p>
      <w:pPr>
        <w:pStyle w:val="Heading5"/>
        <w:tabs>
          <w:tab w:pos="557" w:val="left" w:leader="none"/>
        </w:tabs>
        <w:spacing w:line="290" w:lineRule="auto" w:before="36"/>
        <w:ind w:left="136" w:right="7152"/>
        <w:jc w:val="left"/>
        <w:rPr>
          <w:b w:val="0"/>
          <w:bCs w:val="0"/>
        </w:rPr>
      </w:pPr>
      <w:r>
        <w:rPr/>
        <w:t>三、</w:t>
      </w:r>
      <w:r>
        <w:rPr>
          <w:spacing w:val="-105"/>
        </w:rPr>
        <w:t> </w:t>
      </w:r>
      <w:r>
        <w:rPr>
          <w:rFonts w:ascii="宋体" w:hAnsi="宋体" w:cs="宋体" w:eastAsia="宋体" w:hint="default"/>
          <w:spacing w:val="-105"/>
        </w:rPr>
      </w:r>
      <w:r>
        <w:rPr/>
        <w:t>公司基本情况</w:t>
      </w:r>
      <w:r>
        <w:rPr>
          <w:rFonts w:ascii="宋体" w:hAnsi="宋体" w:cs="宋体" w:eastAsia="宋体" w:hint="default"/>
          <w:w w:val="99"/>
        </w:rPr>
        <w:t> </w:t>
      </w:r>
      <w:r>
        <w:rPr>
          <w:rFonts w:ascii="宋体" w:hAnsi="宋体" w:cs="宋体" w:eastAsia="宋体" w:hint="default"/>
          <w:w w:val="95"/>
        </w:rPr>
        <w:t>1.</w:t>
        <w:tab/>
      </w:r>
      <w:r>
        <w:rPr/>
        <w:t>公司概况</w:t>
      </w:r>
      <w:r>
        <w:rPr>
          <w:b w:val="0"/>
          <w:bCs w:val="0"/>
        </w:rPr>
      </w:r>
    </w:p>
    <w:p>
      <w:pPr>
        <w:pStyle w:val="Heading3"/>
        <w:spacing w:line="240" w:lineRule="auto" w:before="8"/>
        <w:ind w:left="136" w:right="0"/>
        <w:jc w:val="left"/>
        <w:rPr>
          <w:rFonts w:ascii="宋体" w:hAnsi="宋体" w:cs="宋体" w:eastAsia="宋体" w:hint="default"/>
        </w:rPr>
      </w:pPr>
      <w:r>
        <w:rPr/>
        <w:t>√适用□不适用</w:t>
      </w:r>
      <w:r>
        <w:rPr>
          <w:rFonts w:ascii="宋体" w:hAnsi="宋体" w:cs="宋体" w:eastAsia="宋体" w:hint="default"/>
        </w:rPr>
        <w:t>  </w:t>
      </w:r>
    </w:p>
    <w:p>
      <w:pPr>
        <w:pStyle w:val="BodyText"/>
        <w:spacing w:line="272" w:lineRule="exact" w:before="32"/>
        <w:ind w:left="557" w:right="0"/>
        <w:jc w:val="left"/>
      </w:pPr>
      <w:r>
        <w:rPr/>
        <w:t>（一）企业历史沿革、注册地、组织形式和总部地址</w:t>
      </w:r>
      <w:r>
        <w:rPr>
          <w:rFonts w:ascii="宋体" w:hAnsi="宋体" w:cs="宋体" w:eastAsia="宋体" w:hint="default"/>
          <w:w w:val="100"/>
        </w:rPr>
        <w:t> </w:t>
      </w:r>
      <w:r>
        <w:rPr>
          <w:spacing w:val="-2"/>
        </w:rPr>
        <w:t>泰豪科技股份有限公司（以下简称“本公司”或“公司”）系经江西省股份制改革和股票发</w:t>
      </w:r>
    </w:p>
    <w:p>
      <w:pPr>
        <w:pStyle w:val="BodyText"/>
        <w:spacing w:line="272" w:lineRule="exact" w:before="1"/>
        <w:ind w:right="0"/>
        <w:jc w:val="left"/>
        <w:rPr>
          <w:rFonts w:ascii="宋体" w:hAnsi="宋体" w:cs="宋体" w:eastAsia="宋体" w:hint="default"/>
        </w:rPr>
      </w:pPr>
      <w:r>
        <w:rPr/>
        <w:t>行联审小组以赣股</w:t>
      </w:r>
      <w:r>
        <w:rPr>
          <w:rFonts w:ascii="宋体" w:hAnsi="宋体" w:cs="宋体" w:eastAsia="宋体" w:hint="default"/>
        </w:rPr>
        <w:t>[1999]11</w:t>
      </w:r>
      <w:r>
        <w:rPr>
          <w:rFonts w:ascii="宋体" w:hAnsi="宋体" w:cs="宋体" w:eastAsia="宋体" w:hint="default"/>
          <w:spacing w:val="-25"/>
        </w:rPr>
        <w:t> </w:t>
      </w:r>
      <w:r>
        <w:rPr>
          <w:spacing w:val="-3"/>
        </w:rPr>
        <w:t>号文批准，由同方股份有限公司、泰豪集团有限公司等六家企业发起</w:t>
      </w:r>
      <w:r>
        <w:rPr>
          <w:spacing w:val="-94"/>
        </w:rPr>
        <w:t> </w:t>
      </w:r>
      <w:r>
        <w:rPr>
          <w:spacing w:val="-94"/>
        </w:rPr>
      </w:r>
      <w:r>
        <w:rPr/>
        <w:t>设立的股份有限公司。公司股票于</w:t>
      </w:r>
      <w:r>
        <w:rPr>
          <w:spacing w:val="-53"/>
        </w:rPr>
        <w:t> </w:t>
      </w:r>
      <w:r>
        <w:rPr>
          <w:rFonts w:ascii="宋体" w:hAnsi="宋体" w:cs="宋体" w:eastAsia="宋体" w:hint="default"/>
        </w:rPr>
        <w:t>2002</w:t>
      </w:r>
      <w:r>
        <w:rPr>
          <w:rFonts w:ascii="宋体" w:hAnsi="宋体" w:cs="宋体" w:eastAsia="宋体" w:hint="default"/>
          <w:spacing w:val="-56"/>
        </w:rPr>
        <w:t> </w:t>
      </w:r>
      <w:r>
        <w:rPr/>
        <w:t>年</w:t>
      </w:r>
      <w:r>
        <w:rPr>
          <w:spacing w:val="-54"/>
        </w:rPr>
        <w:t> </w:t>
      </w:r>
      <w:r>
        <w:rPr>
          <w:rFonts w:ascii="宋体" w:hAnsi="宋体" w:cs="宋体" w:eastAsia="宋体" w:hint="default"/>
        </w:rPr>
        <w:t>7</w:t>
      </w:r>
      <w:r>
        <w:rPr>
          <w:rFonts w:ascii="宋体" w:hAnsi="宋体" w:cs="宋体" w:eastAsia="宋体" w:hint="default"/>
          <w:spacing w:val="-56"/>
        </w:rPr>
        <w:t> </w:t>
      </w:r>
      <w:r>
        <w:rPr/>
        <w:t>月</w:t>
      </w:r>
      <w:r>
        <w:rPr>
          <w:spacing w:val="-54"/>
        </w:rPr>
        <w:t> </w:t>
      </w:r>
      <w:r>
        <w:rPr>
          <w:rFonts w:ascii="宋体" w:hAnsi="宋体" w:cs="宋体" w:eastAsia="宋体" w:hint="default"/>
        </w:rPr>
        <w:t>3</w:t>
      </w:r>
      <w:r>
        <w:rPr>
          <w:rFonts w:ascii="宋体" w:hAnsi="宋体" w:cs="宋体" w:eastAsia="宋体" w:hint="default"/>
          <w:spacing w:val="-56"/>
        </w:rPr>
        <w:t> </w:t>
      </w:r>
      <w:r>
        <w:rPr/>
        <w:t>日在上海证券交易所挂牌交易。</w:t>
      </w:r>
      <w:r>
        <w:rPr>
          <w:rFonts w:ascii="宋体" w:hAnsi="宋体" w:cs="宋体" w:eastAsia="宋体" w:hint="default"/>
        </w:rPr>
        <w:t> </w:t>
      </w:r>
    </w:p>
    <w:p>
      <w:pPr>
        <w:pStyle w:val="BodyText"/>
        <w:spacing w:line="247" w:lineRule="exact"/>
        <w:ind w:left="557" w:right="0"/>
        <w:jc w:val="left"/>
      </w:pPr>
      <w:r>
        <w:rPr>
          <w:rFonts w:ascii="宋体" w:hAnsi="宋体" w:cs="宋体" w:eastAsia="宋体" w:hint="default"/>
        </w:rPr>
        <w:t>2009</w:t>
      </w:r>
      <w:r>
        <w:rPr>
          <w:rFonts w:ascii="宋体" w:hAnsi="宋体" w:cs="宋体" w:eastAsia="宋体" w:hint="default"/>
          <w:spacing w:val="-47"/>
        </w:rPr>
        <w:t> </w:t>
      </w:r>
      <w:r>
        <w:rPr/>
        <w:t>年</w:t>
      </w:r>
      <w:r>
        <w:rPr>
          <w:spacing w:val="-44"/>
        </w:rPr>
        <w:t> </w:t>
      </w:r>
      <w:r>
        <w:rPr>
          <w:rFonts w:ascii="宋体" w:hAnsi="宋体" w:cs="宋体" w:eastAsia="宋体" w:hint="default"/>
        </w:rPr>
        <w:t>7</w:t>
      </w:r>
      <w:r>
        <w:rPr>
          <w:rFonts w:ascii="宋体" w:hAnsi="宋体" w:cs="宋体" w:eastAsia="宋体" w:hint="default"/>
          <w:spacing w:val="-47"/>
        </w:rPr>
        <w:t> </w:t>
      </w:r>
      <w:r>
        <w:rPr/>
        <w:t>月</w:t>
      </w:r>
      <w:r>
        <w:rPr>
          <w:spacing w:val="-44"/>
        </w:rPr>
        <w:t> </w:t>
      </w:r>
      <w:r>
        <w:rPr>
          <w:rFonts w:ascii="宋体" w:hAnsi="宋体" w:cs="宋体" w:eastAsia="宋体" w:hint="default"/>
        </w:rPr>
        <w:t>21</w:t>
      </w:r>
      <w:r>
        <w:rPr>
          <w:rFonts w:ascii="宋体" w:hAnsi="宋体" w:cs="宋体" w:eastAsia="宋体" w:hint="default"/>
          <w:spacing w:val="-47"/>
        </w:rPr>
        <w:t> </w:t>
      </w:r>
      <w:r>
        <w:rPr>
          <w:spacing w:val="-3"/>
        </w:rPr>
        <w:t>日，经中国证券监督管理委员会“证监许可</w:t>
      </w:r>
      <w:r>
        <w:rPr>
          <w:rFonts w:ascii="宋体" w:hAnsi="宋体" w:cs="宋体" w:eastAsia="宋体" w:hint="default"/>
          <w:spacing w:val="-3"/>
        </w:rPr>
        <w:t>[2009]670</w:t>
      </w:r>
      <w:r>
        <w:rPr>
          <w:rFonts w:ascii="宋体" w:hAnsi="宋体" w:cs="宋体" w:eastAsia="宋体" w:hint="default"/>
          <w:spacing w:val="-44"/>
        </w:rPr>
        <w:t> </w:t>
      </w:r>
      <w:r>
        <w:rPr>
          <w:spacing w:val="-6"/>
        </w:rPr>
        <w:t>号”文件核准，公司以</w:t>
      </w:r>
    </w:p>
    <w:p>
      <w:pPr>
        <w:pStyle w:val="BodyText"/>
        <w:spacing w:line="272" w:lineRule="exact"/>
        <w:ind w:right="0"/>
        <w:jc w:val="left"/>
      </w:pPr>
      <w:r>
        <w:rPr/>
        <w:t>总股本</w:t>
      </w:r>
      <w:r>
        <w:rPr>
          <w:spacing w:val="-51"/>
        </w:rPr>
        <w:t> </w:t>
      </w:r>
      <w:r>
        <w:rPr>
          <w:rFonts w:ascii="宋体" w:hAnsi="宋体" w:cs="宋体" w:eastAsia="宋体" w:hint="default"/>
        </w:rPr>
        <w:t>294,495,615</w:t>
      </w:r>
      <w:r>
        <w:rPr>
          <w:rFonts w:ascii="宋体" w:hAnsi="宋体" w:cs="宋体" w:eastAsia="宋体" w:hint="default"/>
          <w:spacing w:val="-54"/>
        </w:rPr>
        <w:t> </w:t>
      </w:r>
      <w:r>
        <w:rPr/>
        <w:t>股为基数，按每</w:t>
      </w:r>
      <w:r>
        <w:rPr>
          <w:spacing w:val="-51"/>
        </w:rPr>
        <w:t> </w:t>
      </w:r>
      <w:r>
        <w:rPr>
          <w:rFonts w:ascii="宋体" w:hAnsi="宋体" w:cs="宋体" w:eastAsia="宋体" w:hint="default"/>
        </w:rPr>
        <w:t>10</w:t>
      </w:r>
      <w:r>
        <w:rPr>
          <w:rFonts w:ascii="宋体" w:hAnsi="宋体" w:cs="宋体" w:eastAsia="宋体" w:hint="default"/>
          <w:spacing w:val="-51"/>
        </w:rPr>
        <w:t> </w:t>
      </w:r>
      <w:r>
        <w:rPr/>
        <w:t>股配</w:t>
      </w:r>
      <w:r>
        <w:rPr>
          <w:spacing w:val="-54"/>
        </w:rPr>
        <w:t> </w:t>
      </w:r>
      <w:r>
        <w:rPr>
          <w:rFonts w:ascii="宋体" w:hAnsi="宋体" w:cs="宋体" w:eastAsia="宋体" w:hint="default"/>
        </w:rPr>
        <w:t>3</w:t>
      </w:r>
      <w:r>
        <w:rPr>
          <w:rFonts w:ascii="宋体" w:hAnsi="宋体" w:cs="宋体" w:eastAsia="宋体" w:hint="default"/>
          <w:spacing w:val="-51"/>
        </w:rPr>
        <w:t> </w:t>
      </w:r>
      <w:r>
        <w:rPr/>
        <w:t>股的比例向股东配售，共配股</w:t>
      </w:r>
      <w:r>
        <w:rPr>
          <w:spacing w:val="-54"/>
        </w:rPr>
        <w:t> </w:t>
      </w:r>
      <w:r>
        <w:rPr>
          <w:rFonts w:ascii="宋体" w:hAnsi="宋体" w:cs="宋体" w:eastAsia="宋体" w:hint="default"/>
        </w:rPr>
        <w:t>84,942,478</w:t>
      </w:r>
      <w:r>
        <w:rPr>
          <w:rFonts w:ascii="宋体" w:hAnsi="宋体" w:cs="宋体" w:eastAsia="宋体" w:hint="default"/>
          <w:spacing w:val="-51"/>
        </w:rPr>
        <w:t> </w:t>
      </w:r>
      <w:r>
        <w:rPr/>
        <w:t>股，配</w:t>
      </w:r>
    </w:p>
    <w:p>
      <w:pPr>
        <w:pStyle w:val="BodyText"/>
        <w:spacing w:line="272" w:lineRule="exact"/>
        <w:ind w:right="0"/>
        <w:jc w:val="left"/>
        <w:rPr>
          <w:rFonts w:ascii="宋体" w:hAnsi="宋体" w:cs="宋体" w:eastAsia="宋体" w:hint="default"/>
        </w:rPr>
      </w:pPr>
      <w:r>
        <w:rPr/>
        <w:t>股完成后公司注册资本变更为</w:t>
      </w:r>
      <w:r>
        <w:rPr>
          <w:spacing w:val="-53"/>
        </w:rPr>
        <w:t> </w:t>
      </w:r>
      <w:r>
        <w:rPr>
          <w:rFonts w:ascii="宋体" w:hAnsi="宋体" w:cs="宋体" w:eastAsia="宋体" w:hint="default"/>
        </w:rPr>
        <w:t>379,438,093.00</w:t>
      </w:r>
      <w:r>
        <w:rPr>
          <w:rFonts w:ascii="宋体" w:hAnsi="宋体" w:cs="宋体" w:eastAsia="宋体" w:hint="default"/>
          <w:spacing w:val="-54"/>
        </w:rPr>
        <w:t> </w:t>
      </w:r>
      <w:r>
        <w:rPr>
          <w:spacing w:val="-3"/>
        </w:rPr>
        <w:t>元。</w:t>
      </w:r>
      <w:r>
        <w:rPr>
          <w:rFonts w:ascii="宋体" w:hAnsi="宋体" w:cs="宋体" w:eastAsia="宋体" w:hint="default"/>
        </w:rPr>
        <w:t> </w:t>
      </w:r>
    </w:p>
    <w:p>
      <w:pPr>
        <w:pStyle w:val="BodyText"/>
        <w:spacing w:line="271" w:lineRule="exact"/>
        <w:ind w:left="557" w:right="0"/>
        <w:jc w:val="left"/>
      </w:pPr>
      <w:r>
        <w:rPr>
          <w:rFonts w:ascii="宋体" w:hAnsi="宋体" w:cs="宋体" w:eastAsia="宋体" w:hint="default"/>
          <w:w w:val="100"/>
        </w:rPr>
        <w:t>2010</w:t>
      </w:r>
      <w:r>
        <w:rPr>
          <w:rFonts w:ascii="宋体" w:hAnsi="宋体" w:cs="宋体" w:eastAsia="宋体" w:hint="default"/>
          <w:spacing w:val="-70"/>
        </w:rPr>
        <w:t> </w:t>
      </w:r>
      <w:r>
        <w:rPr>
          <w:w w:val="100"/>
        </w:rPr>
        <w:t>年</w:t>
      </w:r>
      <w:r>
        <w:rPr>
          <w:spacing w:val="-69"/>
        </w:rPr>
        <w:t> </w:t>
      </w:r>
      <w:r>
        <w:rPr>
          <w:rFonts w:ascii="宋体" w:hAnsi="宋体" w:cs="宋体" w:eastAsia="宋体" w:hint="default"/>
          <w:w w:val="100"/>
        </w:rPr>
        <w:t>5</w:t>
      </w:r>
      <w:r>
        <w:rPr>
          <w:rFonts w:ascii="宋体" w:hAnsi="宋体" w:cs="宋体" w:eastAsia="宋体" w:hint="default"/>
          <w:spacing w:val="-69"/>
        </w:rPr>
        <w:t> </w:t>
      </w:r>
      <w:r>
        <w:rPr>
          <w:w w:val="100"/>
        </w:rPr>
        <w:t>月</w:t>
      </w:r>
      <w:r>
        <w:rPr>
          <w:spacing w:val="-72"/>
        </w:rPr>
        <w:t> </w:t>
      </w:r>
      <w:r>
        <w:rPr>
          <w:rFonts w:ascii="宋体" w:hAnsi="宋体" w:cs="宋体" w:eastAsia="宋体" w:hint="default"/>
          <w:w w:val="100"/>
        </w:rPr>
        <w:t>21</w:t>
      </w:r>
      <w:r>
        <w:rPr>
          <w:rFonts w:ascii="宋体" w:hAnsi="宋体" w:cs="宋体" w:eastAsia="宋体" w:hint="default"/>
          <w:spacing w:val="-69"/>
        </w:rPr>
        <w:t> </w:t>
      </w:r>
      <w:r>
        <w:rPr>
          <w:spacing w:val="-3"/>
          <w:w w:val="100"/>
        </w:rPr>
        <w:t>日</w:t>
      </w:r>
      <w:r>
        <w:rPr>
          <w:spacing w:val="-106"/>
          <w:w w:val="100"/>
        </w:rPr>
        <w:t>，</w:t>
      </w:r>
      <w:r>
        <w:rPr>
          <w:spacing w:val="-3"/>
          <w:w w:val="100"/>
        </w:rPr>
        <w:t>公</w:t>
      </w:r>
      <w:r>
        <w:rPr>
          <w:w w:val="100"/>
        </w:rPr>
        <w:t>司</w:t>
      </w:r>
      <w:r>
        <w:rPr>
          <w:spacing w:val="-3"/>
          <w:w w:val="100"/>
        </w:rPr>
        <w:t>根</w:t>
      </w:r>
      <w:r>
        <w:rPr>
          <w:w w:val="100"/>
        </w:rPr>
        <w:t>据</w:t>
      </w:r>
      <w:r>
        <w:rPr>
          <w:spacing w:val="-69"/>
        </w:rPr>
        <w:t> </w:t>
      </w:r>
      <w:r>
        <w:rPr>
          <w:rFonts w:ascii="宋体" w:hAnsi="宋体" w:cs="宋体" w:eastAsia="宋体" w:hint="default"/>
          <w:w w:val="100"/>
        </w:rPr>
        <w:t>2009</w:t>
      </w:r>
      <w:r>
        <w:rPr>
          <w:rFonts w:ascii="宋体" w:hAnsi="宋体" w:cs="宋体" w:eastAsia="宋体" w:hint="default"/>
          <w:spacing w:val="-72"/>
        </w:rPr>
        <w:t> </w:t>
      </w:r>
      <w:r>
        <w:rPr>
          <w:w w:val="100"/>
        </w:rPr>
        <w:t>年</w:t>
      </w:r>
      <w:r>
        <w:rPr>
          <w:spacing w:val="-3"/>
          <w:w w:val="100"/>
        </w:rPr>
        <w:t>度</w:t>
      </w:r>
      <w:r>
        <w:rPr>
          <w:w w:val="100"/>
        </w:rPr>
        <w:t>股</w:t>
      </w:r>
      <w:r>
        <w:rPr>
          <w:spacing w:val="-3"/>
          <w:w w:val="100"/>
        </w:rPr>
        <w:t>东</w:t>
      </w:r>
      <w:r>
        <w:rPr>
          <w:w w:val="100"/>
        </w:rPr>
        <w:t>大</w:t>
      </w:r>
      <w:r>
        <w:rPr>
          <w:spacing w:val="-3"/>
          <w:w w:val="100"/>
        </w:rPr>
        <w:t>会</w:t>
      </w:r>
      <w:r>
        <w:rPr>
          <w:w w:val="100"/>
        </w:rPr>
        <w:t>决</w:t>
      </w:r>
      <w:r>
        <w:rPr>
          <w:spacing w:val="-3"/>
          <w:w w:val="100"/>
        </w:rPr>
        <w:t>议</w:t>
      </w:r>
      <w:r>
        <w:rPr>
          <w:w w:val="100"/>
        </w:rPr>
        <w:t>以资</w:t>
      </w:r>
      <w:r>
        <w:rPr>
          <w:spacing w:val="-3"/>
          <w:w w:val="100"/>
        </w:rPr>
        <w:t>本</w:t>
      </w:r>
      <w:r>
        <w:rPr>
          <w:w w:val="100"/>
        </w:rPr>
        <w:t>公</w:t>
      </w:r>
      <w:r>
        <w:rPr>
          <w:spacing w:val="-3"/>
          <w:w w:val="100"/>
        </w:rPr>
        <w:t>积</w:t>
      </w:r>
      <w:r>
        <w:rPr>
          <w:w w:val="100"/>
        </w:rPr>
        <w:t>转</w:t>
      </w:r>
      <w:r>
        <w:rPr>
          <w:spacing w:val="-3"/>
          <w:w w:val="100"/>
        </w:rPr>
        <w:t>增</w:t>
      </w:r>
      <w:r>
        <w:rPr>
          <w:w w:val="100"/>
        </w:rPr>
        <w:t>股本</w:t>
      </w:r>
      <w:r>
        <w:rPr>
          <w:spacing w:val="-70"/>
        </w:rPr>
        <w:t> </w:t>
      </w:r>
      <w:r>
        <w:rPr>
          <w:rFonts w:ascii="宋体" w:hAnsi="宋体" w:cs="宋体" w:eastAsia="宋体" w:hint="default"/>
          <w:spacing w:val="-3"/>
          <w:w w:val="100"/>
        </w:rPr>
        <w:t>7</w:t>
      </w:r>
      <w:r>
        <w:rPr>
          <w:rFonts w:ascii="宋体" w:hAnsi="宋体" w:cs="宋体" w:eastAsia="宋体" w:hint="default"/>
          <w:w w:val="100"/>
        </w:rPr>
        <w:t>5,8</w:t>
      </w:r>
      <w:r>
        <w:rPr>
          <w:rFonts w:ascii="宋体" w:hAnsi="宋体" w:cs="宋体" w:eastAsia="宋体" w:hint="default"/>
          <w:spacing w:val="-3"/>
          <w:w w:val="100"/>
        </w:rPr>
        <w:t>8</w:t>
      </w:r>
      <w:r>
        <w:rPr>
          <w:rFonts w:ascii="宋体" w:hAnsi="宋体" w:cs="宋体" w:eastAsia="宋体" w:hint="default"/>
          <w:w w:val="100"/>
        </w:rPr>
        <w:t>7,619</w:t>
      </w:r>
      <w:r>
        <w:rPr>
          <w:rFonts w:ascii="宋体" w:hAnsi="宋体" w:cs="宋体" w:eastAsia="宋体" w:hint="default"/>
          <w:spacing w:val="-3"/>
          <w:w w:val="100"/>
        </w:rPr>
        <w:t>.</w:t>
      </w:r>
      <w:r>
        <w:rPr>
          <w:rFonts w:ascii="宋体" w:hAnsi="宋体" w:cs="宋体" w:eastAsia="宋体" w:hint="default"/>
          <w:w w:val="100"/>
        </w:rPr>
        <w:t>00</w:t>
      </w:r>
      <w:r>
        <w:rPr>
          <w:rFonts w:ascii="宋体" w:hAnsi="宋体" w:cs="宋体" w:eastAsia="宋体" w:hint="default"/>
          <w:spacing w:val="-69"/>
        </w:rPr>
        <w:t> </w:t>
      </w:r>
      <w:r>
        <w:rPr>
          <w:spacing w:val="-3"/>
          <w:w w:val="100"/>
        </w:rPr>
        <w:t>元，</w:t>
      </w:r>
      <w:r>
        <w:rPr>
          <w:w w:val="100"/>
        </w:rPr>
      </w:r>
    </w:p>
    <w:p>
      <w:pPr>
        <w:pStyle w:val="BodyText"/>
        <w:spacing w:line="272" w:lineRule="exact"/>
        <w:ind w:right="0"/>
        <w:jc w:val="left"/>
        <w:rPr>
          <w:rFonts w:ascii="宋体" w:hAnsi="宋体" w:cs="宋体" w:eastAsia="宋体" w:hint="default"/>
        </w:rPr>
      </w:pPr>
      <w:r>
        <w:rPr/>
        <w:t>转增完成后注册资本变更为</w:t>
      </w:r>
      <w:r>
        <w:rPr>
          <w:spacing w:val="-54"/>
        </w:rPr>
        <w:t> </w:t>
      </w:r>
      <w:r>
        <w:rPr>
          <w:rFonts w:ascii="宋体" w:hAnsi="宋体" w:cs="宋体" w:eastAsia="宋体" w:hint="default"/>
        </w:rPr>
        <w:t>455,325,712.00</w:t>
      </w:r>
      <w:r>
        <w:rPr>
          <w:rFonts w:ascii="宋体" w:hAnsi="宋体" w:cs="宋体" w:eastAsia="宋体" w:hint="default"/>
          <w:spacing w:val="-56"/>
        </w:rPr>
        <w:t> </w:t>
      </w:r>
      <w:r>
        <w:rPr/>
        <w:t>元。</w:t>
      </w:r>
      <w:r>
        <w:rPr>
          <w:rFonts w:ascii="宋体" w:hAnsi="宋体" w:cs="宋体" w:eastAsia="宋体" w:hint="default"/>
        </w:rPr>
        <w:t> </w:t>
      </w:r>
    </w:p>
    <w:p>
      <w:pPr>
        <w:pStyle w:val="BodyText"/>
        <w:spacing w:line="273" w:lineRule="exact"/>
        <w:ind w:left="557" w:right="0"/>
        <w:jc w:val="left"/>
      </w:pPr>
      <w:r>
        <w:rPr>
          <w:rFonts w:ascii="宋体" w:hAnsi="宋体" w:cs="宋体" w:eastAsia="宋体" w:hint="default"/>
        </w:rPr>
        <w:t>2012</w:t>
      </w:r>
      <w:r>
        <w:rPr>
          <w:rFonts w:ascii="宋体" w:hAnsi="宋体" w:cs="宋体" w:eastAsia="宋体" w:hint="default"/>
          <w:spacing w:val="-47"/>
        </w:rPr>
        <w:t> </w:t>
      </w:r>
      <w:r>
        <w:rPr/>
        <w:t>年</w:t>
      </w:r>
      <w:r>
        <w:rPr>
          <w:spacing w:val="-44"/>
        </w:rPr>
        <w:t> </w:t>
      </w:r>
      <w:r>
        <w:rPr>
          <w:rFonts w:ascii="宋体" w:hAnsi="宋体" w:cs="宋体" w:eastAsia="宋体" w:hint="default"/>
        </w:rPr>
        <w:t>4</w:t>
      </w:r>
      <w:r>
        <w:rPr>
          <w:rFonts w:ascii="宋体" w:hAnsi="宋体" w:cs="宋体" w:eastAsia="宋体" w:hint="default"/>
          <w:spacing w:val="-47"/>
        </w:rPr>
        <w:t> </w:t>
      </w:r>
      <w:r>
        <w:rPr/>
        <w:t>月</w:t>
      </w:r>
      <w:r>
        <w:rPr>
          <w:spacing w:val="-44"/>
        </w:rPr>
        <w:t> </w:t>
      </w:r>
      <w:r>
        <w:rPr>
          <w:rFonts w:ascii="宋体" w:hAnsi="宋体" w:cs="宋体" w:eastAsia="宋体" w:hint="default"/>
        </w:rPr>
        <w:t>27</w:t>
      </w:r>
      <w:r>
        <w:rPr>
          <w:rFonts w:ascii="宋体" w:hAnsi="宋体" w:cs="宋体" w:eastAsia="宋体" w:hint="default"/>
          <w:spacing w:val="-47"/>
        </w:rPr>
        <w:t> </w:t>
      </w:r>
      <w:r>
        <w:rPr>
          <w:spacing w:val="-3"/>
        </w:rPr>
        <w:t>日，经中国证券监督管理委员会“证监许可</w:t>
      </w:r>
      <w:r>
        <w:rPr>
          <w:rFonts w:ascii="宋体" w:hAnsi="宋体" w:cs="宋体" w:eastAsia="宋体" w:hint="default"/>
          <w:spacing w:val="-3"/>
        </w:rPr>
        <w:t>[2012]582</w:t>
      </w:r>
      <w:r>
        <w:rPr>
          <w:rFonts w:ascii="宋体" w:hAnsi="宋体" w:cs="宋体" w:eastAsia="宋体" w:hint="default"/>
          <w:spacing w:val="-44"/>
        </w:rPr>
        <w:t> </w:t>
      </w:r>
      <w:r>
        <w:rPr>
          <w:spacing w:val="-6"/>
        </w:rPr>
        <w:t>号”文件核准，公司分</w:t>
      </w:r>
    </w:p>
    <w:p>
      <w:pPr>
        <w:pStyle w:val="BodyText"/>
        <w:spacing w:line="273" w:lineRule="exact"/>
        <w:ind w:right="0"/>
        <w:jc w:val="left"/>
      </w:pPr>
      <w:r>
        <w:rPr>
          <w:w w:val="100"/>
        </w:rPr>
        <w:t>别向</w:t>
      </w:r>
      <w:r>
        <w:rPr>
          <w:spacing w:val="-3"/>
          <w:w w:val="100"/>
        </w:rPr>
        <w:t>泰</w:t>
      </w:r>
      <w:r>
        <w:rPr>
          <w:w w:val="100"/>
        </w:rPr>
        <w:t>豪</w:t>
      </w:r>
      <w:r>
        <w:rPr>
          <w:spacing w:val="-3"/>
          <w:w w:val="100"/>
        </w:rPr>
        <w:t>集</w:t>
      </w:r>
      <w:r>
        <w:rPr>
          <w:w w:val="100"/>
        </w:rPr>
        <w:t>团</w:t>
      </w:r>
      <w:r>
        <w:rPr>
          <w:spacing w:val="-3"/>
          <w:w w:val="100"/>
        </w:rPr>
        <w:t>有</w:t>
      </w:r>
      <w:r>
        <w:rPr>
          <w:w w:val="100"/>
        </w:rPr>
        <w:t>限</w:t>
      </w:r>
      <w:r>
        <w:rPr>
          <w:spacing w:val="-3"/>
          <w:w w:val="100"/>
        </w:rPr>
        <w:t>公司</w:t>
      </w:r>
      <w:r>
        <w:rPr>
          <w:spacing w:val="-92"/>
          <w:w w:val="100"/>
        </w:rPr>
        <w:t>、</w:t>
      </w:r>
      <w:r>
        <w:rPr>
          <w:spacing w:val="-3"/>
          <w:w w:val="100"/>
        </w:rPr>
        <w:t>江</w:t>
      </w:r>
      <w:r>
        <w:rPr>
          <w:w w:val="100"/>
        </w:rPr>
        <w:t>西赣</w:t>
      </w:r>
      <w:r>
        <w:rPr>
          <w:spacing w:val="-3"/>
          <w:w w:val="100"/>
        </w:rPr>
        <w:t>能</w:t>
      </w:r>
      <w:r>
        <w:rPr>
          <w:w w:val="100"/>
        </w:rPr>
        <w:t>股</w:t>
      </w:r>
      <w:r>
        <w:rPr>
          <w:spacing w:val="-3"/>
          <w:w w:val="100"/>
        </w:rPr>
        <w:t>份</w:t>
      </w:r>
      <w:r>
        <w:rPr>
          <w:w w:val="100"/>
        </w:rPr>
        <w:t>有</w:t>
      </w:r>
      <w:r>
        <w:rPr>
          <w:spacing w:val="-3"/>
          <w:w w:val="100"/>
        </w:rPr>
        <w:t>限</w:t>
      </w:r>
      <w:r>
        <w:rPr>
          <w:w w:val="100"/>
        </w:rPr>
        <w:t>公</w:t>
      </w:r>
      <w:r>
        <w:rPr>
          <w:spacing w:val="-3"/>
          <w:w w:val="100"/>
        </w:rPr>
        <w:t>司</w:t>
      </w:r>
      <w:r>
        <w:rPr>
          <w:w w:val="100"/>
        </w:rPr>
        <w:t>等</w:t>
      </w:r>
      <w:r>
        <w:rPr>
          <w:spacing w:val="-3"/>
          <w:w w:val="100"/>
        </w:rPr>
        <w:t>七</w:t>
      </w:r>
      <w:r>
        <w:rPr>
          <w:w w:val="100"/>
        </w:rPr>
        <w:t>位股</w:t>
      </w:r>
      <w:r>
        <w:rPr>
          <w:spacing w:val="-3"/>
          <w:w w:val="100"/>
        </w:rPr>
        <w:t>东</w:t>
      </w:r>
      <w:r>
        <w:rPr>
          <w:w w:val="100"/>
        </w:rPr>
        <w:t>定</w:t>
      </w:r>
      <w:r>
        <w:rPr>
          <w:spacing w:val="-3"/>
          <w:w w:val="100"/>
        </w:rPr>
        <w:t>向增</w:t>
      </w:r>
      <w:r>
        <w:rPr>
          <w:w w:val="100"/>
        </w:rPr>
        <w:t>发</w:t>
      </w:r>
      <w:r>
        <w:rPr>
          <w:spacing w:val="-52"/>
        </w:rPr>
        <w:t> </w:t>
      </w:r>
      <w:r>
        <w:rPr>
          <w:rFonts w:ascii="宋体" w:hAnsi="宋体" w:cs="宋体" w:eastAsia="宋体" w:hint="default"/>
          <w:w w:val="100"/>
        </w:rPr>
        <w:t>45</w:t>
      </w:r>
      <w:r>
        <w:rPr>
          <w:rFonts w:ascii="宋体" w:hAnsi="宋体" w:cs="宋体" w:eastAsia="宋体" w:hint="default"/>
          <w:spacing w:val="-3"/>
          <w:w w:val="100"/>
        </w:rPr>
        <w:t>,</w:t>
      </w:r>
      <w:r>
        <w:rPr>
          <w:rFonts w:ascii="宋体" w:hAnsi="宋体" w:cs="宋体" w:eastAsia="宋体" w:hint="default"/>
          <w:w w:val="100"/>
        </w:rPr>
        <w:t>000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53"/>
        </w:rPr>
        <w:t> </w:t>
      </w:r>
      <w:r>
        <w:rPr>
          <w:spacing w:val="-3"/>
          <w:w w:val="100"/>
        </w:rPr>
        <w:t>股</w:t>
      </w:r>
      <w:r>
        <w:rPr>
          <w:w w:val="100"/>
        </w:rPr>
        <w:t>购</w:t>
      </w:r>
      <w:r>
        <w:rPr>
          <w:spacing w:val="-3"/>
          <w:w w:val="100"/>
        </w:rPr>
        <w:t>买</w:t>
      </w:r>
      <w:r>
        <w:rPr>
          <w:w w:val="100"/>
        </w:rPr>
        <w:t>泰</w:t>
      </w:r>
      <w:r>
        <w:rPr>
          <w:spacing w:val="-3"/>
          <w:w w:val="100"/>
        </w:rPr>
        <w:t>豪</w:t>
      </w:r>
      <w:r>
        <w:rPr>
          <w:w w:val="100"/>
        </w:rPr>
        <w:t>软件</w:t>
      </w:r>
    </w:p>
    <w:p>
      <w:pPr>
        <w:pStyle w:val="BodyText"/>
        <w:spacing w:line="272" w:lineRule="exact"/>
        <w:ind w:right="0"/>
        <w:jc w:val="left"/>
        <w:rPr>
          <w:rFonts w:ascii="宋体" w:hAnsi="宋体" w:cs="宋体" w:eastAsia="宋体" w:hint="default"/>
        </w:rPr>
      </w:pPr>
      <w:r>
        <w:rPr/>
        <w:t>股份有限公司相关资产，本次增资后注册资本变更为</w:t>
      </w:r>
      <w:r>
        <w:rPr>
          <w:spacing w:val="-55"/>
        </w:rPr>
        <w:t> </w:t>
      </w:r>
      <w:r>
        <w:rPr>
          <w:rFonts w:ascii="宋体" w:hAnsi="宋体" w:cs="宋体" w:eastAsia="宋体" w:hint="default"/>
        </w:rPr>
        <w:t>500,325,712.00</w:t>
      </w:r>
      <w:r>
        <w:rPr>
          <w:rFonts w:ascii="宋体" w:hAnsi="宋体" w:cs="宋体" w:eastAsia="宋体" w:hint="default"/>
          <w:spacing w:val="-57"/>
        </w:rPr>
        <w:t> </w:t>
      </w:r>
      <w:r>
        <w:rPr/>
        <w:t>元。</w:t>
      </w:r>
      <w:r>
        <w:rPr>
          <w:rFonts w:ascii="宋体" w:hAnsi="宋体" w:cs="宋体" w:eastAsia="宋体" w:hint="default"/>
        </w:rPr>
        <w:t> </w:t>
      </w:r>
    </w:p>
    <w:p>
      <w:pPr>
        <w:pStyle w:val="BodyText"/>
        <w:spacing w:line="272" w:lineRule="exact"/>
        <w:ind w:left="557" w:right="0"/>
        <w:jc w:val="left"/>
      </w:pPr>
      <w:r>
        <w:rPr>
          <w:rFonts w:ascii="宋体" w:hAnsi="宋体" w:cs="宋体" w:eastAsia="宋体" w:hint="default"/>
        </w:rPr>
        <w:t>2014</w:t>
      </w:r>
      <w:r>
        <w:rPr>
          <w:rFonts w:ascii="宋体" w:hAnsi="宋体" w:cs="宋体" w:eastAsia="宋体" w:hint="default"/>
          <w:spacing w:val="-41"/>
        </w:rPr>
        <w:t> </w:t>
      </w:r>
      <w:r>
        <w:rPr/>
        <w:t>年</w:t>
      </w:r>
      <w:r>
        <w:rPr>
          <w:spacing w:val="-41"/>
        </w:rPr>
        <w:t> </w:t>
      </w:r>
      <w:r>
        <w:rPr>
          <w:rFonts w:ascii="宋体" w:hAnsi="宋体" w:cs="宋体" w:eastAsia="宋体" w:hint="default"/>
        </w:rPr>
        <w:t>9</w:t>
      </w:r>
      <w:r>
        <w:rPr>
          <w:rFonts w:ascii="宋体" w:hAnsi="宋体" w:cs="宋体" w:eastAsia="宋体" w:hint="default"/>
          <w:spacing w:val="-41"/>
        </w:rPr>
        <w:t> </w:t>
      </w:r>
      <w:r>
        <w:rPr/>
        <w:t>月</w:t>
      </w:r>
      <w:r>
        <w:rPr>
          <w:spacing w:val="-41"/>
        </w:rPr>
        <w:t> </w:t>
      </w:r>
      <w:r>
        <w:rPr>
          <w:rFonts w:ascii="宋体" w:hAnsi="宋体" w:cs="宋体" w:eastAsia="宋体" w:hint="default"/>
        </w:rPr>
        <w:t>22</w:t>
      </w:r>
      <w:r>
        <w:rPr>
          <w:rFonts w:ascii="宋体" w:hAnsi="宋体" w:cs="宋体" w:eastAsia="宋体" w:hint="default"/>
          <w:spacing w:val="-43"/>
        </w:rPr>
        <w:t> </w:t>
      </w:r>
      <w:r>
        <w:rPr/>
        <w:t>日，公司第五届董事会第二十一次会议审议通过《关于公司限制性股票激励</w:t>
      </w:r>
    </w:p>
    <w:p>
      <w:pPr>
        <w:pStyle w:val="BodyText"/>
        <w:spacing w:line="272" w:lineRule="exact"/>
        <w:ind w:right="0"/>
        <w:jc w:val="left"/>
      </w:pPr>
      <w:r>
        <w:rPr>
          <w:spacing w:val="-5"/>
        </w:rPr>
        <w:t>计划（草案）及其摘要的议案》，决定以定向发行新股的方式，向</w:t>
      </w:r>
      <w:r>
        <w:rPr>
          <w:spacing w:val="-42"/>
        </w:rPr>
        <w:t> </w:t>
      </w:r>
      <w:r>
        <w:rPr>
          <w:rFonts w:ascii="宋体" w:hAnsi="宋体" w:cs="宋体" w:eastAsia="宋体" w:hint="default"/>
        </w:rPr>
        <w:t>10</w:t>
      </w:r>
      <w:r>
        <w:rPr>
          <w:rFonts w:ascii="宋体" w:hAnsi="宋体" w:cs="宋体" w:eastAsia="宋体" w:hint="default"/>
          <w:spacing w:val="-43"/>
        </w:rPr>
        <w:t> </w:t>
      </w:r>
      <w:r>
        <w:rPr/>
        <w:t>名激励对象授予</w:t>
      </w:r>
      <w:r>
        <w:rPr>
          <w:spacing w:val="-42"/>
        </w:rPr>
        <w:t> </w:t>
      </w:r>
      <w:r>
        <w:rPr>
          <w:rFonts w:ascii="宋体" w:hAnsi="宋体" w:cs="宋体" w:eastAsia="宋体" w:hint="default"/>
        </w:rPr>
        <w:t>600</w:t>
      </w:r>
      <w:r>
        <w:rPr>
          <w:rFonts w:ascii="宋体" w:hAnsi="宋体" w:cs="宋体" w:eastAsia="宋体" w:hint="default"/>
          <w:spacing w:val="-43"/>
        </w:rPr>
        <w:t> </w:t>
      </w:r>
      <w:r>
        <w:rPr/>
        <w:t>万股限</w:t>
      </w:r>
    </w:p>
    <w:p>
      <w:pPr>
        <w:pStyle w:val="BodyText"/>
        <w:spacing w:line="272" w:lineRule="exact"/>
        <w:ind w:right="0"/>
        <w:jc w:val="left"/>
        <w:rPr>
          <w:rFonts w:ascii="宋体" w:hAnsi="宋体" w:cs="宋体" w:eastAsia="宋体" w:hint="default"/>
        </w:rPr>
      </w:pPr>
      <w:r>
        <w:rPr/>
        <w:t>制性股票，变更后公司股本为人民币</w:t>
      </w:r>
      <w:r>
        <w:rPr>
          <w:spacing w:val="-53"/>
        </w:rPr>
        <w:t> </w:t>
      </w:r>
      <w:r>
        <w:rPr>
          <w:rFonts w:ascii="宋体" w:hAnsi="宋体" w:cs="宋体" w:eastAsia="宋体" w:hint="default"/>
        </w:rPr>
        <w:t>506,325,712.00</w:t>
      </w:r>
      <w:r>
        <w:rPr>
          <w:rFonts w:ascii="宋体" w:hAnsi="宋体" w:cs="宋体" w:eastAsia="宋体" w:hint="default"/>
          <w:spacing w:val="-54"/>
        </w:rPr>
        <w:t> </w:t>
      </w:r>
      <w:r>
        <w:rPr>
          <w:spacing w:val="-3"/>
        </w:rPr>
        <w:t>元。</w:t>
      </w:r>
      <w:r>
        <w:rPr>
          <w:rFonts w:ascii="宋体" w:hAnsi="宋体" w:cs="宋体" w:eastAsia="宋体" w:hint="default"/>
        </w:rPr>
        <w:t> </w:t>
      </w:r>
    </w:p>
    <w:p>
      <w:pPr>
        <w:pStyle w:val="BodyText"/>
        <w:spacing w:line="272" w:lineRule="exact"/>
        <w:ind w:left="557" w:right="0"/>
        <w:jc w:val="left"/>
      </w:pPr>
      <w:r>
        <w:rPr>
          <w:rFonts w:ascii="宋体" w:hAnsi="宋体" w:cs="宋体" w:eastAsia="宋体" w:hint="default"/>
        </w:rPr>
        <w:t>2015</w:t>
      </w:r>
      <w:r>
        <w:rPr>
          <w:rFonts w:ascii="宋体" w:hAnsi="宋体" w:cs="宋体" w:eastAsia="宋体" w:hint="default"/>
          <w:spacing w:val="-54"/>
        </w:rPr>
        <w:t> </w:t>
      </w:r>
      <w:r>
        <w:rPr/>
        <w:t>年</w:t>
      </w:r>
      <w:r>
        <w:rPr>
          <w:spacing w:val="-51"/>
        </w:rPr>
        <w:t> </w:t>
      </w:r>
      <w:r>
        <w:rPr>
          <w:rFonts w:ascii="宋体" w:hAnsi="宋体" w:cs="宋体" w:eastAsia="宋体" w:hint="default"/>
        </w:rPr>
        <w:t>4</w:t>
      </w:r>
      <w:r>
        <w:rPr>
          <w:rFonts w:ascii="宋体" w:hAnsi="宋体" w:cs="宋体" w:eastAsia="宋体" w:hint="default"/>
          <w:spacing w:val="-54"/>
        </w:rPr>
        <w:t> </w:t>
      </w:r>
      <w:r>
        <w:rPr/>
        <w:t>月</w:t>
      </w:r>
      <w:r>
        <w:rPr>
          <w:spacing w:val="-51"/>
        </w:rPr>
        <w:t> </w:t>
      </w:r>
      <w:r>
        <w:rPr>
          <w:rFonts w:ascii="宋体" w:hAnsi="宋体" w:cs="宋体" w:eastAsia="宋体" w:hint="default"/>
        </w:rPr>
        <w:t>23</w:t>
      </w:r>
      <w:r>
        <w:rPr>
          <w:rFonts w:ascii="宋体" w:hAnsi="宋体" w:cs="宋体" w:eastAsia="宋体" w:hint="default"/>
          <w:spacing w:val="-51"/>
        </w:rPr>
        <w:t> </w:t>
      </w:r>
      <w:r>
        <w:rPr/>
        <w:t>日，经中国证券监督管理委员会“证监许可</w:t>
      </w:r>
      <w:r>
        <w:rPr>
          <w:rFonts w:ascii="宋体" w:hAnsi="宋体" w:cs="宋体" w:eastAsia="宋体" w:hint="default"/>
        </w:rPr>
        <w:t>[2015]1233</w:t>
      </w:r>
      <w:r>
        <w:rPr>
          <w:rFonts w:ascii="宋体" w:hAnsi="宋体" w:cs="宋体" w:eastAsia="宋体" w:hint="default"/>
          <w:spacing w:val="-52"/>
        </w:rPr>
        <w:t> </w:t>
      </w:r>
      <w:r>
        <w:rPr/>
        <w:t>号”文件核准，公司</w:t>
      </w:r>
    </w:p>
    <w:p>
      <w:pPr>
        <w:pStyle w:val="BodyText"/>
        <w:spacing w:line="272" w:lineRule="exact"/>
        <w:ind w:right="0"/>
        <w:jc w:val="left"/>
        <w:rPr>
          <w:rFonts w:ascii="宋体" w:hAnsi="宋体" w:cs="宋体" w:eastAsia="宋体" w:hint="default"/>
        </w:rPr>
      </w:pPr>
      <w:r>
        <w:rPr/>
        <w:t>非公开发行股票</w:t>
      </w:r>
      <w:r>
        <w:rPr>
          <w:spacing w:val="-56"/>
        </w:rPr>
        <w:t> </w:t>
      </w:r>
      <w:r>
        <w:rPr>
          <w:rFonts w:ascii="宋体" w:hAnsi="宋体" w:cs="宋体" w:eastAsia="宋体" w:hint="default"/>
        </w:rPr>
        <w:t>113,319,360</w:t>
      </w:r>
      <w:r>
        <w:rPr>
          <w:rFonts w:ascii="宋体" w:hAnsi="宋体" w:cs="宋体" w:eastAsia="宋体" w:hint="default"/>
          <w:spacing w:val="-55"/>
        </w:rPr>
        <w:t> </w:t>
      </w:r>
      <w:r>
        <w:rPr/>
        <w:t>股，本次增资后注册资本变更为</w:t>
      </w:r>
      <w:r>
        <w:rPr>
          <w:spacing w:val="-56"/>
        </w:rPr>
        <w:t> </w:t>
      </w:r>
      <w:r>
        <w:rPr>
          <w:rFonts w:ascii="宋体" w:hAnsi="宋体" w:cs="宋体" w:eastAsia="宋体" w:hint="default"/>
        </w:rPr>
        <w:t>619,645,072.00</w:t>
      </w:r>
      <w:r>
        <w:rPr>
          <w:rFonts w:ascii="宋体" w:hAnsi="宋体" w:cs="宋体" w:eastAsia="宋体" w:hint="default"/>
          <w:spacing w:val="-56"/>
        </w:rPr>
        <w:t> </w:t>
      </w:r>
      <w:r>
        <w:rPr>
          <w:spacing w:val="-3"/>
        </w:rPr>
        <w:t>元。</w:t>
      </w:r>
      <w:r>
        <w:rPr>
          <w:rFonts w:ascii="宋体" w:hAnsi="宋体" w:cs="宋体" w:eastAsia="宋体" w:hint="default"/>
        </w:rPr>
        <w:t> </w:t>
      </w:r>
    </w:p>
    <w:p>
      <w:pPr>
        <w:pStyle w:val="BodyText"/>
        <w:spacing w:line="272" w:lineRule="exact"/>
        <w:ind w:left="557" w:right="0"/>
        <w:jc w:val="left"/>
      </w:pPr>
      <w:r>
        <w:rPr>
          <w:rFonts w:ascii="宋体" w:hAnsi="宋体" w:cs="宋体" w:eastAsia="宋体" w:hint="default"/>
        </w:rPr>
        <w:t>2015</w:t>
      </w:r>
      <w:r>
        <w:rPr>
          <w:rFonts w:ascii="宋体" w:hAnsi="宋体" w:cs="宋体" w:eastAsia="宋体" w:hint="default"/>
          <w:spacing w:val="-41"/>
        </w:rPr>
        <w:t> </w:t>
      </w:r>
      <w:r>
        <w:rPr/>
        <w:t>年</w:t>
      </w:r>
      <w:r>
        <w:rPr>
          <w:spacing w:val="-41"/>
        </w:rPr>
        <w:t> </w:t>
      </w:r>
      <w:r>
        <w:rPr>
          <w:rFonts w:ascii="宋体" w:hAnsi="宋体" w:cs="宋体" w:eastAsia="宋体" w:hint="default"/>
        </w:rPr>
        <w:t>7</w:t>
      </w:r>
      <w:r>
        <w:rPr>
          <w:rFonts w:ascii="宋体" w:hAnsi="宋体" w:cs="宋体" w:eastAsia="宋体" w:hint="default"/>
          <w:spacing w:val="-41"/>
        </w:rPr>
        <w:t> </w:t>
      </w:r>
      <w:r>
        <w:rPr/>
        <w:t>月</w:t>
      </w:r>
      <w:r>
        <w:rPr>
          <w:spacing w:val="-41"/>
        </w:rPr>
        <w:t> </w:t>
      </w:r>
      <w:r>
        <w:rPr>
          <w:rFonts w:ascii="宋体" w:hAnsi="宋体" w:cs="宋体" w:eastAsia="宋体" w:hint="default"/>
        </w:rPr>
        <w:t>14</w:t>
      </w:r>
      <w:r>
        <w:rPr>
          <w:rFonts w:ascii="宋体" w:hAnsi="宋体" w:cs="宋体" w:eastAsia="宋体" w:hint="default"/>
          <w:spacing w:val="-43"/>
        </w:rPr>
        <w:t> </w:t>
      </w:r>
      <w:r>
        <w:rPr/>
        <w:t>日，公司第五届董事会第三十一次会议审议通过了《关于回购注销部分未解</w:t>
      </w:r>
    </w:p>
    <w:p>
      <w:pPr>
        <w:pStyle w:val="BodyText"/>
        <w:spacing w:line="272" w:lineRule="exact"/>
        <w:ind w:right="0"/>
        <w:jc w:val="left"/>
      </w:pPr>
      <w:r>
        <w:rPr>
          <w:spacing w:val="-5"/>
        </w:rPr>
        <w:t>锁限制性股票的议案》，同意将吴斌先生已获授予尚未解锁的共计 </w:t>
      </w:r>
      <w:r>
        <w:rPr>
          <w:rFonts w:ascii="宋体" w:hAnsi="宋体" w:cs="宋体" w:eastAsia="宋体" w:hint="default"/>
        </w:rPr>
        <w:t>40</w:t>
      </w:r>
      <w:r>
        <w:rPr>
          <w:rFonts w:ascii="宋体" w:hAnsi="宋体" w:cs="宋体" w:eastAsia="宋体" w:hint="default"/>
          <w:spacing w:val="-56"/>
        </w:rPr>
        <w:t> </w:t>
      </w:r>
      <w:r>
        <w:rPr/>
        <w:t>万股限制性股票由公司回购</w:t>
      </w:r>
    </w:p>
    <w:p>
      <w:pPr>
        <w:pStyle w:val="BodyText"/>
        <w:spacing w:line="272" w:lineRule="exact"/>
        <w:ind w:right="0"/>
        <w:jc w:val="left"/>
        <w:rPr>
          <w:rFonts w:ascii="宋体" w:hAnsi="宋体" w:cs="宋体" w:eastAsia="宋体" w:hint="default"/>
        </w:rPr>
      </w:pPr>
      <w:r>
        <w:rPr/>
        <w:t>并注销。注销完成后，公司注册资本变更为</w:t>
      </w:r>
      <w:r>
        <w:rPr>
          <w:spacing w:val="-54"/>
        </w:rPr>
        <w:t> </w:t>
      </w:r>
      <w:r>
        <w:rPr>
          <w:rFonts w:ascii="宋体" w:hAnsi="宋体" w:cs="宋体" w:eastAsia="宋体" w:hint="default"/>
        </w:rPr>
        <w:t>619,245,072.00</w:t>
      </w:r>
      <w:r>
        <w:rPr>
          <w:rFonts w:ascii="宋体" w:hAnsi="宋体" w:cs="宋体" w:eastAsia="宋体" w:hint="default"/>
          <w:spacing w:val="-57"/>
        </w:rPr>
        <w:t> </w:t>
      </w:r>
      <w:r>
        <w:rPr/>
        <w:t>元。</w:t>
      </w:r>
      <w:r>
        <w:rPr>
          <w:rFonts w:ascii="宋体" w:hAnsi="宋体" w:cs="宋体" w:eastAsia="宋体" w:hint="default"/>
          <w:spacing w:val="-3"/>
        </w:rPr>
        <w:t> </w:t>
      </w:r>
      <w:r>
        <w:rPr>
          <w:rFonts w:ascii="宋体" w:hAnsi="宋体" w:cs="宋体" w:eastAsia="宋体" w:hint="default"/>
        </w:rPr>
        <w:t> </w:t>
      </w:r>
    </w:p>
    <w:p>
      <w:pPr>
        <w:pStyle w:val="BodyText"/>
        <w:spacing w:line="237" w:lineRule="auto"/>
        <w:ind w:right="109" w:firstLine="420"/>
        <w:jc w:val="both"/>
        <w:rPr>
          <w:rFonts w:ascii="宋体" w:hAnsi="宋体" w:cs="宋体" w:eastAsia="宋体" w:hint="default"/>
        </w:rPr>
      </w:pPr>
      <w:r>
        <w:rPr>
          <w:rFonts w:ascii="宋体" w:hAnsi="宋体" w:cs="宋体" w:eastAsia="宋体" w:hint="default"/>
        </w:rPr>
        <w:t>2015</w:t>
      </w:r>
      <w:r>
        <w:rPr>
          <w:rFonts w:ascii="宋体" w:hAnsi="宋体" w:cs="宋体" w:eastAsia="宋体" w:hint="default"/>
          <w:spacing w:val="-53"/>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53"/>
        </w:rPr>
        <w:t> </w:t>
      </w:r>
      <w:r>
        <w:rPr>
          <w:rFonts w:ascii="宋体" w:hAnsi="宋体" w:cs="宋体" w:eastAsia="宋体" w:hint="default"/>
        </w:rPr>
        <w:t>24</w:t>
      </w:r>
      <w:r>
        <w:rPr>
          <w:rFonts w:ascii="宋体" w:hAnsi="宋体" w:cs="宋体" w:eastAsia="宋体" w:hint="default"/>
          <w:spacing w:val="-53"/>
        </w:rPr>
        <w:t> </w:t>
      </w:r>
      <w:r>
        <w:rPr/>
        <w:t>日，经中国证券监督管理委员会“证监许可</w:t>
      </w:r>
      <w:r>
        <w:rPr>
          <w:rFonts w:ascii="宋体" w:hAnsi="宋体" w:cs="宋体" w:eastAsia="宋体" w:hint="default"/>
        </w:rPr>
        <w:t>[2016]105</w:t>
      </w:r>
      <w:r>
        <w:rPr>
          <w:rFonts w:ascii="宋体" w:hAnsi="宋体" w:cs="宋体" w:eastAsia="宋体" w:hint="default"/>
          <w:spacing w:val="-53"/>
        </w:rPr>
        <w:t> </w:t>
      </w:r>
      <w:r>
        <w:rPr/>
        <w:t>号”文件核准，公司</w:t>
      </w:r>
      <w:r>
        <w:rPr>
          <w:w w:val="100"/>
        </w:rPr>
        <w:t> </w:t>
      </w:r>
      <w:r>
        <w:rPr/>
        <w:t>通过发行股份购买上海博辕信息技术服务有限公司</w:t>
      </w:r>
      <w:r>
        <w:rPr>
          <w:spacing w:val="-31"/>
        </w:rPr>
        <w:t> </w:t>
      </w:r>
      <w:r>
        <w:rPr>
          <w:rFonts w:ascii="宋体" w:hAnsi="宋体" w:cs="宋体" w:eastAsia="宋体" w:hint="default"/>
        </w:rPr>
        <w:t>95.22%</w:t>
      </w:r>
      <w:r>
        <w:rPr/>
        <w:t>的股权，共发行股</w:t>
      </w:r>
      <w:r>
        <w:rPr>
          <w:spacing w:val="-32"/>
        </w:rPr>
        <w:t> </w:t>
      </w:r>
      <w:r>
        <w:rPr>
          <w:rFonts w:ascii="宋体" w:hAnsi="宋体" w:cs="宋体" w:eastAsia="宋体" w:hint="default"/>
        </w:rPr>
        <w:t>47,715,512</w:t>
      </w:r>
      <w:r>
        <w:rPr>
          <w:rFonts w:ascii="宋体" w:hAnsi="宋体" w:cs="宋体" w:eastAsia="宋体" w:hint="default"/>
          <w:spacing w:val="-31"/>
        </w:rPr>
        <w:t> </w:t>
      </w:r>
      <w:r>
        <w:rPr>
          <w:spacing w:val="-3"/>
        </w:rPr>
        <w:t>股，本</w:t>
      </w:r>
      <w:r>
        <w:rPr>
          <w:spacing w:val="-3"/>
          <w:w w:val="100"/>
        </w:rPr>
        <w:t> </w:t>
      </w:r>
      <w:r>
        <w:rPr/>
        <w:t>次增资后注册资本变更为</w:t>
      </w:r>
      <w:r>
        <w:rPr>
          <w:spacing w:val="-55"/>
        </w:rPr>
        <w:t> </w:t>
      </w:r>
      <w:r>
        <w:rPr>
          <w:rFonts w:ascii="宋体" w:hAnsi="宋体" w:cs="宋体" w:eastAsia="宋体" w:hint="default"/>
        </w:rPr>
        <w:t>666,960,584.00</w:t>
      </w:r>
      <w:r>
        <w:rPr>
          <w:rFonts w:ascii="宋体" w:hAnsi="宋体" w:cs="宋体" w:eastAsia="宋体" w:hint="default"/>
          <w:spacing w:val="-52"/>
        </w:rPr>
        <w:t> </w:t>
      </w:r>
      <w:r>
        <w:rPr>
          <w:spacing w:val="-3"/>
        </w:rPr>
        <w:t>元。</w:t>
      </w:r>
      <w:r>
        <w:rPr>
          <w:rFonts w:ascii="宋体" w:hAnsi="宋体" w:cs="宋体" w:eastAsia="宋体" w:hint="default"/>
        </w:rPr>
        <w:t> </w:t>
      </w:r>
    </w:p>
    <w:p>
      <w:pPr>
        <w:pStyle w:val="BodyText"/>
        <w:spacing w:line="237" w:lineRule="auto" w:before="2"/>
        <w:ind w:right="108" w:firstLine="420"/>
        <w:jc w:val="both"/>
        <w:rPr>
          <w:rFonts w:ascii="宋体" w:hAnsi="宋体" w:cs="宋体" w:eastAsia="宋体" w:hint="default"/>
        </w:rPr>
      </w:pPr>
      <w:r>
        <w:rPr/>
        <w:t>经</w:t>
      </w:r>
      <w:r>
        <w:rPr>
          <w:spacing w:val="-49"/>
        </w:rPr>
        <w:t> </w:t>
      </w:r>
      <w:r>
        <w:rPr>
          <w:rFonts w:ascii="宋体" w:hAnsi="宋体" w:cs="宋体" w:eastAsia="宋体" w:hint="default"/>
        </w:rPr>
        <w:t>2018</w:t>
      </w:r>
      <w:r>
        <w:rPr>
          <w:rFonts w:ascii="宋体" w:hAnsi="宋体" w:cs="宋体" w:eastAsia="宋体" w:hint="default"/>
          <w:spacing w:val="-49"/>
        </w:rPr>
        <w:t> </w:t>
      </w:r>
      <w:r>
        <w:rPr/>
        <w:t>年</w:t>
      </w:r>
      <w:r>
        <w:rPr>
          <w:spacing w:val="-51"/>
        </w:rPr>
        <w:t> </w:t>
      </w:r>
      <w:r>
        <w:rPr>
          <w:rFonts w:ascii="宋体" w:hAnsi="宋体" w:cs="宋体" w:eastAsia="宋体" w:hint="default"/>
        </w:rPr>
        <w:t>5</w:t>
      </w:r>
      <w:r>
        <w:rPr>
          <w:rFonts w:ascii="宋体" w:hAnsi="宋体" w:cs="宋体" w:eastAsia="宋体" w:hint="default"/>
          <w:spacing w:val="-49"/>
        </w:rPr>
        <w:t> </w:t>
      </w:r>
      <w:r>
        <w:rPr/>
        <w:t>月</w:t>
      </w:r>
      <w:r>
        <w:rPr>
          <w:spacing w:val="-51"/>
        </w:rPr>
        <w:t> </w:t>
      </w:r>
      <w:r>
        <w:rPr>
          <w:rFonts w:ascii="宋体" w:hAnsi="宋体" w:cs="宋体" w:eastAsia="宋体" w:hint="default"/>
        </w:rPr>
        <w:t>2</w:t>
      </w:r>
      <w:r>
        <w:rPr>
          <w:rFonts w:ascii="宋体" w:hAnsi="宋体" w:cs="宋体" w:eastAsia="宋体" w:hint="default"/>
          <w:spacing w:val="-49"/>
        </w:rPr>
        <w:t> </w:t>
      </w:r>
      <w:r>
        <w:rPr/>
        <w:t>日的</w:t>
      </w:r>
      <w:r>
        <w:rPr>
          <w:spacing w:val="-49"/>
        </w:rPr>
        <w:t> </w:t>
      </w:r>
      <w:r>
        <w:rPr>
          <w:rFonts w:ascii="宋体" w:hAnsi="宋体" w:cs="宋体" w:eastAsia="宋体" w:hint="default"/>
        </w:rPr>
        <w:t>2017</w:t>
      </w:r>
      <w:r>
        <w:rPr>
          <w:rFonts w:ascii="宋体" w:hAnsi="宋体" w:cs="宋体" w:eastAsia="宋体" w:hint="default"/>
          <w:spacing w:val="9"/>
        </w:rPr>
        <w:t> </w:t>
      </w:r>
      <w:r>
        <w:rPr>
          <w:spacing w:val="-3"/>
        </w:rPr>
        <w:t>年年度股东大会审议通过利润分配方案，以方案实施前的公司总</w:t>
      </w:r>
      <w:r>
        <w:rPr>
          <w:w w:val="100"/>
        </w:rPr>
        <w:t> </w:t>
      </w:r>
      <w:r>
        <w:rPr/>
        <w:t>股本 </w:t>
      </w:r>
      <w:r>
        <w:rPr>
          <w:rFonts w:ascii="宋体" w:hAnsi="宋体" w:cs="宋体" w:eastAsia="宋体" w:hint="default"/>
        </w:rPr>
        <w:t>666,960,584 </w:t>
      </w:r>
      <w:r>
        <w:rPr/>
        <w:t>股，扣除回购实施股权激励尚未授予的股份 </w:t>
      </w:r>
      <w:r>
        <w:rPr>
          <w:rFonts w:ascii="宋体" w:hAnsi="宋体" w:cs="宋体" w:eastAsia="宋体" w:hint="default"/>
        </w:rPr>
        <w:t>2,499,918 </w:t>
      </w:r>
      <w:r>
        <w:rPr/>
        <w:t>股，即</w:t>
      </w:r>
      <w:r>
        <w:rPr>
          <w:spacing w:val="6"/>
        </w:rPr>
        <w:t> </w:t>
      </w:r>
      <w:r>
        <w:rPr>
          <w:rFonts w:ascii="宋体" w:hAnsi="宋体" w:cs="宋体" w:eastAsia="宋体" w:hint="default"/>
          <w:spacing w:val="6"/>
        </w:rPr>
      </w:r>
      <w:r>
        <w:rPr>
          <w:rFonts w:ascii="宋体" w:hAnsi="宋体" w:cs="宋体" w:eastAsia="宋体" w:hint="default"/>
        </w:rPr>
        <w:t>664,460,666</w:t>
      </w:r>
      <w:r>
        <w:rPr>
          <w:rFonts w:ascii="宋体" w:hAnsi="宋体" w:cs="宋体" w:eastAsia="宋体" w:hint="default"/>
          <w:w w:val="100"/>
        </w:rPr>
        <w:t> </w:t>
      </w:r>
      <w:r>
        <w:rPr/>
        <w:t>股为基数，向全体股东每</w:t>
      </w:r>
      <w:r>
        <w:rPr>
          <w:spacing w:val="-56"/>
        </w:rPr>
        <w:t> </w:t>
      </w:r>
      <w:r>
        <w:rPr>
          <w:rFonts w:ascii="宋体" w:hAnsi="宋体" w:cs="宋体" w:eastAsia="宋体" w:hint="default"/>
        </w:rPr>
        <w:t>10</w:t>
      </w:r>
      <w:r>
        <w:rPr>
          <w:rFonts w:ascii="宋体" w:hAnsi="宋体" w:cs="宋体" w:eastAsia="宋体" w:hint="default"/>
          <w:spacing w:val="-53"/>
        </w:rPr>
        <w:t> </w:t>
      </w:r>
      <w:r>
        <w:rPr/>
        <w:t>股派送红股</w:t>
      </w:r>
      <w:r>
        <w:rPr>
          <w:spacing w:val="-56"/>
        </w:rPr>
        <w:t> </w:t>
      </w:r>
      <w:r>
        <w:rPr>
          <w:rFonts w:ascii="宋体" w:hAnsi="宋体" w:cs="宋体" w:eastAsia="宋体" w:hint="default"/>
        </w:rPr>
        <w:t>3</w:t>
      </w:r>
      <w:r>
        <w:rPr>
          <w:rFonts w:ascii="宋体" w:hAnsi="宋体" w:cs="宋体" w:eastAsia="宋体" w:hint="default"/>
          <w:spacing w:val="-54"/>
        </w:rPr>
        <w:t> </w:t>
      </w:r>
      <w:r>
        <w:rPr/>
        <w:t>股，本次分配后总股本为</w:t>
      </w:r>
      <w:r>
        <w:rPr>
          <w:spacing w:val="-54"/>
        </w:rPr>
        <w:t> </w:t>
      </w:r>
      <w:r>
        <w:rPr>
          <w:rFonts w:ascii="宋体" w:hAnsi="宋体" w:cs="宋体" w:eastAsia="宋体" w:hint="default"/>
        </w:rPr>
        <w:t>866,298,784</w:t>
      </w:r>
      <w:r>
        <w:rPr>
          <w:rFonts w:ascii="宋体" w:hAnsi="宋体" w:cs="宋体" w:eastAsia="宋体" w:hint="default"/>
          <w:spacing w:val="-54"/>
        </w:rPr>
        <w:t> </w:t>
      </w:r>
      <w:r>
        <w:rPr>
          <w:spacing w:val="-3"/>
        </w:rPr>
        <w:t>股。</w:t>
      </w:r>
      <w:r>
        <w:rPr>
          <w:rFonts w:ascii="宋体" w:hAnsi="宋体" w:cs="宋体" w:eastAsia="宋体" w:hint="default"/>
        </w:rPr>
        <w:t> </w:t>
      </w:r>
    </w:p>
    <w:p>
      <w:pPr>
        <w:pStyle w:val="BodyText"/>
        <w:spacing w:line="237" w:lineRule="auto"/>
        <w:ind w:right="109" w:firstLine="420"/>
        <w:jc w:val="both"/>
        <w:rPr>
          <w:rFonts w:ascii="宋体" w:hAnsi="宋体" w:cs="宋体" w:eastAsia="宋体" w:hint="default"/>
        </w:rPr>
      </w:pPr>
      <w:r>
        <w:rPr>
          <w:spacing w:val="-2"/>
        </w:rPr>
        <w:t>公司经营范围：电力信息及自动化产品、电子产品及通信设备、输变电配套设备、发电机及</w:t>
      </w:r>
      <w:r>
        <w:rPr>
          <w:w w:val="100"/>
        </w:rPr>
        <w:t> </w:t>
      </w:r>
      <w:r>
        <w:rPr>
          <w:spacing w:val="-6"/>
        </w:rPr>
        <w:t>发电机组、电动机及配套设备、环保及节能产品、高新技术产品的开发、生产、销售、维修服务；</w:t>
      </w:r>
      <w:r>
        <w:rPr>
          <w:spacing w:val="-49"/>
        </w:rPr>
        <w:t> </w:t>
      </w:r>
      <w:r>
        <w:rPr>
          <w:spacing w:val="-49"/>
        </w:rPr>
      </w:r>
      <w:r>
        <w:rPr>
          <w:spacing w:val="-6"/>
        </w:rPr>
        <w:t>高科技项目咨询及高新技术转让与服务；建筑智能化工程、网络信息系统工程、电气自动化工程、</w:t>
      </w:r>
      <w:r>
        <w:rPr>
          <w:spacing w:val="-54"/>
        </w:rPr>
        <w:t> </w:t>
      </w:r>
      <w:r>
        <w:rPr>
          <w:spacing w:val="-54"/>
        </w:rPr>
      </w:r>
      <w:r>
        <w:rPr>
          <w:spacing w:val="-1"/>
        </w:rPr>
        <w:t>中央空调工程、环保及节能工程的承接和综合技术服务；防盗报警、闭路电视监控工程的设计、</w:t>
      </w:r>
      <w:r>
        <w:rPr>
          <w:spacing w:val="-55"/>
        </w:rPr>
        <w:t> </w:t>
      </w:r>
      <w:r>
        <w:rPr>
          <w:spacing w:val="-55"/>
        </w:rPr>
      </w:r>
      <w:r>
        <w:rPr>
          <w:spacing w:val="-1"/>
        </w:rPr>
        <w:t>安装；输变配电等电力工程的设计、安装、调试及维修；电力工程施工、城市管网开发；计算机</w:t>
      </w:r>
      <w:r>
        <w:rPr>
          <w:spacing w:val="-55"/>
        </w:rPr>
        <w:t> </w:t>
      </w:r>
      <w:r>
        <w:rPr>
          <w:spacing w:val="-55"/>
        </w:rPr>
      </w:r>
      <w:r>
        <w:rPr>
          <w:spacing w:val="-1"/>
        </w:rPr>
        <w:t>产品、空调产品、汽车（小轿车除外）的销售，房屋及设备租赁；本企业自产产品及相关技术的</w:t>
      </w:r>
      <w:r>
        <w:rPr>
          <w:spacing w:val="-55"/>
        </w:rPr>
        <w:t> </w:t>
      </w:r>
      <w:r>
        <w:rPr>
          <w:spacing w:val="-55"/>
        </w:rPr>
      </w:r>
      <w:r>
        <w:rPr>
          <w:spacing w:val="-7"/>
        </w:rPr>
        <w:t>出口业务（国家组织统一经营的出口商品除外），本企业生产、科研所需的原辅材料、机械设备、</w:t>
      </w:r>
      <w:r>
        <w:rPr>
          <w:spacing w:val="-13"/>
        </w:rPr>
        <w:t> </w:t>
      </w:r>
      <w:r>
        <w:rPr>
          <w:spacing w:val="-13"/>
        </w:rPr>
      </w:r>
      <w:r>
        <w:rPr>
          <w:spacing w:val="-1"/>
        </w:rPr>
        <w:t>仪器仪表、零配件及相关技术的进口业务（国家实行核定公司经营的进口商品除外），本企业的</w:t>
      </w:r>
      <w:r>
        <w:rPr>
          <w:spacing w:val="-55"/>
        </w:rPr>
        <w:t> </w:t>
      </w:r>
      <w:r>
        <w:rPr>
          <w:spacing w:val="-55"/>
        </w:rPr>
      </w:r>
      <w:r>
        <w:rPr>
          <w:spacing w:val="-1"/>
        </w:rPr>
        <w:t>进料加工和“三来一补”业务；承包国际工程和境内国际招标工程业务，以及上述境外工程所需</w:t>
      </w:r>
      <w:r>
        <w:rPr>
          <w:spacing w:val="-56"/>
        </w:rPr>
        <w:t> </w:t>
      </w:r>
      <w:r>
        <w:rPr>
          <w:spacing w:val="-56"/>
        </w:rPr>
      </w:r>
      <w:r>
        <w:rPr>
          <w:spacing w:val="-1"/>
        </w:rPr>
        <w:t>的设备、材料出口，和对外派遣实施上述境外工程所需的劳务人员。（以上项目国家有专项许可</w:t>
      </w:r>
      <w:r>
        <w:rPr>
          <w:spacing w:val="-55"/>
        </w:rPr>
        <w:t> </w:t>
      </w:r>
      <w:r>
        <w:rPr>
          <w:spacing w:val="-55"/>
        </w:rPr>
      </w:r>
      <w:r>
        <w:rPr/>
        <w:t>的凭证经营）</w:t>
      </w:r>
      <w:r>
        <w:rPr>
          <w:rFonts w:ascii="宋体" w:hAnsi="宋体" w:cs="宋体" w:eastAsia="宋体" w:hint="default"/>
        </w:rPr>
        <w:t> </w:t>
      </w:r>
    </w:p>
    <w:p>
      <w:pPr>
        <w:pStyle w:val="BodyText"/>
        <w:spacing w:line="274" w:lineRule="exact" w:before="22"/>
        <w:ind w:left="557" w:right="0"/>
        <w:jc w:val="left"/>
        <w:rPr>
          <w:rFonts w:ascii="宋体" w:hAnsi="宋体" w:cs="宋体" w:eastAsia="宋体" w:hint="default"/>
        </w:rPr>
      </w:pPr>
      <w:r>
        <w:rPr/>
        <w:t>公司法定住所</w:t>
      </w:r>
      <w:r>
        <w:rPr>
          <w:rFonts w:ascii="宋体" w:hAnsi="宋体" w:cs="宋体" w:eastAsia="宋体" w:hint="default"/>
        </w:rPr>
        <w:t>/</w:t>
      </w:r>
      <w:r>
        <w:rPr/>
        <w:t>总部地址：江西省南昌市南昌高新技术开发区清华泰豪大楼。</w:t>
      </w:r>
      <w:r>
        <w:rPr>
          <w:rFonts w:ascii="宋体" w:hAnsi="宋体" w:cs="宋体" w:eastAsia="宋体" w:hint="default"/>
          <w:w w:val="100"/>
        </w:rPr>
        <w:t> </w:t>
      </w:r>
      <w:r>
        <w:rPr/>
        <w:t>公司法定代表人：杨剑。</w:t>
      </w:r>
      <w:r>
        <w:rPr>
          <w:rFonts w:ascii="宋体" w:hAnsi="宋体" w:cs="宋体" w:eastAsia="宋体" w:hint="default"/>
        </w:rPr>
        <w:t> </w:t>
      </w:r>
    </w:p>
    <w:p>
      <w:pPr>
        <w:pStyle w:val="BodyText"/>
        <w:spacing w:line="245" w:lineRule="exact"/>
        <w:ind w:left="557" w:right="0"/>
        <w:jc w:val="left"/>
        <w:rPr>
          <w:rFonts w:ascii="宋体" w:hAnsi="宋体" w:cs="宋体" w:eastAsia="宋体" w:hint="default"/>
        </w:rPr>
      </w:pPr>
      <w:r>
        <w:rPr/>
        <w:t>（二）企业的业务性质和主要经营活动。</w:t>
      </w:r>
      <w:r>
        <w:rPr>
          <w:rFonts w:ascii="宋体" w:hAnsi="宋体" w:cs="宋体" w:eastAsia="宋体" w:hint="default"/>
        </w:rPr>
        <w:t> </w:t>
      </w:r>
    </w:p>
    <w:p>
      <w:pPr>
        <w:pStyle w:val="BodyText"/>
        <w:spacing w:line="237" w:lineRule="auto" w:before="2"/>
        <w:ind w:right="109" w:firstLine="420"/>
        <w:jc w:val="both"/>
        <w:rPr>
          <w:rFonts w:ascii="宋体" w:hAnsi="宋体" w:cs="宋体" w:eastAsia="宋体" w:hint="default"/>
        </w:rPr>
      </w:pPr>
      <w:r>
        <w:rPr>
          <w:spacing w:val="-2"/>
        </w:rPr>
        <w:t>本公司属电气设备行业，主要从事军工装备、智能电力两大业务。军工装备产业围绕武器装</w:t>
      </w:r>
      <w:r>
        <w:rPr>
          <w:w w:val="100"/>
        </w:rPr>
        <w:t> </w:t>
      </w:r>
      <w:r>
        <w:rPr>
          <w:spacing w:val="-1"/>
        </w:rPr>
        <w:t>备信息化方向开展业务，智能电力产业围绕电力信息化方向开展业务，并面向全球开展电力工程</w:t>
      </w:r>
      <w:r>
        <w:rPr>
          <w:spacing w:val="-55"/>
        </w:rPr>
        <w:t> </w:t>
      </w:r>
      <w:r>
        <w:rPr>
          <w:spacing w:val="-55"/>
        </w:rPr>
      </w:r>
      <w:r>
        <w:rPr/>
        <w:t>业务。</w:t>
      </w:r>
      <w:r>
        <w:rPr>
          <w:rFonts w:ascii="宋体" w:hAnsi="宋体" w:cs="宋体" w:eastAsia="宋体" w:hint="default"/>
        </w:rPr>
        <w:t> </w:t>
      </w:r>
    </w:p>
    <w:p>
      <w:pPr>
        <w:pStyle w:val="BodyText"/>
        <w:spacing w:line="271" w:lineRule="exact"/>
        <w:ind w:left="557" w:right="0"/>
        <w:jc w:val="left"/>
        <w:rPr>
          <w:rFonts w:ascii="宋体" w:hAnsi="宋体" w:cs="宋体" w:eastAsia="宋体" w:hint="default"/>
        </w:rPr>
      </w:pPr>
      <w:r>
        <w:rPr/>
        <w:t>（三）财务报告的批准报出者和财务报告批准报出日。</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sz w:val="24"/>
          <w:szCs w:val="24"/>
        </w:rPr>
      </w:pPr>
      <w:r>
        <w:rPr/>
        <w:t>本财务报表于</w:t>
      </w:r>
      <w:r>
        <w:rPr>
          <w:spacing w:val="-54"/>
        </w:rPr>
        <w:t> </w:t>
      </w:r>
      <w:r>
        <w:rPr>
          <w:rFonts w:ascii="宋体" w:hAnsi="宋体" w:cs="宋体" w:eastAsia="宋体" w:hint="default"/>
        </w:rPr>
        <w:t>2020</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5"/>
        </w:rPr>
        <w:t> </w:t>
      </w:r>
      <w:r>
        <w:rPr/>
        <w:t>月</w:t>
      </w:r>
      <w:r>
        <w:rPr>
          <w:spacing w:val="-54"/>
        </w:rPr>
        <w:t> </w:t>
      </w:r>
      <w:r>
        <w:rPr>
          <w:rFonts w:ascii="宋体" w:hAnsi="宋体" w:cs="宋体" w:eastAsia="宋体" w:hint="default"/>
        </w:rPr>
        <w:t>24</w:t>
      </w:r>
      <w:r>
        <w:rPr>
          <w:rFonts w:ascii="宋体" w:hAnsi="宋体" w:cs="宋体" w:eastAsia="宋体" w:hint="default"/>
          <w:spacing w:val="-56"/>
        </w:rPr>
        <w:t> </w:t>
      </w:r>
      <w:r>
        <w:rPr/>
        <w:t>日经公司第七届董事会第十八次会议批准报出。</w:t>
      </w:r>
      <w:r>
        <w:rPr>
          <w:rFonts w:ascii="宋体" w:hAnsi="宋体" w:cs="宋体" w:eastAsia="宋体" w:hint="default"/>
          <w:sz w:val="24"/>
          <w:szCs w:val="24"/>
        </w:rPr>
        <w:t> </w:t>
      </w:r>
    </w:p>
    <w:p>
      <w:pPr>
        <w:pStyle w:val="Heading3"/>
        <w:spacing w:line="304" w:lineRule="exact"/>
        <w:ind w:left="136" w:right="0"/>
        <w:jc w:val="left"/>
        <w:rPr>
          <w:rFonts w:ascii="宋体" w:hAnsi="宋体" w:cs="宋体" w:eastAsia="宋体" w:hint="default"/>
        </w:rPr>
      </w:pPr>
      <w:r>
        <w:rPr>
          <w:rFonts w:ascii="宋体"/>
        </w:rPr>
        <w:t> </w:t>
      </w:r>
    </w:p>
    <w:p>
      <w:pPr>
        <w:spacing w:after="0" w:line="304" w:lineRule="exact"/>
        <w:jc w:val="left"/>
        <w:rPr>
          <w:rFonts w:ascii="宋体" w:hAnsi="宋体" w:cs="宋体" w:eastAsia="宋体" w:hint="default"/>
        </w:rPr>
        <w:sectPr>
          <w:headerReference w:type="default" r:id="rId41"/>
          <w:footerReference w:type="default" r:id="rId42"/>
          <w:pgSz w:w="11910" w:h="16840"/>
          <w:pgMar w:header="882" w:footer="1195" w:top="1120" w:bottom="1380" w:left="1140" w:right="1680"/>
          <w:pgNumType w:start="84"/>
        </w:sectPr>
      </w:pPr>
    </w:p>
    <w:p>
      <w:pPr>
        <w:spacing w:line="240" w:lineRule="auto" w:before="9"/>
        <w:rPr>
          <w:rFonts w:ascii="宋体" w:hAnsi="宋体" w:cs="宋体" w:eastAsia="宋体" w:hint="default"/>
          <w:sz w:val="18"/>
          <w:szCs w:val="18"/>
        </w:rPr>
      </w:pPr>
    </w:p>
    <w:p>
      <w:pPr>
        <w:pStyle w:val="Heading5"/>
        <w:tabs>
          <w:tab w:pos="557" w:val="left" w:leader="none"/>
        </w:tabs>
        <w:spacing w:line="240" w:lineRule="auto" w:before="36"/>
        <w:ind w:left="136" w:right="0"/>
        <w:jc w:val="left"/>
        <w:rPr>
          <w:b w:val="0"/>
          <w:bCs w:val="0"/>
        </w:rPr>
      </w:pPr>
      <w:r>
        <w:rPr>
          <w:rFonts w:ascii="宋体" w:hAnsi="宋体" w:cs="宋体" w:eastAsia="宋体" w:hint="default"/>
          <w:w w:val="95"/>
        </w:rPr>
        <w:t>2.</w:t>
        <w:tab/>
      </w:r>
      <w:r>
        <w:rPr/>
        <w:t>合并财务报表范围</w:t>
      </w:r>
      <w:r>
        <w:rPr>
          <w:b w:val="0"/>
          <w:bCs w:val="0"/>
        </w:rPr>
      </w:r>
    </w:p>
    <w:p>
      <w:pPr>
        <w:pStyle w:val="Heading3"/>
        <w:spacing w:line="240" w:lineRule="auto" w:before="50"/>
        <w:ind w:left="136" w:right="0"/>
        <w:jc w:val="left"/>
        <w:rPr>
          <w:rFonts w:ascii="宋体" w:hAnsi="宋体" w:cs="宋体" w:eastAsia="宋体" w:hint="default"/>
        </w:rPr>
      </w:pPr>
      <w:r>
        <w:rPr/>
        <w:t>√适用□不适用</w:t>
      </w:r>
      <w:r>
        <w:rPr>
          <w:rFonts w:ascii="宋体" w:hAnsi="宋体" w:cs="宋体" w:eastAsia="宋体" w:hint="default"/>
        </w:rPr>
        <w:t>  </w:t>
      </w:r>
    </w:p>
    <w:p>
      <w:pPr>
        <w:pStyle w:val="BodyText"/>
        <w:spacing w:line="240" w:lineRule="auto" w:before="4"/>
        <w:ind w:right="0"/>
        <w:jc w:val="left"/>
      </w:pPr>
      <w:r>
        <w:rPr/>
        <w:t>本期纳入合并财务报表范围的主体共</w:t>
      </w:r>
      <w:r>
        <w:rPr>
          <w:spacing w:val="-53"/>
        </w:rPr>
        <w:t> </w:t>
      </w:r>
      <w:r>
        <w:rPr>
          <w:rFonts w:ascii="Times New Roman" w:hAnsi="Times New Roman" w:cs="Times New Roman" w:eastAsia="Times New Roman" w:hint="default"/>
        </w:rPr>
        <w:t>39</w:t>
      </w:r>
      <w:r>
        <w:rPr>
          <w:rFonts w:ascii="Times New Roman" w:hAnsi="Times New Roman" w:cs="Times New Roman" w:eastAsia="Times New Roman" w:hint="default"/>
          <w:spacing w:val="-4"/>
        </w:rPr>
        <w:t> </w:t>
      </w:r>
      <w:r>
        <w:rPr/>
        <w:t>户，具体包括：</w:t>
      </w:r>
    </w:p>
    <w:tbl>
      <w:tblPr>
        <w:tblW w:w="0" w:type="auto"/>
        <w:jc w:val="left"/>
        <w:tblInd w:w="103" w:type="dxa"/>
        <w:tblLayout w:type="fixed"/>
        <w:tblCellMar>
          <w:top w:w="0" w:type="dxa"/>
          <w:left w:w="0" w:type="dxa"/>
          <w:bottom w:w="0" w:type="dxa"/>
          <w:right w:w="0" w:type="dxa"/>
        </w:tblCellMar>
        <w:tblLook w:val="01E0"/>
      </w:tblPr>
      <w:tblGrid>
        <w:gridCol w:w="3258"/>
        <w:gridCol w:w="1702"/>
        <w:gridCol w:w="1275"/>
        <w:gridCol w:w="1135"/>
        <w:gridCol w:w="1417"/>
      </w:tblGrid>
      <w:tr>
        <w:trPr>
          <w:trHeight w:val="478"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hAnsi="宋体" w:cs="宋体" w:eastAsia="宋体" w:hint="default"/>
                <w:sz w:val="18"/>
                <w:szCs w:val="18"/>
              </w:rPr>
              <w:t>子公司名称</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06"/>
              <w:jc w:val="right"/>
              <w:rPr>
                <w:rFonts w:ascii="宋体" w:hAnsi="宋体" w:cs="宋体" w:eastAsia="宋体" w:hint="default"/>
                <w:sz w:val="18"/>
                <w:szCs w:val="18"/>
              </w:rPr>
            </w:pPr>
            <w:r>
              <w:rPr>
                <w:rFonts w:ascii="宋体" w:hAnsi="宋体" w:cs="宋体" w:eastAsia="宋体" w:hint="default"/>
                <w:sz w:val="18"/>
                <w:szCs w:val="18"/>
              </w:rPr>
              <w:t>子公司类型</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级次</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2" w:right="0"/>
              <w:jc w:val="center"/>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表决权比例</w:t>
            </w:r>
            <w:r>
              <w:rPr>
                <w:rFonts w:ascii="宋体" w:hAnsi="宋体" w:cs="宋体" w:eastAsia="宋体" w:hint="default"/>
                <w:sz w:val="18"/>
                <w:szCs w:val="18"/>
              </w:rPr>
              <w:t> </w:t>
            </w:r>
          </w:p>
        </w:tc>
      </w:tr>
      <w:tr>
        <w:trPr>
          <w:trHeight w:val="478"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江西泰豪军工集团有限公司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06"/>
              <w:jc w:val="right"/>
              <w:rPr>
                <w:rFonts w:ascii="宋体" w:hAnsi="宋体" w:cs="宋体" w:eastAsia="宋体" w:hint="default"/>
                <w:sz w:val="18"/>
                <w:szCs w:val="18"/>
              </w:rPr>
            </w:pPr>
            <w:r>
              <w:rPr>
                <w:rFonts w:ascii="宋体" w:hAnsi="宋体" w:cs="宋体" w:eastAsia="宋体" w:hint="default"/>
                <w:sz w:val="18"/>
                <w:szCs w:val="18"/>
              </w:rPr>
              <w:t>全资子公司</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100%</w:t>
            </w:r>
          </w:p>
        </w:tc>
      </w:tr>
      <w:tr>
        <w:trPr>
          <w:trHeight w:val="478"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上海红生系统工程有限公司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06"/>
              <w:jc w:val="right"/>
              <w:rPr>
                <w:rFonts w:ascii="宋体" w:hAnsi="宋体" w:cs="宋体" w:eastAsia="宋体" w:hint="default"/>
                <w:sz w:val="18"/>
                <w:szCs w:val="18"/>
              </w:rPr>
            </w:pPr>
            <w:r>
              <w:rPr>
                <w:rFonts w:ascii="宋体" w:hAnsi="宋体" w:cs="宋体" w:eastAsia="宋体" w:hint="default"/>
                <w:sz w:val="18"/>
                <w:szCs w:val="18"/>
              </w:rPr>
              <w:t>全资子公司</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100%</w:t>
            </w:r>
          </w:p>
        </w:tc>
      </w:tr>
      <w:tr>
        <w:trPr>
          <w:trHeight w:val="478"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泰豪电源技术有限公司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06"/>
              <w:jc w:val="right"/>
              <w:rPr>
                <w:rFonts w:ascii="宋体" w:hAnsi="宋体" w:cs="宋体" w:eastAsia="宋体" w:hint="default"/>
                <w:sz w:val="18"/>
                <w:szCs w:val="18"/>
              </w:rPr>
            </w:pPr>
            <w:r>
              <w:rPr>
                <w:rFonts w:ascii="宋体" w:hAnsi="宋体" w:cs="宋体" w:eastAsia="宋体" w:hint="default"/>
                <w:sz w:val="18"/>
                <w:szCs w:val="18"/>
              </w:rPr>
              <w:t>全资子公司</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100%</w:t>
            </w:r>
          </w:p>
        </w:tc>
      </w:tr>
      <w:tr>
        <w:trPr>
          <w:trHeight w:val="478"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泰豪软件股份有限公司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06"/>
              <w:jc w:val="right"/>
              <w:rPr>
                <w:rFonts w:ascii="宋体" w:hAnsi="宋体" w:cs="宋体" w:eastAsia="宋体" w:hint="default"/>
                <w:sz w:val="18"/>
                <w:szCs w:val="18"/>
              </w:rPr>
            </w:pPr>
            <w:r>
              <w:rPr>
                <w:rFonts w:ascii="宋体" w:hAnsi="宋体" w:cs="宋体" w:eastAsia="宋体" w:hint="default"/>
                <w:sz w:val="18"/>
                <w:szCs w:val="18"/>
              </w:rPr>
              <w:t>全资子公司</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100%</w:t>
            </w:r>
          </w:p>
        </w:tc>
      </w:tr>
      <w:tr>
        <w:trPr>
          <w:trHeight w:val="480"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4" w:right="0"/>
              <w:jc w:val="left"/>
              <w:rPr>
                <w:rFonts w:ascii="宋体" w:hAnsi="宋体" w:cs="宋体" w:eastAsia="宋体" w:hint="default"/>
                <w:sz w:val="18"/>
                <w:szCs w:val="18"/>
              </w:rPr>
            </w:pPr>
            <w:r>
              <w:rPr>
                <w:rFonts w:ascii="宋体" w:hAnsi="宋体" w:cs="宋体" w:eastAsia="宋体" w:hint="default"/>
                <w:sz w:val="18"/>
                <w:szCs w:val="18"/>
              </w:rPr>
              <w:t>上海博辕信息技术服务有限公司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06"/>
              <w:jc w:val="right"/>
              <w:rPr>
                <w:rFonts w:ascii="宋体" w:hAnsi="宋体" w:cs="宋体" w:eastAsia="宋体" w:hint="default"/>
                <w:sz w:val="18"/>
                <w:szCs w:val="18"/>
              </w:rPr>
            </w:pPr>
            <w:r>
              <w:rPr>
                <w:rFonts w:ascii="宋体" w:hAnsi="宋体" w:cs="宋体" w:eastAsia="宋体" w:hint="default"/>
                <w:sz w:val="18"/>
                <w:szCs w:val="18"/>
              </w:rPr>
              <w:t>全资子公司</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100%</w:t>
            </w:r>
          </w:p>
        </w:tc>
      </w:tr>
      <w:tr>
        <w:trPr>
          <w:trHeight w:val="478"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 w:right="0"/>
              <w:jc w:val="left"/>
              <w:rPr>
                <w:rFonts w:ascii="宋体" w:hAnsi="宋体" w:cs="宋体" w:eastAsia="宋体" w:hint="default"/>
                <w:sz w:val="18"/>
                <w:szCs w:val="18"/>
              </w:rPr>
            </w:pPr>
            <w:r>
              <w:rPr>
                <w:rFonts w:ascii="宋体" w:hAnsi="宋体" w:cs="宋体" w:eastAsia="宋体" w:hint="default"/>
                <w:sz w:val="18"/>
                <w:szCs w:val="18"/>
              </w:rPr>
              <w:t>江西泰豪电力电气有限公司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06"/>
              <w:jc w:val="right"/>
              <w:rPr>
                <w:rFonts w:ascii="宋体" w:hAnsi="宋体" w:cs="宋体" w:eastAsia="宋体" w:hint="default"/>
                <w:sz w:val="18"/>
                <w:szCs w:val="18"/>
              </w:rPr>
            </w:pPr>
            <w:r>
              <w:rPr>
                <w:rFonts w:ascii="宋体" w:hAnsi="宋体" w:cs="宋体" w:eastAsia="宋体" w:hint="default"/>
                <w:sz w:val="18"/>
                <w:szCs w:val="18"/>
              </w:rPr>
              <w:t>全资子公司</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Times New Roman" w:hAnsi="Times New Roman" w:cs="Times New Roman" w:eastAsia="Times New Roman" w:hint="default"/>
                <w:sz w:val="18"/>
                <w:szCs w:val="18"/>
              </w:rPr>
            </w:pPr>
            <w:r>
              <w:rPr>
                <w:rFonts w:ascii="Times New Roman"/>
                <w:sz w:val="18"/>
              </w:rPr>
              <w:t>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18"/>
                <w:szCs w:val="18"/>
              </w:rPr>
            </w:pPr>
            <w:r>
              <w:rPr>
                <w:rFonts w:ascii="Times New Roman"/>
                <w:sz w:val="18"/>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Times New Roman" w:hAnsi="Times New Roman" w:cs="Times New Roman" w:eastAsia="Times New Roman" w:hint="default"/>
                <w:sz w:val="18"/>
                <w:szCs w:val="18"/>
              </w:rPr>
            </w:pPr>
            <w:r>
              <w:rPr>
                <w:rFonts w:ascii="Times New Roman"/>
                <w:sz w:val="18"/>
              </w:rPr>
              <w:t>100%</w:t>
            </w:r>
          </w:p>
        </w:tc>
      </w:tr>
      <w:tr>
        <w:trPr>
          <w:trHeight w:val="478"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江西泰豪智能电力科技有限公司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06"/>
              <w:jc w:val="right"/>
              <w:rPr>
                <w:rFonts w:ascii="宋体" w:hAnsi="宋体" w:cs="宋体" w:eastAsia="宋体" w:hint="default"/>
                <w:sz w:val="18"/>
                <w:szCs w:val="18"/>
              </w:rPr>
            </w:pPr>
            <w:r>
              <w:rPr>
                <w:rFonts w:ascii="宋体" w:hAnsi="宋体" w:cs="宋体" w:eastAsia="宋体" w:hint="default"/>
                <w:sz w:val="18"/>
                <w:szCs w:val="18"/>
              </w:rPr>
              <w:t>全资子公司</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100%</w:t>
            </w:r>
          </w:p>
        </w:tc>
      </w:tr>
      <w:tr>
        <w:trPr>
          <w:trHeight w:val="478"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上海泰豪智能节能技术有限公司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06"/>
              <w:jc w:val="right"/>
              <w:rPr>
                <w:rFonts w:ascii="宋体" w:hAnsi="宋体" w:cs="宋体" w:eastAsia="宋体" w:hint="default"/>
                <w:sz w:val="18"/>
                <w:szCs w:val="18"/>
              </w:rPr>
            </w:pPr>
            <w:r>
              <w:rPr>
                <w:rFonts w:ascii="宋体" w:hAnsi="宋体" w:cs="宋体" w:eastAsia="宋体" w:hint="default"/>
                <w:sz w:val="18"/>
                <w:szCs w:val="18"/>
              </w:rPr>
              <w:t>全资子公司</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100%</w:t>
            </w:r>
          </w:p>
        </w:tc>
      </w:tr>
      <w:tr>
        <w:trPr>
          <w:trHeight w:val="478"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广东泰豪能源科技有限公司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06"/>
              <w:jc w:val="right"/>
              <w:rPr>
                <w:rFonts w:ascii="宋体" w:hAnsi="宋体" w:cs="宋体" w:eastAsia="宋体" w:hint="default"/>
                <w:sz w:val="18"/>
                <w:szCs w:val="18"/>
              </w:rPr>
            </w:pPr>
            <w:r>
              <w:rPr>
                <w:rFonts w:ascii="宋体" w:hAnsi="宋体" w:cs="宋体" w:eastAsia="宋体" w:hint="default"/>
                <w:sz w:val="18"/>
                <w:szCs w:val="18"/>
              </w:rPr>
              <w:t>全资子公司</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100%</w:t>
            </w:r>
          </w:p>
        </w:tc>
      </w:tr>
      <w:tr>
        <w:trPr>
          <w:trHeight w:val="478"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北京泰豪电力科技有限公司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06"/>
              <w:jc w:val="right"/>
              <w:rPr>
                <w:rFonts w:ascii="宋体" w:hAnsi="宋体" w:cs="宋体" w:eastAsia="宋体" w:hint="default"/>
                <w:sz w:val="18"/>
                <w:szCs w:val="18"/>
              </w:rPr>
            </w:pPr>
            <w:r>
              <w:rPr>
                <w:rFonts w:ascii="宋体" w:hAnsi="宋体" w:cs="宋体" w:eastAsia="宋体" w:hint="default"/>
                <w:sz w:val="18"/>
                <w:szCs w:val="18"/>
              </w:rPr>
              <w:t>全资子公司</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100%</w:t>
            </w:r>
          </w:p>
        </w:tc>
      </w:tr>
      <w:tr>
        <w:trPr>
          <w:trHeight w:val="480"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泰豪国际投资有限公司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06"/>
              <w:jc w:val="right"/>
              <w:rPr>
                <w:rFonts w:ascii="宋体" w:hAnsi="宋体" w:cs="宋体" w:eastAsia="宋体" w:hint="default"/>
                <w:sz w:val="18"/>
                <w:szCs w:val="18"/>
              </w:rPr>
            </w:pPr>
            <w:r>
              <w:rPr>
                <w:rFonts w:ascii="宋体" w:hAnsi="宋体" w:cs="宋体" w:eastAsia="宋体" w:hint="default"/>
                <w:sz w:val="18"/>
                <w:szCs w:val="18"/>
              </w:rPr>
              <w:t>全资子公司</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100%</w:t>
            </w:r>
          </w:p>
        </w:tc>
      </w:tr>
      <w:tr>
        <w:trPr>
          <w:trHeight w:val="478"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泰豪晟大创业投资有限公司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06"/>
              <w:jc w:val="right"/>
              <w:rPr>
                <w:rFonts w:ascii="宋体" w:hAnsi="宋体" w:cs="宋体" w:eastAsia="宋体" w:hint="default"/>
                <w:sz w:val="18"/>
                <w:szCs w:val="18"/>
              </w:rPr>
            </w:pPr>
            <w:r>
              <w:rPr>
                <w:rFonts w:ascii="宋体" w:hAnsi="宋体" w:cs="宋体" w:eastAsia="宋体" w:hint="default"/>
                <w:sz w:val="18"/>
                <w:szCs w:val="18"/>
              </w:rPr>
              <w:t>控股子公司</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83.33%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83.33%</w:t>
            </w:r>
          </w:p>
        </w:tc>
      </w:tr>
      <w:tr>
        <w:trPr>
          <w:trHeight w:val="478"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龙岩市海德馨汽车有限公司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06"/>
              <w:jc w:val="right"/>
              <w:rPr>
                <w:rFonts w:ascii="宋体" w:hAnsi="宋体" w:cs="宋体" w:eastAsia="宋体" w:hint="default"/>
                <w:sz w:val="18"/>
                <w:szCs w:val="18"/>
              </w:rPr>
            </w:pPr>
            <w:r>
              <w:rPr>
                <w:rFonts w:ascii="宋体" w:hAnsi="宋体" w:cs="宋体" w:eastAsia="宋体" w:hint="default"/>
                <w:sz w:val="18"/>
                <w:szCs w:val="18"/>
              </w:rPr>
              <w:t>控股子公司</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Times New Roman" w:hAnsi="Times New Roman" w:cs="Times New Roman" w:eastAsia="Times New Roman" w:hint="default"/>
                <w:sz w:val="18"/>
                <w:szCs w:val="18"/>
              </w:rPr>
            </w:pPr>
            <w:r>
              <w:rPr>
                <w:rFonts w:ascii="Times New Roman"/>
                <w:sz w:val="18"/>
              </w:rPr>
              <w:t>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Times New Roman" w:hAnsi="Times New Roman" w:cs="Times New Roman" w:eastAsia="Times New Roman" w:hint="default"/>
                <w:sz w:val="18"/>
                <w:szCs w:val="18"/>
              </w:rPr>
            </w:pPr>
            <w:r>
              <w:rPr>
                <w:rFonts w:ascii="Times New Roman"/>
                <w:sz w:val="18"/>
              </w:rPr>
              <w:t>75.29%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Times New Roman" w:hAnsi="Times New Roman" w:cs="Times New Roman" w:eastAsia="Times New Roman" w:hint="default"/>
                <w:sz w:val="18"/>
                <w:szCs w:val="18"/>
              </w:rPr>
            </w:pPr>
            <w:r>
              <w:rPr>
                <w:rFonts w:ascii="Times New Roman"/>
                <w:sz w:val="18"/>
              </w:rPr>
              <w:t>75.29%</w:t>
            </w:r>
          </w:p>
        </w:tc>
      </w:tr>
      <w:tr>
        <w:trPr>
          <w:trHeight w:val="478"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泰豪国际工程有限公司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06"/>
              <w:jc w:val="right"/>
              <w:rPr>
                <w:rFonts w:ascii="宋体" w:hAnsi="宋体" w:cs="宋体" w:eastAsia="宋体" w:hint="default"/>
                <w:sz w:val="18"/>
                <w:szCs w:val="18"/>
              </w:rPr>
            </w:pPr>
            <w:r>
              <w:rPr>
                <w:rFonts w:ascii="宋体" w:hAnsi="宋体" w:cs="宋体" w:eastAsia="宋体" w:hint="default"/>
                <w:sz w:val="18"/>
                <w:szCs w:val="18"/>
              </w:rPr>
              <w:t>控股子公司</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60%</w:t>
            </w:r>
          </w:p>
        </w:tc>
      </w:tr>
      <w:tr>
        <w:trPr>
          <w:trHeight w:val="478"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江西清华泰豪三波电机有限公司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06"/>
              <w:jc w:val="right"/>
              <w:rPr>
                <w:rFonts w:ascii="宋体" w:hAnsi="宋体" w:cs="宋体" w:eastAsia="宋体" w:hint="default"/>
                <w:sz w:val="18"/>
                <w:szCs w:val="18"/>
              </w:rPr>
            </w:pPr>
            <w:r>
              <w:rPr>
                <w:rFonts w:ascii="宋体" w:hAnsi="宋体" w:cs="宋体" w:eastAsia="宋体" w:hint="default"/>
                <w:sz w:val="18"/>
                <w:szCs w:val="18"/>
              </w:rPr>
              <w:t>全资孙公司</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100%</w:t>
            </w:r>
          </w:p>
        </w:tc>
      </w:tr>
      <w:tr>
        <w:trPr>
          <w:trHeight w:val="478"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北京泰豪装备科技有限公司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06"/>
              <w:jc w:val="right"/>
              <w:rPr>
                <w:rFonts w:ascii="宋体" w:hAnsi="宋体" w:cs="宋体" w:eastAsia="宋体" w:hint="default"/>
                <w:sz w:val="18"/>
                <w:szCs w:val="18"/>
              </w:rPr>
            </w:pPr>
            <w:r>
              <w:rPr>
                <w:rFonts w:ascii="宋体" w:hAnsi="宋体" w:cs="宋体" w:eastAsia="宋体" w:hint="default"/>
                <w:sz w:val="18"/>
                <w:szCs w:val="18"/>
              </w:rPr>
              <w:t>全资孙公司</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100%</w:t>
            </w:r>
          </w:p>
        </w:tc>
      </w:tr>
      <w:tr>
        <w:trPr>
          <w:trHeight w:val="480"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泰豪新能源装备有限公司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06"/>
              <w:jc w:val="right"/>
              <w:rPr>
                <w:rFonts w:ascii="宋体" w:hAnsi="宋体" w:cs="宋体" w:eastAsia="宋体" w:hint="default"/>
                <w:sz w:val="18"/>
                <w:szCs w:val="18"/>
              </w:rPr>
            </w:pPr>
            <w:r>
              <w:rPr>
                <w:rFonts w:ascii="宋体" w:hAnsi="宋体" w:cs="宋体" w:eastAsia="宋体" w:hint="default"/>
                <w:sz w:val="18"/>
                <w:szCs w:val="18"/>
              </w:rPr>
              <w:t>控股孙公司</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90%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90%</w:t>
            </w:r>
          </w:p>
        </w:tc>
      </w:tr>
      <w:tr>
        <w:trPr>
          <w:trHeight w:val="478"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嘉兴泰豪装备技术有限公司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06"/>
              <w:jc w:val="right"/>
              <w:rPr>
                <w:rFonts w:ascii="宋体" w:hAnsi="宋体" w:cs="宋体" w:eastAsia="宋体" w:hint="default"/>
                <w:sz w:val="18"/>
                <w:szCs w:val="18"/>
              </w:rPr>
            </w:pPr>
            <w:r>
              <w:rPr>
                <w:rFonts w:ascii="宋体" w:hAnsi="宋体" w:cs="宋体" w:eastAsia="宋体" w:hint="default"/>
                <w:sz w:val="18"/>
                <w:szCs w:val="18"/>
              </w:rPr>
              <w:t>控股孙公司</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90%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90%</w:t>
            </w:r>
          </w:p>
        </w:tc>
      </w:tr>
      <w:tr>
        <w:trPr>
          <w:trHeight w:val="478"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衡阳泰豪通信车辆有限公司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06"/>
              <w:jc w:val="right"/>
              <w:rPr>
                <w:rFonts w:ascii="宋体" w:hAnsi="宋体" w:cs="宋体" w:eastAsia="宋体" w:hint="default"/>
                <w:sz w:val="18"/>
                <w:szCs w:val="18"/>
              </w:rPr>
            </w:pPr>
            <w:r>
              <w:rPr>
                <w:rFonts w:ascii="宋体" w:hAnsi="宋体" w:cs="宋体" w:eastAsia="宋体" w:hint="default"/>
                <w:sz w:val="18"/>
                <w:szCs w:val="18"/>
              </w:rPr>
              <w:t>控股孙公司</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84.53%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84.53%</w:t>
            </w:r>
          </w:p>
        </w:tc>
      </w:tr>
      <w:tr>
        <w:trPr>
          <w:trHeight w:val="478"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北京泰豪电力技术有限公司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06"/>
              <w:jc w:val="right"/>
              <w:rPr>
                <w:rFonts w:ascii="宋体" w:hAnsi="宋体" w:cs="宋体" w:eastAsia="宋体" w:hint="default"/>
                <w:sz w:val="18"/>
                <w:szCs w:val="18"/>
              </w:rPr>
            </w:pPr>
            <w:r>
              <w:rPr>
                <w:rFonts w:ascii="宋体" w:hAnsi="宋体" w:cs="宋体" w:eastAsia="宋体" w:hint="default"/>
                <w:sz w:val="18"/>
                <w:szCs w:val="18"/>
              </w:rPr>
              <w:t>全资孙公司</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100%</w:t>
            </w:r>
          </w:p>
        </w:tc>
      </w:tr>
      <w:tr>
        <w:trPr>
          <w:trHeight w:val="478"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莱福士电力电子设备（深圳）有限公司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06"/>
              <w:jc w:val="right"/>
              <w:rPr>
                <w:rFonts w:ascii="宋体" w:hAnsi="宋体" w:cs="宋体" w:eastAsia="宋体" w:hint="default"/>
                <w:sz w:val="18"/>
                <w:szCs w:val="18"/>
              </w:rPr>
            </w:pPr>
            <w:r>
              <w:rPr>
                <w:rFonts w:ascii="宋体" w:hAnsi="宋体" w:cs="宋体" w:eastAsia="宋体" w:hint="default"/>
                <w:sz w:val="18"/>
                <w:szCs w:val="18"/>
              </w:rPr>
              <w:t>全资孙公司</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100%</w:t>
            </w:r>
          </w:p>
        </w:tc>
      </w:tr>
      <w:tr>
        <w:trPr>
          <w:trHeight w:val="478"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上海泰豪迈能能源科技有限公司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06"/>
              <w:jc w:val="right"/>
              <w:rPr>
                <w:rFonts w:ascii="宋体" w:hAnsi="宋体" w:cs="宋体" w:eastAsia="宋体" w:hint="default"/>
                <w:sz w:val="18"/>
                <w:szCs w:val="18"/>
              </w:rPr>
            </w:pPr>
            <w:r>
              <w:rPr>
                <w:rFonts w:ascii="宋体" w:hAnsi="宋体" w:cs="宋体" w:eastAsia="宋体" w:hint="default"/>
                <w:sz w:val="18"/>
                <w:szCs w:val="18"/>
              </w:rPr>
              <w:t>全资孙公司</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100%</w:t>
            </w:r>
          </w:p>
        </w:tc>
      </w:tr>
      <w:tr>
        <w:trPr>
          <w:trHeight w:val="480"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上海博辕信息技术服务如皋有限公司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06"/>
              <w:jc w:val="right"/>
              <w:rPr>
                <w:rFonts w:ascii="宋体" w:hAnsi="宋体" w:cs="宋体" w:eastAsia="宋体" w:hint="default"/>
                <w:sz w:val="18"/>
                <w:szCs w:val="18"/>
              </w:rPr>
            </w:pPr>
            <w:r>
              <w:rPr>
                <w:rFonts w:ascii="宋体" w:hAnsi="宋体" w:cs="宋体" w:eastAsia="宋体" w:hint="default"/>
                <w:sz w:val="18"/>
                <w:szCs w:val="18"/>
              </w:rPr>
              <w:t>全资孙公司</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100%</w:t>
            </w:r>
          </w:p>
        </w:tc>
      </w:tr>
      <w:tr>
        <w:trPr>
          <w:trHeight w:val="478"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北京博辕捷迅科技发展有限公司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06"/>
              <w:jc w:val="right"/>
              <w:rPr>
                <w:rFonts w:ascii="宋体" w:hAnsi="宋体" w:cs="宋体" w:eastAsia="宋体" w:hint="default"/>
                <w:sz w:val="18"/>
                <w:szCs w:val="18"/>
              </w:rPr>
            </w:pPr>
            <w:r>
              <w:rPr>
                <w:rFonts w:ascii="宋体" w:hAnsi="宋体" w:cs="宋体" w:eastAsia="宋体" w:hint="default"/>
                <w:sz w:val="18"/>
                <w:szCs w:val="18"/>
              </w:rPr>
              <w:t>全资孙公司</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100%</w:t>
            </w:r>
          </w:p>
        </w:tc>
      </w:tr>
      <w:tr>
        <w:trPr>
          <w:trHeight w:val="478"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泰豪科技（亚洲）有限公司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06"/>
              <w:jc w:val="right"/>
              <w:rPr>
                <w:rFonts w:ascii="宋体" w:hAnsi="宋体" w:cs="宋体" w:eastAsia="宋体" w:hint="default"/>
                <w:sz w:val="18"/>
                <w:szCs w:val="18"/>
              </w:rPr>
            </w:pPr>
            <w:r>
              <w:rPr>
                <w:rFonts w:ascii="宋体" w:hAnsi="宋体" w:cs="宋体" w:eastAsia="宋体" w:hint="default"/>
                <w:sz w:val="18"/>
                <w:szCs w:val="18"/>
              </w:rPr>
              <w:t>全资孙公司</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100%</w:t>
            </w:r>
          </w:p>
        </w:tc>
      </w:tr>
      <w:tr>
        <w:trPr>
          <w:trHeight w:val="478"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sz w:val="18"/>
              </w:rPr>
              <w:t>TELLHOW POWER</w:t>
            </w:r>
            <w:r>
              <w:rPr>
                <w:rFonts w:ascii="宋体"/>
                <w:spacing w:val="-8"/>
                <w:sz w:val="18"/>
              </w:rPr>
              <w:t> </w:t>
            </w:r>
            <w:r>
              <w:rPr>
                <w:rFonts w:ascii="宋体"/>
                <w:sz w:val="18"/>
              </w:rPr>
              <w:t>SOLUTION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06"/>
              <w:jc w:val="right"/>
              <w:rPr>
                <w:rFonts w:ascii="宋体" w:hAnsi="宋体" w:cs="宋体" w:eastAsia="宋体" w:hint="default"/>
                <w:sz w:val="18"/>
                <w:szCs w:val="18"/>
              </w:rPr>
            </w:pPr>
            <w:r>
              <w:rPr>
                <w:rFonts w:ascii="宋体" w:hAnsi="宋体" w:cs="宋体" w:eastAsia="宋体" w:hint="default"/>
                <w:sz w:val="18"/>
                <w:szCs w:val="18"/>
              </w:rPr>
              <w:t>全资孙公司</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center"/>
        <w:rPr>
          <w:rFonts w:ascii="Times New Roman" w:hAnsi="Times New Roman" w:cs="Times New Roman" w:eastAsia="Times New Roman" w:hint="default"/>
          <w:sz w:val="18"/>
          <w:szCs w:val="18"/>
        </w:rPr>
        <w:sectPr>
          <w:pgSz w:w="11910" w:h="16840"/>
          <w:pgMar w:header="882" w:footer="1195" w:top="1120" w:bottom="1380" w:left="1140" w:right="168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258"/>
        <w:gridCol w:w="1702"/>
        <w:gridCol w:w="1275"/>
        <w:gridCol w:w="1135"/>
        <w:gridCol w:w="1417"/>
      </w:tblGrid>
      <w:tr>
        <w:trPr>
          <w:trHeight w:val="478"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sz w:val="18"/>
              </w:rPr>
              <w:t>Meinergy</w:t>
            </w:r>
            <w:r>
              <w:rPr>
                <w:rFonts w:ascii="宋体"/>
                <w:spacing w:val="-3"/>
                <w:sz w:val="18"/>
              </w:rPr>
              <w:t> </w:t>
            </w:r>
            <w:r>
              <w:rPr>
                <w:rFonts w:ascii="宋体"/>
                <w:sz w:val="18"/>
              </w:rPr>
              <w:t>GMBH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06"/>
              <w:jc w:val="right"/>
              <w:rPr>
                <w:rFonts w:ascii="宋体" w:hAnsi="宋体" w:cs="宋体" w:eastAsia="宋体" w:hint="default"/>
                <w:sz w:val="18"/>
                <w:szCs w:val="18"/>
              </w:rPr>
            </w:pPr>
            <w:r>
              <w:rPr>
                <w:rFonts w:ascii="宋体" w:hAnsi="宋体" w:cs="宋体" w:eastAsia="宋体" w:hint="default"/>
                <w:sz w:val="18"/>
                <w:szCs w:val="18"/>
              </w:rPr>
              <w:t>全资孙公司</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50" w:right="0"/>
              <w:jc w:val="left"/>
              <w:rPr>
                <w:rFonts w:ascii="Times New Roman" w:hAnsi="Times New Roman" w:cs="Times New Roman" w:eastAsia="Times New Roman" w:hint="default"/>
                <w:sz w:val="18"/>
                <w:szCs w:val="18"/>
              </w:rPr>
            </w:pPr>
            <w:r>
              <w:rPr>
                <w:rFonts w:ascii="Times New Roman"/>
                <w:sz w:val="18"/>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100%</w:t>
            </w:r>
          </w:p>
        </w:tc>
      </w:tr>
      <w:tr>
        <w:trPr>
          <w:trHeight w:val="478"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sz w:val="18"/>
              </w:rPr>
              <w:t>Meinergy</w:t>
            </w:r>
            <w:r>
              <w:rPr>
                <w:rFonts w:ascii="宋体"/>
                <w:spacing w:val="-5"/>
                <w:sz w:val="18"/>
              </w:rPr>
              <w:t> </w:t>
            </w:r>
            <w:r>
              <w:rPr>
                <w:rFonts w:ascii="宋体"/>
                <w:sz w:val="18"/>
              </w:rPr>
              <w:t>Inc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06"/>
              <w:jc w:val="right"/>
              <w:rPr>
                <w:rFonts w:ascii="宋体" w:hAnsi="宋体" w:cs="宋体" w:eastAsia="宋体" w:hint="default"/>
                <w:sz w:val="18"/>
                <w:szCs w:val="18"/>
              </w:rPr>
            </w:pPr>
            <w:r>
              <w:rPr>
                <w:rFonts w:ascii="宋体" w:hAnsi="宋体" w:cs="宋体" w:eastAsia="宋体" w:hint="default"/>
                <w:sz w:val="18"/>
                <w:szCs w:val="18"/>
              </w:rPr>
              <w:t>全资孙公司</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
              <w:jc w:val="center"/>
              <w:rPr>
                <w:rFonts w:ascii="宋体" w:hAnsi="宋体" w:cs="宋体" w:eastAsia="宋体" w:hint="default"/>
                <w:sz w:val="18"/>
                <w:szCs w:val="18"/>
              </w:rPr>
            </w:pPr>
            <w:r>
              <w:rPr>
                <w:rFonts w:ascii="宋体"/>
                <w:sz w:val="18"/>
              </w:rPr>
              <w:t>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sz w:val="18"/>
              </w:rPr>
              <w:t>100%</w:t>
            </w:r>
          </w:p>
        </w:tc>
      </w:tr>
      <w:tr>
        <w:trPr>
          <w:trHeight w:val="478"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重庆市梁平区泰豪售电有限公司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06"/>
              <w:jc w:val="right"/>
              <w:rPr>
                <w:rFonts w:ascii="宋体" w:hAnsi="宋体" w:cs="宋体" w:eastAsia="宋体" w:hint="default"/>
                <w:sz w:val="18"/>
                <w:szCs w:val="18"/>
              </w:rPr>
            </w:pPr>
            <w:r>
              <w:rPr>
                <w:rFonts w:ascii="宋体" w:hAnsi="宋体" w:cs="宋体" w:eastAsia="宋体" w:hint="default"/>
                <w:sz w:val="18"/>
                <w:szCs w:val="18"/>
              </w:rPr>
              <w:t>全资孙公司</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sz w:val="18"/>
              </w:rPr>
              <w:t>2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94"/>
              <w:jc w:val="right"/>
              <w:rPr>
                <w:rFonts w:ascii="宋体" w:hAnsi="宋体" w:cs="宋体" w:eastAsia="宋体" w:hint="default"/>
                <w:sz w:val="18"/>
                <w:szCs w:val="18"/>
              </w:rPr>
            </w:pPr>
            <w:r>
              <w:rPr>
                <w:rFonts w:ascii="宋体"/>
                <w:spacing w:val="-1"/>
                <w:sz w:val="18"/>
              </w:rPr>
              <w:t>100%</w:t>
            </w:r>
            <w:r>
              <w:rPr>
                <w:rFonts w:ascii="宋体"/>
                <w:sz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100% </w:t>
            </w:r>
          </w:p>
        </w:tc>
      </w:tr>
      <w:tr>
        <w:trPr>
          <w:trHeight w:val="480"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4" w:right="0"/>
              <w:jc w:val="left"/>
              <w:rPr>
                <w:rFonts w:ascii="宋体" w:hAnsi="宋体" w:cs="宋体" w:eastAsia="宋体" w:hint="default"/>
                <w:sz w:val="18"/>
                <w:szCs w:val="18"/>
              </w:rPr>
            </w:pPr>
            <w:r>
              <w:rPr>
                <w:rFonts w:ascii="宋体" w:hAnsi="宋体" w:cs="宋体" w:eastAsia="宋体" w:hint="default"/>
                <w:sz w:val="18"/>
                <w:szCs w:val="18"/>
              </w:rPr>
              <w:t>湖南泰豪系统工程研究院有限公司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06"/>
              <w:jc w:val="right"/>
              <w:rPr>
                <w:rFonts w:ascii="宋体" w:hAnsi="宋体" w:cs="宋体" w:eastAsia="宋体" w:hint="default"/>
                <w:sz w:val="18"/>
                <w:szCs w:val="18"/>
              </w:rPr>
            </w:pPr>
            <w:r>
              <w:rPr>
                <w:rFonts w:ascii="宋体" w:hAnsi="宋体" w:cs="宋体" w:eastAsia="宋体" w:hint="default"/>
                <w:sz w:val="18"/>
                <w:szCs w:val="18"/>
              </w:rPr>
              <w:t>全资孙公司</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87" w:right="0"/>
              <w:jc w:val="center"/>
              <w:rPr>
                <w:rFonts w:ascii="宋体" w:hAnsi="宋体" w:cs="宋体" w:eastAsia="宋体" w:hint="default"/>
                <w:sz w:val="18"/>
                <w:szCs w:val="18"/>
              </w:rPr>
            </w:pPr>
            <w:r>
              <w:rPr>
                <w:rFonts w:ascii="宋体"/>
                <w:sz w:val="18"/>
              </w:rPr>
              <w:t>2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94"/>
              <w:jc w:val="right"/>
              <w:rPr>
                <w:rFonts w:ascii="宋体" w:hAnsi="宋体" w:cs="宋体" w:eastAsia="宋体" w:hint="default"/>
                <w:sz w:val="18"/>
                <w:szCs w:val="18"/>
              </w:rPr>
            </w:pPr>
            <w:r>
              <w:rPr>
                <w:rFonts w:ascii="宋体"/>
                <w:spacing w:val="-1"/>
                <w:sz w:val="18"/>
              </w:rPr>
              <w:t>100%</w:t>
            </w:r>
            <w:r>
              <w:rPr>
                <w:rFonts w:ascii="宋体"/>
                <w:sz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90" w:right="0"/>
              <w:jc w:val="center"/>
              <w:rPr>
                <w:rFonts w:ascii="宋体" w:hAnsi="宋体" w:cs="宋体" w:eastAsia="宋体" w:hint="default"/>
                <w:sz w:val="18"/>
                <w:szCs w:val="18"/>
              </w:rPr>
            </w:pPr>
            <w:r>
              <w:rPr>
                <w:rFonts w:ascii="宋体"/>
                <w:sz w:val="18"/>
              </w:rPr>
              <w:t>100% </w:t>
            </w:r>
          </w:p>
        </w:tc>
      </w:tr>
      <w:tr>
        <w:trPr>
          <w:trHeight w:val="478"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清大泰豪（厦门）能源科技有限公司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06"/>
              <w:jc w:val="right"/>
              <w:rPr>
                <w:rFonts w:ascii="宋体" w:hAnsi="宋体" w:cs="宋体" w:eastAsia="宋体" w:hint="default"/>
                <w:sz w:val="18"/>
                <w:szCs w:val="18"/>
              </w:rPr>
            </w:pPr>
            <w:r>
              <w:rPr>
                <w:rFonts w:ascii="宋体" w:hAnsi="宋体" w:cs="宋体" w:eastAsia="宋体" w:hint="default"/>
                <w:sz w:val="18"/>
                <w:szCs w:val="18"/>
              </w:rPr>
              <w:t>控股孙公司</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85%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85%</w:t>
            </w:r>
          </w:p>
        </w:tc>
      </w:tr>
      <w:tr>
        <w:trPr>
          <w:trHeight w:val="478"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北京泰豪新源工程技术有限公司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06"/>
              <w:jc w:val="right"/>
              <w:rPr>
                <w:rFonts w:ascii="宋体" w:hAnsi="宋体" w:cs="宋体" w:eastAsia="宋体" w:hint="default"/>
                <w:sz w:val="18"/>
                <w:szCs w:val="18"/>
              </w:rPr>
            </w:pPr>
            <w:r>
              <w:rPr>
                <w:rFonts w:ascii="宋体" w:hAnsi="宋体" w:cs="宋体" w:eastAsia="宋体" w:hint="default"/>
                <w:sz w:val="18"/>
                <w:szCs w:val="18"/>
              </w:rPr>
              <w:t>控股孙公司</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80%</w:t>
            </w:r>
          </w:p>
        </w:tc>
      </w:tr>
      <w:tr>
        <w:trPr>
          <w:trHeight w:val="478"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北京海德馨应急科技有限公司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06"/>
              <w:jc w:val="right"/>
              <w:rPr>
                <w:rFonts w:ascii="宋体" w:hAnsi="宋体" w:cs="宋体" w:eastAsia="宋体" w:hint="default"/>
                <w:sz w:val="18"/>
                <w:szCs w:val="18"/>
              </w:rPr>
            </w:pPr>
            <w:r>
              <w:rPr>
                <w:rFonts w:ascii="宋体" w:hAnsi="宋体" w:cs="宋体" w:eastAsia="宋体" w:hint="default"/>
                <w:sz w:val="18"/>
                <w:szCs w:val="18"/>
              </w:rPr>
              <w:t>控股孙公司</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82"/>
              <w:jc w:val="right"/>
              <w:rPr>
                <w:rFonts w:ascii="Times New Roman" w:hAnsi="Times New Roman" w:cs="Times New Roman" w:eastAsia="Times New Roman" w:hint="default"/>
                <w:sz w:val="18"/>
                <w:szCs w:val="18"/>
              </w:rPr>
            </w:pPr>
            <w:r>
              <w:rPr>
                <w:rFonts w:ascii="Times New Roman"/>
                <w:sz w:val="18"/>
              </w:rPr>
              <w:t>75.29%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 w:right="0"/>
              <w:jc w:val="center"/>
              <w:rPr>
                <w:rFonts w:ascii="Times New Roman" w:hAnsi="Times New Roman" w:cs="Times New Roman" w:eastAsia="Times New Roman" w:hint="default"/>
                <w:sz w:val="18"/>
                <w:szCs w:val="18"/>
              </w:rPr>
            </w:pPr>
            <w:r>
              <w:rPr>
                <w:rFonts w:ascii="Times New Roman"/>
                <w:sz w:val="18"/>
              </w:rPr>
              <w:t>75.29%</w:t>
            </w:r>
          </w:p>
        </w:tc>
      </w:tr>
      <w:tr>
        <w:trPr>
          <w:trHeight w:val="478"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泰豪福瑞斯动力设备有限公司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06"/>
              <w:jc w:val="right"/>
              <w:rPr>
                <w:rFonts w:ascii="宋体" w:hAnsi="宋体" w:cs="宋体" w:eastAsia="宋体" w:hint="default"/>
                <w:sz w:val="18"/>
                <w:szCs w:val="18"/>
              </w:rPr>
            </w:pPr>
            <w:r>
              <w:rPr>
                <w:rFonts w:ascii="宋体" w:hAnsi="宋体" w:cs="宋体" w:eastAsia="宋体" w:hint="default"/>
                <w:sz w:val="18"/>
                <w:szCs w:val="18"/>
              </w:rPr>
              <w:t>控股孙公司</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51%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51%</w:t>
            </w:r>
          </w:p>
        </w:tc>
      </w:tr>
      <w:tr>
        <w:trPr>
          <w:trHeight w:val="478"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陕西泰豪沃达动力设备有限公司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06"/>
              <w:jc w:val="right"/>
              <w:rPr>
                <w:rFonts w:ascii="宋体" w:hAnsi="宋体" w:cs="宋体" w:eastAsia="宋体" w:hint="default"/>
                <w:sz w:val="18"/>
                <w:szCs w:val="18"/>
              </w:rPr>
            </w:pPr>
            <w:r>
              <w:rPr>
                <w:rFonts w:ascii="宋体" w:hAnsi="宋体" w:cs="宋体" w:eastAsia="宋体" w:hint="default"/>
                <w:sz w:val="18"/>
                <w:szCs w:val="18"/>
              </w:rPr>
              <w:t>控股孙公司</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51%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51%</w:t>
            </w:r>
          </w:p>
        </w:tc>
      </w:tr>
      <w:tr>
        <w:trPr>
          <w:trHeight w:val="480"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4" w:right="0"/>
              <w:jc w:val="left"/>
              <w:rPr>
                <w:rFonts w:ascii="宋体" w:hAnsi="宋体" w:cs="宋体" w:eastAsia="宋体" w:hint="default"/>
                <w:sz w:val="18"/>
                <w:szCs w:val="18"/>
              </w:rPr>
            </w:pPr>
            <w:r>
              <w:rPr>
                <w:rFonts w:ascii="宋体" w:hAnsi="宋体" w:cs="宋体" w:eastAsia="宋体" w:hint="default"/>
                <w:sz w:val="18"/>
                <w:szCs w:val="18"/>
              </w:rPr>
              <w:t>广东泰豪三奥动力科技有限公司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06"/>
              <w:jc w:val="right"/>
              <w:rPr>
                <w:rFonts w:ascii="宋体" w:hAnsi="宋体" w:cs="宋体" w:eastAsia="宋体" w:hint="default"/>
                <w:sz w:val="18"/>
                <w:szCs w:val="18"/>
              </w:rPr>
            </w:pPr>
            <w:r>
              <w:rPr>
                <w:rFonts w:ascii="宋体" w:hAnsi="宋体" w:cs="宋体" w:eastAsia="宋体" w:hint="default"/>
                <w:sz w:val="18"/>
                <w:szCs w:val="18"/>
              </w:rPr>
              <w:t>控股孙公司</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60%</w:t>
            </w:r>
          </w:p>
        </w:tc>
      </w:tr>
      <w:tr>
        <w:trPr>
          <w:trHeight w:val="478"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泰豪科技（深圳）电力技术有限公司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06"/>
              <w:jc w:val="right"/>
              <w:rPr>
                <w:rFonts w:ascii="宋体" w:hAnsi="宋体" w:cs="宋体" w:eastAsia="宋体" w:hint="default"/>
                <w:sz w:val="18"/>
                <w:szCs w:val="18"/>
              </w:rPr>
            </w:pPr>
            <w:r>
              <w:rPr>
                <w:rFonts w:ascii="宋体" w:hAnsi="宋体" w:cs="宋体" w:eastAsia="宋体" w:hint="default"/>
                <w:sz w:val="18"/>
                <w:szCs w:val="18"/>
              </w:rPr>
              <w:t>控股孙公司</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60%</w:t>
            </w:r>
          </w:p>
        </w:tc>
      </w:tr>
      <w:tr>
        <w:trPr>
          <w:trHeight w:val="478"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0"/>
              <w:jc w:val="left"/>
              <w:rPr>
                <w:rFonts w:ascii="宋体" w:hAnsi="宋体" w:cs="宋体" w:eastAsia="宋体" w:hint="default"/>
                <w:sz w:val="18"/>
                <w:szCs w:val="18"/>
              </w:rPr>
            </w:pPr>
            <w:r>
              <w:rPr>
                <w:rFonts w:ascii="宋体" w:hAnsi="宋体" w:cs="宋体" w:eastAsia="宋体" w:hint="default"/>
                <w:sz w:val="18"/>
                <w:szCs w:val="18"/>
              </w:rPr>
              <w:t>西安泰豪红外科技有限公司</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06"/>
              <w:jc w:val="right"/>
              <w:rPr>
                <w:rFonts w:ascii="宋体" w:hAnsi="宋体" w:cs="宋体" w:eastAsia="宋体" w:hint="default"/>
                <w:sz w:val="18"/>
                <w:szCs w:val="18"/>
              </w:rPr>
            </w:pPr>
            <w:r>
              <w:rPr>
                <w:rFonts w:ascii="宋体" w:hAnsi="宋体" w:cs="宋体" w:eastAsia="宋体" w:hint="default"/>
                <w:sz w:val="18"/>
                <w:szCs w:val="18"/>
              </w:rPr>
              <w:t>控股孙公司</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82"/>
              <w:jc w:val="right"/>
              <w:rPr>
                <w:rFonts w:ascii="Times New Roman" w:hAnsi="Times New Roman" w:cs="Times New Roman" w:eastAsia="Times New Roman" w:hint="default"/>
                <w:sz w:val="18"/>
                <w:szCs w:val="18"/>
              </w:rPr>
            </w:pPr>
            <w:r>
              <w:rPr>
                <w:rFonts w:ascii="Times New Roman"/>
                <w:sz w:val="18"/>
              </w:rPr>
              <w:t>70.30%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70.30%</w:t>
            </w:r>
          </w:p>
        </w:tc>
      </w:tr>
      <w:tr>
        <w:trPr>
          <w:trHeight w:val="415"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中能华电（北京）电力技术研究院</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06"/>
              <w:jc w:val="right"/>
              <w:rPr>
                <w:rFonts w:ascii="宋体" w:hAnsi="宋体" w:cs="宋体" w:eastAsia="宋体" w:hint="default"/>
                <w:sz w:val="18"/>
                <w:szCs w:val="18"/>
              </w:rPr>
            </w:pPr>
            <w:r>
              <w:rPr>
                <w:rFonts w:ascii="宋体" w:hAnsi="宋体" w:cs="宋体" w:eastAsia="宋体" w:hint="default"/>
                <w:sz w:val="18"/>
                <w:szCs w:val="18"/>
              </w:rPr>
              <w:t>控股孙公司</w:t>
            </w:r>
            <w:r>
              <w:rPr>
                <w:rFonts w:ascii="宋体" w:hAnsi="宋体" w:cs="宋体" w:eastAsia="宋体" w:hint="default"/>
                <w:sz w:val="18"/>
                <w:szCs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sz w:val="18"/>
              </w:rPr>
              <w:t>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92"/>
              <w:jc w:val="right"/>
              <w:rPr>
                <w:rFonts w:ascii="宋体" w:hAnsi="宋体" w:cs="宋体" w:eastAsia="宋体" w:hint="default"/>
                <w:sz w:val="18"/>
                <w:szCs w:val="18"/>
              </w:rPr>
            </w:pPr>
            <w:r>
              <w:rPr>
                <w:rFonts w:ascii="宋体"/>
                <w:spacing w:val="-1"/>
                <w:sz w:val="18"/>
              </w:rPr>
              <w:t>41.65%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sz w:val="18"/>
              </w:rPr>
              <w:t>41.65%</w:t>
            </w:r>
          </w:p>
        </w:tc>
      </w:tr>
    </w:tbl>
    <w:p>
      <w:pPr>
        <w:spacing w:line="240" w:lineRule="auto" w:before="7"/>
        <w:rPr>
          <w:rFonts w:ascii="宋体" w:hAnsi="宋体" w:cs="宋体" w:eastAsia="宋体" w:hint="default"/>
          <w:sz w:val="17"/>
          <w:szCs w:val="17"/>
        </w:rPr>
      </w:pPr>
    </w:p>
    <w:p>
      <w:pPr>
        <w:pStyle w:val="Heading5"/>
        <w:tabs>
          <w:tab w:pos="562" w:val="left" w:leader="none"/>
        </w:tabs>
        <w:spacing w:line="290" w:lineRule="auto" w:before="36"/>
        <w:ind w:left="136" w:right="6518"/>
        <w:jc w:val="left"/>
        <w:rPr>
          <w:b w:val="0"/>
          <w:bCs w:val="0"/>
        </w:rPr>
      </w:pPr>
      <w:r>
        <w:rPr/>
        <w:t>四、</w:t>
      </w:r>
      <w:r>
        <w:rPr>
          <w:spacing w:val="-105"/>
        </w:rPr>
        <w:t> </w:t>
      </w:r>
      <w:r>
        <w:rPr>
          <w:rFonts w:ascii="宋体" w:hAnsi="宋体" w:cs="宋体" w:eastAsia="宋体" w:hint="default"/>
          <w:spacing w:val="-105"/>
        </w:rPr>
      </w:r>
      <w:r>
        <w:rPr/>
        <w:t>财务报表的编制基础</w:t>
      </w:r>
      <w:r>
        <w:rPr>
          <w:rFonts w:ascii="宋体" w:hAnsi="宋体" w:cs="宋体" w:eastAsia="宋体" w:hint="default"/>
          <w:w w:val="99"/>
        </w:rPr>
        <w:t> </w:t>
      </w:r>
      <w:r>
        <w:rPr>
          <w:rFonts w:ascii="宋体" w:hAnsi="宋体" w:cs="宋体" w:eastAsia="宋体" w:hint="default"/>
          <w:w w:val="95"/>
        </w:rPr>
        <w:t>1.</w:t>
        <w:tab/>
      </w:r>
      <w:r>
        <w:rPr/>
        <w:t>编制基础</w:t>
      </w:r>
      <w:r>
        <w:rPr>
          <w:b w:val="0"/>
          <w:bCs w:val="0"/>
        </w:rPr>
      </w:r>
    </w:p>
    <w:p>
      <w:pPr>
        <w:pStyle w:val="BodyText"/>
        <w:spacing w:line="237" w:lineRule="auto" w:before="15"/>
        <w:ind w:right="109" w:firstLine="480"/>
        <w:jc w:val="both"/>
        <w:rPr>
          <w:rFonts w:ascii="宋体" w:hAnsi="宋体" w:cs="宋体" w:eastAsia="宋体" w:hint="default"/>
          <w:sz w:val="24"/>
          <w:szCs w:val="24"/>
        </w:rPr>
      </w:pPr>
      <w:r>
        <w:rPr>
          <w:spacing w:val="-3"/>
        </w:rPr>
        <w:t>本公司财务报表以持续经营为基础，根据实际发生的交易和事项，按照财政部颁布的《企业</w:t>
      </w:r>
      <w:r>
        <w:rPr>
          <w:w w:val="100"/>
        </w:rPr>
        <w:t> </w:t>
      </w:r>
      <w:r>
        <w:rPr>
          <w:spacing w:val="-4"/>
        </w:rPr>
        <w:t>会计准则</w:t>
      </w:r>
      <w:r>
        <w:rPr>
          <w:rFonts w:ascii="宋体" w:hAnsi="宋体" w:cs="宋体" w:eastAsia="宋体" w:hint="default"/>
          <w:spacing w:val="-4"/>
        </w:rPr>
        <w:t>-</w:t>
      </w:r>
      <w:r>
        <w:rPr>
          <w:spacing w:val="-4"/>
        </w:rPr>
        <w:t>基本准则》和具体会计准则等规定（以下合称“企业会计准则”），并基于以下所述重</w:t>
      </w:r>
      <w:r>
        <w:rPr>
          <w:spacing w:val="-36"/>
        </w:rPr>
        <w:t> </w:t>
      </w:r>
      <w:r>
        <w:rPr>
          <w:spacing w:val="-36"/>
        </w:rPr>
      </w:r>
      <w:r>
        <w:rPr/>
        <w:t>要会计政策、会计估计进行编制。</w:t>
      </w:r>
      <w:r>
        <w:rPr>
          <w:rFonts w:ascii="宋体" w:hAnsi="宋体" w:cs="宋体" w:eastAsia="宋体" w:hint="default"/>
          <w:sz w:val="24"/>
          <w:szCs w:val="24"/>
        </w:rPr>
        <w:t> </w:t>
      </w:r>
    </w:p>
    <w:p>
      <w:pPr>
        <w:pStyle w:val="Heading3"/>
        <w:spacing w:line="307" w:lineRule="exact"/>
        <w:ind w:left="136" w:right="0"/>
        <w:jc w:val="left"/>
        <w:rPr>
          <w:rFonts w:ascii="宋体" w:hAnsi="宋体" w:cs="宋体" w:eastAsia="宋体" w:hint="default"/>
        </w:rPr>
      </w:pPr>
      <w:r>
        <w:rPr>
          <w:rFonts w:ascii="宋体"/>
        </w:rPr>
        <w:t> </w:t>
      </w:r>
    </w:p>
    <w:p>
      <w:pPr>
        <w:pStyle w:val="Heading5"/>
        <w:tabs>
          <w:tab w:pos="562" w:val="left" w:leader="none"/>
        </w:tabs>
        <w:spacing w:line="240" w:lineRule="auto" w:before="61"/>
        <w:ind w:left="136" w:right="0"/>
        <w:jc w:val="left"/>
        <w:rPr>
          <w:b w:val="0"/>
          <w:bCs w:val="0"/>
        </w:rPr>
      </w:pPr>
      <w:r>
        <w:rPr>
          <w:rFonts w:ascii="宋体" w:hAnsi="宋体" w:cs="宋体" w:eastAsia="宋体" w:hint="default"/>
          <w:w w:val="95"/>
        </w:rPr>
        <w:t>2.</w:t>
        <w:tab/>
      </w:r>
      <w:r>
        <w:rPr/>
        <w:t>持续经营</w:t>
      </w:r>
      <w:r>
        <w:rPr>
          <w:b w:val="0"/>
          <w:bCs w:val="0"/>
        </w:rPr>
      </w:r>
    </w:p>
    <w:p>
      <w:pPr>
        <w:pStyle w:val="Heading3"/>
        <w:spacing w:line="240" w:lineRule="auto" w:before="52"/>
        <w:ind w:left="136" w:right="0"/>
        <w:jc w:val="left"/>
        <w:rPr>
          <w:rFonts w:ascii="宋体" w:hAnsi="宋体" w:cs="宋体" w:eastAsia="宋体" w:hint="default"/>
        </w:rPr>
      </w:pPr>
      <w:r>
        <w:rPr/>
        <w:t>√适用□不适用</w:t>
      </w:r>
      <w:r>
        <w:rPr>
          <w:rFonts w:ascii="宋体" w:hAnsi="宋体" w:cs="宋体" w:eastAsia="宋体" w:hint="default"/>
        </w:rPr>
        <w:t>  </w:t>
      </w:r>
    </w:p>
    <w:p>
      <w:pPr>
        <w:pStyle w:val="BodyText"/>
        <w:spacing w:line="270" w:lineRule="exact" w:before="4"/>
        <w:ind w:right="0"/>
        <w:jc w:val="left"/>
        <w:rPr>
          <w:rFonts w:ascii="宋体" w:hAnsi="宋体" w:cs="宋体" w:eastAsia="宋体" w:hint="default"/>
        </w:rPr>
      </w:pPr>
      <w:r>
        <w:rPr/>
        <w:t>公司自本报告期末至少</w:t>
      </w:r>
      <w:r>
        <w:rPr>
          <w:spacing w:val="-56"/>
        </w:rPr>
        <w:t> </w:t>
      </w:r>
      <w:r>
        <w:rPr>
          <w:rFonts w:ascii="宋体" w:hAnsi="宋体" w:cs="宋体" w:eastAsia="宋体" w:hint="default"/>
        </w:rPr>
        <w:t>12</w:t>
      </w:r>
      <w:r>
        <w:rPr>
          <w:rFonts w:ascii="宋体" w:hAnsi="宋体" w:cs="宋体" w:eastAsia="宋体" w:hint="default"/>
          <w:spacing w:val="-58"/>
        </w:rPr>
        <w:t> </w:t>
      </w:r>
      <w:r>
        <w:rPr/>
        <w:t>个月内具备持续经营能力，无影响持续经营能力的重大事项。</w:t>
      </w:r>
      <w:r>
        <w:rPr>
          <w:rFonts w:ascii="宋体" w:hAnsi="宋体" w:cs="宋体" w:eastAsia="宋体" w:hint="default"/>
        </w:rPr>
        <w:t> </w:t>
      </w:r>
    </w:p>
    <w:p>
      <w:pPr>
        <w:pStyle w:val="Heading3"/>
        <w:spacing w:line="309" w:lineRule="exact"/>
        <w:ind w:left="136" w:right="0"/>
        <w:jc w:val="left"/>
        <w:rPr>
          <w:rFonts w:ascii="宋体" w:hAnsi="宋体" w:cs="宋体" w:eastAsia="宋体" w:hint="default"/>
        </w:rPr>
      </w:pPr>
      <w:r>
        <w:rPr>
          <w:rFonts w:ascii="宋体"/>
        </w:rPr>
        <w:t> </w:t>
      </w:r>
    </w:p>
    <w:p>
      <w:pPr>
        <w:spacing w:line="290" w:lineRule="auto" w:before="64"/>
        <w:ind w:left="136" w:right="4959"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05"/>
          <w:sz w:val="21"/>
          <w:szCs w:val="21"/>
        </w:rPr>
        <w:t> </w:t>
      </w:r>
      <w:r>
        <w:rPr>
          <w:rFonts w:ascii="宋体" w:hAnsi="宋体" w:cs="宋体" w:eastAsia="宋体" w:hint="default"/>
          <w:b/>
          <w:bCs/>
          <w:spacing w:val="-105"/>
          <w:sz w:val="21"/>
          <w:szCs w:val="21"/>
        </w:rPr>
      </w:r>
      <w:r>
        <w:rPr>
          <w:rFonts w:ascii="宋体" w:hAnsi="宋体" w:cs="宋体" w:eastAsia="宋体" w:hint="default"/>
          <w:b/>
          <w:bCs/>
          <w:sz w:val="21"/>
          <w:szCs w:val="21"/>
        </w:rPr>
        <w:t>重要会计政策及会计估计</w:t>
      </w:r>
      <w:r>
        <w:rPr>
          <w:rFonts w:ascii="宋体" w:hAnsi="宋体" w:cs="宋体" w:eastAsia="宋体" w:hint="default"/>
          <w:b/>
          <w:bCs/>
          <w:w w:val="99"/>
          <w:sz w:val="21"/>
          <w:szCs w:val="21"/>
        </w:rPr>
        <w:t> </w:t>
      </w:r>
      <w:r>
        <w:rPr>
          <w:rFonts w:ascii="宋体" w:hAnsi="宋体" w:cs="宋体" w:eastAsia="宋体" w:hint="default"/>
          <w:sz w:val="21"/>
          <w:szCs w:val="21"/>
        </w:rPr>
        <w:t>具体会计政策和会计估计提示：</w:t>
      </w:r>
      <w:r>
        <w:rPr>
          <w:rFonts w:ascii="宋体" w:hAnsi="宋体" w:cs="宋体" w:eastAsia="宋体" w:hint="default"/>
          <w:sz w:val="21"/>
          <w:szCs w:val="21"/>
        </w:rPr>
        <w:t> </w:t>
      </w:r>
    </w:p>
    <w:p>
      <w:pPr>
        <w:pStyle w:val="Heading3"/>
        <w:spacing w:line="260" w:lineRule="exact"/>
        <w:ind w:left="136" w:right="0"/>
        <w:jc w:val="left"/>
        <w:rPr>
          <w:rFonts w:ascii="宋体" w:hAnsi="宋体" w:cs="宋体" w:eastAsia="宋体" w:hint="default"/>
        </w:rPr>
      </w:pPr>
      <w:r>
        <w:rPr/>
        <w:t>□适用√不适用</w:t>
      </w:r>
      <w:r>
        <w:rPr>
          <w:rFonts w:ascii="宋体" w:hAnsi="宋体" w:cs="宋体" w:eastAsia="宋体" w:hint="default"/>
        </w:rPr>
        <w:t>  </w:t>
      </w:r>
    </w:p>
    <w:p>
      <w:pPr>
        <w:pStyle w:val="Heading3"/>
        <w:spacing w:line="312" w:lineRule="exact"/>
        <w:ind w:left="136" w:right="0"/>
        <w:jc w:val="left"/>
        <w:rPr>
          <w:rFonts w:ascii="宋体" w:hAnsi="宋体" w:cs="宋体" w:eastAsia="宋体" w:hint="default"/>
        </w:rPr>
      </w:pPr>
      <w:r>
        <w:rPr>
          <w:rFonts w:ascii="宋体"/>
        </w:rPr>
        <w:t> </w:t>
      </w:r>
    </w:p>
    <w:p>
      <w:pPr>
        <w:pStyle w:val="Heading5"/>
        <w:tabs>
          <w:tab w:pos="562" w:val="left" w:leader="none"/>
        </w:tabs>
        <w:spacing w:line="240" w:lineRule="auto"/>
        <w:ind w:left="136" w:right="0"/>
        <w:jc w:val="left"/>
        <w:rPr>
          <w:b w:val="0"/>
          <w:bCs w:val="0"/>
        </w:rPr>
      </w:pPr>
      <w:r>
        <w:rPr>
          <w:rFonts w:ascii="宋体" w:hAnsi="宋体" w:cs="宋体" w:eastAsia="宋体" w:hint="default"/>
          <w:w w:val="95"/>
        </w:rPr>
        <w:t>1.</w:t>
        <w:tab/>
      </w:r>
      <w:r>
        <w:rPr/>
        <w:t>遵循企业会计准则的声明</w:t>
      </w:r>
      <w:r>
        <w:rPr>
          <w:b w:val="0"/>
          <w:bCs w:val="0"/>
        </w:rPr>
      </w:r>
    </w:p>
    <w:p>
      <w:pPr>
        <w:pStyle w:val="BodyText"/>
        <w:spacing w:line="274" w:lineRule="exact" w:before="56"/>
        <w:ind w:left="617" w:right="0"/>
        <w:jc w:val="left"/>
      </w:pPr>
      <w:r>
        <w:rPr/>
        <w:t>本公司编制的财务报表符合《企业会计准则》的要求，真实、完整地反映了本公司 </w:t>
      </w:r>
      <w:r>
        <w:rPr>
          <w:rFonts w:ascii="宋体" w:hAnsi="宋体" w:cs="宋体" w:eastAsia="宋体" w:hint="default"/>
        </w:rPr>
        <w:t>2019</w:t>
      </w:r>
      <w:r>
        <w:rPr>
          <w:rFonts w:ascii="宋体" w:hAnsi="宋体" w:cs="宋体" w:eastAsia="宋体" w:hint="default"/>
          <w:spacing w:val="-54"/>
        </w:rPr>
        <w:t> </w:t>
      </w:r>
      <w:r>
        <w:rPr/>
        <w:t>年</w:t>
      </w:r>
    </w:p>
    <w:p>
      <w:pPr>
        <w:pStyle w:val="BodyText"/>
        <w:spacing w:line="269" w:lineRule="exact"/>
        <w:ind w:right="0"/>
        <w:jc w:val="left"/>
        <w:rPr>
          <w:rFonts w:ascii="宋体" w:hAnsi="宋体" w:cs="宋体" w:eastAsia="宋体" w:hint="default"/>
        </w:rPr>
      </w:pPr>
      <w:r>
        <w:rPr>
          <w:rFonts w:ascii="宋体" w:hAnsi="宋体" w:cs="宋体" w:eastAsia="宋体" w:hint="default"/>
        </w:rPr>
        <w:t>12</w:t>
      </w:r>
      <w:r>
        <w:rPr>
          <w:rFonts w:ascii="宋体" w:hAnsi="宋体" w:cs="宋体" w:eastAsia="宋体" w:hint="default"/>
          <w:spacing w:val="-55"/>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日的财务状况、</w:t>
      </w:r>
      <w:r>
        <w:rPr>
          <w:rFonts w:ascii="宋体" w:hAnsi="宋体" w:cs="宋体" w:eastAsia="宋体" w:hint="default"/>
        </w:rPr>
        <w:t>2019</w:t>
      </w:r>
      <w:r>
        <w:rPr>
          <w:rFonts w:ascii="宋体" w:hAnsi="宋体" w:cs="宋体" w:eastAsia="宋体" w:hint="default"/>
          <w:spacing w:val="-55"/>
        </w:rPr>
        <w:t> </w:t>
      </w:r>
      <w:r>
        <w:rPr/>
        <w:t>年度的经营成果和现金流量等相关信息。</w:t>
      </w:r>
      <w:r>
        <w:rPr>
          <w:rFonts w:ascii="宋体" w:hAnsi="宋体" w:cs="宋体" w:eastAsia="宋体" w:hint="default"/>
        </w:rPr>
        <w:t> </w:t>
      </w:r>
    </w:p>
    <w:p>
      <w:pPr>
        <w:pStyle w:val="Heading3"/>
        <w:spacing w:line="309" w:lineRule="exact"/>
        <w:ind w:left="136" w:right="0"/>
        <w:jc w:val="left"/>
        <w:rPr>
          <w:rFonts w:ascii="宋体" w:hAnsi="宋体" w:cs="宋体" w:eastAsia="宋体" w:hint="default"/>
        </w:rPr>
      </w:pPr>
      <w:r>
        <w:rPr>
          <w:rFonts w:ascii="宋体"/>
        </w:rPr>
        <w:t> </w:t>
      </w:r>
    </w:p>
    <w:p>
      <w:pPr>
        <w:pStyle w:val="Heading5"/>
        <w:tabs>
          <w:tab w:pos="562" w:val="left" w:leader="none"/>
        </w:tabs>
        <w:spacing w:line="240" w:lineRule="auto"/>
        <w:ind w:left="136" w:right="0"/>
        <w:jc w:val="left"/>
        <w:rPr>
          <w:b w:val="0"/>
          <w:bCs w:val="0"/>
        </w:rPr>
      </w:pPr>
      <w:r>
        <w:rPr>
          <w:rFonts w:ascii="宋体" w:hAnsi="宋体" w:cs="宋体" w:eastAsia="宋体" w:hint="default"/>
          <w:w w:val="95"/>
        </w:rPr>
        <w:t>2.</w:t>
        <w:tab/>
      </w:r>
      <w:r>
        <w:rPr/>
        <w:t>会计期间</w:t>
      </w:r>
      <w:r>
        <w:rPr>
          <w:b w:val="0"/>
          <w:bCs w:val="0"/>
        </w:rPr>
      </w:r>
    </w:p>
    <w:p>
      <w:pPr>
        <w:pStyle w:val="BodyText"/>
        <w:spacing w:line="270" w:lineRule="exact" w:before="58"/>
        <w:ind w:right="0"/>
        <w:jc w:val="left"/>
        <w:rPr>
          <w:rFonts w:ascii="宋体" w:hAnsi="宋体" w:cs="宋体" w:eastAsia="宋体" w:hint="default"/>
          <w:sz w:val="24"/>
          <w:szCs w:val="24"/>
        </w:rPr>
      </w:pPr>
      <w:r>
        <w:rPr/>
        <w:t>本公司会计年度为公历年度，即每年</w:t>
      </w:r>
      <w:r>
        <w:rPr>
          <w:spacing w:val="-53"/>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1</w:t>
      </w:r>
      <w:r>
        <w:rPr>
          <w:rFonts w:ascii="宋体" w:hAnsi="宋体" w:cs="宋体" w:eastAsia="宋体" w:hint="default"/>
          <w:spacing w:val="-54"/>
        </w:rPr>
        <w:t> </w:t>
      </w:r>
      <w:r>
        <w:rPr/>
        <w:t>日起至</w:t>
      </w:r>
      <w:r>
        <w:rPr>
          <w:spacing w:val="-56"/>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日止。</w:t>
      </w:r>
      <w:r>
        <w:rPr>
          <w:rFonts w:ascii="宋体" w:hAnsi="宋体" w:cs="宋体" w:eastAsia="宋体" w:hint="default"/>
          <w:sz w:val="24"/>
          <w:szCs w:val="24"/>
        </w:rPr>
        <w:t> </w:t>
      </w:r>
    </w:p>
    <w:p>
      <w:pPr>
        <w:pStyle w:val="Heading3"/>
        <w:spacing w:line="309" w:lineRule="exact"/>
        <w:ind w:left="136" w:right="0"/>
        <w:jc w:val="left"/>
        <w:rPr>
          <w:rFonts w:ascii="宋体" w:hAnsi="宋体" w:cs="宋体" w:eastAsia="宋体" w:hint="default"/>
        </w:rPr>
      </w:pPr>
      <w:r>
        <w:rPr>
          <w:rFonts w:ascii="宋体"/>
        </w:rPr>
        <w:t> </w:t>
      </w:r>
    </w:p>
    <w:p>
      <w:pPr>
        <w:pStyle w:val="Heading5"/>
        <w:tabs>
          <w:tab w:pos="562" w:val="left" w:leader="none"/>
        </w:tabs>
        <w:spacing w:line="240" w:lineRule="auto"/>
        <w:ind w:left="136" w:right="0"/>
        <w:jc w:val="left"/>
        <w:rPr>
          <w:b w:val="0"/>
          <w:bCs w:val="0"/>
        </w:rPr>
      </w:pPr>
      <w:r>
        <w:rPr>
          <w:rFonts w:ascii="宋体" w:hAnsi="宋体" w:cs="宋体" w:eastAsia="宋体" w:hint="default"/>
          <w:w w:val="95"/>
        </w:rPr>
        <w:t>3.</w:t>
        <w:tab/>
      </w:r>
      <w:r>
        <w:rPr/>
        <w:t>营业周期</w:t>
      </w:r>
      <w:r>
        <w:rPr>
          <w:b w:val="0"/>
          <w:bCs w:val="0"/>
        </w:rPr>
      </w:r>
    </w:p>
    <w:p>
      <w:pPr>
        <w:pStyle w:val="Heading3"/>
        <w:spacing w:line="240" w:lineRule="auto" w:before="50"/>
        <w:ind w:left="136" w:right="0"/>
        <w:jc w:val="left"/>
        <w:rPr>
          <w:rFonts w:ascii="宋体" w:hAnsi="宋体" w:cs="宋体" w:eastAsia="宋体" w:hint="default"/>
        </w:rPr>
      </w:pPr>
      <w:r>
        <w:rPr/>
        <w:t>√适用□不适用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140" w:right="1680"/>
        </w:sectPr>
      </w:pPr>
    </w:p>
    <w:p>
      <w:pPr>
        <w:spacing w:line="240" w:lineRule="auto" w:before="10"/>
        <w:rPr>
          <w:rFonts w:ascii="宋体" w:hAnsi="宋体" w:cs="宋体" w:eastAsia="宋体" w:hint="default"/>
          <w:sz w:val="16"/>
          <w:szCs w:val="16"/>
        </w:rPr>
      </w:pPr>
    </w:p>
    <w:p>
      <w:pPr>
        <w:pStyle w:val="BodyText"/>
        <w:spacing w:line="270" w:lineRule="exact" w:before="61"/>
        <w:ind w:right="102"/>
        <w:jc w:val="left"/>
        <w:rPr>
          <w:rFonts w:ascii="宋体" w:hAnsi="宋体" w:cs="宋体" w:eastAsia="宋体" w:hint="default"/>
          <w:sz w:val="24"/>
          <w:szCs w:val="24"/>
        </w:rPr>
      </w:pPr>
      <w:r>
        <w:rPr/>
        <w:t>本公司以一年 </w:t>
      </w:r>
      <w:r>
        <w:rPr>
          <w:rFonts w:ascii="宋体" w:hAnsi="宋体" w:cs="宋体" w:eastAsia="宋体" w:hint="default"/>
        </w:rPr>
        <w:t>12</w:t>
      </w:r>
      <w:r>
        <w:rPr>
          <w:rFonts w:ascii="宋体" w:hAnsi="宋体" w:cs="宋体" w:eastAsia="宋体" w:hint="default"/>
          <w:spacing w:val="-61"/>
        </w:rPr>
        <w:t> </w:t>
      </w:r>
      <w:r>
        <w:rPr/>
        <w:t>个月作为正常营业周期，并以营业周期作为资产和负债的流动性划分标准。</w:t>
      </w:r>
      <w:r>
        <w:rPr>
          <w:rFonts w:ascii="宋体" w:hAnsi="宋体" w:cs="宋体" w:eastAsia="宋体" w:hint="default"/>
          <w:sz w:val="24"/>
          <w:szCs w:val="24"/>
        </w:rPr>
        <w:t> </w:t>
      </w:r>
    </w:p>
    <w:p>
      <w:pPr>
        <w:pStyle w:val="Heading3"/>
        <w:spacing w:line="309" w:lineRule="exact"/>
        <w:ind w:left="136" w:right="0"/>
        <w:jc w:val="left"/>
        <w:rPr>
          <w:rFonts w:ascii="宋体" w:hAnsi="宋体" w:cs="宋体" w:eastAsia="宋体" w:hint="default"/>
        </w:rPr>
      </w:pPr>
      <w:r>
        <w:rPr>
          <w:rFonts w:ascii="宋体"/>
        </w:rPr>
        <w:t> </w:t>
      </w:r>
    </w:p>
    <w:p>
      <w:pPr>
        <w:tabs>
          <w:tab w:pos="562" w:val="left" w:leader="none"/>
        </w:tabs>
        <w:spacing w:line="290" w:lineRule="auto" w:before="64"/>
        <w:ind w:left="136" w:right="5998"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z w:val="21"/>
          <w:szCs w:val="21"/>
        </w:rPr>
        <w:t>本公司以人民币为记账本位币。</w:t>
      </w:r>
      <w:r>
        <w:rPr>
          <w:rFonts w:ascii="宋体" w:hAnsi="宋体" w:cs="宋体" w:eastAsia="宋体" w:hint="default"/>
          <w:sz w:val="21"/>
          <w:szCs w:val="21"/>
        </w:rPr>
        <w:t> </w:t>
      </w:r>
    </w:p>
    <w:p>
      <w:pPr>
        <w:pStyle w:val="Heading3"/>
        <w:spacing w:line="260" w:lineRule="exact"/>
        <w:ind w:left="136" w:right="0"/>
        <w:jc w:val="left"/>
        <w:rPr>
          <w:rFonts w:ascii="宋体" w:hAnsi="宋体" w:cs="宋体" w:eastAsia="宋体" w:hint="default"/>
        </w:rPr>
      </w:pPr>
      <w:r>
        <w:rPr>
          <w:rFonts w:ascii="宋体"/>
        </w:rPr>
        <w:t> </w:t>
      </w:r>
    </w:p>
    <w:p>
      <w:pPr>
        <w:pStyle w:val="Heading5"/>
        <w:tabs>
          <w:tab w:pos="562" w:val="left" w:leader="none"/>
        </w:tabs>
        <w:spacing w:line="240" w:lineRule="auto"/>
        <w:ind w:left="136" w:right="102"/>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Heading3"/>
        <w:spacing w:line="240" w:lineRule="auto" w:before="50"/>
        <w:ind w:left="136" w:right="102"/>
        <w:jc w:val="left"/>
        <w:rPr>
          <w:rFonts w:ascii="宋体" w:hAnsi="宋体" w:cs="宋体" w:eastAsia="宋体" w:hint="default"/>
        </w:rPr>
      </w:pPr>
      <w:r>
        <w:rPr/>
        <w:t>√适用□不适用</w:t>
      </w:r>
      <w:r>
        <w:rPr>
          <w:rFonts w:ascii="宋体" w:hAnsi="宋体" w:cs="宋体" w:eastAsia="宋体" w:hint="default"/>
        </w:rPr>
        <w:t>  </w:t>
      </w:r>
    </w:p>
    <w:p>
      <w:pPr>
        <w:pStyle w:val="BodyText"/>
        <w:spacing w:line="237" w:lineRule="auto" w:before="6"/>
        <w:ind w:right="102"/>
        <w:jc w:val="left"/>
        <w:rPr>
          <w:rFonts w:ascii="宋体" w:hAnsi="宋体" w:cs="宋体" w:eastAsia="宋体" w:hint="default"/>
        </w:rPr>
      </w:pPr>
      <w:r>
        <w:rPr>
          <w:rFonts w:ascii="宋体" w:hAnsi="宋体" w:cs="宋体" w:eastAsia="宋体" w:hint="default"/>
        </w:rPr>
        <w:t>1</w:t>
      </w:r>
      <w:r>
        <w:rPr/>
        <w:t>、同一控制下的企业合并</w:t>
      </w:r>
      <w:r>
        <w:rPr>
          <w:rFonts w:ascii="宋体" w:hAnsi="宋体" w:cs="宋体" w:eastAsia="宋体" w:hint="default"/>
          <w:w w:val="100"/>
        </w:rPr>
        <w:t> </w:t>
      </w:r>
      <w:r>
        <w:rPr>
          <w:spacing w:val="-1"/>
        </w:rPr>
        <w:t>同一控制下企业合并形成的长期股权投资合并方以支付现金、转让非现金资产或承担债务方式作</w:t>
      </w:r>
      <w:r>
        <w:rPr>
          <w:spacing w:val="-55"/>
        </w:rPr>
        <w:t> </w:t>
      </w:r>
      <w:r>
        <w:rPr>
          <w:spacing w:val="-55"/>
        </w:rPr>
      </w:r>
      <w:r>
        <w:rPr>
          <w:spacing w:val="-1"/>
        </w:rPr>
        <w:t>为合并对价的，本公司在合并日按照所取得的被合并方在最终控制方合并财务报表中的净资产的</w:t>
      </w:r>
      <w:r>
        <w:rPr>
          <w:spacing w:val="-55"/>
        </w:rPr>
        <w:t> </w:t>
      </w:r>
      <w:r>
        <w:rPr>
          <w:spacing w:val="-55"/>
        </w:rPr>
      </w:r>
      <w:r>
        <w:rPr>
          <w:spacing w:val="-1"/>
        </w:rPr>
        <w:t>账面价值的份额作为长期股权投资的初始投资成本。合并方以发行权益性工具作为合并对价的，</w:t>
      </w:r>
      <w:r>
        <w:rPr>
          <w:spacing w:val="-55"/>
        </w:rPr>
        <w:t> </w:t>
      </w:r>
      <w:r>
        <w:rPr>
          <w:spacing w:val="-55"/>
        </w:rPr>
      </w:r>
      <w:r>
        <w:rPr>
          <w:spacing w:val="-1"/>
        </w:rPr>
        <w:t>按发行股份的面值总额作为股本。长期股权投资的初始投资成本与合并对价账面价值（或发行股</w:t>
      </w:r>
      <w:r>
        <w:rPr>
          <w:spacing w:val="-55"/>
        </w:rPr>
        <w:t> </w:t>
      </w:r>
      <w:r>
        <w:rPr>
          <w:spacing w:val="-55"/>
        </w:rPr>
      </w:r>
      <w:r>
        <w:rPr/>
        <w:t>份面值总额）的差额，应当调整资本公积；资本公积不足冲减的，调整留存收益。</w:t>
      </w:r>
      <w:r>
        <w:rPr>
          <w:rFonts w:ascii="宋体" w:hAnsi="宋体" w:cs="宋体" w:eastAsia="宋体" w:hint="default"/>
          <w:w w:val="100"/>
        </w:rPr>
        <w:t> </w:t>
      </w:r>
      <w:r>
        <w:rPr>
          <w:rFonts w:ascii="宋体" w:hAnsi="宋体" w:cs="宋体" w:eastAsia="宋体" w:hint="default"/>
        </w:rPr>
        <w:t>2</w:t>
      </w:r>
      <w:r>
        <w:rPr/>
        <w:t>、非同一控制下的企业合并</w:t>
      </w:r>
      <w:r>
        <w:rPr>
          <w:rFonts w:ascii="宋体" w:hAnsi="宋体" w:cs="宋体" w:eastAsia="宋体" w:hint="default"/>
          <w:w w:val="100"/>
        </w:rPr>
        <w:t> </w:t>
      </w:r>
      <w:r>
        <w:rPr>
          <w:spacing w:val="-1"/>
        </w:rPr>
        <w:t>对于非同一控制下的企业合并，合并成本为购买方在购买日为取得对被购买方的控制权而付出的</w:t>
      </w:r>
      <w:r>
        <w:rPr>
          <w:spacing w:val="-55"/>
        </w:rPr>
        <w:t> </w:t>
      </w:r>
      <w:r>
        <w:rPr>
          <w:spacing w:val="-55"/>
        </w:rPr>
      </w:r>
      <w:r>
        <w:rPr>
          <w:spacing w:val="-1"/>
        </w:rPr>
        <w:t>资产、发生或承担的负债以及发行的权益性证券的公允价值之和。非同一控制下企业合并中所取</w:t>
      </w:r>
      <w:r>
        <w:rPr>
          <w:spacing w:val="-55"/>
        </w:rPr>
        <w:t> </w:t>
      </w:r>
      <w:r>
        <w:rPr>
          <w:spacing w:val="-55"/>
        </w:rPr>
      </w:r>
      <w:r>
        <w:rPr>
          <w:spacing w:val="-1"/>
        </w:rPr>
        <w:t>得的被购买方符合确认条件的可辨认资产、负债及或有负债，在购买日以公允价值计量。购买方</w:t>
      </w:r>
      <w:r>
        <w:rPr>
          <w:spacing w:val="-55"/>
        </w:rPr>
        <w:t> </w:t>
      </w:r>
      <w:r>
        <w:rPr>
          <w:spacing w:val="-55"/>
        </w:rPr>
      </w:r>
      <w:r>
        <w:rPr>
          <w:spacing w:val="-1"/>
        </w:rPr>
        <w:t>对合并成本大于合并中取得的被购买方可辨认净资产公允价值份额的差额，体现为商誉价值。购</w:t>
      </w:r>
      <w:r>
        <w:rPr>
          <w:spacing w:val="-55"/>
        </w:rPr>
        <w:t> </w:t>
      </w:r>
      <w:r>
        <w:rPr>
          <w:spacing w:val="-55"/>
        </w:rPr>
      </w:r>
      <w:r>
        <w:rPr>
          <w:spacing w:val="-1"/>
        </w:rPr>
        <w:t>买方对合并成本小于合并中取得的被购买方可辨认净资产公允价值份额的，经复核后合并成本仍</w:t>
      </w:r>
      <w:r>
        <w:rPr>
          <w:spacing w:val="-55"/>
        </w:rPr>
        <w:t> </w:t>
      </w:r>
      <w:r>
        <w:rPr>
          <w:spacing w:val="-55"/>
        </w:rPr>
      </w:r>
      <w:r>
        <w:rPr/>
        <w:t>小于合并中取得的被购买方可辨认净资产公允价值份额的差额，计入当期营业外收入。</w:t>
      </w:r>
      <w:r>
        <w:rPr>
          <w:rFonts w:ascii="宋体" w:hAnsi="宋体" w:cs="宋体" w:eastAsia="宋体" w:hint="default"/>
        </w:rPr>
        <w:t> </w:t>
      </w:r>
    </w:p>
    <w:p>
      <w:pPr>
        <w:pStyle w:val="Heading3"/>
        <w:spacing w:line="305" w:lineRule="exact"/>
        <w:ind w:left="136" w:right="0"/>
        <w:jc w:val="left"/>
        <w:rPr>
          <w:rFonts w:ascii="宋体" w:hAnsi="宋体" w:cs="宋体" w:eastAsia="宋体" w:hint="default"/>
        </w:rPr>
      </w:pPr>
      <w:r>
        <w:rPr>
          <w:rFonts w:ascii="宋体"/>
        </w:rPr>
        <w:t> </w:t>
      </w:r>
    </w:p>
    <w:p>
      <w:pPr>
        <w:pStyle w:val="Heading5"/>
        <w:tabs>
          <w:tab w:pos="562" w:val="left" w:leader="none"/>
        </w:tabs>
        <w:spacing w:line="240" w:lineRule="auto"/>
        <w:ind w:left="136" w:right="102"/>
        <w:jc w:val="left"/>
        <w:rPr>
          <w:b w:val="0"/>
          <w:bCs w:val="0"/>
        </w:rPr>
      </w:pPr>
      <w:r>
        <w:rPr>
          <w:rFonts w:ascii="宋体" w:hAnsi="宋体" w:cs="宋体" w:eastAsia="宋体" w:hint="default"/>
          <w:w w:val="95"/>
        </w:rPr>
        <w:t>6.</w:t>
        <w:tab/>
      </w:r>
      <w:r>
        <w:rPr/>
        <w:t>合并财务报表的编制方法</w:t>
      </w:r>
      <w:r>
        <w:rPr>
          <w:b w:val="0"/>
          <w:bCs w:val="0"/>
        </w:rPr>
      </w:r>
    </w:p>
    <w:p>
      <w:pPr>
        <w:pStyle w:val="Heading3"/>
        <w:spacing w:line="240" w:lineRule="auto" w:before="50"/>
        <w:ind w:left="136" w:right="102"/>
        <w:jc w:val="left"/>
        <w:rPr>
          <w:rFonts w:ascii="宋体" w:hAnsi="宋体" w:cs="宋体" w:eastAsia="宋体" w:hint="default"/>
        </w:rPr>
      </w:pPr>
      <w:r>
        <w:rPr/>
        <w:t>√适用□不适用</w:t>
      </w:r>
      <w:r>
        <w:rPr>
          <w:rFonts w:ascii="宋体" w:hAnsi="宋体" w:cs="宋体" w:eastAsia="宋体" w:hint="default"/>
        </w:rPr>
        <w:t>  </w:t>
      </w:r>
    </w:p>
    <w:p>
      <w:pPr>
        <w:pStyle w:val="BodyText"/>
        <w:spacing w:line="237" w:lineRule="auto" w:before="6"/>
        <w:ind w:right="102"/>
        <w:jc w:val="left"/>
        <w:rPr>
          <w:rFonts w:ascii="宋体" w:hAnsi="宋体" w:cs="宋体" w:eastAsia="宋体" w:hint="default"/>
        </w:rPr>
      </w:pPr>
      <w:r>
        <w:rPr>
          <w:rFonts w:ascii="宋体" w:hAnsi="宋体" w:cs="宋体" w:eastAsia="宋体" w:hint="default"/>
        </w:rPr>
        <w:t>1</w:t>
      </w:r>
      <w:r>
        <w:rPr/>
        <w:t>、合并财务报表范围</w:t>
      </w:r>
      <w:r>
        <w:rPr>
          <w:rFonts w:ascii="宋体" w:hAnsi="宋体" w:cs="宋体" w:eastAsia="宋体" w:hint="default"/>
          <w:w w:val="100"/>
        </w:rPr>
        <w:t> </w:t>
      </w:r>
      <w:r>
        <w:rPr>
          <w:spacing w:val="-1"/>
        </w:rPr>
        <w:t>本公司将全部子公司（包括本公司所控制的单独主体）纳入合并财务报表范围，包括被本公司控</w:t>
      </w:r>
      <w:r>
        <w:rPr>
          <w:spacing w:val="-55"/>
        </w:rPr>
        <w:t> </w:t>
      </w:r>
      <w:r>
        <w:rPr>
          <w:spacing w:val="-55"/>
        </w:rPr>
      </w:r>
      <w:r>
        <w:rPr/>
        <w:t>制的企业、被投资单位中可分割的部分以及结构化主体。</w:t>
      </w:r>
      <w:r>
        <w:rPr>
          <w:rFonts w:ascii="宋体" w:hAnsi="宋体" w:cs="宋体" w:eastAsia="宋体" w:hint="default"/>
          <w:w w:val="100"/>
        </w:rPr>
        <w:t> </w:t>
      </w:r>
      <w:r>
        <w:rPr>
          <w:rFonts w:ascii="宋体" w:hAnsi="宋体" w:cs="宋体" w:eastAsia="宋体" w:hint="default"/>
        </w:rPr>
        <w:t>2</w:t>
      </w:r>
      <w:r>
        <w:rPr/>
        <w:t>、统一母子公司的会计政策、统一母子公司的资产负债表日及会计期间</w:t>
      </w:r>
      <w:r>
        <w:rPr>
          <w:rFonts w:ascii="宋体" w:hAnsi="宋体" w:cs="宋体" w:eastAsia="宋体" w:hint="default"/>
          <w:w w:val="100"/>
        </w:rPr>
        <w:t> </w:t>
      </w:r>
      <w:r>
        <w:rPr>
          <w:spacing w:val="-1"/>
        </w:rPr>
        <w:t>子公司与本公司采用的会计政策或会计期间不一致的，在编制合并财务报表时，按照本公司的会</w:t>
      </w:r>
      <w:r>
        <w:rPr>
          <w:spacing w:val="-55"/>
        </w:rPr>
        <w:t> </w:t>
      </w:r>
      <w:r>
        <w:rPr>
          <w:spacing w:val="-55"/>
        </w:rPr>
      </w:r>
      <w:r>
        <w:rPr/>
        <w:t>计政策或会计期间对子公司财务报表进行必要的调整。</w:t>
      </w:r>
      <w:r>
        <w:rPr>
          <w:rFonts w:ascii="宋体" w:hAnsi="宋体" w:cs="宋体" w:eastAsia="宋体" w:hint="default"/>
        </w:rPr>
        <w:t> </w:t>
      </w:r>
    </w:p>
    <w:p>
      <w:pPr>
        <w:pStyle w:val="BodyText"/>
        <w:spacing w:line="237" w:lineRule="auto" w:before="1"/>
        <w:ind w:right="102"/>
        <w:jc w:val="left"/>
        <w:rPr>
          <w:rFonts w:ascii="宋体" w:hAnsi="宋体" w:cs="宋体" w:eastAsia="宋体" w:hint="default"/>
        </w:rPr>
      </w:pPr>
      <w:r>
        <w:rPr>
          <w:rFonts w:ascii="宋体" w:hAnsi="宋体" w:cs="宋体" w:eastAsia="宋体" w:hint="default"/>
        </w:rPr>
        <w:t>3</w:t>
      </w:r>
      <w:r>
        <w:rPr/>
        <w:t>、合并财务报表抵销事项</w:t>
      </w:r>
      <w:r>
        <w:rPr>
          <w:rFonts w:ascii="宋体" w:hAnsi="宋体" w:cs="宋体" w:eastAsia="宋体" w:hint="default"/>
          <w:w w:val="100"/>
        </w:rPr>
        <w:t> </w:t>
      </w:r>
      <w:r>
        <w:rPr>
          <w:spacing w:val="-1"/>
        </w:rPr>
        <w:t>合并财务报表以母公司和子公司的资产负债表为基础，已抵销了母公司与子公司、子公司相互之</w:t>
      </w:r>
      <w:r>
        <w:rPr>
          <w:spacing w:val="-55"/>
        </w:rPr>
        <w:t> </w:t>
      </w:r>
      <w:r>
        <w:rPr>
          <w:spacing w:val="-55"/>
        </w:rPr>
      </w:r>
      <w:r>
        <w:rPr>
          <w:spacing w:val="-1"/>
        </w:rPr>
        <w:t>间发生的内部交易。子公司所有者权益中不属于母公司的份额，作为少数股东权益，在合并资产</w:t>
      </w:r>
      <w:r>
        <w:rPr>
          <w:spacing w:val="-55"/>
        </w:rPr>
        <w:t> </w:t>
      </w:r>
      <w:r>
        <w:rPr>
          <w:spacing w:val="-55"/>
        </w:rPr>
      </w:r>
      <w:r>
        <w:rPr>
          <w:spacing w:val="-1"/>
        </w:rPr>
        <w:t>负债表中所有者权益项目下以“少数股东权益”项目列示。子公司持有母公司的长期股权投资，</w:t>
      </w:r>
      <w:r>
        <w:rPr>
          <w:spacing w:val="-55"/>
        </w:rPr>
        <w:t> </w:t>
      </w:r>
      <w:r>
        <w:rPr>
          <w:spacing w:val="-55"/>
        </w:rPr>
      </w:r>
      <w:r>
        <w:rPr>
          <w:spacing w:val="-6"/>
        </w:rPr>
        <w:t>视为企业集团的库存股，作为所有者权益的减项，在合并资产负债表中所有者权益项目下以“减：</w:t>
      </w:r>
      <w:r>
        <w:rPr>
          <w:spacing w:val="-54"/>
        </w:rPr>
        <w:t> </w:t>
      </w:r>
      <w:r>
        <w:rPr>
          <w:spacing w:val="-54"/>
        </w:rPr>
      </w:r>
      <w:r>
        <w:rPr/>
        <w:t>库存股”项目列示。</w:t>
      </w:r>
      <w:r>
        <w:rPr>
          <w:rFonts w:ascii="宋体" w:hAnsi="宋体" w:cs="宋体" w:eastAsia="宋体" w:hint="default"/>
          <w:spacing w:val="-3"/>
        </w:rPr>
        <w:t> </w:t>
      </w:r>
      <w:r>
        <w:rPr>
          <w:rFonts w:ascii="宋体" w:hAnsi="宋体" w:cs="宋体" w:eastAsia="宋体" w:hint="default"/>
        </w:rPr>
        <w:t> </w:t>
      </w:r>
    </w:p>
    <w:p>
      <w:pPr>
        <w:pStyle w:val="BodyText"/>
        <w:spacing w:line="237" w:lineRule="auto" w:before="1"/>
        <w:ind w:right="102"/>
        <w:jc w:val="left"/>
        <w:rPr>
          <w:rFonts w:ascii="宋体" w:hAnsi="宋体" w:cs="宋体" w:eastAsia="宋体" w:hint="default"/>
        </w:rPr>
      </w:pPr>
      <w:r>
        <w:rPr>
          <w:rFonts w:ascii="宋体" w:hAnsi="宋体" w:cs="宋体" w:eastAsia="宋体" w:hint="default"/>
        </w:rPr>
        <w:t>4</w:t>
      </w:r>
      <w:r>
        <w:rPr/>
        <w:t>、合并取得子公司会计处理</w:t>
      </w:r>
      <w:r>
        <w:rPr>
          <w:rFonts w:ascii="宋体" w:hAnsi="宋体" w:cs="宋体" w:eastAsia="宋体" w:hint="default"/>
          <w:w w:val="100"/>
        </w:rPr>
        <w:t> </w:t>
      </w:r>
      <w:r>
        <w:rPr>
          <w:spacing w:val="-1"/>
        </w:rPr>
        <w:t>对于同一控制下企业合并取得的子公司，视同该企业合并于自最终控制方开始实时控制时已经发</w:t>
      </w:r>
      <w:r>
        <w:rPr>
          <w:spacing w:val="-55"/>
        </w:rPr>
        <w:t> </w:t>
      </w:r>
      <w:r>
        <w:rPr>
          <w:spacing w:val="-55"/>
        </w:rPr>
      </w:r>
      <w:r>
        <w:rPr>
          <w:spacing w:val="-1"/>
        </w:rPr>
        <w:t>生，从合并当期的期初起将其资产、负债、经营成果和现金流量纳入合并财务报表；对于非同一</w:t>
      </w:r>
      <w:r>
        <w:rPr>
          <w:spacing w:val="-55"/>
        </w:rPr>
        <w:t> </w:t>
      </w:r>
      <w:r>
        <w:rPr>
          <w:spacing w:val="-55"/>
        </w:rPr>
      </w:r>
      <w:r>
        <w:rPr>
          <w:spacing w:val="-1"/>
        </w:rPr>
        <w:t>控制下企业合并取得的子公司，在编制合并财务报表时，以购买日可辨认净资产公允价值为基础</w:t>
      </w:r>
      <w:r>
        <w:rPr>
          <w:spacing w:val="-55"/>
        </w:rPr>
        <w:t> </w:t>
      </w:r>
      <w:r>
        <w:rPr>
          <w:spacing w:val="-55"/>
        </w:rPr>
      </w:r>
      <w:r>
        <w:rPr/>
        <w:t>对其个别财务报表进行调整。</w:t>
      </w:r>
      <w:r>
        <w:rPr>
          <w:rFonts w:ascii="宋体" w:hAnsi="宋体" w:cs="宋体" w:eastAsia="宋体" w:hint="default"/>
        </w:rPr>
        <w:t> </w:t>
      </w:r>
    </w:p>
    <w:p>
      <w:pPr>
        <w:pStyle w:val="Heading3"/>
        <w:spacing w:line="305" w:lineRule="exact"/>
        <w:ind w:left="136" w:right="0"/>
        <w:jc w:val="left"/>
        <w:rPr>
          <w:rFonts w:ascii="宋体" w:hAnsi="宋体" w:cs="宋体" w:eastAsia="宋体" w:hint="default"/>
        </w:rPr>
      </w:pPr>
      <w:r>
        <w:rPr>
          <w:rFonts w:ascii="宋体"/>
        </w:rPr>
        <w:t> </w:t>
      </w:r>
    </w:p>
    <w:p>
      <w:pPr>
        <w:pStyle w:val="Heading5"/>
        <w:tabs>
          <w:tab w:pos="562" w:val="left" w:leader="none"/>
        </w:tabs>
        <w:spacing w:line="240" w:lineRule="auto"/>
        <w:ind w:left="136" w:right="102"/>
        <w:jc w:val="left"/>
        <w:rPr>
          <w:b w:val="0"/>
          <w:bCs w:val="0"/>
        </w:rPr>
      </w:pPr>
      <w:r>
        <w:rPr>
          <w:rFonts w:ascii="宋体" w:hAnsi="宋体" w:cs="宋体" w:eastAsia="宋体" w:hint="default"/>
          <w:w w:val="95"/>
        </w:rPr>
        <w:t>7.</w:t>
        <w:tab/>
      </w:r>
      <w:r>
        <w:rPr/>
        <w:t>合营安排分类及共同经营会计处理方法</w:t>
      </w:r>
      <w:r>
        <w:rPr>
          <w:b w:val="0"/>
          <w:bCs w:val="0"/>
        </w:rPr>
      </w:r>
    </w:p>
    <w:p>
      <w:pPr>
        <w:pStyle w:val="Heading3"/>
        <w:spacing w:line="240" w:lineRule="auto" w:before="50"/>
        <w:ind w:left="136" w:right="102"/>
        <w:jc w:val="left"/>
        <w:rPr>
          <w:rFonts w:ascii="宋体" w:hAnsi="宋体" w:cs="宋体" w:eastAsia="宋体" w:hint="default"/>
        </w:rPr>
      </w:pPr>
      <w:r>
        <w:rPr/>
        <w:t>√适用□不适用</w:t>
      </w:r>
      <w:r>
        <w:rPr>
          <w:rFonts w:ascii="宋体" w:hAnsi="宋体" w:cs="宋体" w:eastAsia="宋体" w:hint="default"/>
        </w:rPr>
        <w:t>  </w:t>
      </w:r>
    </w:p>
    <w:p>
      <w:pPr>
        <w:pStyle w:val="BodyText"/>
        <w:spacing w:line="237" w:lineRule="auto" w:before="6"/>
        <w:ind w:right="102"/>
        <w:jc w:val="left"/>
        <w:rPr>
          <w:rFonts w:ascii="宋体" w:hAnsi="宋体" w:cs="宋体" w:eastAsia="宋体" w:hint="default"/>
        </w:rPr>
      </w:pPr>
      <w:r>
        <w:rPr>
          <w:rFonts w:ascii="宋体" w:hAnsi="宋体" w:cs="宋体" w:eastAsia="宋体" w:hint="default"/>
        </w:rPr>
        <w:t>1</w:t>
      </w:r>
      <w:r>
        <w:rPr/>
        <w:t>、合营安排的分类</w:t>
      </w:r>
      <w:r>
        <w:rPr>
          <w:rFonts w:ascii="宋体" w:hAnsi="宋体" w:cs="宋体" w:eastAsia="宋体" w:hint="default"/>
          <w:b/>
          <w:bCs/>
          <w:w w:val="99"/>
        </w:rPr>
        <w:t> </w:t>
      </w:r>
      <w:r>
        <w:rPr/>
        <w:t>合营安排分为共同经营和合营企业。未通过单独主体达成的合营安排，划分为共同经营。单独主</w:t>
      </w:r>
      <w:r>
        <w:rPr>
          <w:spacing w:val="-97"/>
        </w:rPr>
        <w:t> </w:t>
      </w:r>
      <w:r>
        <w:rPr>
          <w:spacing w:val="-97"/>
        </w:rPr>
      </w:r>
      <w:r>
        <w:rPr/>
        <w:t>体，是指具有单独可辨认的财务架构的主体，包括单独的法人主体和不具备法人主体资格但法律</w:t>
      </w:r>
      <w:r>
        <w:rPr>
          <w:spacing w:val="-97"/>
        </w:rPr>
        <w:t> </w:t>
      </w:r>
      <w:r>
        <w:rPr>
          <w:spacing w:val="-97"/>
        </w:rPr>
      </w:r>
      <w:r>
        <w:rPr/>
        <w:t>认可的主体。通过单独主体达成的合营安排，通常划分为合营企业。相关事实和情况变化导致合</w:t>
      </w:r>
      <w:r>
        <w:rPr>
          <w:spacing w:val="-97"/>
        </w:rPr>
        <w:t> </w:t>
      </w:r>
      <w:r>
        <w:rPr>
          <w:spacing w:val="-97"/>
        </w:rPr>
      </w:r>
      <w:r>
        <w:rPr>
          <w:spacing w:val="-7"/>
          <w:w w:val="100"/>
        </w:rPr>
        <w:t>营方在合营安排中享有的权利和承担的义务发生变化的，合营方对合营安排的分类进行重新评估。</w:t>
      </w:r>
      <w:r>
        <w:rPr>
          <w:rFonts w:ascii="宋体" w:hAnsi="宋体" w:cs="宋体" w:eastAsia="宋体" w:hint="default"/>
          <w:b/>
          <w:bCs/>
          <w:w w:val="99"/>
        </w:rPr>
        <w:t> </w:t>
      </w:r>
      <w:r>
        <w:rPr>
          <w:rFonts w:ascii="宋体" w:hAnsi="宋体" w:cs="宋体" w:eastAsia="宋体" w:hint="default"/>
        </w:rPr>
      </w:r>
    </w:p>
    <w:p>
      <w:pPr>
        <w:spacing w:after="0" w:line="237" w:lineRule="auto"/>
        <w:jc w:val="left"/>
        <w:rPr>
          <w:rFonts w:ascii="宋体" w:hAnsi="宋体" w:cs="宋体" w:eastAsia="宋体" w:hint="default"/>
        </w:rPr>
        <w:sectPr>
          <w:pgSz w:w="11910" w:h="16840"/>
          <w:pgMar w:header="882" w:footer="1195" w:top="1120" w:bottom="1380" w:left="1140" w:right="1580"/>
        </w:sectPr>
      </w:pPr>
    </w:p>
    <w:p>
      <w:pPr>
        <w:spacing w:line="240" w:lineRule="auto" w:before="9"/>
        <w:rPr>
          <w:rFonts w:ascii="宋体" w:hAnsi="宋体" w:cs="宋体" w:eastAsia="宋体" w:hint="default"/>
          <w:b/>
          <w:bCs/>
          <w:sz w:val="18"/>
          <w:szCs w:val="18"/>
        </w:rPr>
      </w:pPr>
    </w:p>
    <w:p>
      <w:pPr>
        <w:pStyle w:val="BodyText"/>
        <w:spacing w:line="237" w:lineRule="auto" w:before="38"/>
        <w:ind w:right="102"/>
        <w:jc w:val="left"/>
        <w:rPr>
          <w:rFonts w:ascii="宋体" w:hAnsi="宋体" w:cs="宋体" w:eastAsia="宋体" w:hint="default"/>
        </w:rPr>
      </w:pPr>
      <w:r>
        <w:rPr>
          <w:rFonts w:ascii="宋体" w:hAnsi="宋体" w:cs="宋体" w:eastAsia="宋体" w:hint="default"/>
        </w:rPr>
        <w:t>2</w:t>
      </w:r>
      <w:r>
        <w:rPr/>
        <w:t>、共同经营的会计处理</w:t>
      </w:r>
      <w:r>
        <w:rPr>
          <w:rFonts w:ascii="宋体" w:hAnsi="宋体" w:cs="宋体" w:eastAsia="宋体" w:hint="default"/>
          <w:b/>
          <w:bCs/>
          <w:w w:val="99"/>
        </w:rPr>
        <w:t> </w:t>
      </w:r>
      <w:r>
        <w:rPr>
          <w:spacing w:val="-1"/>
        </w:rPr>
        <w:t>共同经营参与方应当确认其与共同经营中利益份额相关的下列项目，并按照相关企业会计准则的</w:t>
      </w:r>
      <w:r>
        <w:rPr>
          <w:spacing w:val="-55"/>
        </w:rPr>
        <w:t> </w:t>
      </w:r>
      <w:r>
        <w:rPr>
          <w:spacing w:val="-55"/>
        </w:rPr>
      </w:r>
      <w:r>
        <w:rPr>
          <w:spacing w:val="-1"/>
        </w:rPr>
        <w:t>规定进行会计处理：确认单独所持有的资产或负债，以及按其份额确认共同持有的资产或负债；</w:t>
      </w:r>
      <w:r>
        <w:rPr>
          <w:spacing w:val="-54"/>
        </w:rPr>
        <w:t> </w:t>
      </w:r>
      <w:r>
        <w:rPr>
          <w:spacing w:val="-54"/>
        </w:rPr>
      </w:r>
      <w:r>
        <w:rPr>
          <w:spacing w:val="-1"/>
        </w:rPr>
        <w:t>确认出售其享有的共同经营产出份额所产生的收入；按其份额确认共同经营因出售产出所产生的</w:t>
      </w:r>
      <w:r>
        <w:rPr>
          <w:spacing w:val="-55"/>
        </w:rPr>
        <w:t> </w:t>
      </w:r>
      <w:r>
        <w:rPr>
          <w:spacing w:val="-55"/>
        </w:rPr>
      </w:r>
      <w:r>
        <w:rPr/>
        <w:t>收入；确认单独所发生的费用，以及按其份额确认共同经营发生的费用。</w:t>
      </w:r>
      <w:r>
        <w:rPr>
          <w:rFonts w:ascii="宋体" w:hAnsi="宋体" w:cs="宋体" w:eastAsia="宋体" w:hint="default"/>
          <w:b/>
          <w:bCs/>
          <w:w w:val="99"/>
        </w:rPr>
        <w:t> </w:t>
      </w:r>
      <w:r>
        <w:rPr>
          <w:spacing w:val="-1"/>
        </w:rPr>
        <w:t>对共同经营不享有共同控制的参与方，如果享有该共同经营相关资产且承担该共同经营相关负债</w:t>
      </w:r>
      <w:r>
        <w:rPr>
          <w:spacing w:val="-55"/>
        </w:rPr>
        <w:t> </w:t>
      </w:r>
      <w:r>
        <w:rPr>
          <w:spacing w:val="-55"/>
        </w:rPr>
      </w:r>
      <w:r>
        <w:rPr>
          <w:spacing w:val="-1"/>
        </w:rPr>
        <w:t>的，参照共同经营参与方的规定进行会计处理；否则，应当按照相关企业会计准则的规定进行会</w:t>
      </w:r>
      <w:r>
        <w:rPr>
          <w:spacing w:val="-55"/>
        </w:rPr>
        <w:t> </w:t>
      </w:r>
      <w:r>
        <w:rPr>
          <w:spacing w:val="-55"/>
        </w:rPr>
      </w:r>
      <w:r>
        <w:rPr/>
        <w:t>计处理。</w:t>
      </w:r>
      <w:r>
        <w:rPr>
          <w:rFonts w:ascii="宋体" w:hAnsi="宋体" w:cs="宋体" w:eastAsia="宋体" w:hint="default"/>
          <w:b/>
          <w:bCs/>
          <w:w w:val="99"/>
        </w:rPr>
        <w:t> </w:t>
      </w:r>
      <w:r>
        <w:rPr>
          <w:rFonts w:ascii="宋体" w:hAnsi="宋体" w:cs="宋体" w:eastAsia="宋体" w:hint="default"/>
        </w:rPr>
      </w:r>
    </w:p>
    <w:p>
      <w:pPr>
        <w:pStyle w:val="BodyText"/>
        <w:spacing w:line="272" w:lineRule="exact"/>
        <w:ind w:right="102"/>
        <w:jc w:val="left"/>
        <w:rPr>
          <w:rFonts w:ascii="宋体" w:hAnsi="宋体" w:cs="宋体" w:eastAsia="宋体" w:hint="default"/>
        </w:rPr>
      </w:pPr>
      <w:r>
        <w:rPr>
          <w:rFonts w:ascii="宋体" w:hAnsi="宋体" w:cs="宋体" w:eastAsia="宋体" w:hint="default"/>
        </w:rPr>
        <w:t>3</w:t>
      </w:r>
      <w:r>
        <w:rPr/>
        <w:t>、合营企业的会计处理</w:t>
      </w:r>
      <w:r>
        <w:rPr>
          <w:rFonts w:ascii="宋体" w:hAnsi="宋体" w:cs="宋体" w:eastAsia="宋体" w:hint="default"/>
          <w:b/>
          <w:bCs/>
          <w:w w:val="99"/>
        </w:rPr>
        <w:t> </w:t>
      </w:r>
      <w:r>
        <w:rPr>
          <w:rFonts w:ascii="宋体" w:hAnsi="宋体" w:cs="宋体" w:eastAsia="宋体" w:hint="default"/>
        </w:rPr>
      </w:r>
    </w:p>
    <w:p>
      <w:pPr>
        <w:pStyle w:val="BodyText"/>
        <w:spacing w:line="240" w:lineRule="auto"/>
        <w:ind w:right="204"/>
        <w:jc w:val="left"/>
        <w:rPr>
          <w:rFonts w:ascii="宋体" w:hAnsi="宋体" w:cs="宋体" w:eastAsia="宋体" w:hint="default"/>
        </w:rPr>
      </w:pPr>
      <w:r>
        <w:rPr/>
        <w:t>合营企业参与方应当按照《企业会计准则第</w:t>
      </w:r>
      <w:r>
        <w:rPr>
          <w:spacing w:val="-49"/>
        </w:rPr>
        <w:t> </w:t>
      </w:r>
      <w:r>
        <w:rPr>
          <w:rFonts w:ascii="宋体" w:hAnsi="宋体" w:cs="宋体" w:eastAsia="宋体" w:hint="default"/>
        </w:rPr>
        <w:t>2</w:t>
      </w:r>
      <w:r>
        <w:rPr>
          <w:rFonts w:ascii="宋体" w:hAnsi="宋体" w:cs="宋体" w:eastAsia="宋体" w:hint="default"/>
          <w:spacing w:val="-50"/>
        </w:rPr>
        <w:t> </w:t>
      </w:r>
      <w:r>
        <w:rPr/>
        <w:t>号—长期股权投资》的规定对合营企业的投资进行</w:t>
      </w:r>
      <w:r>
        <w:rPr>
          <w:w w:val="100"/>
        </w:rPr>
        <w:t> </w:t>
      </w:r>
      <w:r>
        <w:rPr/>
        <w:t>会计处理，不享有共同控制的参与方应当根据其对该合营企业的影响程度进行会计处理。</w:t>
      </w:r>
      <w:r>
        <w:rPr>
          <w:rFonts w:ascii="宋体" w:hAnsi="宋体" w:cs="宋体" w:eastAsia="宋体" w:hint="default"/>
          <w:b/>
          <w:bCs/>
          <w:w w:val="99"/>
        </w:rPr>
        <w:t> </w:t>
      </w:r>
      <w:r>
        <w:rPr>
          <w:rFonts w:ascii="宋体" w:hAnsi="宋体" w:cs="宋体" w:eastAsia="宋体" w:hint="default"/>
        </w:rPr>
      </w:r>
    </w:p>
    <w:p>
      <w:pPr>
        <w:pStyle w:val="Heading3"/>
        <w:spacing w:line="304" w:lineRule="exact"/>
        <w:ind w:left="136" w:right="0"/>
        <w:jc w:val="left"/>
        <w:rPr>
          <w:rFonts w:ascii="宋体" w:hAnsi="宋体" w:cs="宋体" w:eastAsia="宋体" w:hint="default"/>
        </w:rPr>
      </w:pPr>
      <w:r>
        <w:rPr>
          <w:rFonts w:ascii="宋体"/>
        </w:rPr>
        <w:t> </w:t>
      </w:r>
    </w:p>
    <w:p>
      <w:pPr>
        <w:pStyle w:val="Heading5"/>
        <w:tabs>
          <w:tab w:pos="562" w:val="left" w:leader="none"/>
        </w:tabs>
        <w:spacing w:line="240" w:lineRule="auto"/>
        <w:ind w:left="136" w:right="102"/>
        <w:jc w:val="left"/>
        <w:rPr>
          <w:b w:val="0"/>
          <w:bCs w:val="0"/>
        </w:rPr>
      </w:pPr>
      <w:r>
        <w:rPr>
          <w:rFonts w:ascii="宋体" w:hAnsi="宋体" w:cs="宋体" w:eastAsia="宋体" w:hint="default"/>
          <w:w w:val="95"/>
        </w:rPr>
        <w:t>8.</w:t>
        <w:tab/>
      </w:r>
      <w:r>
        <w:rPr/>
        <w:t>现金及现金等价物的确定标准</w:t>
      </w:r>
      <w:r>
        <w:rPr>
          <w:b w:val="0"/>
          <w:bCs w:val="0"/>
        </w:rPr>
      </w:r>
    </w:p>
    <w:p>
      <w:pPr>
        <w:pStyle w:val="BodyText"/>
        <w:spacing w:line="237" w:lineRule="auto" w:before="59"/>
        <w:ind w:right="209"/>
        <w:jc w:val="both"/>
        <w:rPr>
          <w:rFonts w:ascii="宋体" w:hAnsi="宋体" w:cs="宋体" w:eastAsia="宋体" w:hint="default"/>
          <w:sz w:val="24"/>
          <w:szCs w:val="24"/>
        </w:rPr>
      </w:pPr>
      <w:r>
        <w:rPr>
          <w:spacing w:val="-1"/>
        </w:rPr>
        <w:t>本公司在编制现金流量表时所确定的现金，是指本公司库存现金以及可以随时用于支付的存款。</w:t>
      </w:r>
      <w:r>
        <w:rPr>
          <w:spacing w:val="-55"/>
        </w:rPr>
        <w:t> </w:t>
      </w:r>
      <w:r>
        <w:rPr>
          <w:spacing w:val="-55"/>
        </w:rPr>
      </w:r>
      <w:r>
        <w:rPr>
          <w:spacing w:val="-1"/>
        </w:rPr>
        <w:t>在编制现金流量表时所确定的现金等价物，是指持有的期限短、流动性强、易于转换为已知金额</w:t>
      </w:r>
      <w:r>
        <w:rPr>
          <w:spacing w:val="-55"/>
        </w:rPr>
        <w:t> </w:t>
      </w:r>
      <w:r>
        <w:rPr>
          <w:spacing w:val="-55"/>
        </w:rPr>
      </w:r>
      <w:r>
        <w:rPr/>
        <w:t>现金、价值变动风险很小的投资。</w:t>
      </w:r>
      <w:r>
        <w:rPr>
          <w:rFonts w:ascii="宋体" w:hAnsi="宋体" w:cs="宋体" w:eastAsia="宋体" w:hint="default"/>
          <w:sz w:val="24"/>
          <w:szCs w:val="24"/>
        </w:rPr>
        <w:t> </w:t>
      </w:r>
    </w:p>
    <w:p>
      <w:pPr>
        <w:pStyle w:val="Heading3"/>
        <w:spacing w:line="307" w:lineRule="exact"/>
        <w:ind w:left="136" w:right="0"/>
        <w:jc w:val="left"/>
        <w:rPr>
          <w:rFonts w:ascii="宋体" w:hAnsi="宋体" w:cs="宋体" w:eastAsia="宋体" w:hint="default"/>
        </w:rPr>
      </w:pPr>
      <w:r>
        <w:rPr>
          <w:rFonts w:ascii="宋体"/>
        </w:rPr>
        <w:t> </w:t>
      </w:r>
    </w:p>
    <w:p>
      <w:pPr>
        <w:pStyle w:val="Heading5"/>
        <w:tabs>
          <w:tab w:pos="562" w:val="left" w:leader="none"/>
        </w:tabs>
        <w:spacing w:line="240" w:lineRule="auto"/>
        <w:ind w:left="136" w:right="102"/>
        <w:jc w:val="left"/>
        <w:rPr>
          <w:b w:val="0"/>
          <w:bCs w:val="0"/>
        </w:rPr>
      </w:pPr>
      <w:r>
        <w:rPr>
          <w:rFonts w:ascii="宋体" w:hAnsi="宋体" w:cs="宋体" w:eastAsia="宋体" w:hint="default"/>
          <w:w w:val="95"/>
        </w:rPr>
        <w:t>9.</w:t>
        <w:tab/>
      </w:r>
      <w:r>
        <w:rPr/>
        <w:t>外币业务和外币报表折算</w:t>
      </w:r>
      <w:r>
        <w:rPr>
          <w:b w:val="0"/>
          <w:bCs w:val="0"/>
        </w:rPr>
      </w:r>
    </w:p>
    <w:p>
      <w:pPr>
        <w:pStyle w:val="Heading3"/>
        <w:spacing w:line="240" w:lineRule="auto" w:before="50"/>
        <w:ind w:left="136" w:right="102"/>
        <w:jc w:val="left"/>
        <w:rPr>
          <w:rFonts w:ascii="宋体" w:hAnsi="宋体" w:cs="宋体" w:eastAsia="宋体" w:hint="default"/>
        </w:rPr>
      </w:pPr>
      <w:r>
        <w:rPr/>
        <w:t>√适用□不适用</w:t>
      </w:r>
      <w:r>
        <w:rPr>
          <w:rFonts w:ascii="宋体" w:hAnsi="宋体" w:cs="宋体" w:eastAsia="宋体" w:hint="default"/>
        </w:rPr>
        <w:t>  </w:t>
      </w:r>
    </w:p>
    <w:p>
      <w:pPr>
        <w:pStyle w:val="BodyText"/>
        <w:spacing w:line="237" w:lineRule="auto" w:before="6"/>
        <w:ind w:right="102"/>
        <w:jc w:val="left"/>
        <w:rPr>
          <w:rFonts w:ascii="宋体" w:hAnsi="宋体" w:cs="宋体" w:eastAsia="宋体" w:hint="default"/>
        </w:rPr>
      </w:pPr>
      <w:r>
        <w:rPr>
          <w:rFonts w:ascii="宋体" w:hAnsi="宋体" w:cs="宋体" w:eastAsia="宋体" w:hint="default"/>
        </w:rPr>
        <w:t>1</w:t>
      </w:r>
      <w:r>
        <w:rPr/>
        <w:t>、外币业务折算</w:t>
      </w:r>
      <w:r>
        <w:rPr>
          <w:rFonts w:ascii="宋体" w:hAnsi="宋体" w:cs="宋体" w:eastAsia="宋体" w:hint="default"/>
          <w:w w:val="100"/>
        </w:rPr>
        <w:t> </w:t>
      </w:r>
      <w:r>
        <w:rPr>
          <w:spacing w:val="-4"/>
          <w:w w:val="100"/>
        </w:rPr>
        <w:t>本公司对发生的外币交易，采用与交易发生日或交易发生日即期汇率的近似汇率折合本位币入账。</w:t>
      </w:r>
      <w:r>
        <w:rPr>
          <w:spacing w:val="-85"/>
          <w:w w:val="100"/>
        </w:rPr>
        <w:t> </w:t>
      </w:r>
      <w:r>
        <w:rPr>
          <w:spacing w:val="-85"/>
          <w:w w:val="100"/>
        </w:rPr>
      </w:r>
      <w:r>
        <w:rPr/>
        <w:t>资产负债表日外币货币性项目按资产负债表日即期汇率折算，因该日的即期汇率与初始确认时或</w:t>
      </w:r>
      <w:r>
        <w:rPr>
          <w:spacing w:val="-97"/>
        </w:rPr>
        <w:t> </w:t>
      </w:r>
      <w:r>
        <w:rPr>
          <w:spacing w:val="-97"/>
        </w:rPr>
      </w:r>
      <w:r>
        <w:rPr/>
        <w:t>者前一资产负债表日即期汇率不同而产生的汇兑差额，除符合资本化条件的外币专门借款的汇兑</w:t>
      </w:r>
      <w:r>
        <w:rPr>
          <w:spacing w:val="-97"/>
        </w:rPr>
        <w:t> </w:t>
      </w:r>
      <w:r>
        <w:rPr>
          <w:spacing w:val="-97"/>
        </w:rPr>
      </w:r>
      <w:r>
        <w:rPr/>
        <w:t>差额在资本化期间予以资本化计入相关资产的成本外，均计入当期损益。以历史成本计量的外币</w:t>
      </w:r>
      <w:r>
        <w:rPr>
          <w:spacing w:val="-97"/>
        </w:rPr>
        <w:t> </w:t>
      </w:r>
      <w:r>
        <w:rPr>
          <w:spacing w:val="-97"/>
        </w:rPr>
      </w:r>
      <w:r>
        <w:rPr/>
        <w:t>非货币性项目，仍采用交易发生日的即期汇率折算，不改变其记账本位币金额。以公允价值计量</w:t>
      </w:r>
      <w:r>
        <w:rPr>
          <w:spacing w:val="-97"/>
        </w:rPr>
        <w:t> </w:t>
      </w:r>
      <w:r>
        <w:rPr>
          <w:spacing w:val="-97"/>
        </w:rPr>
      </w:r>
      <w:r>
        <w:rPr/>
        <w:t>的外币非货币性项目，采用公允价值确定日的即期汇率折算，折算后的记账本位币金额与原记账</w:t>
      </w:r>
      <w:r>
        <w:rPr>
          <w:spacing w:val="-97"/>
        </w:rPr>
        <w:t> </w:t>
      </w:r>
      <w:r>
        <w:rPr>
          <w:spacing w:val="-97"/>
        </w:rPr>
      </w:r>
      <w:r>
        <w:rPr>
          <w:spacing w:val="-6"/>
          <w:w w:val="100"/>
        </w:rPr>
        <w:t>本位币金额的差额，作为公允价值变动</w:t>
      </w:r>
      <w:r>
        <w:rPr>
          <w:rFonts w:ascii="宋体" w:hAnsi="宋体" w:cs="宋体" w:eastAsia="宋体" w:hint="default"/>
          <w:spacing w:val="-6"/>
          <w:w w:val="100"/>
        </w:rPr>
        <w:t>(</w:t>
      </w:r>
      <w:r>
        <w:rPr>
          <w:spacing w:val="-6"/>
          <w:w w:val="100"/>
        </w:rPr>
        <w:t>含汇率变动</w:t>
      </w:r>
      <w:r>
        <w:rPr>
          <w:rFonts w:ascii="宋体" w:hAnsi="宋体" w:cs="宋体" w:eastAsia="宋体" w:hint="default"/>
          <w:spacing w:val="-6"/>
          <w:w w:val="100"/>
        </w:rPr>
        <w:t>)</w:t>
      </w:r>
      <w:r>
        <w:rPr>
          <w:spacing w:val="-6"/>
          <w:w w:val="100"/>
        </w:rPr>
        <w:t>处理，计入当期损益或确认为其他综合收益。</w:t>
      </w:r>
      <w:r>
        <w:rPr>
          <w:rFonts w:ascii="宋体" w:hAnsi="宋体" w:cs="宋体" w:eastAsia="宋体" w:hint="default"/>
          <w:w w:val="100"/>
        </w:rPr>
        <w:t> </w:t>
      </w:r>
      <w:r>
        <w:rPr>
          <w:rFonts w:ascii="宋体" w:hAnsi="宋体" w:cs="宋体" w:eastAsia="宋体" w:hint="default"/>
        </w:rPr>
        <w:t>2</w:t>
      </w:r>
      <w:r>
        <w:rPr/>
        <w:t>、外币财务报表折算</w:t>
      </w:r>
      <w:r>
        <w:rPr>
          <w:rFonts w:ascii="宋体" w:hAnsi="宋体" w:cs="宋体" w:eastAsia="宋体" w:hint="default"/>
          <w:w w:val="100"/>
        </w:rPr>
        <w:t> </w:t>
      </w:r>
      <w:r>
        <w:rPr/>
        <w:t>本公司的控股子公司、合营企业、联营企业等，若采用与本公司不同的记账本位币，需对其外币</w:t>
      </w:r>
      <w:r>
        <w:rPr>
          <w:spacing w:val="-97"/>
        </w:rPr>
        <w:t> </w:t>
      </w:r>
      <w:r>
        <w:rPr>
          <w:spacing w:val="-97"/>
        </w:rPr>
      </w:r>
      <w:r>
        <w:rPr/>
        <w:t>财务报表折算后，再进行会计核算及合并财务报表的编报。资产负债表中的资产和负债项目，采</w:t>
      </w:r>
      <w:r>
        <w:rPr>
          <w:spacing w:val="-97"/>
        </w:rPr>
        <w:t> </w:t>
      </w:r>
      <w:r>
        <w:rPr>
          <w:spacing w:val="-97"/>
        </w:rPr>
      </w:r>
      <w:r>
        <w:rPr/>
        <w:t>用资产负债表日的即期汇率折算，所有者权益项目除“未分配利润”项目外，其他项目采用发生</w:t>
      </w:r>
      <w:r>
        <w:rPr>
          <w:spacing w:val="-97"/>
        </w:rPr>
        <w:t> </w:t>
      </w:r>
      <w:r>
        <w:rPr>
          <w:spacing w:val="-97"/>
        </w:rPr>
      </w:r>
      <w:r>
        <w:rPr/>
        <w:t>时的即期汇率折算。利润表中的收入和费用项目，采用交易发生日的即期汇率或交易发生日即期</w:t>
      </w:r>
      <w:r>
        <w:rPr>
          <w:spacing w:val="-97"/>
        </w:rPr>
        <w:t> </w:t>
      </w:r>
      <w:r>
        <w:rPr>
          <w:spacing w:val="-97"/>
        </w:rPr>
      </w:r>
      <w:r>
        <w:rPr/>
        <w:t>汇率的近似汇率折算。折算产生的外币财务报表折算差额，在资产负债表中所有者权益项目其他</w:t>
      </w:r>
      <w:r>
        <w:rPr>
          <w:spacing w:val="-97"/>
        </w:rPr>
        <w:t> </w:t>
      </w:r>
      <w:r>
        <w:rPr>
          <w:spacing w:val="-97"/>
        </w:rPr>
      </w:r>
      <w:r>
        <w:rPr/>
        <w:t>综合收益下列示。外币现金流量按照系统合理方法确定的，采用交易发生日的即期汇率或交易发</w:t>
      </w:r>
      <w:r>
        <w:rPr>
          <w:spacing w:val="-97"/>
        </w:rPr>
        <w:t> </w:t>
      </w:r>
      <w:r>
        <w:rPr>
          <w:spacing w:val="-97"/>
        </w:rPr>
      </w:r>
      <w:r>
        <w:rPr/>
        <w:t>生日即期汇率的近似汇率折算。汇率变动对现金的影响额，在现金流量表中单独列示。处置境外</w:t>
      </w:r>
      <w:r>
        <w:rPr>
          <w:spacing w:val="-97"/>
        </w:rPr>
        <w:t> </w:t>
      </w:r>
      <w:r>
        <w:rPr>
          <w:spacing w:val="-97"/>
        </w:rPr>
      </w:r>
      <w:r>
        <w:rPr/>
        <w:t>经营时，与该境外经营有关的外币报表折算差额，全部或按处置该境外经营的比例转入处置当期</w:t>
      </w:r>
      <w:r>
        <w:rPr>
          <w:spacing w:val="-97"/>
        </w:rPr>
        <w:t> </w:t>
      </w:r>
      <w:r>
        <w:rPr>
          <w:spacing w:val="-97"/>
        </w:rPr>
      </w:r>
      <w:r>
        <w:rPr/>
        <w:t>损益。</w:t>
      </w:r>
      <w:r>
        <w:rPr>
          <w:rFonts w:ascii="宋体" w:hAnsi="宋体" w:cs="宋体" w:eastAsia="宋体" w:hint="default"/>
        </w:rPr>
        <w:t> </w:t>
      </w:r>
    </w:p>
    <w:p>
      <w:pPr>
        <w:pStyle w:val="Heading3"/>
        <w:spacing w:line="305" w:lineRule="exact"/>
        <w:ind w:left="136" w:right="0"/>
        <w:jc w:val="left"/>
        <w:rPr>
          <w:rFonts w:ascii="宋体" w:hAnsi="宋体" w:cs="宋体" w:eastAsia="宋体" w:hint="default"/>
        </w:rPr>
      </w:pPr>
      <w:r>
        <w:rPr>
          <w:rFonts w:ascii="宋体"/>
        </w:rPr>
        <w:t> </w:t>
      </w:r>
    </w:p>
    <w:p>
      <w:pPr>
        <w:pStyle w:val="Heading5"/>
        <w:spacing w:line="240" w:lineRule="auto"/>
        <w:ind w:left="136" w:right="102"/>
        <w:jc w:val="left"/>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Heading3"/>
        <w:spacing w:line="240" w:lineRule="auto" w:before="50"/>
        <w:ind w:left="136" w:right="102"/>
        <w:jc w:val="left"/>
        <w:rPr>
          <w:rFonts w:ascii="宋体" w:hAnsi="宋体" w:cs="宋体" w:eastAsia="宋体" w:hint="default"/>
        </w:rPr>
      </w:pPr>
      <w:r>
        <w:rPr/>
        <w:t>√适用□不适用</w:t>
      </w:r>
      <w:r>
        <w:rPr>
          <w:rFonts w:ascii="宋体" w:hAnsi="宋体" w:cs="宋体" w:eastAsia="宋体" w:hint="default"/>
        </w:rPr>
        <w:t>  </w:t>
      </w:r>
    </w:p>
    <w:p>
      <w:pPr>
        <w:pStyle w:val="BodyText"/>
        <w:spacing w:line="240" w:lineRule="auto" w:before="4"/>
        <w:ind w:right="102"/>
        <w:jc w:val="left"/>
        <w:rPr>
          <w:rFonts w:ascii="宋体" w:hAnsi="宋体" w:cs="宋体" w:eastAsia="宋体" w:hint="default"/>
        </w:rPr>
      </w:pPr>
      <w:r>
        <w:rPr>
          <w:rFonts w:ascii="宋体" w:hAnsi="宋体" w:cs="宋体" w:eastAsia="宋体" w:hint="default"/>
        </w:rPr>
        <w:t>1.</w:t>
      </w:r>
      <w:r>
        <w:rPr/>
        <w:t>金融工具的分类及重分类</w:t>
      </w:r>
      <w:r>
        <w:rPr>
          <w:rFonts w:ascii="宋体" w:hAnsi="宋体" w:cs="宋体" w:eastAsia="宋体" w:hint="default"/>
          <w:w w:val="100"/>
        </w:rPr>
        <w:t> </w:t>
      </w:r>
      <w:r>
        <w:rPr/>
        <w:t>金融工具，是指形成一方的金融资产并形成其他方的金融负债或权益工具的合同。</w:t>
      </w:r>
      <w:r>
        <w:rPr>
          <w:rFonts w:ascii="宋体" w:hAnsi="宋体" w:cs="宋体" w:eastAsia="宋体" w:hint="default"/>
        </w:rPr>
        <w:t> </w:t>
      </w:r>
    </w:p>
    <w:p>
      <w:pPr>
        <w:pStyle w:val="BodyText"/>
        <w:spacing w:line="237" w:lineRule="auto"/>
        <w:ind w:right="102"/>
        <w:jc w:val="left"/>
      </w:pPr>
      <w:r>
        <w:rPr/>
        <w:t>（</w:t>
      </w:r>
      <w:r>
        <w:rPr>
          <w:rFonts w:ascii="宋体" w:hAnsi="宋体" w:cs="宋体" w:eastAsia="宋体" w:hint="default"/>
        </w:rPr>
        <w:t>1</w:t>
      </w:r>
      <w:r>
        <w:rPr/>
        <w:t>）金融资产</w:t>
      </w:r>
      <w:r>
        <w:rPr>
          <w:rFonts w:ascii="宋体" w:hAnsi="宋体" w:cs="宋体" w:eastAsia="宋体" w:hint="default"/>
          <w:w w:val="100"/>
        </w:rPr>
        <w:t> </w:t>
      </w:r>
      <w:r>
        <w:rPr>
          <w:spacing w:val="-1"/>
        </w:rPr>
        <w:t>本公司将同时符合下列条件的金融资产分类为以摊余成本计量的金融资产：①本公司管理金融资</w:t>
      </w:r>
      <w:r>
        <w:rPr>
          <w:spacing w:val="-54"/>
        </w:rPr>
        <w:t> </w:t>
      </w:r>
      <w:r>
        <w:rPr>
          <w:spacing w:val="-54"/>
        </w:rPr>
      </w:r>
      <w:r>
        <w:rPr>
          <w:spacing w:val="-1"/>
        </w:rPr>
        <w:t>产的业务模式是以收取合同现金流量为目标；②该金融资产的合同条款规定，在特定日期产生的</w:t>
      </w:r>
      <w:r>
        <w:rPr>
          <w:spacing w:val="-55"/>
        </w:rPr>
        <w:t> </w:t>
      </w:r>
      <w:r>
        <w:rPr>
          <w:spacing w:val="-55"/>
        </w:rPr>
      </w:r>
      <w:r>
        <w:rPr/>
        <w:t>现金流量仅为对本金和以未偿付本金金额为基础的利息的支付。</w:t>
      </w:r>
      <w:r>
        <w:rPr>
          <w:rFonts w:ascii="宋体" w:hAnsi="宋体" w:cs="宋体" w:eastAsia="宋体" w:hint="default"/>
          <w:w w:val="100"/>
        </w:rPr>
        <w:t> </w:t>
      </w:r>
      <w:r>
        <w:rPr>
          <w:spacing w:val="-1"/>
        </w:rPr>
        <w:t>本公司将同时符合下列条件的金融资产分类为以公允价值计量且其变动计入其他综合收益的金融</w:t>
      </w:r>
      <w:r>
        <w:rPr>
          <w:spacing w:val="-54"/>
        </w:rPr>
        <w:t> </w:t>
      </w:r>
      <w:r>
        <w:rPr>
          <w:spacing w:val="-54"/>
        </w:rPr>
      </w:r>
      <w:r>
        <w:rPr>
          <w:spacing w:val="-1"/>
        </w:rPr>
        <w:t>资产：①本公司管理金融资产的业务模式既以收取合同现金流量又以出售该金融资产为目标；②</w:t>
      </w:r>
    </w:p>
    <w:p>
      <w:pPr>
        <w:spacing w:after="0" w:line="237" w:lineRule="auto"/>
        <w:jc w:val="left"/>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237" w:lineRule="auto" w:before="38"/>
        <w:ind w:right="102"/>
        <w:jc w:val="left"/>
        <w:rPr>
          <w:rFonts w:ascii="宋体" w:hAnsi="宋体" w:cs="宋体" w:eastAsia="宋体" w:hint="default"/>
        </w:rPr>
      </w:pPr>
      <w:r>
        <w:rPr>
          <w:spacing w:val="-1"/>
        </w:rPr>
        <w:t>该金融资产的合同条款规定，在特定日期产生的现金流量，仅为对本金和以未偿付本金金额为基</w:t>
      </w:r>
      <w:r>
        <w:rPr>
          <w:spacing w:val="-55"/>
        </w:rPr>
        <w:t> </w:t>
      </w:r>
      <w:r>
        <w:rPr>
          <w:spacing w:val="-55"/>
        </w:rPr>
      </w:r>
      <w:r>
        <w:rPr/>
        <w:t>础的利息的支付。</w:t>
      </w:r>
      <w:r>
        <w:rPr>
          <w:rFonts w:ascii="宋体" w:hAnsi="宋体" w:cs="宋体" w:eastAsia="宋体" w:hint="default"/>
          <w:w w:val="100"/>
        </w:rPr>
        <w:t> </w:t>
      </w:r>
      <w:r>
        <w:rPr>
          <w:spacing w:val="-1"/>
        </w:rPr>
        <w:t>对于非交易性权益工具投资，本公司可在初始确认时将其不可撤销地指定为以公允价值计量且其</w:t>
      </w:r>
      <w:r>
        <w:rPr>
          <w:spacing w:val="-55"/>
        </w:rPr>
        <w:t> </w:t>
      </w:r>
      <w:r>
        <w:rPr>
          <w:spacing w:val="-55"/>
        </w:rPr>
      </w:r>
      <w:r>
        <w:rPr>
          <w:spacing w:val="-1"/>
        </w:rPr>
        <w:t>变动计入其他综合收益的金融资产。该指定在单项投资的基础上作出，且相关投资从发行者的角</w:t>
      </w:r>
      <w:r>
        <w:rPr>
          <w:spacing w:val="-55"/>
        </w:rPr>
        <w:t> </w:t>
      </w:r>
      <w:r>
        <w:rPr>
          <w:spacing w:val="-55"/>
        </w:rPr>
      </w:r>
      <w:r>
        <w:rPr/>
        <w:t>度符合权益工具的定义。</w:t>
      </w:r>
      <w:r>
        <w:rPr>
          <w:rFonts w:ascii="宋体" w:hAnsi="宋体" w:cs="宋体" w:eastAsia="宋体" w:hint="default"/>
          <w:w w:val="100"/>
        </w:rPr>
        <w:t> </w:t>
      </w:r>
      <w:r>
        <w:rPr>
          <w:spacing w:val="-1"/>
        </w:rPr>
        <w:t>除分类为以摊余成本计量的金融资产和以公允价值计量且其变动计入其他综合收益的金融资产之</w:t>
      </w:r>
      <w:r>
        <w:rPr>
          <w:spacing w:val="-55"/>
        </w:rPr>
        <w:t> </w:t>
      </w:r>
      <w:r>
        <w:rPr>
          <w:spacing w:val="-55"/>
        </w:rPr>
      </w:r>
      <w:r>
        <w:rPr>
          <w:spacing w:val="-1"/>
        </w:rPr>
        <w:t>外的金融资产，本公司将其分类为以公允价值计量且其变动计入当期损益的金融资产。在初始确</w:t>
      </w:r>
      <w:r>
        <w:rPr>
          <w:spacing w:val="-54"/>
        </w:rPr>
        <w:t> </w:t>
      </w:r>
      <w:r>
        <w:rPr>
          <w:spacing w:val="-54"/>
        </w:rPr>
      </w:r>
      <w:r>
        <w:rPr>
          <w:spacing w:val="-1"/>
        </w:rPr>
        <w:t>认时，如果能消除或减少会计错配，本公司可以将金融资产不可撤销地指定为以公允价值计量且</w:t>
      </w:r>
      <w:r>
        <w:rPr>
          <w:spacing w:val="-55"/>
        </w:rPr>
        <w:t> </w:t>
      </w:r>
      <w:r>
        <w:rPr>
          <w:spacing w:val="-55"/>
        </w:rPr>
      </w:r>
      <w:r>
        <w:rPr/>
        <w:t>其变动计入当期损益的金融资产。</w:t>
      </w:r>
      <w:r>
        <w:rPr>
          <w:rFonts w:ascii="宋体" w:hAnsi="宋体" w:cs="宋体" w:eastAsia="宋体" w:hint="default"/>
          <w:w w:val="100"/>
        </w:rPr>
        <w:t> </w:t>
      </w:r>
      <w:r>
        <w:rPr>
          <w:spacing w:val="-1"/>
        </w:rPr>
        <w:t>本公司改变管理金融资产的业务模式时，将对所有受影响的相关金融资产在业务模式发生变更后</w:t>
      </w:r>
      <w:r>
        <w:rPr>
          <w:spacing w:val="-55"/>
        </w:rPr>
        <w:t> </w:t>
      </w:r>
      <w:r>
        <w:rPr>
          <w:spacing w:val="-55"/>
        </w:rPr>
      </w:r>
      <w:r>
        <w:rPr>
          <w:spacing w:val="-1"/>
        </w:rPr>
        <w:t>的首个报告期间的第一天进行重分类，且自重分类日起采用未来适用法进行相关会计处理，不对</w:t>
      </w:r>
      <w:r>
        <w:rPr>
          <w:spacing w:val="-55"/>
        </w:rPr>
        <w:t> </w:t>
      </w:r>
      <w:r>
        <w:rPr>
          <w:spacing w:val="-55"/>
        </w:rPr>
      </w:r>
      <w:r>
        <w:rPr/>
        <w:t>以前已经确认的利得、损失（包括减值损失或利得）或利息进行追溯调整。</w:t>
      </w:r>
      <w:r>
        <w:rPr>
          <w:rFonts w:ascii="宋体" w:hAnsi="宋体" w:cs="宋体" w:eastAsia="宋体" w:hint="default"/>
        </w:rPr>
        <w:t> </w:t>
      </w:r>
    </w:p>
    <w:p>
      <w:pPr>
        <w:pStyle w:val="BodyText"/>
        <w:spacing w:line="237" w:lineRule="auto" w:before="1"/>
        <w:ind w:right="102"/>
        <w:jc w:val="left"/>
        <w:rPr>
          <w:rFonts w:ascii="宋体" w:hAnsi="宋体" w:cs="宋体" w:eastAsia="宋体" w:hint="default"/>
        </w:rPr>
      </w:pPr>
      <w:r>
        <w:rPr/>
        <w:t>（</w:t>
      </w:r>
      <w:r>
        <w:rPr>
          <w:rFonts w:ascii="宋体" w:hAnsi="宋体" w:cs="宋体" w:eastAsia="宋体" w:hint="default"/>
        </w:rPr>
        <w:t>2</w:t>
      </w:r>
      <w:r>
        <w:rPr/>
        <w:t>）金融负债</w:t>
      </w:r>
      <w:r>
        <w:rPr>
          <w:rFonts w:ascii="宋体" w:hAnsi="宋体" w:cs="宋体" w:eastAsia="宋体" w:hint="default"/>
          <w:w w:val="100"/>
        </w:rPr>
        <w:t> </w:t>
      </w:r>
      <w:r>
        <w:rPr>
          <w:spacing w:val="-1"/>
        </w:rPr>
        <w:t>金融负债于初始确认时分类为：以公允价值计量且其变动计入当期损益的金融负债；金融资产转</w:t>
      </w:r>
      <w:r>
        <w:rPr>
          <w:spacing w:val="-55"/>
        </w:rPr>
        <w:t> </w:t>
      </w:r>
      <w:r>
        <w:rPr>
          <w:spacing w:val="-55"/>
        </w:rPr>
      </w:r>
      <w:r>
        <w:rPr>
          <w:spacing w:val="-1"/>
        </w:rPr>
        <w:t>移不符合终止确认条件或继续涉入被转移金融资产所形成的金融负债；不属于前两种情形的财务</w:t>
      </w:r>
      <w:r>
        <w:rPr>
          <w:spacing w:val="-55"/>
        </w:rPr>
        <w:t> </w:t>
      </w:r>
      <w:r>
        <w:rPr>
          <w:spacing w:val="-55"/>
        </w:rPr>
      </w:r>
      <w:r>
        <w:rPr>
          <w:spacing w:val="-1"/>
        </w:rPr>
        <w:t>担保合同，以及不属于第一种情形的以低于市场利率贷款的贷款承诺；以摊余成本计量的金融负</w:t>
      </w:r>
      <w:r>
        <w:rPr>
          <w:spacing w:val="-54"/>
        </w:rPr>
        <w:t> </w:t>
      </w:r>
      <w:r>
        <w:rPr>
          <w:spacing w:val="-54"/>
        </w:rPr>
      </w:r>
      <w:r>
        <w:rPr/>
        <w:t>债。所有的金融负债不进行重分类。</w:t>
      </w:r>
      <w:r>
        <w:rPr>
          <w:rFonts w:ascii="宋体" w:hAnsi="宋体" w:cs="宋体" w:eastAsia="宋体" w:hint="default"/>
        </w:rPr>
        <w:t> </w:t>
      </w:r>
    </w:p>
    <w:p>
      <w:pPr>
        <w:pStyle w:val="BodyText"/>
        <w:spacing w:line="237" w:lineRule="auto"/>
        <w:ind w:right="102"/>
        <w:jc w:val="left"/>
        <w:rPr>
          <w:rFonts w:ascii="宋体" w:hAnsi="宋体" w:cs="宋体" w:eastAsia="宋体" w:hint="default"/>
        </w:rPr>
      </w:pPr>
      <w:r>
        <w:rPr>
          <w:rFonts w:ascii="宋体" w:hAnsi="宋体" w:cs="宋体" w:eastAsia="宋体" w:hint="default"/>
        </w:rPr>
        <w:t>2.</w:t>
      </w:r>
      <w:r>
        <w:rPr/>
        <w:t>金融工具的计量</w:t>
      </w:r>
      <w:r>
        <w:rPr>
          <w:rFonts w:ascii="宋体" w:hAnsi="宋体" w:cs="宋体" w:eastAsia="宋体" w:hint="default"/>
          <w:w w:val="100"/>
        </w:rPr>
        <w:t> </w:t>
      </w:r>
      <w:r>
        <w:rPr>
          <w:spacing w:val="-1"/>
        </w:rPr>
        <w:t>本公司金融工具初始确认按照公允价值计量。对于以公允价值计量且其变动计入当期损益的金融</w:t>
      </w:r>
      <w:r>
        <w:rPr>
          <w:spacing w:val="-54"/>
        </w:rPr>
        <w:t> </w:t>
      </w:r>
      <w:r>
        <w:rPr>
          <w:spacing w:val="-54"/>
        </w:rPr>
      </w:r>
      <w:r>
        <w:rPr>
          <w:spacing w:val="-1"/>
        </w:rPr>
        <w:t>资产和金融负债，相关交易费用直接计入当期损益；对于其他类别的金融资产或金融负债，相关</w:t>
      </w:r>
      <w:r>
        <w:rPr>
          <w:spacing w:val="-55"/>
        </w:rPr>
        <w:t> </w:t>
      </w:r>
      <w:r>
        <w:rPr>
          <w:spacing w:val="-55"/>
        </w:rPr>
      </w:r>
      <w:r>
        <w:rPr>
          <w:spacing w:val="-1"/>
        </w:rPr>
        <w:t>交易费用计入初始确认金额。因销售产品或提供劳务而产生的、未包含或不考虑重大融资成分的</w:t>
      </w:r>
      <w:r>
        <w:rPr>
          <w:spacing w:val="-55"/>
        </w:rPr>
        <w:t> </w:t>
      </w:r>
      <w:r>
        <w:rPr>
          <w:spacing w:val="-55"/>
        </w:rPr>
      </w:r>
      <w:r>
        <w:rPr>
          <w:spacing w:val="-1"/>
        </w:rPr>
        <w:t>应收账款或应收票据，本公司按照预期有权收取的对价金额作为初始确认金额。金融工具的后续</w:t>
      </w:r>
      <w:r>
        <w:rPr>
          <w:spacing w:val="-55"/>
        </w:rPr>
        <w:t> </w:t>
      </w:r>
      <w:r>
        <w:rPr>
          <w:spacing w:val="-55"/>
        </w:rPr>
      </w:r>
      <w:r>
        <w:rPr/>
        <w:t>计量取决于其分类。</w:t>
      </w:r>
      <w:r>
        <w:rPr>
          <w:rFonts w:ascii="宋体" w:hAnsi="宋体" w:cs="宋体" w:eastAsia="宋体" w:hint="default"/>
        </w:rPr>
        <w:t> </w:t>
      </w:r>
    </w:p>
    <w:p>
      <w:pPr>
        <w:pStyle w:val="BodyText"/>
        <w:spacing w:line="272" w:lineRule="exact"/>
        <w:ind w:right="0"/>
        <w:jc w:val="both"/>
        <w:rPr>
          <w:rFonts w:ascii="宋体" w:hAnsi="宋体" w:cs="宋体" w:eastAsia="宋体" w:hint="default"/>
        </w:rPr>
      </w:pPr>
      <w:r>
        <w:rPr/>
        <w:t>（</w:t>
      </w:r>
      <w:r>
        <w:rPr>
          <w:rFonts w:ascii="宋体" w:hAnsi="宋体" w:cs="宋体" w:eastAsia="宋体" w:hint="default"/>
        </w:rPr>
        <w:t>1</w:t>
      </w:r>
      <w:r>
        <w:rPr/>
        <w:t>）金融资产</w:t>
      </w:r>
      <w:r>
        <w:rPr>
          <w:rFonts w:ascii="宋体" w:hAnsi="宋体" w:cs="宋体" w:eastAsia="宋体" w:hint="default"/>
        </w:rPr>
        <w:t> </w:t>
      </w:r>
    </w:p>
    <w:p>
      <w:pPr>
        <w:pStyle w:val="BodyText"/>
        <w:spacing w:line="237" w:lineRule="auto"/>
        <w:ind w:right="209"/>
        <w:jc w:val="both"/>
        <w:rPr>
          <w:rFonts w:ascii="宋体" w:hAnsi="宋体" w:cs="宋体" w:eastAsia="宋体" w:hint="default"/>
        </w:rPr>
      </w:pPr>
      <w:r>
        <w:rPr>
          <w:spacing w:val="-6"/>
          <w:w w:val="100"/>
        </w:rPr>
        <w:t>①以摊余成本计量的金融资产。初始确认后，对于该类金融资产采用实际利率法以摊余成本计量。</w:t>
      </w:r>
      <w:r>
        <w:rPr>
          <w:w w:val="100"/>
        </w:rPr>
        <w:t> </w:t>
      </w:r>
      <w:r>
        <w:rPr>
          <w:spacing w:val="-1"/>
        </w:rPr>
        <w:t>以摊余成本计量且不属于任何套期关系的金融资产所产生的利得或损失，在终止确认、重分类、</w:t>
      </w:r>
      <w:r>
        <w:rPr>
          <w:spacing w:val="-55"/>
        </w:rPr>
        <w:t> </w:t>
      </w:r>
      <w:r>
        <w:rPr>
          <w:spacing w:val="-55"/>
        </w:rPr>
      </w:r>
      <w:r>
        <w:rPr/>
        <w:t>按照实际利率法摊销或确认减值时，计入当期损益。</w:t>
      </w:r>
      <w:r>
        <w:rPr>
          <w:rFonts w:ascii="宋体" w:hAnsi="宋体" w:cs="宋体" w:eastAsia="宋体" w:hint="default"/>
        </w:rPr>
        <w:t> </w:t>
      </w:r>
    </w:p>
    <w:p>
      <w:pPr>
        <w:pStyle w:val="BodyText"/>
        <w:spacing w:line="237" w:lineRule="auto" w:before="2"/>
        <w:ind w:right="209"/>
        <w:jc w:val="both"/>
        <w:rPr>
          <w:rFonts w:ascii="宋体" w:hAnsi="宋体" w:cs="宋体" w:eastAsia="宋体" w:hint="default"/>
        </w:rPr>
      </w:pPr>
      <w:r>
        <w:rPr>
          <w:spacing w:val="-1"/>
        </w:rPr>
        <w:t>②以公允价值计量且其变动计入当期损益的金融资产。初始确认后，对于该类金融资产（除属于</w:t>
      </w:r>
      <w:r>
        <w:rPr>
          <w:spacing w:val="-55"/>
        </w:rPr>
        <w:t> </w:t>
      </w:r>
      <w:r>
        <w:rPr>
          <w:spacing w:val="-55"/>
        </w:rPr>
      </w:r>
      <w:r>
        <w:rPr>
          <w:spacing w:val="-1"/>
        </w:rPr>
        <w:t>套期关系的一部分金融资产外），以公允价值进行后续计量，产生的利得或损失（包括利息和股</w:t>
      </w:r>
      <w:r>
        <w:rPr>
          <w:spacing w:val="-55"/>
        </w:rPr>
        <w:t> </w:t>
      </w:r>
      <w:r>
        <w:rPr>
          <w:spacing w:val="-55"/>
        </w:rPr>
      </w:r>
      <w:r>
        <w:rPr/>
        <w:t>利收入）计入当期损益。</w:t>
      </w:r>
      <w:r>
        <w:rPr>
          <w:rFonts w:ascii="宋体" w:hAnsi="宋体" w:cs="宋体" w:eastAsia="宋体" w:hint="default"/>
        </w:rPr>
        <w:t> </w:t>
      </w:r>
    </w:p>
    <w:p>
      <w:pPr>
        <w:pStyle w:val="BodyText"/>
        <w:spacing w:line="237" w:lineRule="auto"/>
        <w:ind w:right="209"/>
        <w:jc w:val="both"/>
        <w:rPr>
          <w:rFonts w:ascii="宋体" w:hAnsi="宋体" w:cs="宋体" w:eastAsia="宋体" w:hint="default"/>
        </w:rPr>
      </w:pPr>
      <w:r>
        <w:rPr>
          <w:spacing w:val="-1"/>
        </w:rPr>
        <w:t>③以公允价值计量且其变动计入其他综合收益的债务工具投资。初始确认后，对于该类金融资产</w:t>
      </w:r>
      <w:r>
        <w:rPr>
          <w:spacing w:val="-55"/>
        </w:rPr>
        <w:t> </w:t>
      </w:r>
      <w:r>
        <w:rPr>
          <w:spacing w:val="-55"/>
        </w:rPr>
      </w:r>
      <w:r>
        <w:rPr>
          <w:spacing w:val="-1"/>
        </w:rPr>
        <w:t>以公允价值进行后续计量。采用实际利率法计算的利息、减值损失或利得及汇兑损益计入当期损</w:t>
      </w:r>
      <w:r>
        <w:rPr>
          <w:spacing w:val="-55"/>
        </w:rPr>
        <w:t> </w:t>
      </w:r>
      <w:r>
        <w:rPr>
          <w:spacing w:val="-55"/>
        </w:rPr>
      </w:r>
      <w:r>
        <w:rPr>
          <w:spacing w:val="-1"/>
        </w:rPr>
        <w:t>益，其他利得或损失均计入其他综合收益。终止确认时，将之前计入其他综合收益的累计利得或</w:t>
      </w:r>
      <w:r>
        <w:rPr>
          <w:spacing w:val="-55"/>
        </w:rPr>
        <w:t> </w:t>
      </w:r>
      <w:r>
        <w:rPr>
          <w:spacing w:val="-55"/>
        </w:rPr>
      </w:r>
      <w:r>
        <w:rPr/>
        <w:t>损失从其他综合收益中转出，计入当期损益。</w:t>
      </w:r>
      <w:r>
        <w:rPr>
          <w:rFonts w:ascii="宋体" w:hAnsi="宋体" w:cs="宋体" w:eastAsia="宋体" w:hint="default"/>
        </w:rPr>
        <w:t> </w:t>
      </w:r>
    </w:p>
    <w:p>
      <w:pPr>
        <w:pStyle w:val="BodyText"/>
        <w:spacing w:line="237" w:lineRule="auto"/>
        <w:ind w:right="209"/>
        <w:jc w:val="both"/>
        <w:rPr>
          <w:rFonts w:ascii="宋体" w:hAnsi="宋体" w:cs="宋体" w:eastAsia="宋体" w:hint="default"/>
        </w:rPr>
      </w:pPr>
      <w:r>
        <w:rPr>
          <w:spacing w:val="-1"/>
        </w:rPr>
        <w:t>④指定为公允价值计量且其变动计入其他综合收益的非交易性权益工具投资。初始确认后，对于</w:t>
      </w:r>
      <w:r>
        <w:rPr>
          <w:spacing w:val="-55"/>
        </w:rPr>
        <w:t> </w:t>
      </w:r>
      <w:r>
        <w:rPr>
          <w:spacing w:val="-55"/>
        </w:rPr>
      </w:r>
      <w:r>
        <w:rPr>
          <w:spacing w:val="-1"/>
        </w:rPr>
        <w:t>该类金融资产以公允价值进行后续计量。除获得的股利（属于投资成本收回部分的除外）计入当</w:t>
      </w:r>
      <w:r>
        <w:rPr>
          <w:spacing w:val="-55"/>
        </w:rPr>
        <w:t> </w:t>
      </w:r>
      <w:r>
        <w:rPr>
          <w:spacing w:val="-55"/>
        </w:rPr>
      </w:r>
      <w:r>
        <w:rPr/>
        <w:t>期损益外，其他相关利得和损失均计入其他综合收益，且后续不转入当期损益。</w:t>
      </w:r>
      <w:r>
        <w:rPr>
          <w:rFonts w:ascii="宋体" w:hAnsi="宋体" w:cs="宋体" w:eastAsia="宋体" w:hint="default"/>
        </w:rPr>
        <w:t> </w:t>
      </w:r>
    </w:p>
    <w:p>
      <w:pPr>
        <w:pStyle w:val="BodyText"/>
        <w:spacing w:line="272" w:lineRule="exact"/>
        <w:ind w:right="0"/>
        <w:jc w:val="both"/>
        <w:rPr>
          <w:rFonts w:ascii="宋体" w:hAnsi="宋体" w:cs="宋体" w:eastAsia="宋体" w:hint="default"/>
        </w:rPr>
      </w:pPr>
      <w:r>
        <w:rPr/>
        <w:t>（</w:t>
      </w:r>
      <w:r>
        <w:rPr>
          <w:rFonts w:ascii="宋体" w:hAnsi="宋体" w:cs="宋体" w:eastAsia="宋体" w:hint="default"/>
        </w:rPr>
        <w:t>2</w:t>
      </w:r>
      <w:r>
        <w:rPr/>
        <w:t>）金融负债</w:t>
      </w:r>
      <w:r>
        <w:rPr>
          <w:rFonts w:ascii="宋体" w:hAnsi="宋体" w:cs="宋体" w:eastAsia="宋体" w:hint="default"/>
        </w:rPr>
        <w:t> </w:t>
      </w:r>
    </w:p>
    <w:p>
      <w:pPr>
        <w:pStyle w:val="BodyText"/>
        <w:spacing w:line="237" w:lineRule="auto"/>
        <w:ind w:right="208"/>
        <w:jc w:val="both"/>
        <w:rPr>
          <w:rFonts w:ascii="宋体" w:hAnsi="宋体" w:cs="宋体" w:eastAsia="宋体" w:hint="default"/>
        </w:rPr>
      </w:pPr>
      <w:r>
        <w:rPr/>
        <w:t>①以公允价值计量且其变动计入当期损益的金融负债。该类金融负债包括交易性金融负债</w:t>
      </w:r>
      <w:r>
        <w:rPr>
          <w:spacing w:val="7"/>
        </w:rPr>
        <w:t> </w:t>
      </w:r>
      <w:r>
        <w:rPr>
          <w:rFonts w:ascii="宋体" w:hAnsi="宋体" w:cs="宋体" w:eastAsia="宋体" w:hint="default"/>
          <w:spacing w:val="7"/>
        </w:rPr>
      </w:r>
      <w:r>
        <w:rPr>
          <w:rFonts w:ascii="宋体" w:hAnsi="宋体" w:cs="宋体" w:eastAsia="宋体" w:hint="default"/>
        </w:rPr>
        <w:t>(</w:t>
      </w:r>
      <w:r>
        <w:rPr/>
        <w:t>含属</w:t>
      </w:r>
      <w:r>
        <w:rPr>
          <w:w w:val="100"/>
        </w:rPr>
        <w:t> </w:t>
      </w:r>
      <w:r>
        <w:rPr/>
        <w:t>于金融负债的衍生工具</w:t>
      </w:r>
      <w:r>
        <w:rPr>
          <w:rFonts w:ascii="宋体" w:hAnsi="宋体" w:cs="宋体" w:eastAsia="宋体" w:hint="default"/>
        </w:rPr>
        <w:t>)</w:t>
      </w:r>
      <w:r>
        <w:rPr>
          <w:rFonts w:ascii="宋体" w:hAnsi="宋体" w:cs="宋体" w:eastAsia="宋体" w:hint="default"/>
          <w:spacing w:val="6"/>
        </w:rPr>
        <w:t> </w:t>
      </w:r>
      <w:r>
        <w:rPr/>
        <w:t>和指定为以公允价值计量且其变动计入当期损益的金融负债。初始确认</w:t>
      </w:r>
      <w:r>
        <w:rPr>
          <w:w w:val="100"/>
        </w:rPr>
        <w:t> </w:t>
      </w:r>
      <w:r>
        <w:rPr>
          <w:spacing w:val="-1"/>
        </w:rPr>
        <w:t>后，对于该类金融负债以公允价值进行后续计量，除与套期会计有关外，交易性金融负债公允价</w:t>
      </w:r>
      <w:r>
        <w:rPr>
          <w:spacing w:val="-55"/>
        </w:rPr>
        <w:t> </w:t>
      </w:r>
      <w:r>
        <w:rPr>
          <w:spacing w:val="-55"/>
        </w:rPr>
      </w:r>
      <w:r>
        <w:rPr>
          <w:spacing w:val="-1"/>
        </w:rPr>
        <w:t>值变动形成的利得或损失（包括利息费用）计入当期损益。指定为以公允价值计量且其变动计入</w:t>
      </w:r>
      <w:r>
        <w:rPr>
          <w:spacing w:val="-55"/>
        </w:rPr>
        <w:t> </w:t>
      </w:r>
      <w:r>
        <w:rPr>
          <w:spacing w:val="-55"/>
        </w:rPr>
      </w:r>
      <w:r>
        <w:rPr>
          <w:spacing w:val="-1"/>
        </w:rPr>
        <w:t>当期损益的金融负债的，由企业自身信用风险变动引起的该金融负债公允价值的变动金额，计入</w:t>
      </w:r>
      <w:r>
        <w:rPr>
          <w:spacing w:val="-55"/>
        </w:rPr>
        <w:t> </w:t>
      </w:r>
      <w:r>
        <w:rPr>
          <w:spacing w:val="-55"/>
        </w:rPr>
      </w:r>
      <w:r>
        <w:rPr>
          <w:spacing w:val="-1"/>
        </w:rPr>
        <w:t>其他综合收益，其他公允价值变动计入当期损益。如果对该金融负债的自身信用风险变动的影响</w:t>
      </w:r>
      <w:r>
        <w:rPr>
          <w:spacing w:val="-55"/>
        </w:rPr>
        <w:t> </w:t>
      </w:r>
      <w:r>
        <w:rPr>
          <w:spacing w:val="-55"/>
        </w:rPr>
      </w:r>
      <w:r>
        <w:rPr>
          <w:spacing w:val="-1"/>
        </w:rPr>
        <w:t>计入其他综合收益会造成或扩大损益中的会计错配的，本公司将该金融负债的全部利得或损失计</w:t>
      </w:r>
      <w:r>
        <w:rPr>
          <w:spacing w:val="-55"/>
        </w:rPr>
        <w:t> </w:t>
      </w:r>
      <w:r>
        <w:rPr>
          <w:spacing w:val="-55"/>
        </w:rPr>
      </w:r>
      <w:r>
        <w:rPr/>
        <w:t>入当期损益。</w:t>
      </w:r>
      <w:r>
        <w:rPr>
          <w:rFonts w:ascii="宋体" w:hAnsi="宋体" w:cs="宋体" w:eastAsia="宋体" w:hint="default"/>
        </w:rPr>
        <w:t> </w:t>
      </w:r>
    </w:p>
    <w:p>
      <w:pPr>
        <w:pStyle w:val="BodyText"/>
        <w:spacing w:line="237" w:lineRule="auto" w:before="1"/>
        <w:ind w:right="209"/>
        <w:jc w:val="both"/>
        <w:rPr>
          <w:rFonts w:ascii="宋体" w:hAnsi="宋体" w:cs="宋体" w:eastAsia="宋体" w:hint="default"/>
        </w:rPr>
      </w:pPr>
      <w:r>
        <w:rPr>
          <w:spacing w:val="-1"/>
        </w:rPr>
        <w:t>②财务担保合同（贷款承诺）负债。财务担保合同（贷款承诺）负债以按照依据金融工具的减值</w:t>
      </w:r>
      <w:r>
        <w:rPr>
          <w:spacing w:val="-55"/>
        </w:rPr>
        <w:t> </w:t>
      </w:r>
      <w:r>
        <w:rPr>
          <w:spacing w:val="-55"/>
        </w:rPr>
      </w:r>
      <w:r>
        <w:rPr>
          <w:spacing w:val="-3"/>
        </w:rPr>
        <w:t>原则所确定的损失准备金额以及初始确认金额扣除《企业会计准则第</w:t>
      </w:r>
      <w:r>
        <w:rPr>
          <w:spacing w:val="-28"/>
        </w:rPr>
        <w:t> </w:t>
      </w:r>
      <w:r>
        <w:rPr>
          <w:rFonts w:ascii="宋体" w:hAnsi="宋体" w:cs="宋体" w:eastAsia="宋体" w:hint="default"/>
        </w:rPr>
        <w:t>14</w:t>
      </w:r>
      <w:r>
        <w:rPr>
          <w:rFonts w:ascii="宋体" w:hAnsi="宋体" w:cs="宋体" w:eastAsia="宋体" w:hint="default"/>
          <w:spacing w:val="-30"/>
        </w:rPr>
        <w:t> </w:t>
      </w:r>
      <w:r>
        <w:rPr>
          <w:spacing w:val="-6"/>
        </w:rPr>
        <w:t>号——收入》相关规定所</w:t>
      </w:r>
      <w:r>
        <w:rPr>
          <w:spacing w:val="-97"/>
        </w:rPr>
        <w:t> </w:t>
      </w:r>
      <w:r>
        <w:rPr>
          <w:spacing w:val="-97"/>
        </w:rPr>
      </w:r>
      <w:r>
        <w:rPr/>
        <w:t>确定的累计摊销额后的余额孰高进行后续计量。</w:t>
      </w:r>
      <w:r>
        <w:rPr>
          <w:rFonts w:ascii="宋体" w:hAnsi="宋体" w:cs="宋体" w:eastAsia="宋体" w:hint="default"/>
        </w:rPr>
        <w:t> </w:t>
      </w:r>
    </w:p>
    <w:p>
      <w:pPr>
        <w:pStyle w:val="BodyText"/>
        <w:spacing w:line="271" w:lineRule="exact"/>
        <w:ind w:right="0"/>
        <w:jc w:val="both"/>
        <w:rPr>
          <w:rFonts w:ascii="宋体" w:hAnsi="宋体" w:cs="宋体" w:eastAsia="宋体" w:hint="default"/>
        </w:rPr>
      </w:pPr>
      <w:r>
        <w:rPr/>
        <w:t>③以摊余成本计量的金融负债。初始确认后，对此类金融负债采用实际利率法以摊余成本计量。</w:t>
      </w:r>
      <w:r>
        <w:rPr>
          <w:rFonts w:ascii="宋体" w:hAnsi="宋体" w:cs="宋体" w:eastAsia="宋体" w:hint="default"/>
        </w:rPr>
        <w:t> </w:t>
      </w:r>
    </w:p>
    <w:p>
      <w:pPr>
        <w:spacing w:after="0" w:line="271" w:lineRule="exact"/>
        <w:jc w:val="both"/>
        <w:rPr>
          <w:rFonts w:ascii="宋体" w:hAnsi="宋体" w:cs="宋体" w:eastAsia="宋体" w:hint="default"/>
        </w:rPr>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237" w:lineRule="auto" w:before="38"/>
        <w:ind w:right="0"/>
        <w:jc w:val="left"/>
        <w:rPr>
          <w:rFonts w:ascii="宋体" w:hAnsi="宋体" w:cs="宋体" w:eastAsia="宋体" w:hint="default"/>
        </w:rPr>
      </w:pPr>
      <w:r>
        <w:rPr>
          <w:rFonts w:ascii="宋体" w:hAnsi="宋体" w:cs="宋体" w:eastAsia="宋体" w:hint="default"/>
        </w:rPr>
        <w:t>3.</w:t>
      </w:r>
      <w:r>
        <w:rPr/>
        <w:t>本公司对金融工具的公允价值的确认方法</w:t>
      </w:r>
      <w:r>
        <w:rPr>
          <w:rFonts w:ascii="宋体" w:hAnsi="宋体" w:cs="宋体" w:eastAsia="宋体" w:hint="default"/>
          <w:w w:val="100"/>
        </w:rPr>
        <w:t> </w:t>
      </w:r>
      <w:r>
        <w:rPr/>
        <w:t>如存在活跃市场的金融工具，以活跃市场中的报价确定其公允价值；如不存在活跃市场的金融工</w:t>
      </w:r>
      <w:r>
        <w:rPr>
          <w:spacing w:val="-97"/>
        </w:rPr>
        <w:t> </w:t>
      </w:r>
      <w:r>
        <w:rPr>
          <w:spacing w:val="-97"/>
        </w:rPr>
      </w:r>
      <w:r>
        <w:rPr>
          <w:spacing w:val="-6"/>
        </w:rPr>
        <w:t>具，采用估值技术确定其公允价值。估值技术主要包括市场法、收益法和成本法。在有限情况下，</w:t>
      </w:r>
      <w:r>
        <w:rPr>
          <w:spacing w:val="-52"/>
        </w:rPr>
        <w:t> </w:t>
      </w:r>
      <w:r>
        <w:rPr>
          <w:spacing w:val="-52"/>
        </w:rPr>
      </w:r>
      <w:r>
        <w:rPr/>
        <w:t>如果用以确定公允价值的近期信息不足，或者公允价值的可能估计金额分布范围很广，而成本代</w:t>
      </w:r>
      <w:r>
        <w:rPr>
          <w:spacing w:val="-97"/>
        </w:rPr>
        <w:t> </w:t>
      </w:r>
      <w:r>
        <w:rPr>
          <w:spacing w:val="-97"/>
        </w:rPr>
      </w:r>
      <w:r>
        <w:rPr>
          <w:spacing w:val="-4"/>
          <w:w w:val="100"/>
        </w:rPr>
        <w:t>表了该范围内对公允价值的最佳估计的，该成本可代表其在该分布范围内对公允价值的恰当估计。</w:t>
      </w:r>
      <w:r>
        <w:rPr>
          <w:spacing w:val="-86"/>
          <w:w w:val="100"/>
        </w:rPr>
        <w:t> </w:t>
      </w:r>
      <w:r>
        <w:rPr>
          <w:spacing w:val="-86"/>
          <w:w w:val="100"/>
        </w:rPr>
      </w:r>
      <w:r>
        <w:rPr/>
        <w:t>本公司利用初始确认日后可获得的关于被投资方业绩和经营的所有信息，判断成本能否代表公允</w:t>
      </w:r>
      <w:r>
        <w:rPr>
          <w:spacing w:val="-97"/>
        </w:rPr>
        <w:t> </w:t>
      </w:r>
      <w:r>
        <w:rPr>
          <w:spacing w:val="-97"/>
        </w:rPr>
      </w:r>
      <w:r>
        <w:rPr/>
        <w:t>价值。</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hAnsi="宋体" w:cs="宋体" w:eastAsia="宋体" w:hint="default"/>
        </w:rPr>
        <w:t>4.</w:t>
      </w:r>
      <w:r>
        <w:rPr/>
        <w:t>金融资产和金融负债转移的确认依据和计量方法</w:t>
      </w:r>
      <w:r>
        <w:rPr>
          <w:rFonts w:ascii="宋体" w:hAnsi="宋体" w:cs="宋体" w:eastAsia="宋体" w:hint="default"/>
        </w:rPr>
        <w:t> </w:t>
      </w:r>
    </w:p>
    <w:p>
      <w:pPr>
        <w:pStyle w:val="BodyText"/>
        <w:spacing w:line="237" w:lineRule="auto" w:before="2"/>
        <w:ind w:right="0"/>
        <w:jc w:val="left"/>
        <w:rPr>
          <w:rFonts w:ascii="宋体" w:hAnsi="宋体" w:cs="宋体" w:eastAsia="宋体" w:hint="default"/>
        </w:rPr>
      </w:pPr>
      <w:r>
        <w:rPr/>
        <w:t>（</w:t>
      </w:r>
      <w:r>
        <w:rPr>
          <w:rFonts w:ascii="宋体" w:hAnsi="宋体" w:cs="宋体" w:eastAsia="宋体" w:hint="default"/>
        </w:rPr>
        <w:t>1</w:t>
      </w:r>
      <w:r>
        <w:rPr/>
        <w:t>）金融资产</w:t>
      </w:r>
      <w:r>
        <w:rPr>
          <w:rFonts w:ascii="宋体" w:hAnsi="宋体" w:cs="宋体" w:eastAsia="宋体" w:hint="default"/>
          <w:w w:val="100"/>
        </w:rPr>
        <w:t> </w:t>
      </w:r>
      <w:r>
        <w:rPr/>
        <w:t>本公司金融资产满足下列条件之一的，予以终止确认：①收取该金融资产现金流量的合同权利终</w:t>
      </w:r>
      <w:r>
        <w:rPr>
          <w:spacing w:val="-97"/>
        </w:rPr>
        <w:t> </w:t>
      </w:r>
      <w:r>
        <w:rPr>
          <w:spacing w:val="-97"/>
        </w:rPr>
      </w:r>
      <w:r>
        <w:rPr/>
        <w:t>止；②该金融资产已转移，且本公司转移了金融资产所有权上几乎所有的风险和报酬；③该金融</w:t>
      </w:r>
      <w:r>
        <w:rPr>
          <w:spacing w:val="-97"/>
        </w:rPr>
        <w:t> </w:t>
      </w:r>
      <w:r>
        <w:rPr>
          <w:spacing w:val="-97"/>
        </w:rPr>
      </w:r>
      <w:r>
        <w:rPr/>
        <w:t>资产已转移，虽然本公司既没有转移也没有保留金融资产所有权上几乎所有报酬的，但未保留对</w:t>
      </w:r>
      <w:r>
        <w:rPr>
          <w:spacing w:val="-97"/>
        </w:rPr>
        <w:t> </w:t>
      </w:r>
      <w:r>
        <w:rPr>
          <w:spacing w:val="-97"/>
        </w:rPr>
      </w:r>
      <w:r>
        <w:rPr/>
        <w:t>该金融资产的控制。</w:t>
      </w:r>
      <w:r>
        <w:rPr>
          <w:rFonts w:ascii="宋体" w:hAnsi="宋体" w:cs="宋体" w:eastAsia="宋体" w:hint="default"/>
          <w:w w:val="100"/>
        </w:rPr>
        <w:t> </w:t>
      </w:r>
      <w:r>
        <w:rPr>
          <w:spacing w:val="-4"/>
          <w:w w:val="100"/>
        </w:rPr>
        <w:t>本公司既没有转移也没有保留金融资产所有权上几乎所有报酬的，且保留了对该金融资产控制的，</w:t>
      </w:r>
      <w:r>
        <w:rPr>
          <w:spacing w:val="-86"/>
          <w:w w:val="100"/>
        </w:rPr>
        <w:t> </w:t>
      </w:r>
      <w:r>
        <w:rPr>
          <w:spacing w:val="-86"/>
          <w:w w:val="100"/>
        </w:rPr>
      </w:r>
      <w:r>
        <w:rPr/>
        <w:t>按照继续涉入被转移金融资产的程度确认有关金融资产，并相应确认相关负债。</w:t>
      </w:r>
      <w:r>
        <w:rPr>
          <w:rFonts w:ascii="宋体" w:hAnsi="宋体" w:cs="宋体" w:eastAsia="宋体" w:hint="default"/>
          <w:w w:val="100"/>
        </w:rPr>
        <w:t> </w:t>
      </w:r>
      <w:r>
        <w:rPr/>
        <w:t>金融资产转移整体满足终止确认条件的，将以下两项金额的差额计入当期损益：①被转移金融资</w:t>
      </w:r>
      <w:r>
        <w:rPr>
          <w:spacing w:val="-97"/>
        </w:rPr>
        <w:t> </w:t>
      </w:r>
      <w:r>
        <w:rPr>
          <w:spacing w:val="-97"/>
        </w:rPr>
      </w:r>
      <w:r>
        <w:rPr/>
        <w:t>产在终止确认日的账面价值；②因转移金融资产而收到的对价，与原直接计入其他综合收益的公</w:t>
      </w:r>
      <w:r>
        <w:rPr>
          <w:spacing w:val="-97"/>
        </w:rPr>
        <w:t> </w:t>
      </w:r>
      <w:r>
        <w:rPr>
          <w:spacing w:val="-97"/>
        </w:rPr>
      </w:r>
      <w:r>
        <w:rPr/>
        <w:t>允价值变动累计额中对应终止确认部分的金额（涉及转移的金融资产为分类为以公允价值计量且</w:t>
      </w:r>
      <w:r>
        <w:rPr>
          <w:spacing w:val="-97"/>
        </w:rPr>
        <w:t> </w:t>
      </w:r>
      <w:r>
        <w:rPr>
          <w:spacing w:val="-97"/>
        </w:rPr>
      </w:r>
      <w:r>
        <w:rPr/>
        <w:t>其变动计入其他综合收益的金融资产）之和。</w:t>
      </w:r>
      <w:r>
        <w:rPr>
          <w:rFonts w:ascii="宋体" w:hAnsi="宋体" w:cs="宋体" w:eastAsia="宋体" w:hint="default"/>
          <w:w w:val="100"/>
        </w:rPr>
        <w:t> </w:t>
      </w:r>
      <w:r>
        <w:rPr/>
        <w:t>金融资产部分转移满足终止确认条件的，将所转移金融资产整体的账面价值，在终止确认部分和</w:t>
      </w:r>
      <w:r>
        <w:rPr>
          <w:spacing w:val="-97"/>
        </w:rPr>
        <w:t> </w:t>
      </w:r>
      <w:r>
        <w:rPr>
          <w:spacing w:val="-97"/>
        </w:rPr>
      </w:r>
      <w:r>
        <w:rPr/>
        <w:t>未终止确认部分之间，先按照转移日各自的相对公允价值进行分摊，然后将以下两项金额的差额</w:t>
      </w:r>
      <w:r>
        <w:rPr>
          <w:spacing w:val="-97"/>
        </w:rPr>
        <w:t> </w:t>
      </w:r>
      <w:r>
        <w:rPr>
          <w:spacing w:val="-97"/>
        </w:rPr>
      </w:r>
      <w:r>
        <w:rPr/>
        <w:t>计入当期损益：①终止确认部分在终止确认日的账面价值；②终止确认部分收到的对价，与原计</w:t>
      </w:r>
      <w:r>
        <w:rPr>
          <w:spacing w:val="-97"/>
        </w:rPr>
        <w:t> </w:t>
      </w:r>
      <w:r>
        <w:rPr>
          <w:spacing w:val="-97"/>
        </w:rPr>
      </w:r>
      <w:r>
        <w:rPr/>
        <w:t>入其他综合收益的公允价值变动累计额中对应终止确认部分的金额（涉及转移的金融资产为分类</w:t>
      </w:r>
      <w:r>
        <w:rPr>
          <w:spacing w:val="-97"/>
        </w:rPr>
        <w:t> </w:t>
      </w:r>
      <w:r>
        <w:rPr>
          <w:spacing w:val="-97"/>
        </w:rPr>
      </w:r>
      <w:r>
        <w:rPr/>
        <w:t>为以公允价值计量且其变动计入其他综合收益的金融资产）之和。</w:t>
      </w:r>
      <w:r>
        <w:rPr>
          <w:rFonts w:ascii="宋体" w:hAnsi="宋体" w:cs="宋体" w:eastAsia="宋体" w:hint="default"/>
          <w:w w:val="100"/>
        </w:rPr>
        <w:t> </w:t>
      </w:r>
      <w:r>
        <w:rPr>
          <w:spacing w:val="-2"/>
        </w:rPr>
        <w:t>针对本公司指定为公允价值计量且其变动计入其他综合收益的非交易性权益工具投资终止确认时，</w:t>
      </w:r>
      <w:r>
        <w:rPr>
          <w:spacing w:val="-13"/>
        </w:rPr>
        <w:t> </w:t>
      </w:r>
      <w:r>
        <w:rPr>
          <w:spacing w:val="-13"/>
        </w:rPr>
      </w:r>
      <w:r>
        <w:rPr/>
        <w:t>将之前计入其他综合收益的累计利得或损失从其他综合收益中转出，计入留存收益。</w:t>
      </w:r>
      <w:r>
        <w:rPr>
          <w:rFonts w:ascii="宋体" w:hAnsi="宋体" w:cs="宋体" w:eastAsia="宋体" w:hint="default"/>
        </w:rPr>
        <w:t> </w:t>
      </w:r>
    </w:p>
    <w:p>
      <w:pPr>
        <w:pStyle w:val="BodyText"/>
        <w:spacing w:line="237" w:lineRule="auto"/>
        <w:ind w:right="0"/>
        <w:jc w:val="left"/>
        <w:rPr>
          <w:rFonts w:ascii="宋体" w:hAnsi="宋体" w:cs="宋体" w:eastAsia="宋体" w:hint="default"/>
        </w:rPr>
      </w:pPr>
      <w:r>
        <w:rPr/>
        <w:t>（</w:t>
      </w:r>
      <w:r>
        <w:rPr>
          <w:rFonts w:ascii="宋体" w:hAnsi="宋体" w:cs="宋体" w:eastAsia="宋体" w:hint="default"/>
        </w:rPr>
        <w:t>2</w:t>
      </w:r>
      <w:r>
        <w:rPr/>
        <w:t>）金融负债</w:t>
      </w:r>
      <w:r>
        <w:rPr>
          <w:rFonts w:ascii="宋体" w:hAnsi="宋体" w:cs="宋体" w:eastAsia="宋体" w:hint="default"/>
          <w:w w:val="100"/>
        </w:rPr>
        <w:t> </w:t>
      </w:r>
      <w:r>
        <w:rPr>
          <w:spacing w:val="-1"/>
        </w:rPr>
        <w:t>金融负债（或其一部分）的现时义务已经解除的，本公司终止确认该金融负债（或该部分金融负</w:t>
      </w:r>
      <w:r>
        <w:rPr>
          <w:spacing w:val="-55"/>
        </w:rPr>
        <w:t> </w:t>
      </w:r>
      <w:r>
        <w:rPr>
          <w:spacing w:val="-55"/>
        </w:rPr>
      </w:r>
      <w:r>
        <w:rPr/>
        <w:t>债）。</w:t>
      </w:r>
      <w:r>
        <w:rPr>
          <w:rFonts w:ascii="宋体" w:hAnsi="宋体" w:cs="宋体" w:eastAsia="宋体" w:hint="default"/>
          <w:w w:val="100"/>
        </w:rPr>
        <w:t> </w:t>
      </w:r>
      <w:r>
        <w:rPr>
          <w:spacing w:val="-1"/>
        </w:rPr>
        <w:t>金融负债（或其一部分）终止确认的，本公司将其账面价值与支付的对价（包括转出的非现金资</w:t>
      </w:r>
      <w:r>
        <w:rPr>
          <w:spacing w:val="-55"/>
        </w:rPr>
        <w:t> </w:t>
      </w:r>
      <w:r>
        <w:rPr>
          <w:spacing w:val="-55"/>
        </w:rPr>
      </w:r>
      <w:r>
        <w:rPr/>
        <w:t>产或承担的负债）之间的差额，计入当期损益。</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5"/>
        <w:spacing w:line="290" w:lineRule="auto" w:before="56"/>
        <w:ind w:left="136" w:right="3692"/>
        <w:jc w:val="left"/>
        <w:rPr>
          <w:rFonts w:ascii="宋体" w:hAnsi="宋体" w:cs="宋体" w:eastAsia="宋体" w:hint="default"/>
          <w:b w:val="0"/>
          <w:bCs w:val="0"/>
        </w:rPr>
      </w:pPr>
      <w:r>
        <w:rPr>
          <w:rFonts w:ascii="宋体" w:hAnsi="宋体" w:cs="宋体" w:eastAsia="宋体" w:hint="default"/>
        </w:rPr>
        <w:t>11.</w:t>
      </w:r>
      <w:r>
        <w:rPr>
          <w:rFonts w:ascii="宋体" w:hAnsi="宋体" w:cs="宋体" w:eastAsia="宋体" w:hint="default"/>
          <w:spacing w:val="1"/>
        </w:rPr>
        <w:t> </w:t>
      </w:r>
      <w:r>
        <w:rPr/>
        <w:t>应收票据</w:t>
      </w:r>
      <w:r>
        <w:rPr>
          <w:rFonts w:ascii="宋体" w:hAnsi="宋体" w:cs="宋体" w:eastAsia="宋体" w:hint="default"/>
          <w:w w:val="99"/>
        </w:rPr>
        <w:t> </w:t>
      </w:r>
      <w:r>
        <w:rPr/>
        <w:t>应收票据的预期信用损失的确定方法及会计处理方法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0" w:lineRule="exact" w:before="4"/>
        <w:ind w:right="0"/>
        <w:jc w:val="left"/>
        <w:rPr>
          <w:rFonts w:ascii="宋体" w:hAnsi="宋体" w:cs="宋体" w:eastAsia="宋体" w:hint="default"/>
        </w:rPr>
      </w:pPr>
      <w:r>
        <w:rPr/>
        <w:t>参见</w:t>
      </w:r>
      <w:r>
        <w:rPr>
          <w:spacing w:val="-10"/>
        </w:rPr>
        <w:t> </w:t>
      </w:r>
      <w:r>
        <w:rPr>
          <w:rFonts w:ascii="宋体" w:hAnsi="宋体" w:cs="宋体" w:eastAsia="宋体" w:hint="default"/>
          <w:spacing w:val="-2"/>
        </w:rPr>
        <w:t>12</w:t>
      </w:r>
      <w:r>
        <w:rPr>
          <w:spacing w:val="-2"/>
        </w:rPr>
        <w:t>、应收账款预期信用损失的确定方法及会计处理方法</w:t>
      </w:r>
      <w:r>
        <w:rPr>
          <w:rFonts w:ascii="宋体" w:hAnsi="宋体" w:cs="宋体" w:eastAsia="宋体" w:hint="default"/>
        </w:rPr>
        <w:t> </w:t>
      </w:r>
    </w:p>
    <w:p>
      <w:pPr>
        <w:pStyle w:val="Heading3"/>
        <w:spacing w:line="309" w:lineRule="exact"/>
        <w:ind w:left="136" w:right="0"/>
        <w:jc w:val="left"/>
        <w:rPr>
          <w:rFonts w:ascii="宋体" w:hAnsi="宋体" w:cs="宋体" w:eastAsia="宋体" w:hint="default"/>
        </w:rPr>
      </w:pPr>
      <w:r>
        <w:rPr>
          <w:rFonts w:ascii="宋体"/>
        </w:rPr>
        <w:t> </w:t>
      </w:r>
    </w:p>
    <w:p>
      <w:pPr>
        <w:pStyle w:val="Heading5"/>
        <w:spacing w:line="292" w:lineRule="auto"/>
        <w:ind w:left="136" w:right="3692"/>
        <w:jc w:val="left"/>
        <w:rPr>
          <w:rFonts w:ascii="宋体" w:hAnsi="宋体" w:cs="宋体" w:eastAsia="宋体" w:hint="default"/>
          <w:b w:val="0"/>
          <w:bCs w:val="0"/>
        </w:rPr>
      </w:pPr>
      <w:r>
        <w:rPr>
          <w:rFonts w:ascii="宋体" w:hAnsi="宋体" w:cs="宋体" w:eastAsia="宋体" w:hint="default"/>
        </w:rPr>
        <w:t>12.</w:t>
      </w:r>
      <w:r>
        <w:rPr>
          <w:rFonts w:ascii="宋体" w:hAnsi="宋体" w:cs="宋体" w:eastAsia="宋体" w:hint="default"/>
          <w:spacing w:val="1"/>
        </w:rPr>
        <w:t> </w:t>
      </w:r>
      <w:r>
        <w:rPr/>
        <w:t>应收账款</w:t>
      </w:r>
      <w:r>
        <w:rPr>
          <w:rFonts w:ascii="宋体" w:hAnsi="宋体" w:cs="宋体" w:eastAsia="宋体" w:hint="default"/>
          <w:w w:val="99"/>
        </w:rPr>
        <w:t> </w:t>
      </w:r>
      <w:r>
        <w:rPr/>
        <w:t>应收账款的预期信用损失的确定方法及会计处理方法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spacing w:line="240" w:lineRule="auto" w:before="4"/>
        <w:ind w:left="136" w:right="5180" w:firstLine="0"/>
        <w:jc w:val="left"/>
        <w:rPr>
          <w:rFonts w:ascii="宋体" w:hAnsi="宋体" w:cs="宋体" w:eastAsia="宋体" w:hint="default"/>
          <w:sz w:val="21"/>
          <w:szCs w:val="21"/>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sz w:val="21"/>
          <w:szCs w:val="21"/>
        </w:rPr>
        <w:t>预期信用损失的确定方法及会计处理方法</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pacing w:val="-3"/>
          <w:sz w:val="21"/>
          <w:szCs w:val="21"/>
        </w:rPr>
        <w:t> </w:t>
      </w:r>
      <w:r>
        <w:rPr>
          <w:rFonts w:ascii="宋体" w:hAnsi="宋体" w:cs="宋体" w:eastAsia="宋体" w:hint="default"/>
          <w:sz w:val="21"/>
          <w:szCs w:val="21"/>
        </w:rPr>
        <w:t>预期信用损失的确定方法</w:t>
      </w:r>
      <w:r>
        <w:rPr>
          <w:rFonts w:ascii="宋体" w:hAnsi="宋体" w:cs="宋体" w:eastAsia="宋体" w:hint="default"/>
          <w:sz w:val="21"/>
          <w:szCs w:val="21"/>
        </w:rPr>
        <w:t> </w:t>
      </w:r>
    </w:p>
    <w:p>
      <w:pPr>
        <w:pStyle w:val="BodyText"/>
        <w:spacing w:line="237" w:lineRule="auto" w:before="1"/>
        <w:ind w:right="0"/>
        <w:jc w:val="left"/>
      </w:pPr>
      <w:r>
        <w:rPr>
          <w:spacing w:val="-6"/>
          <w:w w:val="100"/>
        </w:rPr>
        <w:t>本公司以预期信用损失为基础，对以摊余成本计量的金融资产（含应收款项）、分类为以公允价值</w:t>
      </w:r>
      <w:r>
        <w:rPr>
          <w:spacing w:val="-104"/>
          <w:w w:val="100"/>
        </w:rPr>
        <w:t> </w:t>
      </w:r>
      <w:r>
        <w:rPr>
          <w:spacing w:val="-104"/>
          <w:w w:val="100"/>
        </w:rPr>
      </w:r>
      <w:r>
        <w:rPr>
          <w:spacing w:val="-6"/>
          <w:w w:val="100"/>
        </w:rPr>
        <w:t>计量且其变动计入其他综合收益的金融资产（含应收款项融资）、租赁应收款、进行减值会计处理</w:t>
      </w:r>
      <w:r>
        <w:rPr>
          <w:w w:val="100"/>
        </w:rPr>
        <w:t> </w:t>
      </w:r>
      <w:r>
        <w:rPr/>
        <w:t>并确认损失准备。</w:t>
      </w:r>
      <w:r>
        <w:rPr>
          <w:rFonts w:ascii="宋体" w:hAnsi="宋体" w:cs="宋体" w:eastAsia="宋体" w:hint="default"/>
          <w:w w:val="100"/>
        </w:rPr>
        <w:t> </w:t>
      </w:r>
      <w:r>
        <w:rPr/>
        <w:t>本公司在每个资产负债表日评估相关金融工具的信用风险自初始确认后是否显著增加，将金融工</w:t>
      </w:r>
      <w:r>
        <w:rPr>
          <w:spacing w:val="-97"/>
        </w:rPr>
        <w:t> </w:t>
      </w:r>
      <w:r>
        <w:rPr>
          <w:spacing w:val="-97"/>
        </w:rPr>
      </w:r>
      <w:r>
        <w:rPr/>
        <w:t>具发生信用减值的过程分为三个阶段，对于不同阶段的金融工具减值采用不同的会计处理方法：</w:t>
      </w:r>
    </w:p>
    <w:p>
      <w:pPr>
        <w:pStyle w:val="BodyText"/>
        <w:spacing w:line="274" w:lineRule="exact" w:before="22"/>
        <w:ind w:right="309"/>
        <w:jc w:val="left"/>
      </w:pPr>
      <w:r>
        <w:rPr/>
        <w:t>（</w:t>
      </w:r>
      <w:r>
        <w:rPr>
          <w:rFonts w:ascii="宋体" w:hAnsi="宋体" w:cs="宋体" w:eastAsia="宋体" w:hint="default"/>
        </w:rPr>
        <w:t>1</w:t>
      </w:r>
      <w:r>
        <w:rPr/>
        <w:t>）第一阶段，金融工具的信用风险自初始确认后未显著增加的，本公司按照该金融工具未来</w:t>
      </w:r>
      <w:r>
        <w:rPr>
          <w:spacing w:val="4"/>
        </w:rPr>
        <w:t> </w:t>
      </w:r>
      <w:r>
        <w:rPr>
          <w:spacing w:val="4"/>
        </w:rPr>
      </w:r>
      <w:r>
        <w:rPr>
          <w:rFonts w:ascii="宋体" w:hAnsi="宋体" w:cs="宋体" w:eastAsia="宋体" w:hint="default"/>
        </w:rPr>
        <w:t>12</w:t>
      </w:r>
      <w:r>
        <w:rPr>
          <w:rFonts w:ascii="宋体" w:hAnsi="宋体" w:cs="宋体" w:eastAsia="宋体" w:hint="default"/>
          <w:spacing w:val="19"/>
        </w:rPr>
        <w:t> </w:t>
      </w:r>
      <w:r>
        <w:rPr>
          <w:spacing w:val="-3"/>
        </w:rPr>
        <w:t>个月的预期信用损失计量损失准备，并按照其账面余额（即未扣除减值准备）和实际利率计算</w:t>
      </w:r>
    </w:p>
    <w:p>
      <w:pPr>
        <w:spacing w:after="0" w:line="274" w:lineRule="exact"/>
        <w:jc w:val="left"/>
        <w:sectPr>
          <w:footerReference w:type="default" r:id="rId43"/>
          <w:pgSz w:w="11910" w:h="16840"/>
          <w:pgMar w:footer="1195" w:header="882" w:top="1120" w:bottom="1380" w:left="1140" w:right="1480"/>
        </w:sectPr>
      </w:pPr>
    </w:p>
    <w:p>
      <w:pPr>
        <w:spacing w:line="240" w:lineRule="auto" w:before="9"/>
        <w:rPr>
          <w:rFonts w:ascii="宋体" w:hAnsi="宋体" w:cs="宋体" w:eastAsia="宋体" w:hint="default"/>
          <w:sz w:val="18"/>
          <w:szCs w:val="18"/>
        </w:rPr>
      </w:pPr>
    </w:p>
    <w:p>
      <w:pPr>
        <w:pStyle w:val="BodyText"/>
        <w:spacing w:line="237" w:lineRule="auto" w:before="38"/>
        <w:ind w:left="256" w:right="209"/>
        <w:jc w:val="both"/>
        <w:rPr>
          <w:rFonts w:ascii="宋体" w:hAnsi="宋体" w:cs="宋体" w:eastAsia="宋体" w:hint="default"/>
        </w:rPr>
      </w:pPr>
      <w:r>
        <w:rPr>
          <w:spacing w:val="-4"/>
          <w:w w:val="100"/>
        </w:rPr>
        <w:t>利息收入；（</w:t>
      </w:r>
      <w:r>
        <w:rPr>
          <w:rFonts w:ascii="宋体" w:hAnsi="宋体" w:cs="宋体" w:eastAsia="宋体" w:hint="default"/>
          <w:spacing w:val="-4"/>
          <w:w w:val="100"/>
        </w:rPr>
        <w:t>2</w:t>
      </w:r>
      <w:r>
        <w:rPr>
          <w:spacing w:val="-4"/>
          <w:w w:val="100"/>
        </w:rPr>
        <w:t>）第二阶段，金融工具的信用风险自初始确认后已显著增加但未发生信用减值的，</w:t>
      </w:r>
      <w:r>
        <w:rPr>
          <w:spacing w:val="-82"/>
          <w:w w:val="100"/>
        </w:rPr>
        <w:t> </w:t>
      </w:r>
      <w:r>
        <w:rPr>
          <w:spacing w:val="-82"/>
          <w:w w:val="100"/>
        </w:rPr>
      </w:r>
      <w:r>
        <w:rPr>
          <w:spacing w:val="-1"/>
        </w:rPr>
        <w:t>本公司按照该金融工具整个存续期的预期信用损失计量损失准备，并按照其账面余额和实际利率</w:t>
      </w:r>
      <w:r>
        <w:rPr>
          <w:spacing w:val="-55"/>
        </w:rPr>
        <w:t> </w:t>
      </w:r>
      <w:r>
        <w:rPr>
          <w:spacing w:val="-55"/>
        </w:rPr>
      </w:r>
      <w:r>
        <w:rPr>
          <w:spacing w:val="-4"/>
          <w:w w:val="100"/>
        </w:rPr>
        <w:t>计算利息收入；（</w:t>
      </w:r>
      <w:r>
        <w:rPr>
          <w:rFonts w:ascii="宋体" w:hAnsi="宋体" w:cs="宋体" w:eastAsia="宋体" w:hint="default"/>
          <w:spacing w:val="-4"/>
          <w:w w:val="100"/>
        </w:rPr>
        <w:t>3</w:t>
      </w:r>
      <w:r>
        <w:rPr>
          <w:spacing w:val="-4"/>
          <w:w w:val="100"/>
        </w:rPr>
        <w:t>）第三阶段，初始确认后发生信用减值的，本公司按照该金融工具整个存续期</w:t>
      </w:r>
      <w:r>
        <w:rPr>
          <w:spacing w:val="-81"/>
          <w:w w:val="100"/>
        </w:rPr>
        <w:t> </w:t>
      </w:r>
      <w:r>
        <w:rPr>
          <w:spacing w:val="-81"/>
          <w:w w:val="100"/>
        </w:rPr>
      </w:r>
      <w:r>
        <w:rPr>
          <w:spacing w:val="-1"/>
        </w:rPr>
        <w:t>的预期信用损失计量损失准备，并按照其摊余成本（账面余额减已计提减值准备）和实际利率计</w:t>
      </w:r>
      <w:r>
        <w:rPr>
          <w:spacing w:val="-55"/>
        </w:rPr>
        <w:t> </w:t>
      </w:r>
      <w:r>
        <w:rPr>
          <w:spacing w:val="-55"/>
        </w:rPr>
      </w:r>
      <w:r>
        <w:rPr/>
        <w:t>算利息收入。</w:t>
      </w:r>
      <w:r>
        <w:rPr>
          <w:rFonts w:ascii="宋体" w:hAnsi="宋体" w:cs="宋体" w:eastAsia="宋体" w:hint="default"/>
        </w:rPr>
        <w:t> </w:t>
      </w:r>
    </w:p>
    <w:p>
      <w:pPr>
        <w:pStyle w:val="BodyText"/>
        <w:spacing w:line="237" w:lineRule="auto"/>
        <w:ind w:left="256" w:right="0"/>
        <w:jc w:val="left"/>
        <w:rPr>
          <w:rFonts w:ascii="宋体" w:hAnsi="宋体" w:cs="宋体" w:eastAsia="宋体" w:hint="default"/>
        </w:rPr>
      </w:pPr>
      <w:r>
        <w:rPr/>
        <w:t>（</w:t>
      </w:r>
      <w:r>
        <w:rPr>
          <w:rFonts w:ascii="宋体" w:hAnsi="宋体" w:cs="宋体" w:eastAsia="宋体" w:hint="default"/>
        </w:rPr>
        <w:t>1</w:t>
      </w:r>
      <w:r>
        <w:rPr/>
        <w:t>）较低信用风险的金融工具计量损失准备的方法</w:t>
      </w:r>
      <w:r>
        <w:rPr>
          <w:rFonts w:ascii="宋体" w:hAnsi="宋体" w:cs="宋体" w:eastAsia="宋体" w:hint="default"/>
          <w:w w:val="100"/>
        </w:rPr>
        <w:t> </w:t>
      </w:r>
      <w:r>
        <w:rPr>
          <w:spacing w:val="-1"/>
        </w:rPr>
        <w:t>对于在资产负债表日具有较低信用风险的金融工具，本公司可以不用与其初始确认时的信用风险</w:t>
      </w:r>
      <w:r>
        <w:rPr>
          <w:spacing w:val="-55"/>
        </w:rPr>
        <w:t> </w:t>
      </w:r>
      <w:r>
        <w:rPr>
          <w:spacing w:val="-55"/>
        </w:rPr>
      </w:r>
      <w:r>
        <w:rPr/>
        <w:t>进行比较，而直接做出该工具的信用风险自初始确认后未显著增加的假定。</w:t>
      </w:r>
      <w:r>
        <w:rPr>
          <w:rFonts w:ascii="宋体" w:hAnsi="宋体" w:cs="宋体" w:eastAsia="宋体" w:hint="default"/>
          <w:w w:val="100"/>
        </w:rPr>
        <w:t> </w:t>
      </w:r>
      <w:r>
        <w:rPr>
          <w:spacing w:val="-1"/>
        </w:rPr>
        <w:t>如果金融工具的违约风险较低，债务人在短期内履行其合同现金流量义务的能力很强，并且即便</w:t>
      </w:r>
      <w:r>
        <w:rPr>
          <w:spacing w:val="-55"/>
        </w:rPr>
        <w:t> </w:t>
      </w:r>
      <w:r>
        <w:rPr>
          <w:spacing w:val="-55"/>
        </w:rPr>
      </w:r>
      <w:r>
        <w:rPr>
          <w:spacing w:val="-1"/>
        </w:rPr>
        <w:t>较长时期内经济形势和经营环境存在不利变化但未必一定降低借款人履行其合同现金流量义务的</w:t>
      </w:r>
      <w:r>
        <w:rPr>
          <w:spacing w:val="-55"/>
        </w:rPr>
        <w:t> </w:t>
      </w:r>
      <w:r>
        <w:rPr>
          <w:spacing w:val="-55"/>
        </w:rPr>
      </w:r>
      <w:r>
        <w:rPr/>
        <w:t>能力，该金融工具被视为具有较低的信用风险。</w:t>
      </w:r>
      <w:r>
        <w:rPr>
          <w:rFonts w:ascii="宋体" w:hAnsi="宋体" w:cs="宋体" w:eastAsia="宋体" w:hint="default"/>
        </w:rPr>
        <w:t> </w:t>
      </w:r>
    </w:p>
    <w:p>
      <w:pPr>
        <w:pStyle w:val="BodyText"/>
        <w:spacing w:line="271" w:lineRule="exact"/>
        <w:ind w:left="256" w:right="0"/>
        <w:jc w:val="left"/>
        <w:rPr>
          <w:rFonts w:ascii="宋体" w:hAnsi="宋体" w:cs="宋体" w:eastAsia="宋体" w:hint="default"/>
        </w:rPr>
      </w:pPr>
      <w:r>
        <w:rPr/>
        <w:t>（</w:t>
      </w:r>
      <w:r>
        <w:rPr>
          <w:rFonts w:ascii="宋体" w:hAnsi="宋体" w:cs="宋体" w:eastAsia="宋体" w:hint="default"/>
        </w:rPr>
        <w:t>2</w:t>
      </w:r>
      <w:r>
        <w:rPr/>
        <w:t>）应收款项、租赁应收款计量损失准备的方法</w:t>
      </w:r>
      <w:r>
        <w:rPr>
          <w:rFonts w:ascii="宋体" w:hAnsi="宋体" w:cs="宋体" w:eastAsia="宋体" w:hint="default"/>
        </w:rPr>
        <w:t> </w:t>
      </w:r>
    </w:p>
    <w:p>
      <w:pPr>
        <w:pStyle w:val="BodyText"/>
        <w:spacing w:line="272" w:lineRule="exact"/>
        <w:ind w:left="256" w:right="0"/>
        <w:jc w:val="left"/>
      </w:pPr>
      <w:r>
        <w:rPr>
          <w:spacing w:val="-4"/>
        </w:rPr>
        <w:t>本公司对于由《企业会计准则第 </w:t>
      </w:r>
      <w:r>
        <w:rPr>
          <w:rFonts w:ascii="宋体" w:hAnsi="宋体" w:cs="宋体" w:eastAsia="宋体" w:hint="default"/>
        </w:rPr>
        <w:t>14</w:t>
      </w:r>
      <w:r>
        <w:rPr>
          <w:rFonts w:ascii="宋体" w:hAnsi="宋体" w:cs="宋体" w:eastAsia="宋体" w:hint="default"/>
          <w:spacing w:val="-38"/>
        </w:rPr>
        <w:t> </w:t>
      </w:r>
      <w:r>
        <w:rPr>
          <w:spacing w:val="-4"/>
        </w:rPr>
        <w:t>号——收入》规范的交易形成的应收款项（无论是否含重大融</w:t>
      </w:r>
    </w:p>
    <w:p>
      <w:pPr>
        <w:pStyle w:val="BodyText"/>
        <w:spacing w:line="237" w:lineRule="auto"/>
        <w:ind w:left="256" w:right="0"/>
        <w:jc w:val="left"/>
        <w:rPr>
          <w:rFonts w:ascii="宋体" w:hAnsi="宋体" w:cs="宋体" w:eastAsia="宋体" w:hint="default"/>
        </w:rPr>
      </w:pPr>
      <w:r>
        <w:rPr>
          <w:spacing w:val="-5"/>
        </w:rPr>
        <w:t>资成分），以及由《企业会计准则第</w:t>
      </w:r>
      <w:r>
        <w:rPr>
          <w:spacing w:val="-35"/>
        </w:rPr>
        <w:t> </w:t>
      </w:r>
      <w:r>
        <w:rPr>
          <w:rFonts w:ascii="宋体" w:hAnsi="宋体" w:cs="宋体" w:eastAsia="宋体" w:hint="default"/>
        </w:rPr>
        <w:t>21</w:t>
      </w:r>
      <w:r>
        <w:rPr>
          <w:rFonts w:ascii="宋体" w:hAnsi="宋体" w:cs="宋体" w:eastAsia="宋体" w:hint="default"/>
          <w:spacing w:val="-39"/>
        </w:rPr>
        <w:t> </w:t>
      </w:r>
      <w:r>
        <w:rPr>
          <w:spacing w:val="-4"/>
        </w:rPr>
        <w:t>号——租赁》规范的租赁应收款，均采用简化方法，即始</w:t>
      </w:r>
      <w:r>
        <w:rPr>
          <w:spacing w:val="-62"/>
        </w:rPr>
        <w:t> </w:t>
      </w:r>
      <w:r>
        <w:rPr>
          <w:spacing w:val="-62"/>
        </w:rPr>
      </w:r>
      <w:r>
        <w:rPr/>
        <w:t>终按整个存续期预期信用损失计量损失准备。</w:t>
      </w:r>
      <w:r>
        <w:rPr>
          <w:rFonts w:ascii="宋体" w:hAnsi="宋体" w:cs="宋体" w:eastAsia="宋体" w:hint="default"/>
          <w:w w:val="100"/>
        </w:rPr>
        <w:t> </w:t>
      </w:r>
      <w:r>
        <w:rPr>
          <w:spacing w:val="-4"/>
          <w:w w:val="100"/>
        </w:rPr>
        <w:t>根据金融工具的性质，本公司以单项金融资产或金融资产组合为基础评估信用风险是否显著增加。</w:t>
      </w:r>
      <w:r>
        <w:rPr>
          <w:spacing w:val="-85"/>
          <w:w w:val="100"/>
        </w:rPr>
        <w:t> </w:t>
      </w:r>
      <w:r>
        <w:rPr>
          <w:spacing w:val="-85"/>
          <w:w w:val="100"/>
        </w:rPr>
      </w:r>
      <w:r>
        <w:rPr/>
        <w:t>本公司根据信用风险特征将应收票据、应收账款划分为若干组合，在组合基础上计算预期信用损</w:t>
      </w:r>
      <w:r>
        <w:rPr>
          <w:spacing w:val="-97"/>
        </w:rPr>
        <w:t> </w:t>
      </w:r>
      <w:r>
        <w:rPr>
          <w:spacing w:val="-97"/>
        </w:rPr>
      </w:r>
      <w:r>
        <w:rPr/>
        <w:t>失，确定组合的依据如下：</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4376"/>
        <w:gridCol w:w="4359"/>
      </w:tblGrid>
      <w:tr>
        <w:trPr>
          <w:trHeight w:val="425" w:hRule="exact"/>
        </w:trPr>
        <w:tc>
          <w:tcPr>
            <w:tcW w:w="4376"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28"/>
              <w:ind w:left="1459" w:right="0"/>
              <w:jc w:val="left"/>
              <w:rPr>
                <w:rFonts w:ascii="宋体" w:hAnsi="宋体" w:cs="宋体" w:eastAsia="宋体" w:hint="default"/>
                <w:sz w:val="21"/>
                <w:szCs w:val="21"/>
              </w:rPr>
            </w:pPr>
            <w:r>
              <w:rPr>
                <w:rFonts w:ascii="宋体" w:hAnsi="宋体" w:cs="宋体" w:eastAsia="宋体" w:hint="default"/>
                <w:sz w:val="21"/>
                <w:szCs w:val="21"/>
              </w:rPr>
              <w:t>确定组合的依据</w:t>
            </w:r>
            <w:r>
              <w:rPr>
                <w:rFonts w:ascii="宋体" w:hAnsi="宋体" w:cs="宋体" w:eastAsia="宋体" w:hint="default"/>
                <w:sz w:val="21"/>
                <w:szCs w:val="21"/>
              </w:rPr>
              <w:t> </w:t>
            </w:r>
          </w:p>
        </w:tc>
        <w:tc>
          <w:tcPr>
            <w:tcW w:w="4359"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28"/>
              <w:ind w:left="700"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r>
              <w:rPr>
                <w:rFonts w:ascii="宋体" w:hAnsi="宋体" w:cs="宋体" w:eastAsia="宋体" w:hint="default"/>
                <w:sz w:val="21"/>
                <w:szCs w:val="21"/>
              </w:rPr>
              <w:t> </w:t>
            </w:r>
          </w:p>
        </w:tc>
      </w:tr>
      <w:tr>
        <w:trPr>
          <w:trHeight w:val="554" w:hRule="exact"/>
        </w:trPr>
        <w:tc>
          <w:tcPr>
            <w:tcW w:w="4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z w:val="21"/>
                <w:szCs w:val="21"/>
              </w:rPr>
              <w:t>：销售业务</w:t>
            </w:r>
            <w:r>
              <w:rPr>
                <w:rFonts w:ascii="宋体" w:hAnsi="宋体" w:cs="宋体" w:eastAsia="宋体" w:hint="default"/>
                <w:sz w:val="21"/>
                <w:szCs w:val="21"/>
              </w:rPr>
              <w:t> </w:t>
            </w:r>
          </w:p>
        </w:tc>
        <w:tc>
          <w:tcPr>
            <w:tcW w:w="4359"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按账龄迁移率加入预期因素计算预期信用损</w:t>
            </w:r>
          </w:p>
          <w:p>
            <w:pPr>
              <w:pStyle w:val="TableParagraph"/>
              <w:spacing w:line="273" w:lineRule="exact"/>
              <w:ind w:left="98" w:right="0"/>
              <w:jc w:val="center"/>
              <w:rPr>
                <w:rFonts w:ascii="宋体" w:hAnsi="宋体" w:cs="宋体" w:eastAsia="宋体" w:hint="default"/>
                <w:sz w:val="21"/>
                <w:szCs w:val="21"/>
              </w:rPr>
            </w:pPr>
            <w:r>
              <w:rPr>
                <w:rFonts w:ascii="宋体" w:hAnsi="宋体" w:cs="宋体" w:eastAsia="宋体" w:hint="default"/>
                <w:sz w:val="21"/>
                <w:szCs w:val="21"/>
              </w:rPr>
              <w:t>失率</w:t>
            </w:r>
            <w:r>
              <w:rPr>
                <w:rFonts w:ascii="宋体" w:hAnsi="宋体" w:cs="宋体" w:eastAsia="宋体" w:hint="default"/>
                <w:sz w:val="21"/>
                <w:szCs w:val="21"/>
              </w:rPr>
              <w:t> </w:t>
            </w:r>
          </w:p>
        </w:tc>
      </w:tr>
      <w:tr>
        <w:trPr>
          <w:trHeight w:val="574" w:hRule="exact"/>
        </w:trPr>
        <w:tc>
          <w:tcPr>
            <w:tcW w:w="4376"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7"/>
                <w:sz w:val="21"/>
                <w:szCs w:val="21"/>
              </w:rPr>
              <w:t> </w:t>
            </w:r>
            <w:r>
              <w:rPr>
                <w:rFonts w:ascii="宋体" w:hAnsi="宋体" w:cs="宋体" w:eastAsia="宋体" w:hint="default"/>
                <w:sz w:val="21"/>
                <w:szCs w:val="21"/>
              </w:rPr>
              <w:t>2</w:t>
            </w:r>
            <w:r>
              <w:rPr>
                <w:rFonts w:ascii="宋体" w:hAnsi="宋体" w:cs="宋体" w:eastAsia="宋体" w:hint="default"/>
                <w:sz w:val="21"/>
                <w:szCs w:val="21"/>
              </w:rPr>
              <w:t>：应收纳入合并范围内的关联方款项</w:t>
            </w:r>
            <w:r>
              <w:rPr>
                <w:rFonts w:ascii="宋体" w:hAnsi="宋体" w:cs="宋体" w:eastAsia="宋体" w:hint="default"/>
                <w:sz w:val="21"/>
                <w:szCs w:val="21"/>
              </w:rPr>
              <w:t> </w:t>
            </w:r>
          </w:p>
        </w:tc>
        <w:tc>
          <w:tcPr>
            <w:tcW w:w="4359" w:type="dxa"/>
            <w:tcBorders>
              <w:top w:val="single" w:sz="4" w:space="0" w:color="000000"/>
              <w:left w:val="single" w:sz="4" w:space="0" w:color="000000"/>
              <w:bottom w:val="single" w:sz="17" w:space="0" w:color="000000"/>
              <w:right w:val="nil" w:sz="6" w:space="0" w:color="auto"/>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pacing w:val="-5"/>
                <w:sz w:val="21"/>
                <w:szCs w:val="21"/>
              </w:rPr>
              <w:t>根据其风险特征不存在减值风险，不计提坏账</w:t>
            </w:r>
          </w:p>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r>
    </w:tbl>
    <w:p>
      <w:pPr>
        <w:pStyle w:val="BodyText"/>
        <w:spacing w:line="239" w:lineRule="exact"/>
        <w:ind w:left="256" w:right="0"/>
        <w:jc w:val="left"/>
      </w:pPr>
      <w:r>
        <w:rPr/>
        <w:t>对于划分为组合的应收账款，本公司参考历史信用损失经验，结合当前状况及对未来经济状况的</w:t>
      </w:r>
    </w:p>
    <w:p>
      <w:pPr>
        <w:pStyle w:val="BodyText"/>
        <w:spacing w:line="237" w:lineRule="auto"/>
        <w:ind w:left="256" w:right="209"/>
        <w:jc w:val="both"/>
        <w:rPr>
          <w:rFonts w:ascii="宋体" w:hAnsi="宋体" w:cs="宋体" w:eastAsia="宋体" w:hint="default"/>
        </w:rPr>
      </w:pPr>
      <w:r>
        <w:rPr>
          <w:spacing w:val="-1"/>
        </w:rPr>
        <w:t>预测，编制应收账款账龄与整个存续期预期信用损失率对照表，计算预期信用损失。对于划分为</w:t>
      </w:r>
      <w:r>
        <w:rPr>
          <w:spacing w:val="-55"/>
        </w:rPr>
        <w:t> </w:t>
      </w:r>
      <w:r>
        <w:rPr>
          <w:spacing w:val="-55"/>
        </w:rPr>
      </w:r>
      <w:r>
        <w:rPr>
          <w:spacing w:val="-1"/>
        </w:rPr>
        <w:t>组合的应收票据，本公司参考历史信用损失经验，结合当前状况及对未来经济状况的预测，通过</w:t>
      </w:r>
      <w:r>
        <w:rPr>
          <w:spacing w:val="-55"/>
        </w:rPr>
        <w:t> </w:t>
      </w:r>
      <w:r>
        <w:rPr>
          <w:spacing w:val="-55"/>
        </w:rPr>
      </w:r>
      <w:r>
        <w:rPr/>
        <w:t>违约风险敞口和整个存续期预期信用损失率，计算预期信用损失。</w:t>
      </w:r>
      <w:r>
        <w:rPr>
          <w:rFonts w:ascii="宋体" w:hAnsi="宋体" w:cs="宋体" w:eastAsia="宋体" w:hint="default"/>
          <w:color w:val="0000FF"/>
        </w:rPr>
        <w:t> </w:t>
      </w:r>
      <w:r>
        <w:rPr>
          <w:rFonts w:ascii="宋体" w:hAnsi="宋体" w:cs="宋体" w:eastAsia="宋体" w:hint="default"/>
        </w:rPr>
      </w:r>
    </w:p>
    <w:p>
      <w:pPr>
        <w:pStyle w:val="BodyText"/>
        <w:spacing w:line="237" w:lineRule="auto" w:before="1"/>
        <w:ind w:left="256" w:right="0"/>
        <w:jc w:val="left"/>
        <w:rPr>
          <w:rFonts w:ascii="宋体" w:hAnsi="宋体" w:cs="宋体" w:eastAsia="宋体" w:hint="default"/>
        </w:rPr>
      </w:pPr>
      <w:r>
        <w:rPr/>
        <w:t>（</w:t>
      </w:r>
      <w:r>
        <w:rPr>
          <w:rFonts w:ascii="宋体" w:hAnsi="宋体" w:cs="宋体" w:eastAsia="宋体" w:hint="default"/>
        </w:rPr>
        <w:t>3</w:t>
      </w:r>
      <w:r>
        <w:rPr/>
        <w:t>）其他金融资产计量损失准备的方法</w:t>
      </w:r>
      <w:r>
        <w:rPr>
          <w:rFonts w:ascii="宋体" w:hAnsi="宋体" w:cs="宋体" w:eastAsia="宋体" w:hint="default"/>
          <w:w w:val="100"/>
        </w:rPr>
        <w:t> </w:t>
      </w:r>
      <w:r>
        <w:rPr>
          <w:spacing w:val="-1"/>
        </w:rPr>
        <w:t>对于除上述以外的金融资产，如：债权投资、其他债权投资、其他应收款、除租赁应收款以外的</w:t>
      </w:r>
      <w:r>
        <w:rPr>
          <w:spacing w:val="-55"/>
        </w:rPr>
        <w:t> </w:t>
      </w:r>
      <w:r>
        <w:rPr>
          <w:spacing w:val="-55"/>
        </w:rPr>
      </w:r>
      <w:r>
        <w:rPr/>
        <w:t>长期应收款和财务担保合同等，本公司按照一般方法，即“三阶段”模型计量损失准备。</w:t>
      </w:r>
      <w:r>
        <w:rPr>
          <w:rFonts w:ascii="宋体" w:hAnsi="宋体" w:cs="宋体" w:eastAsia="宋体" w:hint="default"/>
          <w:w w:val="100"/>
        </w:rPr>
        <w:t> </w:t>
      </w:r>
      <w:r>
        <w:rPr/>
        <w:t>本公司在计量金融工具发生信用减值时，评估信用风险是否显著增加考虑了以下因素：</w:t>
      </w:r>
      <w:r>
        <w:rPr>
          <w:rFonts w:ascii="宋体" w:hAnsi="宋体" w:cs="宋体" w:eastAsia="宋体" w:hint="default"/>
          <w:color w:val="0000FF"/>
          <w:w w:val="100"/>
        </w:rPr>
        <w:t> </w:t>
      </w:r>
      <w:r>
        <w:rPr>
          <w:spacing w:val="-1"/>
        </w:rPr>
        <w:t>本公司根据款项性质将其他应收款划分为若干组合，在组合基础上计算预期信用损失，确定组合</w:t>
      </w:r>
      <w:r>
        <w:rPr>
          <w:spacing w:val="-55"/>
        </w:rPr>
        <w:t> </w:t>
      </w:r>
      <w:r>
        <w:rPr>
          <w:spacing w:val="-55"/>
        </w:rPr>
      </w:r>
      <w:r>
        <w:rPr/>
        <w:t>的依据如下：</w:t>
      </w:r>
      <w:r>
        <w:rPr>
          <w:rFonts w:ascii="宋体" w:hAnsi="宋体" w:cs="宋体" w:eastAsia="宋体" w:hint="default"/>
        </w:rPr>
        <w:t> </w:t>
      </w:r>
    </w:p>
    <w:p>
      <w:pPr>
        <w:pStyle w:val="BodyText"/>
        <w:spacing w:line="237" w:lineRule="auto" w:before="1"/>
        <w:ind w:left="256" w:right="4440"/>
        <w:jc w:val="left"/>
        <w:rPr>
          <w:rFonts w:ascii="宋体" w:hAnsi="宋体" w:cs="宋体" w:eastAsia="宋体" w:hint="default"/>
        </w:rPr>
      </w:pPr>
      <w:r>
        <w:rPr/>
        <w:t>其他应收款组合</w:t>
      </w:r>
      <w:r>
        <w:rPr>
          <w:spacing w:val="63"/>
        </w:rPr>
        <w:t> </w:t>
      </w:r>
      <w:r>
        <w:rPr>
          <w:rFonts w:ascii="宋体" w:hAnsi="宋体" w:cs="宋体" w:eastAsia="宋体" w:hint="default"/>
        </w:rPr>
        <w:t>1</w:t>
      </w:r>
      <w:r>
        <w:rPr/>
        <w:t>：保证金、押金</w:t>
      </w:r>
      <w:r>
        <w:rPr>
          <w:rFonts w:ascii="宋体" w:hAnsi="宋体" w:cs="宋体" w:eastAsia="宋体" w:hint="default"/>
          <w:spacing w:val="-3"/>
          <w:w w:val="100"/>
        </w:rPr>
        <w:t> </w:t>
      </w:r>
      <w:r>
        <w:rPr>
          <w:rFonts w:ascii="宋体" w:hAnsi="宋体" w:cs="宋体" w:eastAsia="宋体" w:hint="default"/>
          <w:w w:val="100"/>
        </w:rPr>
        <w:t> </w:t>
      </w:r>
      <w:r>
        <w:rPr/>
        <w:t>其他应收款组合</w:t>
      </w:r>
      <w:r>
        <w:rPr>
          <w:spacing w:val="-55"/>
        </w:rPr>
        <w:t> </w:t>
      </w:r>
      <w:r>
        <w:rPr>
          <w:rFonts w:ascii="宋体" w:hAnsi="宋体" w:cs="宋体" w:eastAsia="宋体" w:hint="default"/>
        </w:rPr>
        <w:t>2</w:t>
      </w:r>
      <w:r>
        <w:rPr/>
        <w:t>：纳入合并范围内的关联方款项</w:t>
      </w:r>
      <w:r>
        <w:rPr>
          <w:rFonts w:ascii="宋体" w:hAnsi="宋体" w:cs="宋体" w:eastAsia="宋体" w:hint="default"/>
          <w:w w:val="100"/>
        </w:rPr>
        <w:t> </w:t>
      </w:r>
      <w:r>
        <w:rPr/>
        <w:t>其他应收款组合</w:t>
      </w:r>
      <w:r>
        <w:rPr>
          <w:spacing w:val="-53"/>
        </w:rPr>
        <w:t> </w:t>
      </w:r>
      <w:r>
        <w:rPr>
          <w:rFonts w:ascii="宋体" w:hAnsi="宋体" w:cs="宋体" w:eastAsia="宋体" w:hint="default"/>
        </w:rPr>
        <w:t>3</w:t>
      </w:r>
      <w:r>
        <w:rPr/>
        <w:t>：往来款项</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2.</w:t>
      </w:r>
      <w:r>
        <w:rPr/>
        <w:t>预期信用损失的会计处理方法</w:t>
      </w:r>
      <w:r>
        <w:rPr>
          <w:rFonts w:ascii="宋体" w:hAnsi="宋体" w:cs="宋体" w:eastAsia="宋体" w:hint="default"/>
        </w:rPr>
        <w:t> </w:t>
      </w:r>
    </w:p>
    <w:p>
      <w:pPr>
        <w:pStyle w:val="BodyText"/>
        <w:spacing w:line="237" w:lineRule="auto"/>
        <w:ind w:left="256" w:right="108"/>
        <w:jc w:val="both"/>
        <w:rPr>
          <w:rFonts w:ascii="宋体" w:hAnsi="宋体" w:cs="宋体" w:eastAsia="宋体" w:hint="default"/>
        </w:rPr>
      </w:pPr>
      <w:r>
        <w:rPr/>
        <w:t>为反映金融工具的信用风险自初始确认后的变化，本公司在每个资产负债表日重新计量预期信用</w:t>
      </w:r>
      <w:r>
        <w:rPr>
          <w:spacing w:val="-97"/>
        </w:rPr>
        <w:t> </w:t>
      </w:r>
      <w:r>
        <w:rPr>
          <w:spacing w:val="-97"/>
        </w:rPr>
      </w:r>
      <w:r>
        <w:rPr/>
        <w:t>损失，由此形成的损失准备的增加或转回金额，应当作为减值损失或利得计入当期损益，并根据</w:t>
      </w:r>
      <w:r>
        <w:rPr>
          <w:spacing w:val="-97"/>
        </w:rPr>
        <w:t> </w:t>
      </w:r>
      <w:r>
        <w:rPr>
          <w:spacing w:val="-97"/>
        </w:rPr>
      </w:r>
      <w:r>
        <w:rPr/>
        <w:t>金融工具的种类，抵减该金融资产在资产负债表中列示的账面价值或计入预计负债（贷款承诺或</w:t>
      </w:r>
      <w:r>
        <w:rPr>
          <w:spacing w:val="-97"/>
        </w:rPr>
        <w:t> </w:t>
      </w:r>
      <w:r>
        <w:rPr>
          <w:spacing w:val="-97"/>
        </w:rPr>
      </w:r>
      <w:r>
        <w:rPr>
          <w:spacing w:val="-7"/>
        </w:rPr>
        <w:t>财务担保合同）或计入其他综合收益（以公允价值计量且其变动计入其他综合收益的债权投资）。</w:t>
      </w:r>
      <w:r>
        <w:rPr>
          <w:rFonts w:ascii="宋体" w:hAnsi="宋体" w:cs="宋体" w:eastAsia="宋体" w:hint="default"/>
        </w:rPr>
        <w:t> </w:t>
      </w:r>
    </w:p>
    <w:p>
      <w:pPr>
        <w:pStyle w:val="Heading3"/>
        <w:spacing w:line="305" w:lineRule="exact"/>
        <w:ind w:left="256" w:right="0"/>
        <w:jc w:val="left"/>
        <w:rPr>
          <w:rFonts w:ascii="宋体" w:hAnsi="宋体" w:cs="宋体" w:eastAsia="宋体" w:hint="default"/>
        </w:rPr>
      </w:pPr>
      <w:r>
        <w:rPr>
          <w:rFonts w:ascii="宋体"/>
        </w:rPr>
        <w:t> </w:t>
      </w:r>
    </w:p>
    <w:p>
      <w:pPr>
        <w:pStyle w:val="Heading5"/>
        <w:spacing w:line="240" w:lineRule="auto"/>
        <w:ind w:left="256" w:right="0"/>
        <w:jc w:val="left"/>
        <w:rPr>
          <w:b w:val="0"/>
          <w:bCs w:val="0"/>
        </w:rPr>
      </w:pPr>
      <w:r>
        <w:rPr>
          <w:rFonts w:ascii="宋体" w:hAnsi="宋体" w:cs="宋体" w:eastAsia="宋体" w:hint="default"/>
        </w:rPr>
        <w:t>13.</w:t>
      </w:r>
      <w:r>
        <w:rPr>
          <w:rFonts w:ascii="宋体" w:hAnsi="宋体" w:cs="宋体" w:eastAsia="宋体" w:hint="default"/>
          <w:spacing w:val="3"/>
        </w:rPr>
        <w:t> </w:t>
      </w:r>
      <w:r>
        <w:rPr/>
        <w:t>应收款项融资</w:t>
      </w:r>
      <w:r>
        <w:rPr>
          <w:b w:val="0"/>
          <w:bCs w:val="0"/>
        </w:rPr>
      </w:r>
    </w:p>
    <w:p>
      <w:pPr>
        <w:pStyle w:val="Heading3"/>
        <w:spacing w:line="240" w:lineRule="auto" w:before="50"/>
        <w:ind w:left="25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9" w:lineRule="exact" w:before="4"/>
        <w:ind w:left="256" w:right="0"/>
        <w:jc w:val="left"/>
      </w:pPr>
      <w:r>
        <w:rPr/>
        <w:t>参见</w:t>
      </w:r>
      <w:r>
        <w:rPr>
          <w:spacing w:val="-7"/>
        </w:rPr>
        <w:t> </w:t>
      </w:r>
      <w:r>
        <w:rPr>
          <w:rFonts w:ascii="Times New Roman" w:hAnsi="Times New Roman" w:cs="Times New Roman" w:eastAsia="Times New Roman" w:hint="default"/>
          <w:spacing w:val="-2"/>
        </w:rPr>
        <w:t>12</w:t>
      </w:r>
      <w:r>
        <w:rPr>
          <w:spacing w:val="-2"/>
        </w:rPr>
        <w:t>、应收账款预期信用损失的确定方法及会计处理方法</w:t>
      </w:r>
    </w:p>
    <w:p>
      <w:pPr>
        <w:pStyle w:val="Heading3"/>
        <w:spacing w:line="302" w:lineRule="exact"/>
        <w:ind w:left="256" w:right="0"/>
        <w:jc w:val="left"/>
        <w:rPr>
          <w:rFonts w:ascii="宋体" w:hAnsi="宋体" w:cs="宋体" w:eastAsia="宋体" w:hint="default"/>
        </w:rPr>
      </w:pPr>
      <w:r>
        <w:rPr>
          <w:rFonts w:ascii="宋体"/>
        </w:rPr>
        <w:t> </w:t>
      </w:r>
    </w:p>
    <w:p>
      <w:pPr>
        <w:spacing w:after="0" w:line="302" w:lineRule="exact"/>
        <w:jc w:val="left"/>
        <w:rPr>
          <w:rFonts w:ascii="宋体" w:hAnsi="宋体" w:cs="宋体" w:eastAsia="宋体" w:hint="default"/>
        </w:rPr>
        <w:sectPr>
          <w:footerReference w:type="default" r:id="rId44"/>
          <w:pgSz w:w="11910" w:h="16840"/>
          <w:pgMar w:footer="1195" w:header="882" w:top="1120" w:bottom="1380" w:left="1020" w:right="1580"/>
          <w:pgNumType w:start="91"/>
        </w:sectPr>
      </w:pPr>
    </w:p>
    <w:p>
      <w:pPr>
        <w:spacing w:line="240" w:lineRule="auto" w:before="9"/>
        <w:rPr>
          <w:rFonts w:ascii="宋体" w:hAnsi="宋体" w:cs="宋体" w:eastAsia="宋体" w:hint="default"/>
          <w:sz w:val="18"/>
          <w:szCs w:val="18"/>
        </w:rPr>
      </w:pPr>
    </w:p>
    <w:p>
      <w:pPr>
        <w:pStyle w:val="Heading5"/>
        <w:spacing w:line="290" w:lineRule="auto" w:before="36"/>
        <w:ind w:left="136" w:right="3085"/>
        <w:jc w:val="left"/>
        <w:rPr>
          <w:rFonts w:ascii="宋体" w:hAnsi="宋体" w:cs="宋体" w:eastAsia="宋体" w:hint="default"/>
          <w:b w:val="0"/>
          <w:bCs w:val="0"/>
        </w:rPr>
      </w:pPr>
      <w:r>
        <w:rPr>
          <w:rFonts w:ascii="宋体" w:hAnsi="宋体" w:cs="宋体" w:eastAsia="宋体" w:hint="default"/>
        </w:rPr>
        <w:t>14.</w:t>
      </w:r>
      <w:r>
        <w:rPr>
          <w:rFonts w:ascii="宋体" w:hAnsi="宋体" w:cs="宋体" w:eastAsia="宋体" w:hint="default"/>
          <w:spacing w:val="2"/>
        </w:rPr>
        <w:t> </w:t>
      </w:r>
      <w:r>
        <w:rPr/>
        <w:t>其他应收款</w:t>
      </w:r>
      <w:r>
        <w:rPr>
          <w:w w:val="100"/>
        </w:rPr>
        <w:t> </w:t>
      </w:r>
      <w:r>
        <w:rPr/>
        <w:t>其他应收款预期信用损失的确定方法及会计处理方法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left="136" w:right="10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90" w:lineRule="auto" w:before="4"/>
        <w:ind w:right="3521"/>
        <w:jc w:val="left"/>
        <w:rPr>
          <w:rFonts w:ascii="宋体" w:hAnsi="宋体" w:cs="宋体" w:eastAsia="宋体" w:hint="default"/>
        </w:rPr>
      </w:pPr>
      <w:r>
        <w:rPr/>
        <w:t>参见</w:t>
      </w:r>
      <w:r>
        <w:rPr>
          <w:spacing w:val="-56"/>
        </w:rPr>
        <w:t> </w:t>
      </w:r>
      <w:r>
        <w:rPr>
          <w:rFonts w:ascii="宋体" w:hAnsi="宋体" w:cs="宋体" w:eastAsia="宋体" w:hint="default"/>
        </w:rPr>
        <w:t>12</w:t>
      </w:r>
      <w:r>
        <w:rPr/>
        <w:t>、应收账款预期信用损失的确定方法及会计处理方法</w:t>
      </w:r>
      <w:r>
        <w:rPr>
          <w:w w:val="100"/>
        </w:rPr>
        <w:t> </w:t>
      </w:r>
      <w:r>
        <w:rPr>
          <w:rFonts w:ascii="宋体" w:hAnsi="宋体" w:cs="宋体" w:eastAsia="宋体" w:hint="default"/>
          <w:b/>
          <w:bCs/>
        </w:rPr>
        <w:t>15.</w:t>
      </w:r>
      <w:r>
        <w:rPr>
          <w:rFonts w:ascii="宋体" w:hAnsi="宋体" w:cs="宋体" w:eastAsia="宋体" w:hint="default"/>
          <w:b/>
          <w:bCs/>
          <w:spacing w:val="2"/>
        </w:rPr>
        <w:t> </w:t>
      </w:r>
      <w:r>
        <w:rPr>
          <w:rFonts w:ascii="宋体" w:hAnsi="宋体" w:cs="宋体" w:eastAsia="宋体" w:hint="default"/>
          <w:b/>
          <w:bCs/>
        </w:rPr>
        <w:t>存货</w:t>
      </w:r>
      <w:r>
        <w:rPr>
          <w:rFonts w:ascii="宋体" w:hAnsi="宋体" w:cs="宋体" w:eastAsia="宋体" w:hint="default"/>
        </w:rPr>
      </w:r>
    </w:p>
    <w:p>
      <w:pPr>
        <w:pStyle w:val="Heading3"/>
        <w:spacing w:line="240" w:lineRule="auto" w:before="8"/>
        <w:ind w:left="136" w:right="102"/>
        <w:jc w:val="left"/>
        <w:rPr>
          <w:rFonts w:ascii="宋体" w:hAnsi="宋体" w:cs="宋体" w:eastAsia="宋体" w:hint="default"/>
        </w:rPr>
      </w:pPr>
      <w:r>
        <w:rPr/>
        <w:t>√适用□不适用</w:t>
      </w:r>
      <w:r>
        <w:rPr>
          <w:rFonts w:ascii="宋体" w:hAnsi="宋体" w:cs="宋体" w:eastAsia="宋体" w:hint="default"/>
        </w:rPr>
        <w:t>  </w:t>
      </w:r>
    </w:p>
    <w:p>
      <w:pPr>
        <w:pStyle w:val="BodyText"/>
        <w:spacing w:line="237" w:lineRule="auto" w:before="4"/>
        <w:ind w:right="102"/>
        <w:jc w:val="left"/>
        <w:rPr>
          <w:rFonts w:ascii="宋体" w:hAnsi="宋体" w:cs="宋体" w:eastAsia="宋体" w:hint="default"/>
        </w:rPr>
      </w:pPr>
      <w:r>
        <w:rPr>
          <w:rFonts w:ascii="宋体" w:hAnsi="宋体" w:cs="宋体" w:eastAsia="宋体" w:hint="default"/>
        </w:rPr>
        <w:t>1</w:t>
      </w:r>
      <w:r>
        <w:rPr/>
        <w:t>、存货的分类</w:t>
      </w:r>
      <w:r>
        <w:rPr>
          <w:rFonts w:ascii="宋体" w:hAnsi="宋体" w:cs="宋体" w:eastAsia="宋体" w:hint="default"/>
          <w:w w:val="100"/>
        </w:rPr>
        <w:t> </w:t>
      </w:r>
      <w:r>
        <w:rPr>
          <w:spacing w:val="-1"/>
        </w:rPr>
        <w:t>存货是指本公司在日常活动中持有以备出售的产成品或商品、处在生产过程中的在产品、在生产</w:t>
      </w:r>
      <w:r>
        <w:rPr>
          <w:spacing w:val="-55"/>
        </w:rPr>
        <w:t> </w:t>
      </w:r>
      <w:r>
        <w:rPr>
          <w:spacing w:val="-55"/>
        </w:rPr>
      </w:r>
      <w:r>
        <w:rPr>
          <w:spacing w:val="-6"/>
        </w:rPr>
        <w:t>过程或提供劳务过程中耗用的材料和物料等。主要包括原材料、周转材料、包装物、低值易耗品、</w:t>
      </w:r>
      <w:r>
        <w:rPr>
          <w:spacing w:val="-52"/>
        </w:rPr>
        <w:t> </w:t>
      </w:r>
      <w:r>
        <w:rPr>
          <w:spacing w:val="-52"/>
        </w:rPr>
      </w:r>
      <w:r>
        <w:rPr/>
        <w:t>在产品、产成品（库存商品）、工程施工等。</w:t>
      </w:r>
      <w:r>
        <w:rPr>
          <w:rFonts w:ascii="宋体" w:hAnsi="宋体" w:cs="宋体" w:eastAsia="宋体" w:hint="default"/>
        </w:rPr>
        <w:t> </w:t>
      </w:r>
    </w:p>
    <w:p>
      <w:pPr>
        <w:pStyle w:val="BodyText"/>
        <w:spacing w:line="237" w:lineRule="auto"/>
        <w:ind w:right="102"/>
        <w:jc w:val="left"/>
        <w:rPr>
          <w:rFonts w:ascii="宋体" w:hAnsi="宋体" w:cs="宋体" w:eastAsia="宋体" w:hint="default"/>
        </w:rPr>
      </w:pPr>
      <w:r>
        <w:rPr>
          <w:rFonts w:ascii="宋体" w:hAnsi="宋体" w:cs="宋体" w:eastAsia="宋体" w:hint="default"/>
        </w:rPr>
        <w:t>2</w:t>
      </w:r>
      <w:r>
        <w:rPr/>
        <w:t>、发出存货的计价方法</w:t>
      </w:r>
      <w:r>
        <w:rPr>
          <w:rFonts w:ascii="宋体" w:hAnsi="宋体" w:cs="宋体" w:eastAsia="宋体" w:hint="default"/>
          <w:w w:val="100"/>
        </w:rPr>
        <w:t> </w:t>
      </w:r>
      <w:r>
        <w:rPr/>
        <w:t>存货取得时按实际成本计量。存货发出时，采取加权平均法确定其发出的实际成本。</w:t>
      </w:r>
      <w:r>
        <w:rPr>
          <w:rFonts w:ascii="宋体" w:hAnsi="宋体" w:cs="宋体" w:eastAsia="宋体" w:hint="default"/>
          <w:w w:val="100"/>
        </w:rPr>
        <w:t> </w:t>
      </w:r>
      <w:r>
        <w:rPr>
          <w:rFonts w:ascii="宋体" w:hAnsi="宋体" w:cs="宋体" w:eastAsia="宋体" w:hint="default"/>
        </w:rPr>
        <w:t>3</w:t>
      </w:r>
      <w:r>
        <w:rPr/>
        <w:t>、存货跌价准备的计提方法</w:t>
      </w:r>
      <w:r>
        <w:rPr>
          <w:rFonts w:ascii="宋体" w:hAnsi="宋体" w:cs="宋体" w:eastAsia="宋体" w:hint="default"/>
          <w:w w:val="100"/>
        </w:rPr>
        <w:t> </w:t>
      </w:r>
      <w:r>
        <w:rPr>
          <w:spacing w:val="-1"/>
        </w:rPr>
        <w:t>资产负债表日，存货按照成本与可变现净值孰低计量，并按单个存货项目计提存货跌价准备，但</w:t>
      </w:r>
      <w:r>
        <w:rPr>
          <w:spacing w:val="-54"/>
        </w:rPr>
        <w:t> </w:t>
      </w:r>
      <w:r>
        <w:rPr>
          <w:spacing w:val="-54"/>
        </w:rPr>
      </w:r>
      <w:r>
        <w:rPr/>
        <w:t>对于数量繁多、单价较低的存货，按照存货类别计提存货跌价准备。</w:t>
      </w:r>
      <w:r>
        <w:rPr>
          <w:rFonts w:ascii="宋体" w:hAnsi="宋体" w:cs="宋体" w:eastAsia="宋体" w:hint="default"/>
          <w:w w:val="100"/>
        </w:rPr>
        <w:t> </w:t>
      </w:r>
      <w:r>
        <w:rPr>
          <w:spacing w:val="-1"/>
        </w:rPr>
        <w:t>存货可变现净值的确定依据：①产成品可变现净值为估计售价减去估计的销售费用和相关税费后</w:t>
      </w:r>
      <w:r>
        <w:rPr>
          <w:spacing w:val="-55"/>
        </w:rPr>
        <w:t> </w:t>
      </w:r>
      <w:r>
        <w:rPr>
          <w:spacing w:val="-55"/>
        </w:rPr>
      </w:r>
      <w:r>
        <w:rPr>
          <w:spacing w:val="-1"/>
        </w:rPr>
        <w:t>金额；②为生产而持有的材料等，当用其生产的产成品的可变现净值高于成本时按照成本计量；</w:t>
      </w:r>
      <w:r>
        <w:rPr>
          <w:spacing w:val="-55"/>
        </w:rPr>
        <w:t> </w:t>
      </w:r>
      <w:r>
        <w:rPr>
          <w:spacing w:val="-55"/>
        </w:rPr>
      </w:r>
      <w:r>
        <w:rPr>
          <w:spacing w:val="-1"/>
        </w:rPr>
        <w:t>当材料价格下降表明产成品的可变现净值低于成本时，可变现净值为估计售价减去至完工时估计</w:t>
      </w:r>
      <w:r>
        <w:rPr>
          <w:spacing w:val="-55"/>
        </w:rPr>
        <w:t> </w:t>
      </w:r>
      <w:r>
        <w:rPr>
          <w:spacing w:val="-55"/>
        </w:rPr>
      </w:r>
      <w:r>
        <w:rPr>
          <w:spacing w:val="-1"/>
        </w:rPr>
        <w:t>将要发生的成本、估计的销售费用以及相关税费后的金额确定。③持有待售的材料等，可变现净</w:t>
      </w:r>
      <w:r>
        <w:rPr>
          <w:spacing w:val="-54"/>
        </w:rPr>
        <w:t> </w:t>
      </w:r>
      <w:r>
        <w:rPr>
          <w:spacing w:val="-54"/>
        </w:rPr>
      </w:r>
      <w:r>
        <w:rPr/>
        <w:t>值为市场售价。</w:t>
      </w:r>
      <w:r>
        <w:rPr>
          <w:rFonts w:ascii="宋体" w:hAnsi="宋体" w:cs="宋体" w:eastAsia="宋体" w:hint="default"/>
        </w:rPr>
        <w:t> </w:t>
      </w:r>
    </w:p>
    <w:p>
      <w:pPr>
        <w:pStyle w:val="BodyText"/>
        <w:spacing w:line="237" w:lineRule="auto" w:before="1"/>
        <w:ind w:right="4345"/>
        <w:jc w:val="left"/>
        <w:rPr>
          <w:rFonts w:ascii="宋体" w:hAnsi="宋体" w:cs="宋体" w:eastAsia="宋体" w:hint="default"/>
        </w:rPr>
      </w:pPr>
      <w:r>
        <w:rPr>
          <w:rFonts w:ascii="宋体" w:hAnsi="宋体" w:cs="宋体" w:eastAsia="宋体" w:hint="default"/>
        </w:rPr>
        <w:t>4</w:t>
      </w:r>
      <w:r>
        <w:rPr/>
        <w:t>、存货的盘存制度</w:t>
      </w:r>
      <w:r>
        <w:rPr>
          <w:rFonts w:ascii="宋体" w:hAnsi="宋体" w:cs="宋体" w:eastAsia="宋体" w:hint="default"/>
          <w:w w:val="100"/>
        </w:rPr>
        <w:t> </w:t>
      </w:r>
      <w:r>
        <w:rPr/>
        <w:t>本公司的存货盘存制度为永续盘存制。</w:t>
      </w:r>
      <w:r>
        <w:rPr>
          <w:rFonts w:ascii="宋体" w:hAnsi="宋体" w:cs="宋体" w:eastAsia="宋体" w:hint="default"/>
          <w:w w:val="100"/>
        </w:rPr>
        <w:t> </w:t>
      </w:r>
      <w:r>
        <w:rPr>
          <w:rFonts w:ascii="宋体" w:hAnsi="宋体" w:cs="宋体" w:eastAsia="宋体" w:hint="default"/>
        </w:rPr>
        <w:t>5</w:t>
      </w:r>
      <w:r>
        <w:rPr/>
        <w:t>、低值易耗品和包装物的摊销方法</w:t>
      </w:r>
      <w:r>
        <w:rPr>
          <w:rFonts w:ascii="宋体" w:hAnsi="宋体" w:cs="宋体" w:eastAsia="宋体" w:hint="default"/>
          <w:w w:val="100"/>
        </w:rPr>
        <w:t> </w:t>
      </w:r>
      <w:r>
        <w:rPr/>
        <w:t>低值易耗品和包装物采用一次转销法摊销。</w:t>
      </w:r>
      <w:r>
        <w:rPr>
          <w:rFonts w:ascii="宋体" w:hAnsi="宋体" w:cs="宋体" w:eastAsia="宋体" w:hint="default"/>
        </w:rPr>
        <w:t> </w:t>
      </w:r>
    </w:p>
    <w:p>
      <w:pPr>
        <w:pStyle w:val="Heading3"/>
        <w:spacing w:line="307" w:lineRule="exact"/>
        <w:ind w:left="136" w:right="0"/>
        <w:jc w:val="left"/>
        <w:rPr>
          <w:rFonts w:ascii="宋体" w:hAnsi="宋体" w:cs="宋体" w:eastAsia="宋体" w:hint="default"/>
        </w:rPr>
      </w:pPr>
      <w:r>
        <w:rPr>
          <w:rFonts w:ascii="宋体"/>
        </w:rPr>
        <w:t> </w:t>
      </w:r>
    </w:p>
    <w:p>
      <w:pPr>
        <w:pStyle w:val="Heading5"/>
        <w:spacing w:line="240" w:lineRule="auto"/>
        <w:ind w:left="136" w:right="102"/>
        <w:jc w:val="left"/>
        <w:rPr>
          <w:b w:val="0"/>
          <w:bCs w:val="0"/>
        </w:rPr>
      </w:pPr>
      <w:r>
        <w:rPr>
          <w:rFonts w:ascii="宋体" w:hAnsi="宋体" w:cs="宋体" w:eastAsia="宋体" w:hint="default"/>
        </w:rPr>
        <w:t>16.</w:t>
      </w:r>
      <w:r>
        <w:rPr>
          <w:rFonts w:ascii="宋体" w:hAnsi="宋体" w:cs="宋体" w:eastAsia="宋体" w:hint="default"/>
          <w:spacing w:val="2"/>
        </w:rPr>
        <w:t> </w:t>
      </w:r>
      <w:r>
        <w:rPr/>
        <w:t>持有待售资产</w:t>
      </w:r>
      <w:r>
        <w:rPr>
          <w:b w:val="0"/>
          <w:bCs w:val="0"/>
        </w:rPr>
      </w:r>
    </w:p>
    <w:p>
      <w:pPr>
        <w:pStyle w:val="BodyText"/>
        <w:spacing w:line="240" w:lineRule="auto" w:before="50"/>
        <w:ind w:right="102"/>
        <w:jc w:val="left"/>
        <w:rPr>
          <w:rFonts w:ascii="宋体" w:hAnsi="宋体" w:cs="宋体" w:eastAsia="宋体" w:hint="default"/>
        </w:rPr>
      </w:pPr>
      <w:r>
        <w:rPr>
          <w:sz w:val="24"/>
          <w:szCs w:val="24"/>
        </w:rPr>
        <w:t>√适用□不适用</w:t>
      </w:r>
      <w:r>
        <w:rPr>
          <w:rFonts w:ascii="宋体" w:hAnsi="宋体" w:cs="宋体" w:eastAsia="宋体" w:hint="default"/>
          <w:sz w:val="24"/>
          <w:szCs w:val="24"/>
        </w:rPr>
        <w:t>  </w:t>
      </w:r>
      <w:r>
        <w:rPr/>
        <w:t>本公司将同时满足下列条件的非流动资产应当划分为持有待售：一是企业已经就处置该非流动资</w:t>
      </w:r>
      <w:r>
        <w:rPr>
          <w:spacing w:val="-97"/>
        </w:rPr>
        <w:t> </w:t>
      </w:r>
      <w:r>
        <w:rPr>
          <w:spacing w:val="-97"/>
        </w:rPr>
      </w:r>
      <w:r>
        <w:rPr>
          <w:spacing w:val="-7"/>
          <w:w w:val="100"/>
        </w:rPr>
        <w:t>产作出决议；二是企业已经与受让方签订了不可撤销的转让协议；三是该项转让将在一年内完成。</w:t>
      </w:r>
      <w:r>
        <w:rPr>
          <w:rFonts w:ascii="宋体" w:hAnsi="宋体" w:cs="宋体" w:eastAsia="宋体" w:hint="default"/>
          <w:w w:val="100"/>
        </w:rPr>
        <w:t> </w:t>
      </w:r>
    </w:p>
    <w:p>
      <w:pPr>
        <w:pStyle w:val="Heading3"/>
        <w:spacing w:line="307" w:lineRule="exact"/>
        <w:ind w:left="136" w:right="0"/>
        <w:jc w:val="left"/>
        <w:rPr>
          <w:rFonts w:ascii="宋体" w:hAnsi="宋体" w:cs="宋体" w:eastAsia="宋体" w:hint="default"/>
        </w:rPr>
      </w:pPr>
      <w:r>
        <w:rPr>
          <w:rFonts w:ascii="宋体"/>
        </w:rPr>
        <w:t> </w:t>
      </w:r>
    </w:p>
    <w:p>
      <w:pPr>
        <w:pStyle w:val="Heading5"/>
        <w:spacing w:line="290" w:lineRule="auto" w:before="61"/>
        <w:ind w:left="136" w:right="3085"/>
        <w:jc w:val="left"/>
        <w:rPr>
          <w:rFonts w:ascii="宋体" w:hAnsi="宋体" w:cs="宋体" w:eastAsia="宋体" w:hint="default"/>
          <w:b w:val="0"/>
          <w:bCs w:val="0"/>
        </w:rPr>
      </w:pPr>
      <w:r>
        <w:rPr>
          <w:rFonts w:ascii="宋体" w:hAnsi="宋体" w:cs="宋体" w:eastAsia="宋体" w:hint="default"/>
        </w:rPr>
        <w:t>17.</w:t>
      </w:r>
      <w:r>
        <w:rPr>
          <w:rFonts w:ascii="宋体" w:hAnsi="宋体" w:cs="宋体" w:eastAsia="宋体" w:hint="default"/>
          <w:spacing w:val="2"/>
        </w:rPr>
        <w:t> </w:t>
      </w:r>
      <w:r>
        <w:rPr/>
        <w:t>债权投资</w:t>
      </w:r>
      <w:r>
        <w:rPr>
          <w:w w:val="100"/>
        </w:rPr>
        <w:t> </w:t>
      </w:r>
      <w:r>
        <w:rPr>
          <w:rFonts w:ascii="宋体" w:hAnsi="宋体" w:cs="宋体" w:eastAsia="宋体" w:hint="default"/>
        </w:rPr>
        <w:t>(1).</w:t>
      </w:r>
      <w:r>
        <w:rPr/>
        <w:t>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6"/>
        <w:ind w:left="136" w:right="10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136" w:right="0"/>
        <w:jc w:val="left"/>
        <w:rPr>
          <w:rFonts w:ascii="宋体" w:hAnsi="宋体" w:cs="宋体" w:eastAsia="宋体" w:hint="default"/>
        </w:rPr>
      </w:pPr>
      <w:r>
        <w:rPr>
          <w:rFonts w:ascii="宋体"/>
        </w:rPr>
        <w:t> </w:t>
      </w:r>
    </w:p>
    <w:p>
      <w:pPr>
        <w:pStyle w:val="Heading5"/>
        <w:spacing w:line="290" w:lineRule="auto"/>
        <w:ind w:left="136" w:right="3085"/>
        <w:jc w:val="left"/>
        <w:rPr>
          <w:rFonts w:ascii="宋体" w:hAnsi="宋体" w:cs="宋体" w:eastAsia="宋体" w:hint="default"/>
          <w:b w:val="0"/>
          <w:bCs w:val="0"/>
        </w:rPr>
      </w:pPr>
      <w:r>
        <w:rPr>
          <w:rFonts w:ascii="宋体" w:hAnsi="宋体" w:cs="宋体" w:eastAsia="宋体" w:hint="default"/>
        </w:rPr>
        <w:t>18.</w:t>
      </w:r>
      <w:r>
        <w:rPr>
          <w:rFonts w:ascii="宋体" w:hAnsi="宋体" w:cs="宋体" w:eastAsia="宋体" w:hint="default"/>
          <w:spacing w:val="2"/>
        </w:rPr>
        <w:t> </w:t>
      </w:r>
      <w:r>
        <w:rPr/>
        <w:t>其他债权投资</w:t>
      </w:r>
      <w:r>
        <w:rPr>
          <w:w w:val="100"/>
        </w:rPr>
        <w:t> </w:t>
      </w:r>
      <w:r>
        <w:rPr>
          <w:rFonts w:ascii="宋体" w:hAnsi="宋体" w:cs="宋体" w:eastAsia="宋体" w:hint="default"/>
        </w:rPr>
        <w:t>(1).</w:t>
      </w:r>
      <w:r>
        <w:rPr/>
        <w:t>其他债权投资预期信用损失的确定方法及会计处理方法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Heading3"/>
        <w:spacing w:line="312" w:lineRule="exact" w:before="9"/>
        <w:ind w:left="136" w:right="10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left="136" w:right="0"/>
        <w:jc w:val="left"/>
        <w:rPr>
          <w:rFonts w:ascii="宋体" w:hAnsi="宋体" w:cs="宋体" w:eastAsia="宋体" w:hint="default"/>
        </w:rPr>
      </w:pPr>
      <w:r>
        <w:rPr>
          <w:rFonts w:ascii="宋体"/>
        </w:rPr>
        <w:t> </w:t>
      </w:r>
    </w:p>
    <w:p>
      <w:pPr>
        <w:pStyle w:val="Heading5"/>
        <w:spacing w:line="290" w:lineRule="auto"/>
        <w:ind w:left="136" w:right="3085"/>
        <w:jc w:val="left"/>
        <w:rPr>
          <w:rFonts w:ascii="宋体" w:hAnsi="宋体" w:cs="宋体" w:eastAsia="宋体" w:hint="default"/>
          <w:b w:val="0"/>
          <w:bCs w:val="0"/>
        </w:rPr>
      </w:pPr>
      <w:r>
        <w:rPr>
          <w:rFonts w:ascii="宋体" w:hAnsi="宋体" w:cs="宋体" w:eastAsia="宋体" w:hint="default"/>
        </w:rPr>
        <w:t>19.</w:t>
      </w:r>
      <w:r>
        <w:rPr>
          <w:rFonts w:ascii="宋体" w:hAnsi="宋体" w:cs="宋体" w:eastAsia="宋体" w:hint="default"/>
          <w:spacing w:val="2"/>
        </w:rPr>
        <w:t> </w:t>
      </w:r>
      <w:r>
        <w:rPr/>
        <w:t>长期应收款</w:t>
      </w:r>
      <w:r>
        <w:rPr>
          <w:w w:val="100"/>
        </w:rPr>
        <w:t> </w:t>
      </w:r>
      <w:r>
        <w:rPr>
          <w:rFonts w:ascii="宋体" w:hAnsi="宋体" w:cs="宋体" w:eastAsia="宋体" w:hint="default"/>
        </w:rPr>
        <w:t>(1).</w:t>
      </w:r>
      <w:r>
        <w:rPr/>
        <w:t>长期应收款预期信用损失的确定方法及会计处理方法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8"/>
        <w:ind w:left="136" w:right="10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136" w:right="0"/>
        <w:jc w:val="left"/>
        <w:rPr>
          <w:rFonts w:ascii="宋体" w:hAnsi="宋体" w:cs="宋体" w:eastAsia="宋体" w:hint="default"/>
        </w:rPr>
      </w:pPr>
      <w:r>
        <w:rPr>
          <w:rFonts w:ascii="宋体"/>
        </w:rPr>
        <w:t> </w:t>
      </w:r>
    </w:p>
    <w:p>
      <w:pPr>
        <w:pStyle w:val="Heading5"/>
        <w:spacing w:line="240" w:lineRule="auto" w:before="61"/>
        <w:ind w:left="136" w:right="102"/>
        <w:jc w:val="left"/>
        <w:rPr>
          <w:b w:val="0"/>
          <w:bCs w:val="0"/>
        </w:rPr>
      </w:pPr>
      <w:r>
        <w:rPr>
          <w:rFonts w:ascii="宋体" w:hAnsi="宋体" w:cs="宋体" w:eastAsia="宋体" w:hint="default"/>
        </w:rPr>
        <w:t>20.</w:t>
      </w:r>
      <w:r>
        <w:rPr>
          <w:rFonts w:ascii="宋体" w:hAnsi="宋体" w:cs="宋体" w:eastAsia="宋体" w:hint="default"/>
          <w:spacing w:val="3"/>
        </w:rPr>
        <w:t> </w:t>
      </w:r>
      <w:r>
        <w:rPr/>
        <w:t>长期股权投资</w:t>
      </w:r>
      <w:r>
        <w:rPr>
          <w:b w:val="0"/>
          <w:bCs w:val="0"/>
        </w:rPr>
      </w:r>
    </w:p>
    <w:p>
      <w:pPr>
        <w:pStyle w:val="Heading3"/>
        <w:spacing w:line="240" w:lineRule="auto" w:before="52"/>
        <w:ind w:left="136" w:right="102"/>
        <w:jc w:val="left"/>
        <w:rPr>
          <w:rFonts w:ascii="宋体" w:hAnsi="宋体" w:cs="宋体" w:eastAsia="宋体" w:hint="default"/>
        </w:rPr>
      </w:pPr>
      <w:r>
        <w:rPr/>
        <w:t>√适用□不适用</w:t>
      </w:r>
      <w:r>
        <w:rPr>
          <w:rFonts w:ascii="宋体" w:hAnsi="宋体" w:cs="宋体" w:eastAsia="宋体" w:hint="default"/>
        </w:rPr>
        <w:t>  </w:t>
      </w:r>
    </w:p>
    <w:p>
      <w:pPr>
        <w:pStyle w:val="BodyText"/>
        <w:spacing w:line="240" w:lineRule="auto" w:before="4"/>
        <w:ind w:right="102"/>
        <w:jc w:val="left"/>
        <w:rPr>
          <w:rFonts w:ascii="宋体" w:hAnsi="宋体" w:cs="宋体" w:eastAsia="宋体" w:hint="default"/>
        </w:rPr>
      </w:pPr>
      <w:r>
        <w:rPr>
          <w:rFonts w:ascii="宋体" w:hAnsi="宋体" w:cs="宋体" w:eastAsia="宋体" w:hint="default"/>
        </w:rPr>
        <w:t>1</w:t>
      </w:r>
      <w:r>
        <w:rPr/>
        <w:t>、初始投资成本确定</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237" w:lineRule="auto" w:before="38"/>
        <w:ind w:left="216" w:right="0"/>
        <w:jc w:val="left"/>
        <w:rPr>
          <w:rFonts w:ascii="宋体" w:hAnsi="宋体" w:cs="宋体" w:eastAsia="宋体" w:hint="default"/>
        </w:rPr>
      </w:pPr>
      <w:r>
        <w:rPr>
          <w:spacing w:val="-1"/>
        </w:rPr>
        <w:t>对于企业合并取得的长期股权投资，如为同一控制下的企业合并，应当按照取得被合并方所有者</w:t>
      </w:r>
      <w:r>
        <w:rPr>
          <w:spacing w:val="-55"/>
        </w:rPr>
        <w:t> </w:t>
      </w:r>
      <w:r>
        <w:rPr>
          <w:spacing w:val="-55"/>
        </w:rPr>
      </w:r>
      <w:r>
        <w:rPr>
          <w:spacing w:val="-1"/>
        </w:rPr>
        <w:t>权益账面价值的份额确认为初始成本；非同一控制下的企业合并，应当按购买日确定的合并成本</w:t>
      </w:r>
      <w:r>
        <w:rPr>
          <w:spacing w:val="-55"/>
        </w:rPr>
        <w:t> </w:t>
      </w:r>
      <w:r>
        <w:rPr>
          <w:spacing w:val="-55"/>
        </w:rPr>
      </w:r>
      <w:r>
        <w:rPr>
          <w:spacing w:val="-1"/>
        </w:rPr>
        <w:t>确认为初始成本；以支付现金取得的长期股权投资，初始投资成本为实际支付的购买价款；以发</w:t>
      </w:r>
      <w:r>
        <w:rPr>
          <w:spacing w:val="-55"/>
        </w:rPr>
        <w:t> </w:t>
      </w:r>
      <w:r>
        <w:rPr>
          <w:spacing w:val="-55"/>
        </w:rPr>
      </w:r>
      <w:r>
        <w:rPr>
          <w:spacing w:val="-1"/>
        </w:rPr>
        <w:t>行权益性证券取得的长期股权投资，初始投资成本为发行权益性证券的公允价值；通过债务重组</w:t>
      </w:r>
      <w:r>
        <w:rPr>
          <w:spacing w:val="-55"/>
        </w:rPr>
        <w:t> </w:t>
      </w:r>
      <w:r>
        <w:rPr>
          <w:spacing w:val="-55"/>
        </w:rPr>
      </w:r>
      <w:r>
        <w:rPr>
          <w:spacing w:val="-4"/>
        </w:rPr>
        <w:t>取得的长期股权投资，其初始投资成本应当按照《企业会计准则第</w:t>
      </w:r>
      <w:r>
        <w:rPr>
          <w:spacing w:val="-25"/>
        </w:rPr>
        <w:t> </w:t>
      </w:r>
      <w:r>
        <w:rPr>
          <w:rFonts w:ascii="宋体" w:hAnsi="宋体" w:cs="宋体" w:eastAsia="宋体" w:hint="default"/>
        </w:rPr>
        <w:t>12</w:t>
      </w:r>
      <w:r>
        <w:rPr>
          <w:rFonts w:ascii="宋体" w:hAnsi="宋体" w:cs="宋体" w:eastAsia="宋体" w:hint="default"/>
          <w:spacing w:val="-30"/>
        </w:rPr>
        <w:t> </w:t>
      </w:r>
      <w:r>
        <w:rPr>
          <w:spacing w:val="-4"/>
        </w:rPr>
        <w:t>号—债务重组》的有关规定</w:t>
      </w:r>
      <w:r>
        <w:rPr>
          <w:spacing w:val="-94"/>
        </w:rPr>
        <w:t> </w:t>
      </w:r>
      <w:r>
        <w:rPr>
          <w:spacing w:val="-94"/>
        </w:rPr>
      </w:r>
      <w:r>
        <w:rPr/>
        <w:t>确定；非货币性资产交换取得的长期股权投资，初始投资成本根据准则相关规定确定。</w:t>
      </w:r>
      <w:r>
        <w:rPr>
          <w:rFonts w:ascii="宋体" w:hAnsi="宋体" w:cs="宋体" w:eastAsia="宋体" w:hint="default"/>
          <w:w w:val="100"/>
        </w:rPr>
        <w:t> </w:t>
      </w:r>
      <w:r>
        <w:rPr>
          <w:rFonts w:ascii="宋体" w:hAnsi="宋体" w:cs="宋体" w:eastAsia="宋体" w:hint="default"/>
        </w:rPr>
        <w:t>2</w:t>
      </w:r>
      <w:r>
        <w:rPr/>
        <w:t>、后续计量及损益确认方法</w:t>
      </w:r>
      <w:r>
        <w:rPr>
          <w:rFonts w:ascii="宋体" w:hAnsi="宋体" w:cs="宋体" w:eastAsia="宋体" w:hint="default"/>
          <w:w w:val="100"/>
        </w:rPr>
        <w:t> </w:t>
      </w:r>
      <w:r>
        <w:rPr>
          <w:spacing w:val="-1"/>
        </w:rPr>
        <w:t>投资方能够对被投资单位实施控制的长期股权投资应当采用成本法核算，对联营企业和合营企业</w:t>
      </w:r>
      <w:r>
        <w:rPr>
          <w:spacing w:val="-55"/>
        </w:rPr>
        <w:t> </w:t>
      </w:r>
      <w:r>
        <w:rPr>
          <w:spacing w:val="-55"/>
        </w:rPr>
      </w:r>
      <w:r>
        <w:rPr>
          <w:spacing w:val="-1"/>
        </w:rPr>
        <w:t>的长期股权投资采用权益法核算。投资方对联营企业的权益性投资，其中一部分通过风险投资机</w:t>
      </w:r>
      <w:r>
        <w:rPr>
          <w:spacing w:val="-55"/>
        </w:rPr>
        <w:t> </w:t>
      </w:r>
      <w:r>
        <w:rPr>
          <w:spacing w:val="-55"/>
        </w:rPr>
      </w:r>
      <w:r>
        <w:rPr>
          <w:spacing w:val="-1"/>
        </w:rPr>
        <w:t>构、共同基金、信托公司或包括投连险基金在内的类似主体间接持有的，无论以上主体是否对这</w:t>
      </w:r>
      <w:r>
        <w:rPr>
          <w:spacing w:val="-55"/>
        </w:rPr>
        <w:t> </w:t>
      </w:r>
      <w:r>
        <w:rPr>
          <w:spacing w:val="-55"/>
        </w:rPr>
      </w:r>
      <w:r>
        <w:rPr>
          <w:spacing w:val="-4"/>
        </w:rPr>
        <w:t>部分投资具有重大影响，投资方都应当按照《企业会计准则第</w:t>
      </w:r>
      <w:r>
        <w:rPr>
          <w:spacing w:val="-24"/>
        </w:rPr>
        <w:t> </w:t>
      </w:r>
      <w:r>
        <w:rPr>
          <w:rFonts w:ascii="宋体" w:hAnsi="宋体" w:cs="宋体" w:eastAsia="宋体" w:hint="default"/>
        </w:rPr>
        <w:t>22</w:t>
      </w:r>
      <w:r>
        <w:rPr>
          <w:rFonts w:ascii="宋体" w:hAnsi="宋体" w:cs="宋体" w:eastAsia="宋体" w:hint="default"/>
          <w:spacing w:val="-29"/>
        </w:rPr>
        <w:t> </w:t>
      </w:r>
      <w:r>
        <w:rPr>
          <w:spacing w:val="-4"/>
        </w:rPr>
        <w:t>号——金融工具确认和计量》的</w:t>
      </w:r>
      <w:r>
        <w:rPr>
          <w:spacing w:val="-95"/>
        </w:rPr>
        <w:t> </w:t>
      </w:r>
      <w:r>
        <w:rPr>
          <w:spacing w:val="-95"/>
        </w:rPr>
      </w:r>
      <w:r>
        <w:rPr>
          <w:spacing w:val="-1"/>
        </w:rPr>
        <w:t>有关规定，对间接持有的该部分投资选择以公允价值计量且其变动计入损益，并对其余部分采用</w:t>
      </w:r>
      <w:r>
        <w:rPr>
          <w:spacing w:val="-55"/>
        </w:rPr>
        <w:t> </w:t>
      </w:r>
      <w:r>
        <w:rPr>
          <w:spacing w:val="-55"/>
        </w:rPr>
      </w:r>
      <w:r>
        <w:rPr/>
        <w:t>权益法核算。</w:t>
      </w:r>
      <w:r>
        <w:rPr>
          <w:rFonts w:ascii="宋体" w:hAnsi="宋体" w:cs="宋体" w:eastAsia="宋体" w:hint="default"/>
        </w:rPr>
        <w:t> </w:t>
      </w:r>
    </w:p>
    <w:p>
      <w:pPr>
        <w:pStyle w:val="BodyText"/>
        <w:spacing w:line="237" w:lineRule="auto"/>
        <w:ind w:left="216" w:right="223"/>
        <w:jc w:val="left"/>
        <w:rPr>
          <w:rFonts w:ascii="宋体" w:hAnsi="宋体" w:cs="宋体" w:eastAsia="宋体" w:hint="default"/>
        </w:rPr>
      </w:pPr>
      <w:r>
        <w:rPr>
          <w:rFonts w:ascii="宋体" w:hAnsi="宋体" w:cs="宋体" w:eastAsia="宋体" w:hint="default"/>
        </w:rPr>
        <w:t>3</w:t>
      </w:r>
      <w:r>
        <w:rPr/>
        <w:t>、确定对被投资单位具有共同控制、重大影响的依据</w:t>
      </w:r>
      <w:r>
        <w:rPr>
          <w:rFonts w:ascii="宋体" w:hAnsi="宋体" w:cs="宋体" w:eastAsia="宋体" w:hint="default"/>
          <w:w w:val="100"/>
        </w:rPr>
        <w:t> </w:t>
      </w:r>
      <w:r>
        <w:rPr>
          <w:spacing w:val="-1"/>
        </w:rPr>
        <w:t>对被投资单位具有共同控制，是指对某项安排的回报产生重大影响的活动必须经过分享控制权的</w:t>
      </w:r>
      <w:r>
        <w:rPr>
          <w:spacing w:val="-55"/>
        </w:rPr>
        <w:t> </w:t>
      </w:r>
      <w:r>
        <w:rPr>
          <w:spacing w:val="-55"/>
        </w:rPr>
      </w:r>
      <w:r>
        <w:rPr>
          <w:spacing w:val="-1"/>
        </w:rPr>
        <w:t>参与方一致同意后才能决策，包括商品或劳务的销售和购买、金融资产的管理、资产的购买和处</w:t>
      </w:r>
      <w:r>
        <w:rPr>
          <w:spacing w:val="-55"/>
        </w:rPr>
        <w:t> </w:t>
      </w:r>
      <w:r>
        <w:rPr>
          <w:spacing w:val="-55"/>
        </w:rPr>
      </w:r>
      <w:r>
        <w:rPr/>
        <w:t>置、研究与开发活动以及融资活动等；对被投资单位具有重大影响，是指当持有被投资单位</w:t>
      </w:r>
      <w:r>
        <w:rPr>
          <w:spacing w:val="7"/>
        </w:rPr>
        <w:t> </w:t>
      </w:r>
      <w:r>
        <w:rPr>
          <w:rFonts w:ascii="宋体" w:hAnsi="宋体" w:cs="宋体" w:eastAsia="宋体" w:hint="default"/>
        </w:rPr>
        <w:t>20%</w:t>
      </w:r>
      <w:r>
        <w:rPr>
          <w:rFonts w:ascii="宋体" w:hAnsi="宋体" w:cs="宋体" w:eastAsia="宋体" w:hint="default"/>
          <w:w w:val="100"/>
        </w:rPr>
        <w:t> </w:t>
      </w:r>
      <w:r>
        <w:rPr/>
        <w:t>以上至</w:t>
      </w:r>
      <w:r>
        <w:rPr>
          <w:spacing w:val="-26"/>
        </w:rPr>
        <w:t> </w:t>
      </w:r>
      <w:r>
        <w:rPr>
          <w:rFonts w:ascii="宋体" w:hAnsi="宋体" w:cs="宋体" w:eastAsia="宋体" w:hint="default"/>
          <w:spacing w:val="-4"/>
        </w:rPr>
        <w:t>50%</w:t>
      </w:r>
      <w:r>
        <w:rPr>
          <w:spacing w:val="-4"/>
        </w:rPr>
        <w:t>的表决权资本时，具有重大影响。或虽不足</w:t>
      </w:r>
      <w:r>
        <w:rPr>
          <w:spacing w:val="-28"/>
        </w:rPr>
        <w:t> </w:t>
      </w:r>
      <w:r>
        <w:rPr>
          <w:rFonts w:ascii="宋体" w:hAnsi="宋体" w:cs="宋体" w:eastAsia="宋体" w:hint="default"/>
          <w:spacing w:val="-4"/>
        </w:rPr>
        <w:t>20%</w:t>
      </w:r>
      <w:r>
        <w:rPr>
          <w:spacing w:val="-4"/>
        </w:rPr>
        <w:t>，但符合下列条件之一时，具有重大影</w:t>
      </w:r>
      <w:r>
        <w:rPr>
          <w:spacing w:val="-93"/>
        </w:rPr>
        <w:t> </w:t>
      </w:r>
      <w:r>
        <w:rPr>
          <w:spacing w:val="-93"/>
        </w:rPr>
      </w:r>
      <w:r>
        <w:rPr>
          <w:spacing w:val="-1"/>
        </w:rPr>
        <w:t>响：在被投资单位的董事会或类似的权力机构中派有代表；参与被投资单位的政策制定过程；向</w:t>
      </w:r>
      <w:r>
        <w:rPr>
          <w:spacing w:val="-55"/>
        </w:rPr>
        <w:t> </w:t>
      </w:r>
      <w:r>
        <w:rPr>
          <w:spacing w:val="-55"/>
        </w:rPr>
      </w:r>
      <w:r>
        <w:rPr>
          <w:spacing w:val="-1"/>
        </w:rPr>
        <w:t>被投资单位派出管理人员；被投资单位依赖投资公司的技术或技术资料；与被投资单位之间发生</w:t>
      </w:r>
      <w:r>
        <w:rPr>
          <w:spacing w:val="-55"/>
        </w:rPr>
        <w:t> </w:t>
      </w:r>
      <w:r>
        <w:rPr>
          <w:spacing w:val="-55"/>
        </w:rPr>
      </w:r>
      <w:r>
        <w:rPr/>
        <w:t>重要交易。</w:t>
      </w:r>
      <w:r>
        <w:rPr>
          <w:rFonts w:ascii="宋体" w:hAnsi="宋体" w:cs="宋体" w:eastAsia="宋体" w:hint="default"/>
        </w:rPr>
        <w:t> </w:t>
      </w:r>
    </w:p>
    <w:p>
      <w:pPr>
        <w:pStyle w:val="Heading3"/>
        <w:spacing w:line="305" w:lineRule="exact"/>
        <w:ind w:right="0"/>
        <w:jc w:val="left"/>
        <w:rPr>
          <w:rFonts w:ascii="宋体" w:hAnsi="宋体" w:cs="宋体" w:eastAsia="宋体" w:hint="default"/>
        </w:rPr>
      </w:pPr>
      <w:r>
        <w:rPr>
          <w:rFonts w:ascii="宋体"/>
        </w:rPr>
        <w:t> </w:t>
      </w:r>
    </w:p>
    <w:p>
      <w:pPr>
        <w:spacing w:line="290" w:lineRule="auto" w:before="64"/>
        <w:ind w:left="216" w:right="5634" w:firstLine="0"/>
        <w:jc w:val="left"/>
        <w:rPr>
          <w:rFonts w:ascii="宋体" w:hAnsi="宋体" w:cs="宋体" w:eastAsia="宋体" w:hint="default"/>
          <w:sz w:val="21"/>
          <w:szCs w:val="21"/>
        </w:rPr>
      </w:pPr>
      <w:r>
        <w:rPr>
          <w:rFonts w:ascii="宋体" w:hAnsi="宋体" w:cs="宋体" w:eastAsia="宋体" w:hint="default"/>
          <w:b/>
          <w:bCs/>
          <w:sz w:val="21"/>
          <w:szCs w:val="21"/>
        </w:rPr>
        <w:t>21.</w:t>
      </w:r>
      <w:r>
        <w:rPr>
          <w:rFonts w:ascii="宋体" w:hAnsi="宋体" w:cs="宋体" w:eastAsia="宋体" w:hint="default"/>
          <w:b/>
          <w:bCs/>
          <w:spacing w:val="2"/>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如果采用成本计量模式的：</w:t>
      </w:r>
      <w:r>
        <w:rPr>
          <w:rFonts w:ascii="宋体" w:hAnsi="宋体" w:cs="宋体" w:eastAsia="宋体" w:hint="default"/>
          <w:b/>
          <w:bCs/>
          <w:w w:val="99"/>
          <w:sz w:val="21"/>
          <w:szCs w:val="21"/>
        </w:rPr>
        <w:t> </w:t>
      </w:r>
      <w:r>
        <w:rPr>
          <w:rFonts w:ascii="宋体" w:hAnsi="宋体" w:cs="宋体" w:eastAsia="宋体" w:hint="default"/>
          <w:sz w:val="21"/>
          <w:szCs w:val="21"/>
        </w:rPr>
        <w:t>折旧或摊销方法</w:t>
      </w:r>
      <w:r>
        <w:rPr>
          <w:rFonts w:ascii="宋体" w:hAnsi="宋体" w:cs="宋体" w:eastAsia="宋体" w:hint="default"/>
          <w:sz w:val="21"/>
          <w:szCs w:val="21"/>
        </w:rPr>
        <w:t> </w:t>
      </w:r>
    </w:p>
    <w:p>
      <w:pPr>
        <w:pStyle w:val="BodyText"/>
        <w:spacing w:line="227" w:lineRule="exact"/>
        <w:ind w:left="216" w:right="0"/>
        <w:jc w:val="left"/>
      </w:pPr>
      <w:r>
        <w:rPr/>
        <w:t>本公司投资性房地产的类别，包括出租的土地使用权、出租的建筑物、持有并准备增值后转让的</w:t>
      </w:r>
    </w:p>
    <w:p>
      <w:pPr>
        <w:pStyle w:val="BodyText"/>
        <w:spacing w:line="237" w:lineRule="auto" w:before="2"/>
        <w:ind w:left="216" w:right="0"/>
        <w:jc w:val="left"/>
        <w:rPr>
          <w:rFonts w:ascii="宋体" w:hAnsi="宋体" w:cs="宋体" w:eastAsia="宋体" w:hint="default"/>
        </w:rPr>
      </w:pPr>
      <w:r>
        <w:rPr/>
        <w:t>土地使用权。投资性房地产按照成本进行初始计量，采用成本模式进行后续计量。</w:t>
      </w:r>
      <w:r>
        <w:rPr>
          <w:rFonts w:ascii="宋体" w:hAnsi="宋体" w:cs="宋体" w:eastAsia="宋体" w:hint="default"/>
          <w:w w:val="100"/>
        </w:rPr>
        <w:t> </w:t>
      </w:r>
      <w:r>
        <w:rPr>
          <w:spacing w:val="-1"/>
        </w:rPr>
        <w:t>本公司投资性房地产中出租的建筑物采用年限平均法计提折旧，具体核算政策与固定资产部分相</w:t>
      </w:r>
      <w:r>
        <w:rPr>
          <w:spacing w:val="-55"/>
        </w:rPr>
        <w:t> </w:t>
      </w:r>
      <w:r>
        <w:rPr>
          <w:spacing w:val="-55"/>
        </w:rPr>
      </w:r>
      <w:r>
        <w:rPr>
          <w:spacing w:val="-1"/>
        </w:rPr>
        <w:t>同。投资性房地产中出租的土地使用权、持有并准备增值后转让的土地使用权采用直线法摊销，</w:t>
      </w:r>
      <w:r>
        <w:rPr>
          <w:spacing w:val="-55"/>
        </w:rPr>
        <w:t> </w:t>
      </w:r>
      <w:r>
        <w:rPr>
          <w:spacing w:val="-55"/>
        </w:rPr>
      </w:r>
      <w:r>
        <w:rPr/>
        <w:t>具体核算政策与无形资产部分相同。</w:t>
      </w:r>
      <w:r>
        <w:rPr>
          <w:rFonts w:ascii="宋体" w:hAnsi="宋体" w:cs="宋体" w:eastAsia="宋体" w:hint="default"/>
        </w:rPr>
        <w:t> </w:t>
      </w:r>
    </w:p>
    <w:p>
      <w:pPr>
        <w:pStyle w:val="Heading3"/>
        <w:spacing w:line="307" w:lineRule="exact"/>
        <w:ind w:right="0"/>
        <w:jc w:val="left"/>
        <w:rPr>
          <w:rFonts w:ascii="宋体" w:hAnsi="宋体" w:cs="宋体" w:eastAsia="宋体" w:hint="default"/>
        </w:rPr>
      </w:pPr>
      <w:r>
        <w:rPr>
          <w:rFonts w:ascii="宋体"/>
        </w:rPr>
        <w:t> </w:t>
      </w:r>
    </w:p>
    <w:p>
      <w:pPr>
        <w:pStyle w:val="Heading5"/>
        <w:spacing w:line="290" w:lineRule="auto" w:before="61"/>
        <w:ind w:right="7379"/>
        <w:jc w:val="left"/>
        <w:rPr>
          <w:rFonts w:ascii="宋体" w:hAnsi="宋体" w:cs="宋体" w:eastAsia="宋体" w:hint="default"/>
          <w:b w:val="0"/>
          <w:bCs w:val="0"/>
        </w:rPr>
      </w:pPr>
      <w:r>
        <w:rPr>
          <w:rFonts w:ascii="宋体" w:hAnsi="宋体" w:cs="宋体" w:eastAsia="宋体" w:hint="default"/>
        </w:rPr>
        <w:t>22.</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6"/>
        <w:ind w:left="216" w:right="0"/>
        <w:jc w:val="left"/>
        <w:rPr>
          <w:rFonts w:ascii="宋体" w:hAnsi="宋体" w:cs="宋体" w:eastAsia="宋体" w:hint="default"/>
          <w:sz w:val="24"/>
          <w:szCs w:val="24"/>
        </w:rPr>
      </w:pPr>
      <w:r>
        <w:rPr>
          <w:sz w:val="24"/>
          <w:szCs w:val="24"/>
        </w:rPr>
        <w:t>√适用□不适用</w:t>
      </w:r>
      <w:r>
        <w:rPr>
          <w:rFonts w:ascii="宋体" w:hAnsi="宋体" w:cs="宋体" w:eastAsia="宋体" w:hint="default"/>
          <w:sz w:val="24"/>
          <w:szCs w:val="24"/>
        </w:rPr>
        <w:t>  </w:t>
      </w:r>
      <w:r>
        <w:rPr>
          <w:spacing w:val="-1"/>
        </w:rPr>
        <w:t>固定资产指为生产商品、提供劳务、出租或经营管理而持有的，使用寿命超过一个会计年度的有</w:t>
      </w:r>
      <w:r>
        <w:rPr>
          <w:spacing w:val="-55"/>
        </w:rPr>
        <w:t> </w:t>
      </w:r>
      <w:r>
        <w:rPr>
          <w:spacing w:val="-55"/>
        </w:rPr>
      </w:r>
      <w:r>
        <w:rPr>
          <w:spacing w:val="-1"/>
        </w:rPr>
        <w:t>形资产。同时满足以下条件时予以确认：与该固定资产有关的经济利益很可能流入企业；该固定</w:t>
      </w:r>
      <w:r>
        <w:rPr>
          <w:spacing w:val="-55"/>
        </w:rPr>
        <w:t> </w:t>
      </w:r>
      <w:r>
        <w:rPr>
          <w:spacing w:val="-55"/>
        </w:rPr>
      </w:r>
      <w:r>
        <w:rPr/>
        <w:t>资产的成本能够可靠地计量。</w:t>
      </w:r>
      <w:r>
        <w:rPr>
          <w:rFonts w:ascii="宋体" w:hAnsi="宋体" w:cs="宋体" w:eastAsia="宋体" w:hint="default"/>
          <w:b/>
          <w:bCs/>
          <w:w w:val="99"/>
          <w:sz w:val="24"/>
          <w:szCs w:val="24"/>
        </w:rPr>
        <w:t> </w:t>
      </w:r>
      <w:r>
        <w:rPr>
          <w:rFonts w:ascii="宋体" w:hAnsi="宋体" w:cs="宋体" w:eastAsia="宋体" w:hint="default"/>
          <w:sz w:val="24"/>
          <w:szCs w:val="24"/>
        </w:rPr>
      </w:r>
    </w:p>
    <w:p>
      <w:pPr>
        <w:pStyle w:val="Heading3"/>
        <w:spacing w:line="304" w:lineRule="exact"/>
        <w:ind w:right="0"/>
        <w:jc w:val="left"/>
        <w:rPr>
          <w:rFonts w:ascii="宋体" w:hAnsi="宋体" w:cs="宋体" w:eastAsia="宋体" w:hint="default"/>
        </w:rPr>
      </w:pPr>
      <w:r>
        <w:rPr>
          <w:rFonts w:ascii="宋体"/>
        </w:rPr>
        <w:t> </w:t>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(2).</w:t>
      </w:r>
      <w:r>
        <w:rPr/>
        <w:t>折旧方法</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0"/>
        <w:jc w:val="left"/>
        <w:rPr>
          <w:rFonts w:ascii="宋体" w:hAnsi="宋体" w:cs="宋体" w:eastAsia="宋体" w:hint="default"/>
        </w:rPr>
      </w:pPr>
      <w:r>
        <w:rPr/>
        <w:t>√适用□不适用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19"/>
        <w:gridCol w:w="1832"/>
        <w:gridCol w:w="1834"/>
        <w:gridCol w:w="1834"/>
        <w:gridCol w:w="1832"/>
      </w:tblGrid>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折旧方法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right"/>
              <w:rPr>
                <w:rFonts w:ascii="宋体" w:hAnsi="宋体" w:cs="宋体" w:eastAsia="宋体" w:hint="default"/>
                <w:sz w:val="21"/>
                <w:szCs w:val="21"/>
              </w:rPr>
            </w:pPr>
            <w:r>
              <w:rPr>
                <w:rFonts w:ascii="宋体" w:hAnsi="宋体" w:cs="宋体" w:eastAsia="宋体" w:hint="default"/>
                <w:spacing w:val="-2"/>
                <w:sz w:val="21"/>
                <w:szCs w:val="21"/>
              </w:rPr>
              <w:t>折旧年限（年）</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5"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 </w:t>
            </w:r>
          </w:p>
        </w:tc>
      </w:tr>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30-45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3.23%-2.16%</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99"/>
              <w:jc w:val="right"/>
              <w:rPr>
                <w:rFonts w:ascii="Times New Roman" w:hAnsi="Times New Roman" w:cs="Times New Roman" w:eastAsia="Times New Roman" w:hint="default"/>
                <w:sz w:val="20"/>
                <w:szCs w:val="20"/>
              </w:rPr>
            </w:pPr>
            <w:r>
              <w:rPr>
                <w:rFonts w:ascii="Times New Roman"/>
                <w:sz w:val="20"/>
              </w:rPr>
              <w:t>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99"/>
              <w:jc w:val="right"/>
              <w:rPr>
                <w:rFonts w:ascii="Times New Roman" w:hAnsi="Times New Roman" w:cs="Times New Roman" w:eastAsia="Times New Roman" w:hint="default"/>
                <w:sz w:val="20"/>
                <w:szCs w:val="20"/>
              </w:rPr>
            </w:pPr>
            <w:r>
              <w:rPr>
                <w:rFonts w:ascii="Times New Roman"/>
                <w:sz w:val="20"/>
              </w:rPr>
              <w:t>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99"/>
              <w:jc w:val="right"/>
              <w:rPr>
                <w:rFonts w:ascii="Times New Roman" w:hAnsi="Times New Roman" w:cs="Times New Roman" w:eastAsia="Times New Roman" w:hint="default"/>
                <w:sz w:val="20"/>
                <w:szCs w:val="20"/>
              </w:rPr>
            </w:pPr>
            <w:r>
              <w:rPr>
                <w:rFonts w:ascii="Times New Roman"/>
                <w:sz w:val="20"/>
              </w:rPr>
              <w:t>9.70%</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9.70%</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19.40%</w:t>
            </w:r>
          </w:p>
        </w:tc>
      </w:tr>
    </w:tbl>
    <w:p>
      <w:pPr>
        <w:pStyle w:val="Heading3"/>
        <w:spacing w:line="274" w:lineRule="exact"/>
        <w:ind w:right="0"/>
        <w:jc w:val="left"/>
        <w:rPr>
          <w:rFonts w:ascii="宋体" w:hAnsi="宋体" w:cs="宋体" w:eastAsia="宋体" w:hint="default"/>
        </w:rPr>
      </w:pPr>
      <w:r>
        <w:rPr>
          <w:rFonts w:ascii="宋体"/>
        </w:rPr>
        <w:t> </w:t>
      </w:r>
    </w:p>
    <w:p>
      <w:pPr>
        <w:spacing w:after="0" w:line="274" w:lineRule="exact"/>
        <w:jc w:val="left"/>
        <w:rPr>
          <w:rFonts w:ascii="宋体" w:hAnsi="宋体" w:cs="宋体" w:eastAsia="宋体" w:hint="default"/>
        </w:rPr>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pStyle w:val="Heading5"/>
        <w:spacing w:line="240" w:lineRule="auto" w:before="36"/>
        <w:ind w:left="136" w:right="0"/>
        <w:jc w:val="left"/>
        <w:rPr>
          <w:rFonts w:ascii="宋体" w:hAnsi="宋体" w:cs="宋体" w:eastAsia="宋体" w:hint="default"/>
          <w:b w:val="0"/>
          <w:bCs w:val="0"/>
        </w:rPr>
      </w:pPr>
      <w:r>
        <w:rPr>
          <w:rFonts w:ascii="宋体" w:hAnsi="宋体" w:cs="宋体" w:eastAsia="宋体" w:hint="default"/>
        </w:rPr>
        <w:t>(3).</w:t>
      </w:r>
      <w:r>
        <w:rPr/>
        <w:t>融资租入固定资产的认定依据、计价和折旧方法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0"/>
        <w:ind w:right="0"/>
        <w:jc w:val="left"/>
        <w:rPr>
          <w:rFonts w:ascii="宋体" w:hAnsi="宋体" w:cs="宋体" w:eastAsia="宋体" w:hint="default"/>
        </w:rPr>
      </w:pPr>
      <w:r>
        <w:rPr>
          <w:sz w:val="24"/>
          <w:szCs w:val="24"/>
        </w:rPr>
        <w:t>√适用□不适用</w:t>
      </w:r>
      <w:r>
        <w:rPr>
          <w:rFonts w:ascii="宋体" w:hAnsi="宋体" w:cs="宋体" w:eastAsia="宋体" w:hint="default"/>
          <w:sz w:val="24"/>
          <w:szCs w:val="24"/>
        </w:rPr>
        <w:t>  </w:t>
      </w:r>
      <w:r>
        <w:rPr>
          <w:spacing w:val="-1"/>
        </w:rPr>
        <w:t>融资租入固定资产为实质上转移了与资产所有权有关的全部风险和报酬的租赁。融资租入固定资</w:t>
      </w:r>
      <w:r>
        <w:rPr>
          <w:spacing w:val="-55"/>
        </w:rPr>
        <w:t> </w:t>
      </w:r>
      <w:r>
        <w:rPr>
          <w:spacing w:val="-55"/>
        </w:rPr>
      </w:r>
      <w:r>
        <w:rPr>
          <w:spacing w:val="-1"/>
        </w:rPr>
        <w:t>产初始计价为租赁期开始日租赁资产公允价值与最低租赁付款额现值较低者作为入账价值；融资</w:t>
      </w:r>
      <w:r>
        <w:rPr>
          <w:spacing w:val="-55"/>
        </w:rPr>
        <w:t> </w:t>
      </w:r>
      <w:r>
        <w:rPr>
          <w:spacing w:val="-55"/>
        </w:rPr>
      </w:r>
      <w:r>
        <w:rPr/>
        <w:t>租入固定资产后续计价采用与自有固定资产相一致的折旧政策计提折旧及减值准备。</w:t>
      </w:r>
      <w:r>
        <w:rPr>
          <w:rFonts w:ascii="宋体" w:hAnsi="宋体" w:cs="宋体" w:eastAsia="宋体" w:hint="default"/>
        </w:rPr>
        <w:t> </w:t>
      </w:r>
    </w:p>
    <w:p>
      <w:pPr>
        <w:pStyle w:val="Heading3"/>
        <w:spacing w:line="307" w:lineRule="exact"/>
        <w:ind w:left="136" w:right="0"/>
        <w:jc w:val="left"/>
        <w:rPr>
          <w:rFonts w:ascii="宋体" w:hAnsi="宋体" w:cs="宋体" w:eastAsia="宋体" w:hint="default"/>
        </w:rPr>
      </w:pPr>
      <w:r>
        <w:rPr>
          <w:rFonts w:ascii="宋体"/>
        </w:rPr>
        <w:t> </w:t>
      </w:r>
    </w:p>
    <w:p>
      <w:pPr>
        <w:pStyle w:val="Heading5"/>
        <w:spacing w:line="240" w:lineRule="auto" w:before="61"/>
        <w:ind w:left="136" w:right="0"/>
        <w:jc w:val="left"/>
        <w:rPr>
          <w:b w:val="0"/>
          <w:bCs w:val="0"/>
        </w:rPr>
      </w:pPr>
      <w:r>
        <w:rPr>
          <w:rFonts w:ascii="宋体" w:hAnsi="宋体" w:cs="宋体" w:eastAsia="宋体" w:hint="default"/>
        </w:rPr>
        <w:t>23.</w:t>
      </w:r>
      <w:r>
        <w:rPr>
          <w:rFonts w:ascii="宋体" w:hAnsi="宋体" w:cs="宋体" w:eastAsia="宋体" w:hint="default"/>
          <w:spacing w:val="2"/>
        </w:rPr>
        <w:t> </w:t>
      </w:r>
      <w:r>
        <w:rPr/>
        <w:t>在建工程</w:t>
      </w:r>
      <w:r>
        <w:rPr>
          <w:b w:val="0"/>
          <w:bCs w:val="0"/>
        </w:rPr>
      </w:r>
    </w:p>
    <w:p>
      <w:pPr>
        <w:pStyle w:val="BodyText"/>
        <w:spacing w:line="240" w:lineRule="auto" w:before="52"/>
        <w:ind w:right="0"/>
        <w:jc w:val="left"/>
      </w:pPr>
      <w:r>
        <w:rPr>
          <w:sz w:val="24"/>
          <w:szCs w:val="24"/>
        </w:rPr>
        <w:t>√适用□不适用</w:t>
      </w:r>
      <w:r>
        <w:rPr>
          <w:rFonts w:ascii="宋体" w:hAnsi="宋体" w:cs="宋体" w:eastAsia="宋体" w:hint="default"/>
          <w:sz w:val="24"/>
          <w:szCs w:val="24"/>
        </w:rPr>
        <w:t>  </w:t>
      </w:r>
      <w:r>
        <w:rPr>
          <w:spacing w:val="-1"/>
        </w:rPr>
        <w:t>本公司在建工程分为自营方式建造和出包方式建造两种。在建工程在工程完工达到预定可使用状</w:t>
      </w:r>
      <w:r>
        <w:rPr>
          <w:spacing w:val="-55"/>
        </w:rPr>
        <w:t> </w:t>
      </w:r>
      <w:r>
        <w:rPr>
          <w:spacing w:val="-55"/>
        </w:rPr>
      </w:r>
      <w:r>
        <w:rPr>
          <w:spacing w:val="-1"/>
        </w:rPr>
        <w:t>态时，结转固定资产。预定可使用状态的判断标准，应符合下列情况之一：固定资产的实体建造</w:t>
      </w:r>
    </w:p>
    <w:p>
      <w:pPr>
        <w:pStyle w:val="BodyText"/>
        <w:spacing w:line="237" w:lineRule="auto"/>
        <w:ind w:right="106"/>
        <w:jc w:val="left"/>
        <w:rPr>
          <w:rFonts w:ascii="宋体" w:hAnsi="宋体" w:cs="宋体" w:eastAsia="宋体" w:hint="default"/>
        </w:rPr>
      </w:pPr>
      <w:r>
        <w:rPr>
          <w:spacing w:val="-1"/>
        </w:rPr>
        <w:t>（包括安装）工作已经全部完成或实质上已经全部完成；已经试生产或试运行，并且其结果表明</w:t>
      </w:r>
      <w:r>
        <w:rPr>
          <w:spacing w:val="-55"/>
        </w:rPr>
        <w:t> </w:t>
      </w:r>
      <w:r>
        <w:rPr>
          <w:spacing w:val="-55"/>
        </w:rPr>
      </w:r>
      <w:r>
        <w:rPr>
          <w:spacing w:val="-1"/>
        </w:rPr>
        <w:t>资产能够正常运行或能够稳定地生产出合格产品，或者试运行结果表明其能够正常运转或营业；</w:t>
      </w:r>
      <w:r>
        <w:rPr>
          <w:spacing w:val="-55"/>
        </w:rPr>
        <w:t> </w:t>
      </w:r>
      <w:r>
        <w:rPr>
          <w:spacing w:val="-55"/>
        </w:rPr>
      </w:r>
      <w:r>
        <w:rPr>
          <w:spacing w:val="-1"/>
        </w:rPr>
        <w:t>该项建造的固定资产上的支出金额很少或者几乎不再发生；所购建的固定资产已经达到设计或合</w:t>
      </w:r>
      <w:r>
        <w:rPr>
          <w:spacing w:val="-55"/>
        </w:rPr>
        <w:t> </w:t>
      </w:r>
      <w:r>
        <w:rPr>
          <w:spacing w:val="-55"/>
        </w:rPr>
      </w:r>
      <w:r>
        <w:rPr/>
        <w:t>同要求，或与设计或合同要求基本相符。</w:t>
      </w:r>
      <w:r>
        <w:rPr>
          <w:rFonts w:ascii="宋体" w:hAnsi="宋体" w:cs="宋体" w:eastAsia="宋体" w:hint="default"/>
          <w:w w:val="100"/>
        </w:rPr>
        <w:t> </w:t>
      </w:r>
      <w:r>
        <w:rPr>
          <w:spacing w:val="-6"/>
          <w:w w:val="100"/>
        </w:rPr>
        <w:t>本公司在建工程在工程完工达到预定可使用状态时，结转固定资产。预定可使用状态的判断标准，</w:t>
      </w:r>
      <w:r>
        <w:rPr>
          <w:spacing w:val="-104"/>
          <w:w w:val="100"/>
        </w:rPr>
        <w:t> </w:t>
      </w:r>
      <w:r>
        <w:rPr>
          <w:spacing w:val="-104"/>
          <w:w w:val="100"/>
        </w:rPr>
      </w:r>
      <w:r>
        <w:rPr/>
        <w:t>应符合下列情况之一：</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①</w:t>
      </w:r>
      <w:r>
        <w:rPr>
          <w:spacing w:val="-9"/>
        </w:rPr>
        <w:t> </w:t>
      </w:r>
      <w:r>
        <w:rPr>
          <w:rFonts w:ascii="宋体" w:hAnsi="宋体" w:cs="宋体" w:eastAsia="宋体" w:hint="default"/>
          <w:spacing w:val="-9"/>
        </w:rPr>
      </w:r>
      <w:r>
        <w:rPr/>
        <w:t>固定资产的实体建造（包括安装）工作已经全部完成或实质上已经全部完成；</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t>②</w:t>
      </w:r>
      <w:r>
        <w:rPr>
          <w:spacing w:val="53"/>
        </w:rPr>
        <w:t> </w:t>
      </w:r>
      <w:r>
        <w:rPr>
          <w:rFonts w:ascii="宋体" w:hAnsi="宋体" w:cs="宋体" w:eastAsia="宋体" w:hint="default"/>
          <w:spacing w:val="53"/>
        </w:rPr>
      </w:r>
      <w:r>
        <w:rPr>
          <w:spacing w:val="-4"/>
        </w:rPr>
        <w:t>已经试生产或试运行，并且其结果表明资产能够正常运行或能够稳定地生产出合格产品，或者</w:t>
      </w:r>
      <w:r>
        <w:rPr>
          <w:spacing w:val="-95"/>
        </w:rPr>
        <w:t> </w:t>
      </w:r>
      <w:r>
        <w:rPr>
          <w:spacing w:val="-95"/>
        </w:rPr>
      </w:r>
      <w:r>
        <w:rPr/>
        <w:t>试运行结果表明其能够正常运转或营业；</w:t>
      </w:r>
      <w:r>
        <w:rPr>
          <w:rFonts w:ascii="宋体" w:hAnsi="宋体" w:cs="宋体" w:eastAsia="宋体" w:hint="default"/>
        </w:rPr>
        <w:t> </w:t>
      </w:r>
    </w:p>
    <w:p>
      <w:pPr>
        <w:pStyle w:val="BodyText"/>
        <w:spacing w:line="247" w:lineRule="exact"/>
        <w:ind w:right="0"/>
        <w:jc w:val="left"/>
        <w:rPr>
          <w:rFonts w:ascii="宋体" w:hAnsi="宋体" w:cs="宋体" w:eastAsia="宋体" w:hint="default"/>
        </w:rPr>
      </w:pPr>
      <w:r>
        <w:rPr/>
        <w:t>③</w:t>
      </w:r>
      <w:r>
        <w:rPr>
          <w:spacing w:val="-6"/>
        </w:rPr>
        <w:t> </w:t>
      </w:r>
      <w:r>
        <w:rPr>
          <w:rFonts w:ascii="宋体" w:hAnsi="宋体" w:cs="宋体" w:eastAsia="宋体" w:hint="default"/>
          <w:spacing w:val="-6"/>
        </w:rPr>
      </w:r>
      <w:r>
        <w:rPr/>
        <w:t>该项建造的固定资产上的支出金额很少或者几乎不再发生；</w:t>
      </w:r>
      <w:r>
        <w:rPr>
          <w:rFonts w:ascii="宋体" w:hAnsi="宋体" w:cs="宋体" w:eastAsia="宋体" w:hint="default"/>
        </w:rPr>
        <w:t> </w:t>
      </w:r>
    </w:p>
    <w:p>
      <w:pPr>
        <w:pStyle w:val="BodyText"/>
        <w:spacing w:line="269" w:lineRule="exact"/>
        <w:ind w:right="0"/>
        <w:jc w:val="left"/>
        <w:rPr>
          <w:rFonts w:ascii="宋体" w:hAnsi="宋体" w:cs="宋体" w:eastAsia="宋体" w:hint="default"/>
          <w:sz w:val="24"/>
          <w:szCs w:val="24"/>
        </w:rPr>
      </w:pPr>
      <w:r>
        <w:rPr/>
        <w:t>④</w:t>
      </w:r>
      <w:r>
        <w:rPr>
          <w:spacing w:val="-9"/>
        </w:rPr>
        <w:t> </w:t>
      </w:r>
      <w:r>
        <w:rPr>
          <w:rFonts w:ascii="宋体" w:hAnsi="宋体" w:cs="宋体" w:eastAsia="宋体" w:hint="default"/>
          <w:spacing w:val="-9"/>
        </w:rPr>
      </w:r>
      <w:r>
        <w:rPr/>
        <w:t>所购建的固定资产已经达到设计或合同要求，或与设计或合同要求基本相符。</w:t>
      </w:r>
      <w:r>
        <w:rPr>
          <w:rFonts w:ascii="宋体" w:hAnsi="宋体" w:cs="宋体" w:eastAsia="宋体" w:hint="default"/>
          <w:sz w:val="24"/>
          <w:szCs w:val="24"/>
        </w:rPr>
        <w:t> </w:t>
      </w:r>
    </w:p>
    <w:p>
      <w:pPr>
        <w:pStyle w:val="Heading3"/>
        <w:spacing w:line="310" w:lineRule="exact"/>
        <w:ind w:left="136" w:right="0"/>
        <w:jc w:val="left"/>
        <w:rPr>
          <w:rFonts w:ascii="宋体" w:hAnsi="宋体" w:cs="宋体" w:eastAsia="宋体" w:hint="default"/>
        </w:rPr>
      </w:pPr>
      <w:r>
        <w:rPr>
          <w:rFonts w:ascii="宋体"/>
        </w:rPr>
        <w:t> </w:t>
      </w:r>
    </w:p>
    <w:p>
      <w:pPr>
        <w:pStyle w:val="Heading5"/>
        <w:spacing w:line="240" w:lineRule="auto" w:before="61"/>
        <w:ind w:left="136" w:right="0"/>
        <w:jc w:val="left"/>
        <w:rPr>
          <w:b w:val="0"/>
          <w:bCs w:val="0"/>
        </w:rPr>
      </w:pPr>
      <w:r>
        <w:rPr>
          <w:rFonts w:ascii="宋体" w:hAnsi="宋体" w:cs="宋体" w:eastAsia="宋体" w:hint="default"/>
        </w:rPr>
        <w:t>24.</w:t>
      </w:r>
      <w:r>
        <w:rPr>
          <w:rFonts w:ascii="宋体" w:hAnsi="宋体" w:cs="宋体" w:eastAsia="宋体" w:hint="default"/>
          <w:spacing w:val="2"/>
        </w:rPr>
        <w:t> </w:t>
      </w:r>
      <w:r>
        <w:rPr/>
        <w:t>借款费用</w:t>
      </w:r>
      <w:r>
        <w:rPr>
          <w:b w:val="0"/>
          <w:bCs w:val="0"/>
        </w:rPr>
      </w:r>
    </w:p>
    <w:p>
      <w:pPr>
        <w:pStyle w:val="Heading3"/>
        <w:spacing w:line="240" w:lineRule="auto" w:before="52"/>
        <w:ind w:left="136" w:right="0"/>
        <w:jc w:val="left"/>
        <w:rPr>
          <w:rFonts w:ascii="宋体" w:hAnsi="宋体" w:cs="宋体" w:eastAsia="宋体" w:hint="default"/>
        </w:rPr>
      </w:pPr>
      <w:r>
        <w:rPr/>
        <w:t>√适用□不适用</w:t>
      </w:r>
      <w:r>
        <w:rPr>
          <w:rFonts w:ascii="宋体" w:hAnsi="宋体" w:cs="宋体" w:eastAsia="宋体" w:hint="default"/>
        </w:rPr>
        <w:t>  </w:t>
      </w:r>
    </w:p>
    <w:p>
      <w:pPr>
        <w:pStyle w:val="BodyText"/>
        <w:spacing w:line="237" w:lineRule="auto" w:before="4"/>
        <w:ind w:right="0"/>
        <w:jc w:val="left"/>
        <w:rPr>
          <w:rFonts w:ascii="宋体" w:hAnsi="宋体" w:cs="宋体" w:eastAsia="宋体" w:hint="default"/>
        </w:rPr>
      </w:pPr>
      <w:r>
        <w:rPr>
          <w:rFonts w:ascii="宋体" w:hAnsi="宋体" w:cs="宋体" w:eastAsia="宋体" w:hint="default"/>
        </w:rPr>
        <w:t>1</w:t>
      </w:r>
      <w:r>
        <w:rPr/>
        <w:t>、借款费用资本化的确认原则</w:t>
      </w:r>
      <w:r>
        <w:rPr>
          <w:rFonts w:ascii="宋体" w:hAnsi="宋体" w:cs="宋体" w:eastAsia="宋体" w:hint="default"/>
          <w:w w:val="100"/>
        </w:rPr>
        <w:t> </w:t>
      </w:r>
      <w:r>
        <w:rPr>
          <w:spacing w:val="-1"/>
        </w:rPr>
        <w:t>本公司发生的借款费用，可直接归属于符合资本化条件的资产的购建或者生产的，予以资本化，</w:t>
      </w:r>
      <w:r>
        <w:rPr>
          <w:spacing w:val="-55"/>
        </w:rPr>
        <w:t> </w:t>
      </w:r>
      <w:r>
        <w:rPr>
          <w:spacing w:val="-55"/>
        </w:rPr>
      </w:r>
      <w:r>
        <w:rPr>
          <w:spacing w:val="-1"/>
        </w:rPr>
        <w:t>计入相关资产成本；其他借款费用，在发生时根据其发生额确认为费用，计入当期损益。符合资</w:t>
      </w:r>
      <w:r>
        <w:rPr>
          <w:spacing w:val="-55"/>
        </w:rPr>
        <w:t> </w:t>
      </w:r>
      <w:r>
        <w:rPr>
          <w:spacing w:val="-55"/>
        </w:rPr>
      </w:r>
      <w:r>
        <w:rPr>
          <w:spacing w:val="-1"/>
        </w:rPr>
        <w:t>本化条件的资产，是指需要经过相当长时间的购建或者生产活动才能达到预定可使用或者可销售</w:t>
      </w:r>
      <w:r>
        <w:rPr>
          <w:spacing w:val="-55"/>
        </w:rPr>
        <w:t> </w:t>
      </w:r>
      <w:r>
        <w:rPr>
          <w:spacing w:val="-55"/>
        </w:rPr>
      </w:r>
      <w:r>
        <w:rPr/>
        <w:t>状态的固定资产、投资性房地产和存货等资产。</w:t>
      </w:r>
      <w:r>
        <w:rPr>
          <w:rFonts w:ascii="宋体" w:hAnsi="宋体" w:cs="宋体" w:eastAsia="宋体" w:hint="default"/>
        </w:rPr>
        <w:t> </w:t>
      </w:r>
    </w:p>
    <w:p>
      <w:pPr>
        <w:pStyle w:val="BodyText"/>
        <w:spacing w:line="237" w:lineRule="auto" w:before="1"/>
        <w:ind w:right="105"/>
        <w:jc w:val="left"/>
        <w:rPr>
          <w:rFonts w:ascii="宋体" w:hAnsi="宋体" w:cs="宋体" w:eastAsia="宋体" w:hint="default"/>
        </w:rPr>
      </w:pPr>
      <w:r>
        <w:rPr>
          <w:rFonts w:ascii="宋体" w:hAnsi="宋体" w:cs="宋体" w:eastAsia="宋体" w:hint="default"/>
        </w:rPr>
        <w:t>2</w:t>
      </w:r>
      <w:r>
        <w:rPr/>
        <w:t>、资本化金额计算方法</w:t>
      </w:r>
      <w:r>
        <w:rPr>
          <w:rFonts w:ascii="宋体" w:hAnsi="宋体" w:cs="宋体" w:eastAsia="宋体" w:hint="default"/>
          <w:w w:val="100"/>
        </w:rPr>
        <w:t> </w:t>
      </w:r>
      <w:r>
        <w:rPr>
          <w:spacing w:val="-1"/>
        </w:rPr>
        <w:t>资本化期间，是指从借款费用开始资本化时点到停止资本化时点的期间。借款费用暂停资本化的</w:t>
      </w:r>
      <w:r>
        <w:rPr>
          <w:spacing w:val="-55"/>
        </w:rPr>
        <w:t> </w:t>
      </w:r>
      <w:r>
        <w:rPr>
          <w:spacing w:val="-55"/>
        </w:rPr>
      </w:r>
      <w:r>
        <w:rPr/>
        <w:t>期间不包括在内。在购建或生产过程中发生非正常中断、且中断时间连续超过</w:t>
      </w:r>
      <w:r>
        <w:rPr>
          <w:spacing w:val="-51"/>
        </w:rPr>
        <w:t> </w:t>
      </w:r>
      <w:r>
        <w:rPr>
          <w:rFonts w:ascii="宋体" w:hAnsi="宋体" w:cs="宋体" w:eastAsia="宋体" w:hint="default"/>
        </w:rPr>
        <w:t>3</w:t>
      </w:r>
      <w:r>
        <w:rPr>
          <w:rFonts w:ascii="宋体" w:hAnsi="宋体" w:cs="宋体" w:eastAsia="宋体" w:hint="default"/>
          <w:spacing w:val="-49"/>
        </w:rPr>
        <w:t> </w:t>
      </w:r>
      <w:r>
        <w:rPr/>
        <w:t>个月的，应当暂</w:t>
      </w:r>
      <w:r>
        <w:rPr>
          <w:w w:val="100"/>
        </w:rPr>
        <w:t> </w:t>
      </w:r>
      <w:r>
        <w:rPr/>
        <w:t>停借款费用的资本化。</w:t>
      </w:r>
      <w:r>
        <w:rPr>
          <w:rFonts w:ascii="宋体" w:hAnsi="宋体" w:cs="宋体" w:eastAsia="宋体" w:hint="default"/>
          <w:w w:val="100"/>
        </w:rPr>
        <w:t> </w:t>
      </w:r>
      <w:r>
        <w:rPr>
          <w:spacing w:val="-1"/>
        </w:rPr>
        <w:t>借入专门借款，按照专门借款当期实际发生的利息费用，减去将尚未动用的借款资金存入银行取</w:t>
      </w:r>
      <w:r>
        <w:rPr>
          <w:spacing w:val="-55"/>
        </w:rPr>
        <w:t> </w:t>
      </w:r>
      <w:r>
        <w:rPr>
          <w:spacing w:val="-55"/>
        </w:rPr>
      </w:r>
      <w:r>
        <w:rPr>
          <w:spacing w:val="-1"/>
        </w:rPr>
        <w:t>得的利息收入或进行暂时性投资取得的投资收益后的金额确定；占用一般借款按照累计资产支出</w:t>
      </w:r>
      <w:r>
        <w:rPr>
          <w:spacing w:val="-55"/>
        </w:rPr>
        <w:t> </w:t>
      </w:r>
      <w:r>
        <w:rPr>
          <w:spacing w:val="-55"/>
        </w:rPr>
      </w:r>
      <w:r>
        <w:rPr>
          <w:spacing w:val="-1"/>
        </w:rPr>
        <w:t>超过专门借款部分的资产支出加权平均数乘以所占用一般借款的资本化率计算确定，资本化率为</w:t>
      </w:r>
      <w:r>
        <w:rPr>
          <w:spacing w:val="-55"/>
        </w:rPr>
        <w:t> </w:t>
      </w:r>
      <w:r>
        <w:rPr>
          <w:spacing w:val="-55"/>
        </w:rPr>
      </w:r>
      <w:r>
        <w:rPr>
          <w:spacing w:val="-1"/>
        </w:rPr>
        <w:t>一般借款的加权平均利率；借款存在折价或溢价的，按照实际利率法确定每一会计期间应摊销的</w:t>
      </w:r>
      <w:r>
        <w:rPr>
          <w:spacing w:val="-55"/>
        </w:rPr>
        <w:t> </w:t>
      </w:r>
      <w:r>
        <w:rPr>
          <w:spacing w:val="-55"/>
        </w:rPr>
      </w:r>
      <w:r>
        <w:rPr/>
        <w:t>折价或溢价金额，调整每期利息金额。</w:t>
      </w:r>
      <w:r>
        <w:rPr>
          <w:rFonts w:ascii="宋体" w:hAnsi="宋体" w:cs="宋体" w:eastAsia="宋体" w:hint="default"/>
          <w:w w:val="100"/>
        </w:rPr>
        <w:t> </w:t>
      </w:r>
      <w:r>
        <w:rPr>
          <w:spacing w:val="-1"/>
        </w:rPr>
        <w:t>实际利率法是根据借款实际利率计算其摊余折价或溢价或利息费用的方法。其中实际利率是借款</w:t>
      </w:r>
      <w:r>
        <w:rPr>
          <w:spacing w:val="-55"/>
        </w:rPr>
        <w:t> </w:t>
      </w:r>
      <w:r>
        <w:rPr>
          <w:spacing w:val="-55"/>
        </w:rPr>
      </w:r>
      <w:r>
        <w:rPr/>
        <w:t>在预期存续期间的未来现金流量，折现为该借款当前账面价值所使用的利率。</w:t>
      </w:r>
      <w:r>
        <w:rPr>
          <w:rFonts w:ascii="宋体" w:hAnsi="宋体" w:cs="宋体" w:eastAsia="宋体" w:hint="default"/>
        </w:rPr>
        <w:t> </w:t>
      </w:r>
    </w:p>
    <w:p>
      <w:pPr>
        <w:pStyle w:val="Heading3"/>
        <w:spacing w:line="305" w:lineRule="exact"/>
        <w:ind w:left="136" w:right="0"/>
        <w:jc w:val="left"/>
        <w:rPr>
          <w:rFonts w:ascii="宋体" w:hAnsi="宋体" w:cs="宋体" w:eastAsia="宋体" w:hint="default"/>
        </w:rPr>
      </w:pPr>
      <w:r>
        <w:rPr>
          <w:rFonts w:ascii="宋体"/>
        </w:rPr>
        <w:t> </w:t>
      </w:r>
    </w:p>
    <w:p>
      <w:pPr>
        <w:pStyle w:val="Heading5"/>
        <w:spacing w:line="240" w:lineRule="auto"/>
        <w:ind w:left="136" w:right="0"/>
        <w:jc w:val="left"/>
        <w:rPr>
          <w:b w:val="0"/>
          <w:bCs w:val="0"/>
        </w:rPr>
      </w:pPr>
      <w:r>
        <w:rPr>
          <w:rFonts w:ascii="宋体" w:hAnsi="宋体" w:cs="宋体" w:eastAsia="宋体" w:hint="default"/>
        </w:rPr>
        <w:t>25.</w:t>
      </w:r>
      <w:r>
        <w:rPr>
          <w:rFonts w:ascii="宋体" w:hAnsi="宋体" w:cs="宋体" w:eastAsia="宋体" w:hint="default"/>
          <w:spacing w:val="2"/>
        </w:rPr>
        <w:t> </w:t>
      </w:r>
      <w:r>
        <w:rPr/>
        <w:t>生物资产</w:t>
      </w:r>
      <w:r>
        <w:rPr>
          <w:b w:val="0"/>
          <w:bCs w:val="0"/>
        </w:rPr>
      </w:r>
    </w:p>
    <w:p>
      <w:pPr>
        <w:pStyle w:val="Heading3"/>
        <w:spacing w:line="313" w:lineRule="exact" w:before="50"/>
        <w:ind w:left="136" w:right="0"/>
        <w:jc w:val="left"/>
        <w:rPr>
          <w:rFonts w:ascii="宋体" w:hAnsi="宋体" w:cs="宋体" w:eastAsia="宋体" w:hint="default"/>
        </w:rPr>
      </w:pPr>
      <w:r>
        <w:rPr/>
        <w:t>□适用√不适用</w:t>
      </w:r>
      <w:r>
        <w:rPr>
          <w:rFonts w:ascii="宋体" w:hAnsi="宋体" w:cs="宋体" w:eastAsia="宋体" w:hint="default"/>
        </w:rPr>
        <w:t>  </w:t>
      </w:r>
    </w:p>
    <w:p>
      <w:pPr>
        <w:pStyle w:val="Heading3"/>
        <w:spacing w:line="313" w:lineRule="exact"/>
        <w:ind w:left="136" w:right="0"/>
        <w:jc w:val="left"/>
        <w:rPr>
          <w:rFonts w:ascii="宋体" w:hAnsi="宋体" w:cs="宋体" w:eastAsia="宋体" w:hint="default"/>
        </w:rPr>
      </w:pPr>
      <w:r>
        <w:rPr>
          <w:rFonts w:ascii="宋体"/>
        </w:rPr>
        <w:t> </w:t>
      </w:r>
    </w:p>
    <w:p>
      <w:pPr>
        <w:pStyle w:val="Heading5"/>
        <w:spacing w:line="240" w:lineRule="auto"/>
        <w:ind w:left="136" w:right="0"/>
        <w:jc w:val="left"/>
        <w:rPr>
          <w:b w:val="0"/>
          <w:bCs w:val="0"/>
        </w:rPr>
      </w:pPr>
      <w:r>
        <w:rPr>
          <w:rFonts w:ascii="宋体" w:hAnsi="宋体" w:cs="宋体" w:eastAsia="宋体" w:hint="default"/>
        </w:rPr>
        <w:t>26.</w:t>
      </w:r>
      <w:r>
        <w:rPr>
          <w:rFonts w:ascii="宋体" w:hAnsi="宋体" w:cs="宋体" w:eastAsia="宋体" w:hint="default"/>
          <w:spacing w:val="2"/>
        </w:rPr>
        <w:t> </w:t>
      </w:r>
      <w:r>
        <w:rPr/>
        <w:t>油气资产</w:t>
      </w:r>
      <w:r>
        <w:rPr>
          <w:b w:val="0"/>
          <w:bCs w:val="0"/>
        </w:rPr>
      </w:r>
    </w:p>
    <w:p>
      <w:pPr>
        <w:pStyle w:val="Heading3"/>
        <w:spacing w:line="313" w:lineRule="exact" w:before="50"/>
        <w:ind w:left="136" w:right="0"/>
        <w:jc w:val="left"/>
        <w:rPr>
          <w:rFonts w:ascii="宋体" w:hAnsi="宋体" w:cs="宋体" w:eastAsia="宋体" w:hint="default"/>
        </w:rPr>
      </w:pPr>
      <w:r>
        <w:rPr/>
        <w:t>□适用√不适用</w:t>
      </w:r>
      <w:r>
        <w:rPr>
          <w:rFonts w:ascii="宋体" w:hAnsi="宋体" w:cs="宋体" w:eastAsia="宋体" w:hint="default"/>
        </w:rPr>
        <w:t>  </w:t>
      </w:r>
    </w:p>
    <w:p>
      <w:pPr>
        <w:pStyle w:val="Heading3"/>
        <w:spacing w:line="313" w:lineRule="exact"/>
        <w:ind w:left="136"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pgSz w:w="11910" w:h="16840"/>
          <w:pgMar w:header="882" w:footer="1195" w:top="1120" w:bottom="1380" w:left="1140" w:right="1680"/>
        </w:sectPr>
      </w:pPr>
    </w:p>
    <w:p>
      <w:pPr>
        <w:spacing w:line="240" w:lineRule="auto" w:before="9"/>
        <w:rPr>
          <w:rFonts w:ascii="宋体" w:hAnsi="宋体" w:cs="宋体" w:eastAsia="宋体" w:hint="default"/>
          <w:sz w:val="18"/>
          <w:szCs w:val="18"/>
        </w:rPr>
      </w:pPr>
    </w:p>
    <w:p>
      <w:pPr>
        <w:pStyle w:val="Heading5"/>
        <w:spacing w:line="240" w:lineRule="auto" w:before="36"/>
        <w:ind w:left="136" w:right="0"/>
        <w:jc w:val="left"/>
        <w:rPr>
          <w:b w:val="0"/>
          <w:bCs w:val="0"/>
        </w:rPr>
      </w:pPr>
      <w:r>
        <w:rPr>
          <w:rFonts w:ascii="宋体" w:hAnsi="宋体" w:cs="宋体" w:eastAsia="宋体" w:hint="default"/>
        </w:rPr>
        <w:t>27.</w:t>
      </w:r>
      <w:r>
        <w:rPr>
          <w:rFonts w:ascii="宋体" w:hAnsi="宋体" w:cs="宋体" w:eastAsia="宋体" w:hint="default"/>
          <w:spacing w:val="3"/>
        </w:rPr>
        <w:t> </w:t>
      </w:r>
      <w:r>
        <w:rPr/>
        <w:t>使用权资产</w:t>
      </w:r>
      <w:r>
        <w:rPr>
          <w:b w:val="0"/>
          <w:bCs w:val="0"/>
        </w:rPr>
      </w:r>
    </w:p>
    <w:p>
      <w:pPr>
        <w:pStyle w:val="Heading3"/>
        <w:spacing w:line="313" w:lineRule="exact" w:before="50"/>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136" w:right="0"/>
        <w:jc w:val="left"/>
        <w:rPr>
          <w:rFonts w:ascii="宋体" w:hAnsi="宋体" w:cs="宋体" w:eastAsia="宋体" w:hint="default"/>
        </w:rPr>
      </w:pPr>
      <w:r>
        <w:rPr>
          <w:rFonts w:ascii="宋体"/>
        </w:rPr>
        <w:t> </w:t>
      </w:r>
    </w:p>
    <w:p>
      <w:pPr>
        <w:pStyle w:val="Heading5"/>
        <w:spacing w:line="290" w:lineRule="auto"/>
        <w:ind w:left="136" w:right="4959"/>
        <w:jc w:val="left"/>
        <w:rPr>
          <w:rFonts w:ascii="宋体" w:hAnsi="宋体" w:cs="宋体" w:eastAsia="宋体" w:hint="default"/>
          <w:b w:val="0"/>
          <w:bCs w:val="0"/>
        </w:rPr>
      </w:pPr>
      <w:r>
        <w:rPr>
          <w:rFonts w:ascii="宋体" w:hAnsi="宋体" w:cs="宋体" w:eastAsia="宋体" w:hint="default"/>
        </w:rPr>
        <w:t>28.</w:t>
      </w:r>
      <w:r>
        <w:rPr>
          <w:rFonts w:ascii="宋体" w:hAnsi="宋体" w:cs="宋体" w:eastAsia="宋体" w:hint="default"/>
          <w:spacing w:val="2"/>
        </w:rPr>
        <w:t> </w:t>
      </w:r>
      <w:r>
        <w:rPr/>
        <w:t>无形资产</w:t>
      </w:r>
      <w:r>
        <w:rPr>
          <w:w w:val="100"/>
        </w:rPr>
        <w:t> </w:t>
      </w:r>
      <w:r>
        <w:rPr>
          <w:rFonts w:ascii="宋体" w:hAnsi="宋体" w:cs="宋体" w:eastAsia="宋体" w:hint="default"/>
        </w:rPr>
        <w:t>(1).</w:t>
      </w:r>
      <w:r>
        <w:rPr/>
        <w:t>计价方法、使用寿命、减值测试</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left="136" w:right="0"/>
        <w:jc w:val="left"/>
        <w:rPr>
          <w:rFonts w:ascii="宋体" w:hAnsi="宋体" w:cs="宋体" w:eastAsia="宋体" w:hint="default"/>
        </w:rPr>
      </w:pPr>
      <w:r>
        <w:rPr/>
        <w:t>√适用□不适用</w:t>
      </w:r>
      <w:r>
        <w:rPr>
          <w:rFonts w:ascii="宋体" w:hAnsi="宋体" w:cs="宋体" w:eastAsia="宋体" w:hint="default"/>
        </w:rPr>
        <w:t>  </w:t>
      </w:r>
    </w:p>
    <w:p>
      <w:pPr>
        <w:pStyle w:val="BodyText"/>
        <w:spacing w:line="237" w:lineRule="auto" w:before="4"/>
        <w:ind w:right="0"/>
        <w:jc w:val="left"/>
        <w:rPr>
          <w:rFonts w:ascii="宋体" w:hAnsi="宋体" w:cs="宋体" w:eastAsia="宋体" w:hint="default"/>
        </w:rPr>
      </w:pPr>
      <w:r>
        <w:rPr>
          <w:rFonts w:ascii="宋体" w:hAnsi="宋体" w:cs="宋体" w:eastAsia="宋体" w:hint="default"/>
        </w:rPr>
        <w:t>1</w:t>
      </w:r>
      <w:r>
        <w:rPr/>
        <w:t>、无形资产的计价方法</w:t>
      </w:r>
      <w:r>
        <w:rPr>
          <w:rFonts w:ascii="宋体" w:hAnsi="宋体" w:cs="宋体" w:eastAsia="宋体" w:hint="default"/>
          <w:w w:val="100"/>
        </w:rPr>
        <w:t> </w:t>
      </w:r>
      <w:r>
        <w:rPr>
          <w:spacing w:val="-1"/>
        </w:rPr>
        <w:t>本公司无形资产按照成本进行初始计量。购入的无形资产，按实际支付的价款和相关支出作为实</w:t>
      </w:r>
      <w:r>
        <w:rPr>
          <w:spacing w:val="-55"/>
        </w:rPr>
        <w:t> </w:t>
      </w:r>
      <w:r>
        <w:rPr>
          <w:spacing w:val="-55"/>
        </w:rPr>
      </w:r>
      <w:r>
        <w:rPr>
          <w:spacing w:val="-1"/>
        </w:rPr>
        <w:t>际成本。投资者投入的无形资产，按投资合同或协议约定的价值确定实际成本，但合同或协议约</w:t>
      </w:r>
      <w:r>
        <w:rPr>
          <w:spacing w:val="-55"/>
        </w:rPr>
        <w:t> </w:t>
      </w:r>
      <w:r>
        <w:rPr>
          <w:spacing w:val="-55"/>
        </w:rPr>
      </w:r>
      <w:r>
        <w:rPr>
          <w:spacing w:val="-1"/>
        </w:rPr>
        <w:t>定价值不公允的，按公允价值确定实际成本。自行开发的无形资产，其成本为达到预定用途前所</w:t>
      </w:r>
      <w:r>
        <w:rPr>
          <w:spacing w:val="-55"/>
        </w:rPr>
        <w:t> </w:t>
      </w:r>
      <w:r>
        <w:rPr>
          <w:spacing w:val="-55"/>
        </w:rPr>
      </w:r>
      <w:r>
        <w:rPr/>
        <w:t>发生的支出总额。</w:t>
      </w:r>
      <w:r>
        <w:rPr>
          <w:rFonts w:ascii="宋体" w:hAnsi="宋体" w:cs="宋体" w:eastAsia="宋体" w:hint="default"/>
          <w:w w:val="100"/>
        </w:rPr>
        <w:t> </w:t>
      </w:r>
      <w:r>
        <w:rPr>
          <w:spacing w:val="-1"/>
        </w:rPr>
        <w:t>本公司无形资产后续计量方法分别为：使用寿命有限无形资产采用直线法摊销，并在年度终了，</w:t>
      </w:r>
      <w:r>
        <w:rPr>
          <w:spacing w:val="-55"/>
        </w:rPr>
        <w:t> </w:t>
      </w:r>
      <w:r>
        <w:rPr>
          <w:spacing w:val="-55"/>
        </w:rPr>
      </w:r>
      <w:r>
        <w:rPr>
          <w:spacing w:val="-1"/>
        </w:rPr>
        <w:t>对无形资产的使用寿命和摊销方法进行复核，如与原先估计数存在差异的，进行相应的调整；使</w:t>
      </w:r>
      <w:r>
        <w:rPr>
          <w:spacing w:val="-55"/>
        </w:rPr>
        <w:t> </w:t>
      </w:r>
      <w:r>
        <w:rPr>
          <w:spacing w:val="-55"/>
        </w:rPr>
      </w:r>
      <w:r>
        <w:rPr>
          <w:spacing w:val="-1"/>
        </w:rPr>
        <w:t>用寿命不确定的无形资产不摊销，但在年度终了，对使用寿命进行复核，当有确凿证据表明其使</w:t>
      </w:r>
      <w:r>
        <w:rPr>
          <w:spacing w:val="-54"/>
        </w:rPr>
        <w:t> </w:t>
      </w:r>
      <w:r>
        <w:rPr>
          <w:spacing w:val="-54"/>
        </w:rPr>
      </w:r>
      <w:r>
        <w:rPr/>
        <w:t>用寿命是有限的，则估计其使用寿命，按直线法进行摊销。</w:t>
      </w:r>
      <w:r>
        <w:rPr>
          <w:rFonts w:ascii="宋体" w:hAnsi="宋体" w:cs="宋体" w:eastAsia="宋体" w:hint="default"/>
        </w:rPr>
        <w:t> </w:t>
      </w:r>
    </w:p>
    <w:p>
      <w:pPr>
        <w:pStyle w:val="BodyText"/>
        <w:spacing w:line="237" w:lineRule="auto" w:before="1"/>
        <w:ind w:right="0"/>
        <w:jc w:val="left"/>
        <w:rPr>
          <w:rFonts w:ascii="宋体" w:hAnsi="宋体" w:cs="宋体" w:eastAsia="宋体" w:hint="default"/>
        </w:rPr>
      </w:pPr>
      <w:r>
        <w:rPr>
          <w:rFonts w:ascii="宋体" w:hAnsi="宋体" w:cs="宋体" w:eastAsia="宋体" w:hint="default"/>
        </w:rPr>
        <w:t>2</w:t>
      </w:r>
      <w:r>
        <w:rPr/>
        <w:t>、使用寿命不确定的判断依据</w:t>
      </w:r>
      <w:r>
        <w:rPr>
          <w:rFonts w:ascii="宋体" w:hAnsi="宋体" w:cs="宋体" w:eastAsia="宋体" w:hint="default"/>
          <w:w w:val="100"/>
        </w:rPr>
        <w:t> </w:t>
      </w:r>
      <w:r>
        <w:rPr>
          <w:spacing w:val="-1"/>
        </w:rPr>
        <w:t>本公司将无法预见该资产为公司带来经济利益的期限，或使用期限不确定等无形资产确定为使用</w:t>
      </w:r>
      <w:r>
        <w:rPr>
          <w:spacing w:val="-55"/>
        </w:rPr>
        <w:t> </w:t>
      </w:r>
      <w:r>
        <w:rPr>
          <w:spacing w:val="-55"/>
        </w:rPr>
      </w:r>
      <w:r>
        <w:rPr>
          <w:spacing w:val="-1"/>
        </w:rPr>
        <w:t>寿命不确定的无形资产。使用寿命不确定的判断依据为：来源于合同性权利或其他法定权利，但</w:t>
      </w:r>
      <w:r>
        <w:rPr>
          <w:spacing w:val="-55"/>
        </w:rPr>
        <w:t> </w:t>
      </w:r>
      <w:r>
        <w:rPr>
          <w:spacing w:val="-55"/>
        </w:rPr>
      </w:r>
      <w:r>
        <w:rPr>
          <w:spacing w:val="-1"/>
        </w:rPr>
        <w:t>合同规定或法律规定无明确使用年限；综合同行业情况或相关专家论证等，仍无法判断无形资产</w:t>
      </w:r>
      <w:r>
        <w:rPr>
          <w:spacing w:val="-55"/>
        </w:rPr>
        <w:t> </w:t>
      </w:r>
      <w:r>
        <w:rPr>
          <w:spacing w:val="-55"/>
        </w:rPr>
      </w:r>
      <w:r>
        <w:rPr/>
        <w:t>为公司带来经济利益的期限。</w:t>
      </w:r>
      <w:r>
        <w:rPr>
          <w:rFonts w:ascii="宋体" w:hAnsi="宋体" w:cs="宋体" w:eastAsia="宋体" w:hint="default"/>
          <w:w w:val="100"/>
        </w:rPr>
        <w:t> </w:t>
      </w:r>
      <w:r>
        <w:rPr>
          <w:spacing w:val="-1"/>
        </w:rPr>
        <w:t>每年年末，对使用寿命不确定无形资产使用寿命进行复核，主要采取自下而上的方式，由无形资</w:t>
      </w:r>
      <w:r>
        <w:rPr>
          <w:spacing w:val="-55"/>
        </w:rPr>
        <w:t> </w:t>
      </w:r>
      <w:r>
        <w:rPr>
          <w:spacing w:val="-55"/>
        </w:rPr>
      </w:r>
      <w:r>
        <w:rPr/>
        <w:t>产使用相关部门进行基础复核，评价使用寿命不确定判断依据是否存在变化等。</w:t>
      </w:r>
      <w:r>
        <w:rPr>
          <w:rFonts w:ascii="宋体" w:hAnsi="宋体" w:cs="宋体" w:eastAsia="宋体" w:hint="default"/>
        </w:rPr>
        <w:t> </w:t>
      </w:r>
    </w:p>
    <w:p>
      <w:pPr>
        <w:pStyle w:val="Heading3"/>
        <w:spacing w:line="305" w:lineRule="exact"/>
        <w:ind w:left="136" w:right="0"/>
        <w:jc w:val="left"/>
        <w:rPr>
          <w:rFonts w:ascii="宋体" w:hAnsi="宋体" w:cs="宋体" w:eastAsia="宋体" w:hint="default"/>
        </w:rPr>
      </w:pPr>
      <w:r>
        <w:rPr>
          <w:rFonts w:ascii="宋体"/>
        </w:rPr>
        <w:t> </w:t>
      </w:r>
    </w:p>
    <w:p>
      <w:pPr>
        <w:pStyle w:val="Heading5"/>
        <w:spacing w:line="240" w:lineRule="auto"/>
        <w:ind w:left="136" w:right="0"/>
        <w:jc w:val="left"/>
        <w:rPr>
          <w:rFonts w:ascii="宋体" w:hAnsi="宋体" w:cs="宋体" w:eastAsia="宋体" w:hint="default"/>
          <w:b w:val="0"/>
          <w:bCs w:val="0"/>
        </w:rPr>
      </w:pPr>
      <w:r>
        <w:rPr>
          <w:rFonts w:ascii="宋体" w:hAnsi="宋体" w:cs="宋体" w:eastAsia="宋体" w:hint="default"/>
        </w:rPr>
        <w:t>(2).</w:t>
      </w:r>
      <w:r>
        <w:rPr/>
        <w:t>内部研究开发支出会计政策</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53"/>
        <w:ind w:right="103"/>
        <w:jc w:val="left"/>
        <w:rPr>
          <w:rFonts w:ascii="宋体" w:hAnsi="宋体" w:cs="宋体" w:eastAsia="宋体" w:hint="default"/>
        </w:rPr>
      </w:pPr>
      <w:r>
        <w:rPr>
          <w:sz w:val="24"/>
          <w:szCs w:val="24"/>
        </w:rPr>
        <w:t>√适用□不适用</w:t>
      </w:r>
      <w:r>
        <w:rPr>
          <w:rFonts w:ascii="宋体" w:hAnsi="宋体" w:cs="宋体" w:eastAsia="宋体" w:hint="default"/>
          <w:sz w:val="24"/>
          <w:szCs w:val="24"/>
        </w:rPr>
        <w:t>  </w:t>
      </w:r>
      <w:r>
        <w:rPr>
          <w:spacing w:val="-1"/>
        </w:rPr>
        <w:t>内部研究开发项目研究阶段的支出，于发生时计入当期损益；开发阶段的支出，同时满足下列条</w:t>
      </w:r>
      <w:r>
        <w:rPr>
          <w:spacing w:val="-55"/>
        </w:rPr>
        <w:t> </w:t>
      </w:r>
      <w:r>
        <w:rPr>
          <w:spacing w:val="-55"/>
        </w:rPr>
      </w:r>
      <w:r>
        <w:rPr>
          <w:spacing w:val="-11"/>
        </w:rPr>
        <w:t>件的，确认为无形资产：</w:t>
      </w:r>
      <w:r>
        <w:rPr>
          <w:rFonts w:ascii="宋体" w:hAnsi="宋体" w:cs="宋体" w:eastAsia="宋体" w:hint="default"/>
          <w:spacing w:val="-11"/>
        </w:rPr>
        <w:t>(1)</w:t>
      </w:r>
      <w:r>
        <w:rPr>
          <w:rFonts w:ascii="宋体" w:hAnsi="宋体" w:cs="宋体" w:eastAsia="宋体" w:hint="default"/>
          <w:spacing w:val="31"/>
        </w:rPr>
        <w:t> </w:t>
      </w:r>
      <w:r>
        <w:rPr>
          <w:spacing w:val="-4"/>
        </w:rPr>
        <w:t>完成该无形资产以使其能够使用或出售在技术上具有可行性；</w:t>
      </w:r>
      <w:r>
        <w:rPr>
          <w:rFonts w:ascii="宋体" w:hAnsi="宋体" w:cs="宋体" w:eastAsia="宋体" w:hint="default"/>
          <w:spacing w:val="-4"/>
        </w:rPr>
        <w:t>(2)</w:t>
      </w:r>
      <w:r>
        <w:rPr>
          <w:rFonts w:ascii="宋体" w:hAnsi="宋体" w:cs="宋体" w:eastAsia="宋体" w:hint="default"/>
          <w:spacing w:val="29"/>
        </w:rPr>
        <w:t> </w:t>
      </w:r>
      <w:r>
        <w:rPr/>
        <w:t>具</w:t>
      </w:r>
      <w:r>
        <w:rPr>
          <w:spacing w:val="-99"/>
        </w:rPr>
        <w:t> </w:t>
      </w:r>
      <w:r>
        <w:rPr/>
        <w:t>有完成该无形资产并使用或出售的意图；</w:t>
      </w:r>
      <w:r>
        <w:rPr>
          <w:rFonts w:ascii="宋体" w:hAnsi="宋体" w:cs="宋体" w:eastAsia="宋体" w:hint="default"/>
        </w:rPr>
        <w:t>(3)</w:t>
      </w:r>
      <w:r>
        <w:rPr>
          <w:rFonts w:ascii="宋体" w:hAnsi="宋体" w:cs="宋体" w:eastAsia="宋体" w:hint="default"/>
          <w:spacing w:val="7"/>
        </w:rPr>
        <w:t> </w:t>
      </w:r>
      <w:r>
        <w:rPr/>
        <w:t>无形资产产生经济利益的方式，包括能够证明运用</w:t>
      </w:r>
      <w:r>
        <w:rPr>
          <w:w w:val="100"/>
        </w:rPr>
        <w:t> </w:t>
      </w:r>
      <w:r>
        <w:rPr>
          <w:spacing w:val="-1"/>
        </w:rPr>
        <w:t>该无形资产生产的产品存在市场或无形资产自身存在市场，无形资产将在内部使用的，能证明其</w:t>
      </w:r>
      <w:r>
        <w:rPr>
          <w:spacing w:val="-55"/>
        </w:rPr>
        <w:t> </w:t>
      </w:r>
      <w:r>
        <w:rPr>
          <w:spacing w:val="-55"/>
        </w:rPr>
      </w:r>
      <w:r>
        <w:rPr/>
        <w:t>有用性；</w:t>
      </w:r>
      <w:r>
        <w:rPr>
          <w:rFonts w:ascii="宋体" w:hAnsi="宋体" w:cs="宋体" w:eastAsia="宋体" w:hint="default"/>
        </w:rPr>
        <w:t>(4)</w:t>
      </w:r>
      <w:r>
        <w:rPr>
          <w:rFonts w:ascii="宋体" w:hAnsi="宋体" w:cs="宋体" w:eastAsia="宋体" w:hint="default"/>
          <w:spacing w:val="7"/>
        </w:rPr>
        <w:t> </w:t>
      </w:r>
      <w:r>
        <w:rPr/>
        <w:t>有足够的技术、财务资源和其他资源支持，以完成该无形资产的开发，并有能力使</w:t>
      </w:r>
      <w:r>
        <w:rPr>
          <w:w w:val="100"/>
        </w:rPr>
        <w:t> </w:t>
      </w:r>
      <w:r>
        <w:rPr/>
        <w:t>用或出售该无形资产；</w:t>
      </w:r>
      <w:r>
        <w:rPr>
          <w:rFonts w:ascii="宋体" w:hAnsi="宋体" w:cs="宋体" w:eastAsia="宋体" w:hint="default"/>
        </w:rPr>
        <w:t>(5)</w:t>
      </w:r>
      <w:r>
        <w:rPr>
          <w:rFonts w:ascii="宋体" w:hAnsi="宋体" w:cs="宋体" w:eastAsia="宋体" w:hint="default"/>
          <w:spacing w:val="-1"/>
        </w:rPr>
        <w:t> </w:t>
      </w:r>
      <w:r>
        <w:rPr/>
        <w:t>归属于该无形资产开发阶段的支出能够可靠地计量。</w:t>
      </w:r>
      <w:r>
        <w:rPr>
          <w:rFonts w:ascii="宋体" w:hAnsi="宋体" w:cs="宋体" w:eastAsia="宋体" w:hint="default"/>
          <w:w w:val="100"/>
        </w:rPr>
        <w:t> </w:t>
      </w:r>
      <w:r>
        <w:rPr>
          <w:spacing w:val="-1"/>
        </w:rPr>
        <w:t>划分内部研究开发项目的研究阶段和开发阶段的具体标准：为获取新的技术和知识等进行的有计</w:t>
      </w:r>
      <w:r>
        <w:rPr>
          <w:spacing w:val="-55"/>
        </w:rPr>
        <w:t> </w:t>
      </w:r>
      <w:r>
        <w:rPr>
          <w:spacing w:val="-55"/>
        </w:rPr>
      </w:r>
      <w:r>
        <w:rPr>
          <w:spacing w:val="-1"/>
        </w:rPr>
        <w:t>划的调查阶段，应确定为研究阶段，该阶段具有计划性和探索性等特点；在进行商业性生产或使</w:t>
      </w:r>
      <w:r>
        <w:rPr>
          <w:spacing w:val="-55"/>
        </w:rPr>
        <w:t> </w:t>
      </w:r>
      <w:r>
        <w:rPr>
          <w:spacing w:val="-55"/>
        </w:rPr>
      </w:r>
      <w:r>
        <w:rPr>
          <w:spacing w:val="-1"/>
        </w:rPr>
        <w:t>用前，将研究成果或其他知识应用于某项计划或设计，以生产出新的或具有实质性改进的材料、</w:t>
      </w:r>
      <w:r>
        <w:rPr>
          <w:spacing w:val="-55"/>
        </w:rPr>
        <w:t> </w:t>
      </w:r>
      <w:r>
        <w:rPr>
          <w:spacing w:val="-55"/>
        </w:rPr>
      </w:r>
      <w:r>
        <w:rPr/>
        <w:t>装置、产品等阶段，应确定为开发阶段，该阶段具有针对性和形成成果的可能性较大等特点。</w:t>
      </w:r>
      <w:r>
        <w:rPr>
          <w:rFonts w:ascii="宋体" w:hAnsi="宋体" w:cs="宋体" w:eastAsia="宋体" w:hint="default"/>
        </w:rPr>
        <w:t> </w:t>
      </w:r>
    </w:p>
    <w:p>
      <w:pPr>
        <w:pStyle w:val="Heading3"/>
        <w:spacing w:line="307" w:lineRule="exact"/>
        <w:ind w:left="136" w:right="0"/>
        <w:jc w:val="left"/>
        <w:rPr>
          <w:rFonts w:ascii="宋体" w:hAnsi="宋体" w:cs="宋体" w:eastAsia="宋体" w:hint="default"/>
        </w:rPr>
      </w:pPr>
      <w:r>
        <w:rPr>
          <w:rFonts w:ascii="宋体"/>
        </w:rPr>
        <w:t> </w:t>
      </w:r>
    </w:p>
    <w:p>
      <w:pPr>
        <w:pStyle w:val="Heading5"/>
        <w:spacing w:line="240" w:lineRule="auto" w:before="61"/>
        <w:ind w:left="136" w:right="0"/>
        <w:jc w:val="left"/>
        <w:rPr>
          <w:b w:val="0"/>
          <w:bCs w:val="0"/>
        </w:rPr>
      </w:pPr>
      <w:r>
        <w:rPr>
          <w:rFonts w:ascii="宋体" w:hAnsi="宋体" w:cs="宋体" w:eastAsia="宋体" w:hint="default"/>
        </w:rPr>
        <w:t>29.</w:t>
      </w:r>
      <w:r>
        <w:rPr>
          <w:rFonts w:ascii="宋体" w:hAnsi="宋体" w:cs="宋体" w:eastAsia="宋体" w:hint="default"/>
          <w:spacing w:val="3"/>
        </w:rPr>
        <w:t> </w:t>
      </w:r>
      <w:r>
        <w:rPr/>
        <w:t>长期资产减值</w:t>
      </w:r>
      <w:r>
        <w:rPr>
          <w:b w:val="0"/>
          <w:bCs w:val="0"/>
        </w:rPr>
      </w:r>
    </w:p>
    <w:p>
      <w:pPr>
        <w:pStyle w:val="BodyText"/>
        <w:spacing w:line="237" w:lineRule="auto" w:before="56"/>
        <w:ind w:right="0"/>
        <w:jc w:val="left"/>
      </w:pPr>
      <w:r>
        <w:rPr>
          <w:sz w:val="24"/>
          <w:szCs w:val="24"/>
        </w:rPr>
        <w:t>√适用□不适用</w:t>
      </w:r>
      <w:r>
        <w:rPr>
          <w:rFonts w:ascii="宋体" w:hAnsi="宋体" w:cs="宋体" w:eastAsia="宋体" w:hint="default"/>
          <w:sz w:val="24"/>
          <w:szCs w:val="24"/>
        </w:rPr>
        <w:t>  </w:t>
      </w:r>
      <w:r>
        <w:rPr>
          <w:spacing w:val="-1"/>
        </w:rPr>
        <w:t>长期股权投资、采用成本模式计量的投资性房地产、固定资产、在建工程、采用成本模式计量的</w:t>
      </w:r>
      <w:r>
        <w:rPr>
          <w:spacing w:val="-55"/>
        </w:rPr>
        <w:t> </w:t>
      </w:r>
      <w:r>
        <w:rPr>
          <w:spacing w:val="-55"/>
        </w:rPr>
      </w:r>
      <w:r>
        <w:rPr>
          <w:spacing w:val="-1"/>
        </w:rPr>
        <w:t>生产性生物资产、油气资产、无形资产、商誉等长期资产于资产负债表日存在减值迹象的，进行</w:t>
      </w:r>
      <w:r>
        <w:rPr>
          <w:spacing w:val="-55"/>
        </w:rPr>
        <w:t> </w:t>
      </w:r>
      <w:r>
        <w:rPr>
          <w:spacing w:val="-55"/>
        </w:rPr>
      </w:r>
      <w:r>
        <w:rPr>
          <w:spacing w:val="-1"/>
        </w:rPr>
        <w:t>减值测试。减值测试结果表明资产的可收回金额低于其账面价值的，按其差额计提减值准备并计</w:t>
      </w:r>
      <w:r>
        <w:rPr>
          <w:spacing w:val="-55"/>
        </w:rPr>
        <w:t> </w:t>
      </w:r>
      <w:r>
        <w:rPr>
          <w:spacing w:val="-55"/>
        </w:rPr>
      </w:r>
      <w:r>
        <w:rPr/>
        <w:t>入减值损失。</w:t>
      </w:r>
      <w:r>
        <w:rPr>
          <w:rFonts w:ascii="宋体" w:hAnsi="宋体" w:cs="宋体" w:eastAsia="宋体" w:hint="default"/>
          <w:w w:val="100"/>
        </w:rPr>
        <w:t> </w:t>
      </w:r>
      <w:r>
        <w:rPr>
          <w:spacing w:val="-1"/>
        </w:rPr>
        <w:t>可收回金额为资产的公允价值减去处置费用后的净额与资产预计未来现金流量的现值两者之间的</w:t>
      </w:r>
      <w:r>
        <w:rPr>
          <w:spacing w:val="-55"/>
        </w:rPr>
        <w:t> </w:t>
      </w:r>
      <w:r>
        <w:rPr>
          <w:spacing w:val="-55"/>
        </w:rPr>
      </w:r>
      <w:r>
        <w:rPr>
          <w:spacing w:val="-1"/>
        </w:rPr>
        <w:t>较高者。资产减值准备按单项资产为基础计算并确认，如果难以对单项资产的可收回金额进行估</w:t>
      </w:r>
      <w:r>
        <w:rPr>
          <w:spacing w:val="-55"/>
        </w:rPr>
        <w:t> </w:t>
      </w:r>
      <w:r>
        <w:rPr>
          <w:spacing w:val="-55"/>
        </w:rPr>
      </w:r>
      <w:r>
        <w:rPr>
          <w:spacing w:val="-1"/>
        </w:rPr>
        <w:t>计的，以该资产所属的资产组确定资产组的可收回金额。资产组是能够独立产生现金流入的最小</w:t>
      </w:r>
      <w:r>
        <w:rPr>
          <w:spacing w:val="-55"/>
        </w:rPr>
        <w:t> </w:t>
      </w:r>
      <w:r>
        <w:rPr>
          <w:spacing w:val="-55"/>
        </w:rPr>
      </w:r>
      <w:r>
        <w:rPr/>
        <w:t>资产组合。</w:t>
      </w:r>
      <w:r>
        <w:rPr>
          <w:rFonts w:ascii="宋体" w:hAnsi="宋体" w:cs="宋体" w:eastAsia="宋体" w:hint="default"/>
          <w:w w:val="100"/>
        </w:rPr>
        <w:t> </w:t>
      </w:r>
      <w:r>
        <w:rPr>
          <w:spacing w:val="-1"/>
        </w:rPr>
        <w:t>在财务报表中单独列示的商誉，无论是否存在减值迹象，至少每年进行减值测试。减值测试时，</w:t>
      </w:r>
      <w:r>
        <w:rPr>
          <w:spacing w:val="-55"/>
        </w:rPr>
        <w:t> </w:t>
      </w:r>
      <w:r>
        <w:rPr>
          <w:spacing w:val="-55"/>
        </w:rPr>
      </w:r>
      <w:r>
        <w:rPr>
          <w:spacing w:val="-1"/>
        </w:rPr>
        <w:t>商誉的账面价值分摊至预期从企业合并的协同效应中受益的资产组或资产组组合。测试结果表明</w:t>
      </w:r>
    </w:p>
    <w:p>
      <w:pPr>
        <w:spacing w:after="0" w:line="237" w:lineRule="auto"/>
        <w:jc w:val="left"/>
        <w:sectPr>
          <w:pgSz w:w="11910" w:h="16840"/>
          <w:pgMar w:header="882" w:footer="1195" w:top="1120" w:bottom="1380" w:left="1140" w:right="1680"/>
        </w:sectPr>
      </w:pPr>
    </w:p>
    <w:p>
      <w:pPr>
        <w:spacing w:line="240" w:lineRule="auto" w:before="9"/>
        <w:rPr>
          <w:rFonts w:ascii="宋体" w:hAnsi="宋体" w:cs="宋体" w:eastAsia="宋体" w:hint="default"/>
          <w:sz w:val="18"/>
          <w:szCs w:val="18"/>
        </w:rPr>
      </w:pPr>
    </w:p>
    <w:p>
      <w:pPr>
        <w:pStyle w:val="BodyText"/>
        <w:spacing w:line="237" w:lineRule="auto" w:before="38"/>
        <w:ind w:right="0"/>
        <w:jc w:val="left"/>
        <w:rPr>
          <w:rFonts w:ascii="宋体" w:hAnsi="宋体" w:cs="宋体" w:eastAsia="宋体" w:hint="default"/>
        </w:rPr>
      </w:pPr>
      <w:r>
        <w:rPr>
          <w:spacing w:val="-1"/>
        </w:rPr>
        <w:t>包含分摊的商誉的资产组或资产组组合的可收回金额低于其账面价值的，确认相应的减值损失。</w:t>
      </w:r>
      <w:r>
        <w:rPr>
          <w:spacing w:val="-55"/>
        </w:rPr>
        <w:t> </w:t>
      </w:r>
      <w:r>
        <w:rPr>
          <w:spacing w:val="-55"/>
        </w:rPr>
      </w:r>
      <w:r>
        <w:rPr>
          <w:spacing w:val="-1"/>
        </w:rPr>
        <w:t>减值损失金额先抵减分摊至该资产组或资产组组合的商誉的账面价值，再根据资产组或资产组组</w:t>
      </w:r>
      <w:r>
        <w:rPr>
          <w:spacing w:val="-55"/>
        </w:rPr>
        <w:t> </w:t>
      </w:r>
      <w:r>
        <w:rPr>
          <w:spacing w:val="-55"/>
        </w:rPr>
      </w:r>
      <w:r>
        <w:rPr/>
        <w:t>合中除商誉以外的其他各项资产的账面价值所占比重，按比例抵减其他各项资产的账面价值。</w:t>
      </w:r>
      <w:r>
        <w:rPr>
          <w:rFonts w:ascii="宋体" w:hAnsi="宋体" w:cs="宋体" w:eastAsia="宋体" w:hint="default"/>
          <w:w w:val="100"/>
        </w:rPr>
        <w:t> </w:t>
      </w:r>
      <w:r>
        <w:rPr/>
        <w:t>上述资产减值损失一经确认，以后期间不予转回价值得以恢复的部分。</w:t>
      </w:r>
      <w:r>
        <w:rPr>
          <w:rFonts w:ascii="宋体" w:hAnsi="宋体" w:cs="宋体" w:eastAsia="宋体" w:hint="default"/>
        </w:rPr>
        <w:t> </w:t>
      </w:r>
    </w:p>
    <w:p>
      <w:pPr>
        <w:pStyle w:val="Heading3"/>
        <w:spacing w:line="307" w:lineRule="exact"/>
        <w:ind w:left="136" w:right="0"/>
        <w:jc w:val="left"/>
        <w:rPr>
          <w:rFonts w:ascii="宋体" w:hAnsi="宋体" w:cs="宋体" w:eastAsia="宋体" w:hint="default"/>
        </w:rPr>
      </w:pPr>
      <w:r>
        <w:rPr>
          <w:rFonts w:ascii="宋体"/>
        </w:rPr>
        <w:t> </w:t>
      </w:r>
    </w:p>
    <w:p>
      <w:pPr>
        <w:pStyle w:val="Heading5"/>
        <w:spacing w:line="240" w:lineRule="auto"/>
        <w:ind w:left="136" w:right="0"/>
        <w:jc w:val="left"/>
        <w:rPr>
          <w:b w:val="0"/>
          <w:bCs w:val="0"/>
        </w:rPr>
      </w:pPr>
      <w:r>
        <w:rPr>
          <w:rFonts w:ascii="宋体" w:hAnsi="宋体" w:cs="宋体" w:eastAsia="宋体" w:hint="default"/>
        </w:rPr>
        <w:t>30.</w:t>
      </w:r>
      <w:r>
        <w:rPr>
          <w:rFonts w:ascii="宋体" w:hAnsi="宋体" w:cs="宋体" w:eastAsia="宋体" w:hint="default"/>
          <w:spacing w:val="3"/>
        </w:rPr>
        <w:t> </w:t>
      </w:r>
      <w:r>
        <w:rPr/>
        <w:t>长期待摊费用</w:t>
      </w:r>
      <w:r>
        <w:rPr>
          <w:b w:val="0"/>
          <w:bCs w:val="0"/>
        </w:rPr>
      </w:r>
    </w:p>
    <w:p>
      <w:pPr>
        <w:pStyle w:val="BodyText"/>
        <w:spacing w:line="240" w:lineRule="auto" w:before="50"/>
        <w:ind w:right="0"/>
        <w:jc w:val="left"/>
        <w:rPr>
          <w:rFonts w:ascii="宋体" w:hAnsi="宋体" w:cs="宋体" w:eastAsia="宋体" w:hint="default"/>
        </w:rPr>
      </w:pPr>
      <w:r>
        <w:rPr>
          <w:sz w:val="24"/>
          <w:szCs w:val="24"/>
        </w:rPr>
        <w:t>√适用□不适用</w:t>
      </w:r>
      <w:r>
        <w:rPr>
          <w:rFonts w:ascii="宋体" w:hAnsi="宋体" w:cs="宋体" w:eastAsia="宋体" w:hint="default"/>
          <w:sz w:val="24"/>
          <w:szCs w:val="24"/>
        </w:rPr>
        <w:t>  </w:t>
      </w:r>
      <w:r>
        <w:rPr>
          <w:spacing w:val="-1"/>
        </w:rPr>
        <w:t>本公司长期待摊费用是指已经支出，但受益期限在一年以上（不含一年）的各项费用。长期待摊</w:t>
      </w:r>
      <w:r>
        <w:rPr>
          <w:spacing w:val="-55"/>
        </w:rPr>
        <w:t> </w:t>
      </w:r>
      <w:r>
        <w:rPr>
          <w:spacing w:val="-55"/>
        </w:rPr>
      </w:r>
      <w:r>
        <w:rPr>
          <w:spacing w:val="-1"/>
        </w:rPr>
        <w:t>费用按费用项目的受益期限分期摊销。若长期待摊的费用项目不能使以后会计期间受益，则将尚</w:t>
      </w:r>
      <w:r>
        <w:rPr>
          <w:spacing w:val="-55"/>
        </w:rPr>
        <w:t> </w:t>
      </w:r>
      <w:r>
        <w:rPr>
          <w:spacing w:val="-55"/>
        </w:rPr>
      </w:r>
      <w:r>
        <w:rPr/>
        <w:t>未摊销的该项目的摊余价值全部转入当期损益。</w:t>
      </w:r>
      <w:r>
        <w:rPr>
          <w:rFonts w:ascii="宋体" w:hAnsi="宋体" w:cs="宋体" w:eastAsia="宋体" w:hint="default"/>
        </w:rPr>
        <w:t> </w:t>
      </w:r>
    </w:p>
    <w:p>
      <w:pPr>
        <w:pStyle w:val="Heading3"/>
        <w:spacing w:line="304" w:lineRule="exact"/>
        <w:ind w:left="136" w:right="0"/>
        <w:jc w:val="left"/>
        <w:rPr>
          <w:rFonts w:ascii="宋体" w:hAnsi="宋体" w:cs="宋体" w:eastAsia="宋体" w:hint="default"/>
        </w:rPr>
      </w:pPr>
      <w:r>
        <w:rPr>
          <w:rFonts w:ascii="宋体"/>
        </w:rPr>
        <w:t> </w:t>
      </w:r>
    </w:p>
    <w:p>
      <w:pPr>
        <w:pStyle w:val="Heading5"/>
        <w:spacing w:line="290" w:lineRule="auto"/>
        <w:ind w:left="136" w:right="4959"/>
        <w:jc w:val="left"/>
        <w:rPr>
          <w:rFonts w:ascii="宋体" w:hAnsi="宋体" w:cs="宋体" w:eastAsia="宋体" w:hint="default"/>
          <w:b w:val="0"/>
          <w:bCs w:val="0"/>
        </w:rPr>
      </w:pPr>
      <w:r>
        <w:rPr>
          <w:rFonts w:ascii="宋体" w:hAnsi="宋体" w:cs="宋体" w:eastAsia="宋体" w:hint="default"/>
        </w:rPr>
        <w:t>31.</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11"/>
        <w:ind w:right="0"/>
        <w:jc w:val="left"/>
        <w:rPr>
          <w:rFonts w:ascii="宋体" w:hAnsi="宋体" w:cs="宋体" w:eastAsia="宋体" w:hint="default"/>
        </w:rPr>
      </w:pPr>
      <w:r>
        <w:rPr>
          <w:sz w:val="24"/>
          <w:szCs w:val="24"/>
        </w:rPr>
        <w:t>√适用□不适用</w:t>
      </w:r>
      <w:r>
        <w:rPr>
          <w:rFonts w:ascii="宋体" w:hAnsi="宋体" w:cs="宋体" w:eastAsia="宋体" w:hint="default"/>
          <w:sz w:val="24"/>
          <w:szCs w:val="24"/>
        </w:rPr>
        <w:t>  </w:t>
      </w:r>
      <w:r>
        <w:rPr>
          <w:spacing w:val="-1"/>
        </w:rPr>
        <w:t>在职工为本公司提供服务的会计期间，将实际发生的短期薪酬确认为负债，并计入当期损益，其</w:t>
      </w:r>
      <w:r>
        <w:rPr>
          <w:spacing w:val="-55"/>
        </w:rPr>
        <w:t> </w:t>
      </w:r>
      <w:r>
        <w:rPr>
          <w:spacing w:val="-55"/>
        </w:rPr>
      </w:r>
      <w:r>
        <w:rPr>
          <w:spacing w:val="-1"/>
        </w:rPr>
        <w:t>他会计准则要求或允许计入资产成本的除外。本公司发生的职工福利费，在实际发生时根据实际</w:t>
      </w:r>
      <w:r>
        <w:rPr>
          <w:spacing w:val="-55"/>
        </w:rPr>
        <w:t> </w:t>
      </w:r>
      <w:r>
        <w:rPr>
          <w:spacing w:val="-55"/>
        </w:rPr>
      </w:r>
      <w:r>
        <w:rPr>
          <w:spacing w:val="-1"/>
        </w:rPr>
        <w:t>发生额计入当期损益或相关资产成本。职工福利费为非货币性福利的，按照公允价值计量。企业</w:t>
      </w:r>
      <w:r>
        <w:rPr>
          <w:spacing w:val="-55"/>
        </w:rPr>
        <w:t> </w:t>
      </w:r>
      <w:r>
        <w:rPr>
          <w:spacing w:val="-55"/>
        </w:rPr>
      </w:r>
      <w:r>
        <w:rPr>
          <w:spacing w:val="-1"/>
        </w:rPr>
        <w:t>为职工缴纳的医疗保险费、工伤保险费、生育保险费等社会保险费和住房公积金，以及按规定提</w:t>
      </w:r>
      <w:r>
        <w:rPr>
          <w:spacing w:val="-55"/>
        </w:rPr>
        <w:t> </w:t>
      </w:r>
      <w:r>
        <w:rPr>
          <w:spacing w:val="-55"/>
        </w:rPr>
      </w:r>
      <w:r>
        <w:rPr>
          <w:spacing w:val="-1"/>
        </w:rPr>
        <w:t>取的工会经费和职工教育经费，在职工提供服务的会计期间，根据规定的计提基础和计提比例计</w:t>
      </w:r>
      <w:r>
        <w:rPr>
          <w:spacing w:val="-55"/>
        </w:rPr>
        <w:t> </w:t>
      </w:r>
      <w:r>
        <w:rPr>
          <w:spacing w:val="-55"/>
        </w:rPr>
      </w:r>
      <w:r>
        <w:rPr/>
        <w:t>算确定相应的职工薪酬金额，并确认相应负债，计入当期损益或相关资产成本。</w:t>
      </w:r>
      <w:r>
        <w:rPr>
          <w:rFonts w:ascii="宋体" w:hAnsi="宋体" w:cs="宋体" w:eastAsia="宋体" w:hint="default"/>
        </w:rPr>
        <w:t> </w:t>
      </w:r>
    </w:p>
    <w:p>
      <w:pPr>
        <w:pStyle w:val="Heading3"/>
        <w:spacing w:line="305" w:lineRule="exact"/>
        <w:ind w:left="136" w:right="0"/>
        <w:jc w:val="left"/>
        <w:rPr>
          <w:rFonts w:ascii="宋体" w:hAnsi="宋体" w:cs="宋体" w:eastAsia="宋体" w:hint="default"/>
        </w:rPr>
      </w:pPr>
      <w:r>
        <w:rPr>
          <w:rFonts w:ascii="宋体"/>
        </w:rPr>
        <w:t> </w:t>
      </w:r>
    </w:p>
    <w:p>
      <w:pPr>
        <w:pStyle w:val="Heading5"/>
        <w:spacing w:line="240" w:lineRule="auto"/>
        <w:ind w:left="136" w:right="0"/>
        <w:jc w:val="left"/>
        <w:rPr>
          <w:rFonts w:ascii="宋体" w:hAnsi="宋体" w:cs="宋体" w:eastAsia="宋体" w:hint="default"/>
          <w:b w:val="0"/>
          <w:bCs w:val="0"/>
        </w:rPr>
      </w:pPr>
      <w:r>
        <w:rPr>
          <w:rFonts w:ascii="宋体" w:hAnsi="宋体" w:cs="宋体" w:eastAsia="宋体" w:hint="default"/>
        </w:rPr>
        <w:t>(2).</w:t>
      </w:r>
      <w:r>
        <w:rPr/>
        <w:t>离职后福利的会计处理方法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55"/>
        <w:ind w:right="0"/>
        <w:jc w:val="left"/>
        <w:rPr>
          <w:rFonts w:ascii="宋体" w:hAnsi="宋体" w:cs="宋体" w:eastAsia="宋体" w:hint="default"/>
          <w:sz w:val="24"/>
          <w:szCs w:val="24"/>
        </w:rPr>
      </w:pPr>
      <w:r>
        <w:rPr>
          <w:sz w:val="24"/>
          <w:szCs w:val="24"/>
        </w:rPr>
        <w:t>√适用□不适用</w:t>
      </w:r>
      <w:r>
        <w:rPr>
          <w:rFonts w:ascii="宋体" w:hAnsi="宋体" w:cs="宋体" w:eastAsia="宋体" w:hint="default"/>
          <w:sz w:val="24"/>
          <w:szCs w:val="24"/>
        </w:rPr>
        <w:t> </w:t>
      </w:r>
      <w:r>
        <w:rPr>
          <w:spacing w:val="-1"/>
        </w:rPr>
        <w:t>本公司在职工提供服务的会计期间，根据设定提存计划计算的应缴存金额确认为负债，并计入当</w:t>
      </w:r>
      <w:r>
        <w:rPr>
          <w:spacing w:val="-55"/>
        </w:rPr>
        <w:t> </w:t>
      </w:r>
      <w:r>
        <w:rPr>
          <w:spacing w:val="-55"/>
        </w:rPr>
      </w:r>
      <w:r>
        <w:rPr>
          <w:spacing w:val="-1"/>
        </w:rPr>
        <w:t>期损益或相关资产成本。根据预期累计福利单位法确定的公式将设定受益计划产生的福利义务归</w:t>
      </w:r>
      <w:r>
        <w:rPr>
          <w:spacing w:val="-55"/>
        </w:rPr>
        <w:t> </w:t>
      </w:r>
      <w:r>
        <w:rPr>
          <w:spacing w:val="-55"/>
        </w:rPr>
      </w:r>
      <w:r>
        <w:rPr/>
        <w:t>属于职工提供服务的期间，并计入当期损益或相关资产成本</w:t>
      </w:r>
      <w:r>
        <w:rPr>
          <w:sz w:val="24"/>
          <w:szCs w:val="24"/>
        </w:rPr>
        <w:t>。</w:t>
      </w:r>
      <w:r>
        <w:rPr>
          <w:rFonts w:ascii="宋体" w:hAnsi="宋体" w:cs="宋体" w:eastAsia="宋体" w:hint="default"/>
          <w:sz w:val="24"/>
          <w:szCs w:val="24"/>
        </w:rPr>
        <w:t> </w:t>
      </w:r>
    </w:p>
    <w:p>
      <w:pPr>
        <w:pStyle w:val="Heading3"/>
        <w:spacing w:line="312" w:lineRule="exact"/>
        <w:ind w:left="136" w:right="0"/>
        <w:jc w:val="left"/>
        <w:rPr>
          <w:rFonts w:ascii="宋体" w:hAnsi="宋体" w:cs="宋体" w:eastAsia="宋体" w:hint="default"/>
        </w:rPr>
      </w:pPr>
      <w:r>
        <w:rPr>
          <w:rFonts w:ascii="宋体"/>
        </w:rPr>
        <w:t> </w:t>
      </w:r>
    </w:p>
    <w:p>
      <w:pPr>
        <w:pStyle w:val="Heading5"/>
        <w:spacing w:line="240" w:lineRule="auto"/>
        <w:ind w:left="136" w:right="0"/>
        <w:jc w:val="left"/>
        <w:rPr>
          <w:rFonts w:ascii="宋体" w:hAnsi="宋体" w:cs="宋体" w:eastAsia="宋体" w:hint="default"/>
          <w:b w:val="0"/>
          <w:bCs w:val="0"/>
        </w:rPr>
      </w:pPr>
      <w:r>
        <w:rPr>
          <w:rFonts w:ascii="宋体" w:hAnsi="宋体" w:cs="宋体" w:eastAsia="宋体" w:hint="default"/>
        </w:rPr>
        <w:t>(3).</w:t>
      </w:r>
      <w:r>
        <w:rPr/>
        <w:t>辞退福利的会计处理方法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0"/>
        <w:ind w:right="0"/>
        <w:jc w:val="left"/>
        <w:rPr>
          <w:rFonts w:ascii="宋体" w:hAnsi="宋体" w:cs="宋体" w:eastAsia="宋体" w:hint="default"/>
        </w:rPr>
      </w:pPr>
      <w:r>
        <w:rPr>
          <w:sz w:val="24"/>
          <w:szCs w:val="24"/>
        </w:rPr>
        <w:t>√适用□不适用</w:t>
      </w:r>
      <w:r>
        <w:rPr>
          <w:rFonts w:ascii="宋体" w:hAnsi="宋体" w:cs="宋体" w:eastAsia="宋体" w:hint="default"/>
          <w:sz w:val="24"/>
          <w:szCs w:val="24"/>
        </w:rPr>
        <w:t>  </w:t>
      </w:r>
      <w:r>
        <w:rPr>
          <w:spacing w:val="-1"/>
        </w:rPr>
        <w:t>本公司向职工提供辞退福利时，在下列两者孰早日确认辞退福利产生的职工薪酬负债，并计入当</w:t>
      </w:r>
      <w:r>
        <w:rPr>
          <w:spacing w:val="-55"/>
        </w:rPr>
        <w:t> </w:t>
      </w:r>
      <w:r>
        <w:rPr>
          <w:spacing w:val="-55"/>
        </w:rPr>
      </w:r>
      <w:r>
        <w:rPr>
          <w:spacing w:val="-1"/>
        </w:rPr>
        <w:t>期损益：企业不能单方面撤回因解除劳动关系计划或裁减建议所提供的辞退福利时；公司确认与</w:t>
      </w:r>
      <w:r>
        <w:rPr>
          <w:spacing w:val="-55"/>
        </w:rPr>
        <w:t> </w:t>
      </w:r>
      <w:r>
        <w:rPr>
          <w:spacing w:val="-55"/>
        </w:rPr>
      </w:r>
      <w:r>
        <w:rPr/>
        <w:t>涉及支付辞退福利的重组相关的成本或费用时。</w:t>
      </w:r>
      <w:r>
        <w:rPr>
          <w:rFonts w:ascii="宋体" w:hAnsi="宋体" w:cs="宋体" w:eastAsia="宋体" w:hint="default"/>
        </w:rPr>
        <w:t> </w:t>
      </w:r>
    </w:p>
    <w:p>
      <w:pPr>
        <w:pStyle w:val="Heading3"/>
        <w:spacing w:line="304" w:lineRule="exact"/>
        <w:ind w:left="136" w:right="0"/>
        <w:jc w:val="left"/>
        <w:rPr>
          <w:rFonts w:ascii="宋体" w:hAnsi="宋体" w:cs="宋体" w:eastAsia="宋体" w:hint="default"/>
        </w:rPr>
      </w:pPr>
      <w:r>
        <w:rPr>
          <w:rFonts w:ascii="宋体"/>
        </w:rPr>
        <w:t> </w:t>
      </w:r>
    </w:p>
    <w:p>
      <w:pPr>
        <w:pStyle w:val="Heading5"/>
        <w:spacing w:line="240" w:lineRule="auto"/>
        <w:ind w:left="136" w:right="0"/>
        <w:jc w:val="left"/>
        <w:rPr>
          <w:rFonts w:ascii="宋体" w:hAnsi="宋体" w:cs="宋体" w:eastAsia="宋体" w:hint="default"/>
          <w:b w:val="0"/>
          <w:bCs w:val="0"/>
        </w:rPr>
      </w:pPr>
      <w:r>
        <w:rPr>
          <w:rFonts w:ascii="宋体" w:hAnsi="宋体" w:cs="宋体" w:eastAsia="宋体" w:hint="default"/>
        </w:rPr>
        <w:t>(4).</w:t>
      </w:r>
      <w:r>
        <w:rPr/>
        <w:t>其他长期职工福利的会计处理方法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0"/>
        <w:ind w:right="0"/>
        <w:jc w:val="left"/>
        <w:rPr>
          <w:rFonts w:ascii="宋体" w:hAnsi="宋体" w:cs="宋体" w:eastAsia="宋体" w:hint="default"/>
        </w:rPr>
      </w:pPr>
      <w:r>
        <w:rPr>
          <w:sz w:val="24"/>
          <w:szCs w:val="24"/>
        </w:rPr>
        <w:t>√适用□不适用</w:t>
      </w:r>
      <w:r>
        <w:rPr>
          <w:rFonts w:ascii="宋体" w:hAnsi="宋体" w:cs="宋体" w:eastAsia="宋体" w:hint="default"/>
          <w:sz w:val="24"/>
          <w:szCs w:val="24"/>
        </w:rPr>
        <w:t>  </w:t>
      </w:r>
      <w:r>
        <w:rPr>
          <w:spacing w:val="-1"/>
        </w:rPr>
        <w:t>本公司向职工提供的其他长期职工福利，符合设定提存计划条件的，应当有关设定提存计划的规</w:t>
      </w:r>
      <w:r>
        <w:rPr>
          <w:spacing w:val="-55"/>
        </w:rPr>
        <w:t> </w:t>
      </w:r>
      <w:r>
        <w:rPr>
          <w:spacing w:val="-55"/>
        </w:rPr>
      </w:r>
      <w:r>
        <w:rPr>
          <w:spacing w:val="-1"/>
        </w:rPr>
        <w:t>定进行处理；除此外，根据设定受益计划的有关规定，确认和计量其他长期职工福利净负债或净</w:t>
      </w:r>
      <w:r>
        <w:rPr>
          <w:spacing w:val="-55"/>
        </w:rPr>
        <w:t> </w:t>
      </w:r>
      <w:r>
        <w:rPr>
          <w:spacing w:val="-55"/>
        </w:rPr>
      </w:r>
      <w:r>
        <w:rPr/>
        <w:t>资产。</w:t>
      </w:r>
      <w:r>
        <w:rPr>
          <w:rFonts w:ascii="宋体" w:hAnsi="宋体" w:cs="宋体" w:eastAsia="宋体" w:hint="default"/>
        </w:rPr>
        <w:t> </w:t>
      </w:r>
    </w:p>
    <w:p>
      <w:pPr>
        <w:pStyle w:val="Heading3"/>
        <w:spacing w:line="304" w:lineRule="exact"/>
        <w:ind w:left="136" w:right="0"/>
        <w:jc w:val="left"/>
        <w:rPr>
          <w:rFonts w:ascii="宋体" w:hAnsi="宋体" w:cs="宋体" w:eastAsia="宋体" w:hint="default"/>
        </w:rPr>
      </w:pPr>
      <w:r>
        <w:rPr>
          <w:rFonts w:ascii="宋体"/>
        </w:rPr>
        <w:t> </w:t>
      </w:r>
    </w:p>
    <w:p>
      <w:pPr>
        <w:pStyle w:val="Heading5"/>
        <w:spacing w:line="240" w:lineRule="auto"/>
        <w:ind w:left="136" w:right="0"/>
        <w:jc w:val="left"/>
        <w:rPr>
          <w:b w:val="0"/>
          <w:bCs w:val="0"/>
        </w:rPr>
      </w:pPr>
      <w:r>
        <w:rPr>
          <w:rFonts w:ascii="宋体" w:hAnsi="宋体" w:cs="宋体" w:eastAsia="宋体" w:hint="default"/>
        </w:rPr>
        <w:t>32.</w:t>
      </w:r>
      <w:r>
        <w:rPr>
          <w:rFonts w:ascii="宋体" w:hAnsi="宋体" w:cs="宋体" w:eastAsia="宋体" w:hint="default"/>
          <w:spacing w:val="2"/>
        </w:rPr>
        <w:t> </w:t>
      </w:r>
      <w:r>
        <w:rPr/>
        <w:t>租赁负债</w:t>
      </w:r>
      <w:r>
        <w:rPr>
          <w:b w:val="0"/>
          <w:bCs w:val="0"/>
        </w:rPr>
      </w:r>
    </w:p>
    <w:p>
      <w:pPr>
        <w:pStyle w:val="Heading3"/>
        <w:spacing w:line="312" w:lineRule="exact" w:before="52"/>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left="136" w:right="0"/>
        <w:jc w:val="left"/>
        <w:rPr>
          <w:rFonts w:ascii="宋体" w:hAnsi="宋体" w:cs="宋体" w:eastAsia="宋体" w:hint="default"/>
        </w:rPr>
      </w:pPr>
      <w:r>
        <w:rPr>
          <w:rFonts w:ascii="宋体"/>
        </w:rPr>
        <w:t> </w:t>
      </w:r>
    </w:p>
    <w:p>
      <w:pPr>
        <w:pStyle w:val="Heading5"/>
        <w:spacing w:line="240" w:lineRule="auto"/>
        <w:ind w:left="136" w:right="0"/>
        <w:jc w:val="left"/>
        <w:rPr>
          <w:b w:val="0"/>
          <w:bCs w:val="0"/>
        </w:rPr>
      </w:pPr>
      <w:r>
        <w:rPr>
          <w:rFonts w:ascii="宋体" w:hAnsi="宋体" w:cs="宋体" w:eastAsia="宋体" w:hint="default"/>
        </w:rPr>
        <w:t>33.</w:t>
      </w:r>
      <w:r>
        <w:rPr>
          <w:rFonts w:ascii="宋体" w:hAnsi="宋体" w:cs="宋体" w:eastAsia="宋体" w:hint="default"/>
          <w:spacing w:val="2"/>
        </w:rPr>
        <w:t> </w:t>
      </w:r>
      <w:r>
        <w:rPr/>
        <w:t>预计负债</w:t>
      </w:r>
      <w:r>
        <w:rPr>
          <w:b w:val="0"/>
          <w:bCs w:val="0"/>
        </w:rPr>
      </w:r>
    </w:p>
    <w:p>
      <w:pPr>
        <w:pStyle w:val="Heading3"/>
        <w:spacing w:line="240" w:lineRule="auto" w:before="50"/>
        <w:ind w:left="136" w:right="0"/>
        <w:jc w:val="left"/>
        <w:rPr>
          <w:rFonts w:ascii="宋体" w:hAnsi="宋体" w:cs="宋体" w:eastAsia="宋体" w:hint="default"/>
        </w:rPr>
      </w:pPr>
      <w:r>
        <w:rPr/>
        <w:t>√适用□不适用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140" w:right="1680"/>
        </w:sectPr>
      </w:pPr>
    </w:p>
    <w:p>
      <w:pPr>
        <w:spacing w:line="240" w:lineRule="auto" w:before="9"/>
        <w:rPr>
          <w:rFonts w:ascii="宋体" w:hAnsi="宋体" w:cs="宋体" w:eastAsia="宋体" w:hint="default"/>
          <w:sz w:val="18"/>
          <w:szCs w:val="18"/>
        </w:rPr>
      </w:pPr>
    </w:p>
    <w:p>
      <w:pPr>
        <w:pStyle w:val="BodyText"/>
        <w:spacing w:line="237" w:lineRule="auto" w:before="38"/>
        <w:ind w:right="0"/>
        <w:jc w:val="left"/>
        <w:rPr>
          <w:rFonts w:ascii="宋体" w:hAnsi="宋体" w:cs="宋体" w:eastAsia="宋体" w:hint="default"/>
        </w:rPr>
      </w:pPr>
      <w:r>
        <w:rPr>
          <w:spacing w:val="-1"/>
        </w:rPr>
        <w:t>当与或有事项相关的义务是公司承担的现时义务，且履行该义务很可能导致经济利益流出，同时</w:t>
      </w:r>
      <w:r>
        <w:rPr>
          <w:spacing w:val="-55"/>
        </w:rPr>
        <w:t> </w:t>
      </w:r>
      <w:r>
        <w:rPr>
          <w:spacing w:val="-55"/>
        </w:rPr>
      </w:r>
      <w:r>
        <w:rPr>
          <w:spacing w:val="-1"/>
        </w:rPr>
        <w:t>其金额能够可靠地计量时确认该义务为预计负债。本公司按照履行相关现时义务所需支出的最佳</w:t>
      </w:r>
      <w:r>
        <w:rPr>
          <w:spacing w:val="-55"/>
        </w:rPr>
        <w:t> </w:t>
      </w:r>
      <w:r>
        <w:rPr>
          <w:spacing w:val="-55"/>
        </w:rPr>
      </w:r>
      <w:r>
        <w:rPr>
          <w:spacing w:val="-1"/>
        </w:rPr>
        <w:t>估计数进行初始计量，如所需支出存在一个连续范围，且该范围内各种结果发生的可能性相同，</w:t>
      </w:r>
      <w:r>
        <w:rPr>
          <w:spacing w:val="-55"/>
        </w:rPr>
        <w:t> </w:t>
      </w:r>
      <w:r>
        <w:rPr>
          <w:spacing w:val="-55"/>
        </w:rPr>
      </w:r>
      <w:r>
        <w:rPr>
          <w:spacing w:val="-1"/>
        </w:rPr>
        <w:t>最佳估计数按照该范围内的中间值确定；如涉及多个项目，按照各种可能结果及相关概率计算确</w:t>
      </w:r>
      <w:r>
        <w:rPr>
          <w:spacing w:val="-55"/>
        </w:rPr>
        <w:t> </w:t>
      </w:r>
      <w:r>
        <w:rPr>
          <w:spacing w:val="-55"/>
        </w:rPr>
      </w:r>
      <w:r>
        <w:rPr/>
        <w:t>定最佳估计数。</w:t>
      </w:r>
      <w:r>
        <w:rPr>
          <w:rFonts w:ascii="宋体" w:hAnsi="宋体" w:cs="宋体" w:eastAsia="宋体" w:hint="default"/>
          <w:w w:val="100"/>
        </w:rPr>
        <w:t> </w:t>
      </w:r>
      <w:r>
        <w:rPr>
          <w:spacing w:val="-1"/>
        </w:rPr>
        <w:t>资产负债表日应当对预计负债账面价值进行复核，有确凿证据表明该账面价值不能真实反映当前</w:t>
      </w:r>
      <w:r>
        <w:rPr>
          <w:spacing w:val="-55"/>
        </w:rPr>
        <w:t> </w:t>
      </w:r>
      <w:r>
        <w:rPr>
          <w:spacing w:val="-55"/>
        </w:rPr>
      </w:r>
      <w:r>
        <w:rPr/>
        <w:t>最佳估计数，应当按照当前最佳估计数对该账面价值进行调整。</w:t>
      </w:r>
      <w:r>
        <w:rPr>
          <w:rFonts w:ascii="宋体" w:hAnsi="宋体" w:cs="宋体" w:eastAsia="宋体" w:hint="default"/>
        </w:rPr>
        <w:t> </w:t>
      </w:r>
    </w:p>
    <w:p>
      <w:pPr>
        <w:pStyle w:val="Heading3"/>
        <w:spacing w:line="305" w:lineRule="exact"/>
        <w:ind w:left="136" w:right="0"/>
        <w:jc w:val="left"/>
        <w:rPr>
          <w:rFonts w:ascii="宋体" w:hAnsi="宋体" w:cs="宋体" w:eastAsia="宋体" w:hint="default"/>
        </w:rPr>
      </w:pPr>
      <w:r>
        <w:rPr>
          <w:rFonts w:ascii="宋体"/>
        </w:rPr>
        <w:t> </w:t>
      </w:r>
    </w:p>
    <w:p>
      <w:pPr>
        <w:pStyle w:val="Heading5"/>
        <w:spacing w:line="240" w:lineRule="auto"/>
        <w:ind w:left="136" w:right="0"/>
        <w:jc w:val="left"/>
        <w:rPr>
          <w:b w:val="0"/>
          <w:bCs w:val="0"/>
        </w:rPr>
      </w:pPr>
      <w:r>
        <w:rPr>
          <w:rFonts w:ascii="宋体" w:hAnsi="宋体" w:cs="宋体" w:eastAsia="宋体" w:hint="default"/>
        </w:rPr>
        <w:t>34.</w:t>
      </w:r>
      <w:r>
        <w:rPr>
          <w:rFonts w:ascii="宋体" w:hAnsi="宋体" w:cs="宋体" w:eastAsia="宋体" w:hint="default"/>
          <w:spacing w:val="2"/>
        </w:rPr>
        <w:t> </w:t>
      </w:r>
      <w:r>
        <w:rPr/>
        <w:t>股份支付</w:t>
      </w:r>
      <w:r>
        <w:rPr>
          <w:b w:val="0"/>
          <w:bCs w:val="0"/>
        </w:rPr>
      </w:r>
    </w:p>
    <w:p>
      <w:pPr>
        <w:pStyle w:val="BodyText"/>
        <w:spacing w:line="237" w:lineRule="auto" w:before="55"/>
        <w:ind w:right="0"/>
        <w:jc w:val="left"/>
        <w:rPr>
          <w:rFonts w:ascii="宋体" w:hAnsi="宋体" w:cs="宋体" w:eastAsia="宋体" w:hint="default"/>
        </w:rPr>
      </w:pPr>
      <w:r>
        <w:rPr>
          <w:sz w:val="24"/>
          <w:szCs w:val="24"/>
        </w:rPr>
        <w:t>√适用□不适用</w:t>
      </w:r>
      <w:r>
        <w:rPr>
          <w:rFonts w:ascii="宋体" w:hAnsi="宋体" w:cs="宋体" w:eastAsia="宋体" w:hint="default"/>
          <w:sz w:val="24"/>
          <w:szCs w:val="24"/>
        </w:rPr>
        <w:t>  </w:t>
      </w:r>
      <w:r>
        <w:rPr>
          <w:spacing w:val="-1"/>
        </w:rPr>
        <w:t>本公司股份支付包括以权益结算的股份支付和以现金结算的股份支付。以权益结算的股份支付换</w:t>
      </w:r>
      <w:r>
        <w:rPr>
          <w:spacing w:val="-55"/>
        </w:rPr>
        <w:t> </w:t>
      </w:r>
      <w:r>
        <w:rPr>
          <w:spacing w:val="-55"/>
        </w:rPr>
      </w:r>
      <w:r>
        <w:rPr>
          <w:spacing w:val="-1"/>
        </w:rPr>
        <w:t>取职工提供服务的，以授予职工权益工具的公允价值计量。存在活跃市场的，按照活跃市场中的</w:t>
      </w:r>
      <w:r>
        <w:rPr>
          <w:spacing w:val="-55"/>
        </w:rPr>
        <w:t> </w:t>
      </w:r>
      <w:r>
        <w:rPr>
          <w:spacing w:val="-55"/>
        </w:rPr>
      </w:r>
      <w:r>
        <w:rPr>
          <w:spacing w:val="-1"/>
        </w:rPr>
        <w:t>报价确定；不存在活跃市场的，采用估值技术确定，包括参考熟悉情况并自愿交易的各方最近进</w:t>
      </w:r>
      <w:r>
        <w:rPr>
          <w:spacing w:val="-55"/>
        </w:rPr>
        <w:t> </w:t>
      </w:r>
      <w:r>
        <w:rPr>
          <w:spacing w:val="-55"/>
        </w:rPr>
      </w:r>
      <w:r>
        <w:rPr>
          <w:spacing w:val="-1"/>
        </w:rPr>
        <w:t>行的市场交易中使用的价格、参照实质上相同的其他金融工具的当前公允价值、现金流量折现法</w:t>
      </w:r>
      <w:r>
        <w:rPr>
          <w:spacing w:val="-55"/>
        </w:rPr>
        <w:t> </w:t>
      </w:r>
      <w:r>
        <w:rPr>
          <w:spacing w:val="-55"/>
        </w:rPr>
      </w:r>
      <w:r>
        <w:rPr/>
        <w:t>和期权定价模型等。</w:t>
      </w:r>
      <w:r>
        <w:rPr>
          <w:rFonts w:ascii="宋体" w:hAnsi="宋体" w:cs="宋体" w:eastAsia="宋体" w:hint="default"/>
          <w:spacing w:val="-3"/>
          <w:w w:val="100"/>
        </w:rPr>
        <w:t> </w:t>
      </w:r>
      <w:r>
        <w:rPr>
          <w:rFonts w:ascii="宋体" w:hAnsi="宋体" w:cs="宋体" w:eastAsia="宋体" w:hint="default"/>
          <w:w w:val="100"/>
        </w:rPr>
        <w:t> </w:t>
      </w:r>
      <w:r>
        <w:rPr>
          <w:spacing w:val="-1"/>
        </w:rPr>
        <w:t>在各个资产负债表日，根据最新取得的可行权人数变动、业绩指标完成情况等后续信息，修正预</w:t>
      </w:r>
      <w:r>
        <w:rPr>
          <w:spacing w:val="-55"/>
        </w:rPr>
        <w:t> </w:t>
      </w:r>
      <w:r>
        <w:rPr>
          <w:spacing w:val="-55"/>
        </w:rPr>
      </w:r>
      <w:r>
        <w:rPr>
          <w:spacing w:val="-1"/>
        </w:rPr>
        <w:t>计可行权的股票期权数量，并以此为依据确认各期应分摊的费用。对于跨越多个会计期间的期权</w:t>
      </w:r>
      <w:r>
        <w:rPr>
          <w:spacing w:val="-55"/>
        </w:rPr>
        <w:t> </w:t>
      </w:r>
      <w:r>
        <w:rPr>
          <w:spacing w:val="-55"/>
        </w:rPr>
      </w:r>
      <w:r>
        <w:rPr/>
        <w:t>费用，一般可以按照该期权在某会计期间内等待期长度占整个等待期长度的比例进行分摊。</w:t>
      </w:r>
      <w:r>
        <w:rPr>
          <w:rFonts w:ascii="宋体" w:hAnsi="宋体" w:cs="宋体" w:eastAsia="宋体" w:hint="default"/>
        </w:rPr>
        <w:t> </w:t>
      </w:r>
    </w:p>
    <w:p>
      <w:pPr>
        <w:pStyle w:val="Heading3"/>
        <w:spacing w:line="305" w:lineRule="exact"/>
        <w:ind w:left="136" w:right="0"/>
        <w:jc w:val="left"/>
        <w:rPr>
          <w:rFonts w:ascii="宋体" w:hAnsi="宋体" w:cs="宋体" w:eastAsia="宋体" w:hint="default"/>
        </w:rPr>
      </w:pPr>
      <w:r>
        <w:rPr>
          <w:rFonts w:ascii="宋体"/>
        </w:rPr>
        <w:t> </w:t>
      </w:r>
    </w:p>
    <w:p>
      <w:pPr>
        <w:pStyle w:val="Heading5"/>
        <w:spacing w:line="240" w:lineRule="auto"/>
        <w:ind w:left="136" w:right="0"/>
        <w:jc w:val="left"/>
        <w:rPr>
          <w:b w:val="0"/>
          <w:bCs w:val="0"/>
        </w:rPr>
      </w:pPr>
      <w:r>
        <w:rPr>
          <w:rFonts w:ascii="宋体" w:hAnsi="宋体" w:cs="宋体" w:eastAsia="宋体" w:hint="default"/>
        </w:rPr>
        <w:t>35. </w:t>
      </w:r>
      <w:r>
        <w:rPr/>
        <w:t>优先股、永续债等其他金融工具</w:t>
      </w:r>
      <w:r>
        <w:rPr>
          <w:b w:val="0"/>
          <w:bCs w:val="0"/>
        </w:rPr>
      </w:r>
    </w:p>
    <w:p>
      <w:pPr>
        <w:pStyle w:val="Heading3"/>
        <w:spacing w:line="240" w:lineRule="auto" w:before="50"/>
        <w:ind w:left="136" w:right="0"/>
        <w:jc w:val="left"/>
        <w:rPr>
          <w:rFonts w:ascii="宋体" w:hAnsi="宋体" w:cs="宋体" w:eastAsia="宋体" w:hint="default"/>
        </w:rPr>
      </w:pPr>
      <w:r>
        <w:rPr/>
        <w:t>√适用□不适用</w:t>
      </w:r>
      <w:r>
        <w:rPr>
          <w:rFonts w:ascii="宋体" w:hAnsi="宋体" w:cs="宋体" w:eastAsia="宋体" w:hint="default"/>
        </w:rPr>
        <w:t>  </w:t>
      </w:r>
    </w:p>
    <w:p>
      <w:pPr>
        <w:pStyle w:val="BodyText"/>
        <w:spacing w:line="237" w:lineRule="auto" w:before="6"/>
        <w:ind w:right="0"/>
        <w:jc w:val="left"/>
        <w:rPr>
          <w:rFonts w:ascii="宋体" w:hAnsi="宋体" w:cs="宋体" w:eastAsia="宋体" w:hint="default"/>
        </w:rPr>
      </w:pPr>
      <w:r>
        <w:rPr>
          <w:rFonts w:ascii="宋体" w:hAnsi="宋体" w:cs="宋体" w:eastAsia="宋体" w:hint="default"/>
        </w:rPr>
        <w:t>1</w:t>
      </w:r>
      <w:r>
        <w:rPr/>
        <w:t>、金融负债和权益工具的划分</w:t>
      </w:r>
      <w:r>
        <w:rPr>
          <w:rFonts w:ascii="宋体" w:hAnsi="宋体" w:cs="宋体" w:eastAsia="宋体" w:hint="default"/>
          <w:w w:val="100"/>
        </w:rPr>
        <w:t> </w:t>
      </w:r>
      <w:r>
        <w:rPr>
          <w:spacing w:val="-1"/>
        </w:rPr>
        <w:t>本公司发行的优先股、永续债（例如长期限含权中期票据）、认股权、可转换公司债券等，按照</w:t>
      </w:r>
      <w:r>
        <w:rPr>
          <w:spacing w:val="-55"/>
        </w:rPr>
        <w:t> </w:t>
      </w:r>
      <w:r>
        <w:rPr>
          <w:spacing w:val="-55"/>
        </w:rPr>
      </w:r>
      <w:r>
        <w:rPr/>
        <w:t>以下原则换分为金融负债或权益工具：</w:t>
      </w:r>
      <w:r>
        <w:rPr>
          <w:rFonts w:ascii="宋体" w:hAnsi="宋体" w:cs="宋体" w:eastAsia="宋体" w:hint="default"/>
        </w:rPr>
        <w:t> </w:t>
      </w:r>
    </w:p>
    <w:p>
      <w:pPr>
        <w:pStyle w:val="BodyText"/>
        <w:spacing w:line="274" w:lineRule="exact" w:before="22"/>
        <w:ind w:right="0"/>
        <w:jc w:val="left"/>
        <w:rPr>
          <w:rFonts w:ascii="宋体" w:hAnsi="宋体" w:cs="宋体" w:eastAsia="宋体" w:hint="default"/>
        </w:rPr>
      </w:pPr>
      <w:r>
        <w:rPr>
          <w:spacing w:val="-4"/>
        </w:rPr>
        <w:t>（</w:t>
      </w:r>
      <w:r>
        <w:rPr>
          <w:rFonts w:ascii="宋体" w:hAnsi="宋体" w:cs="宋体" w:eastAsia="宋体" w:hint="default"/>
          <w:spacing w:val="-4"/>
        </w:rPr>
        <w:t>1</w:t>
      </w:r>
      <w:r>
        <w:rPr>
          <w:spacing w:val="-4"/>
        </w:rPr>
        <w:t>）通过交付现金、其他金融资产或交换金融资产或金融负债结算的情况。如果企业不能无条件</w:t>
      </w:r>
      <w:r>
        <w:rPr>
          <w:spacing w:val="-33"/>
        </w:rPr>
        <w:t> </w:t>
      </w:r>
      <w:r>
        <w:rPr>
          <w:spacing w:val="-33"/>
        </w:rPr>
      </w:r>
      <w:r>
        <w:rPr/>
        <w:t>地避免以交付现金或其他金融资产来履行一项合同义务，则该合同义务符合金融负债的定义。</w:t>
      </w:r>
      <w:r>
        <w:rPr>
          <w:rFonts w:ascii="宋体" w:hAnsi="宋体" w:cs="宋体" w:eastAsia="宋体" w:hint="default"/>
        </w:rPr>
        <w:t> </w:t>
      </w:r>
    </w:p>
    <w:p>
      <w:pPr>
        <w:pStyle w:val="BodyText"/>
        <w:spacing w:line="245" w:lineRule="exact"/>
        <w:ind w:right="0"/>
        <w:jc w:val="left"/>
      </w:pPr>
      <w:r>
        <w:rPr>
          <w:spacing w:val="-4"/>
        </w:rPr>
        <w:t>（</w:t>
      </w:r>
      <w:r>
        <w:rPr>
          <w:rFonts w:ascii="宋体" w:hAnsi="宋体" w:cs="宋体" w:eastAsia="宋体" w:hint="default"/>
          <w:spacing w:val="-4"/>
        </w:rPr>
        <w:t>2</w:t>
      </w:r>
      <w:r>
        <w:rPr>
          <w:spacing w:val="-4"/>
        </w:rPr>
        <w:t>）通过自身权益工具结算的情况。如果发行的金融工具须用或可用企业自身权益工具结算，作</w:t>
      </w:r>
    </w:p>
    <w:p>
      <w:pPr>
        <w:pStyle w:val="BodyText"/>
        <w:spacing w:line="272" w:lineRule="exact" w:before="27"/>
        <w:ind w:right="0"/>
        <w:jc w:val="left"/>
        <w:rPr>
          <w:rFonts w:ascii="宋体" w:hAnsi="宋体" w:cs="宋体" w:eastAsia="宋体" w:hint="default"/>
        </w:rPr>
      </w:pPr>
      <w:r>
        <w:rPr>
          <w:spacing w:val="-1"/>
        </w:rPr>
        <w:t>为现金或其他金融资产的替代品，该工具是发行方的金融负债；如果为了使该工具持有人享有在</w:t>
      </w:r>
      <w:r>
        <w:rPr>
          <w:spacing w:val="-55"/>
        </w:rPr>
        <w:t> </w:t>
      </w:r>
      <w:r>
        <w:rPr>
          <w:spacing w:val="-55"/>
        </w:rPr>
      </w:r>
      <w:r>
        <w:rPr/>
        <w:t>发行方扣除所有负债后的资产中的剩余权益，则该工具是发行方的权益工具。</w:t>
      </w:r>
      <w:r>
        <w:rPr>
          <w:rFonts w:ascii="宋体" w:hAnsi="宋体" w:cs="宋体" w:eastAsia="宋体" w:hint="default"/>
        </w:rPr>
        <w:t> </w:t>
      </w:r>
    </w:p>
    <w:p>
      <w:pPr>
        <w:pStyle w:val="BodyText"/>
        <w:spacing w:line="272" w:lineRule="exact" w:before="1"/>
        <w:ind w:right="0"/>
        <w:jc w:val="left"/>
      </w:pPr>
      <w:r>
        <w:rPr>
          <w:spacing w:val="-4"/>
        </w:rPr>
        <w:t>（</w:t>
      </w:r>
      <w:r>
        <w:rPr>
          <w:rFonts w:ascii="宋体" w:hAnsi="宋体" w:cs="宋体" w:eastAsia="宋体" w:hint="default"/>
          <w:spacing w:val="-4"/>
        </w:rPr>
        <w:t>3</w:t>
      </w:r>
      <w:r>
        <w:rPr>
          <w:spacing w:val="-4"/>
        </w:rPr>
        <w:t>）对于将来须用或可用企业自身权益工具结算的金融工具的分类，应当区分衍生工具还是非衍</w:t>
      </w:r>
      <w:r>
        <w:rPr>
          <w:spacing w:val="-32"/>
        </w:rPr>
        <w:t> </w:t>
      </w:r>
      <w:r>
        <w:rPr>
          <w:spacing w:val="-32"/>
        </w:rPr>
      </w:r>
      <w:r>
        <w:rPr>
          <w:spacing w:val="-1"/>
        </w:rPr>
        <w:t>生工具。对于非衍生工具，如果发行方未来没有义务交付可变数量的自身权益工具进行结算，则</w:t>
      </w:r>
    </w:p>
    <w:p>
      <w:pPr>
        <w:pStyle w:val="BodyText"/>
        <w:spacing w:line="272" w:lineRule="exact" w:before="1"/>
        <w:ind w:right="0"/>
        <w:jc w:val="left"/>
      </w:pPr>
      <w:r>
        <w:rPr>
          <w:spacing w:val="-1"/>
        </w:rPr>
        <w:t>该非衍生工具是权益工具；否则，该非衍生工具是金融负债。对于衍生工具，如果发行方只能通</w:t>
      </w:r>
      <w:r>
        <w:rPr>
          <w:spacing w:val="-55"/>
        </w:rPr>
        <w:t> </w:t>
      </w:r>
      <w:r>
        <w:rPr>
          <w:spacing w:val="-55"/>
        </w:rPr>
      </w:r>
      <w:r>
        <w:rPr>
          <w:spacing w:val="-1"/>
        </w:rPr>
        <w:t>过以固定数量的自身权益工具交换固定金额的现金或其他金融资产进行结算，则该衍生工具是权</w:t>
      </w:r>
    </w:p>
    <w:p>
      <w:pPr>
        <w:pStyle w:val="BodyText"/>
        <w:spacing w:line="272" w:lineRule="exact" w:before="1"/>
        <w:ind w:right="0"/>
        <w:jc w:val="left"/>
      </w:pPr>
      <w:r>
        <w:rPr>
          <w:spacing w:val="-1"/>
        </w:rPr>
        <w:t>益工具；如果发行方以固定数量自身权益工具交换可变金额现金或其他金融资产，或以可变数量</w:t>
      </w:r>
      <w:r>
        <w:rPr>
          <w:spacing w:val="-55"/>
        </w:rPr>
        <w:t> </w:t>
      </w:r>
      <w:r>
        <w:rPr>
          <w:spacing w:val="-55"/>
        </w:rPr>
      </w:r>
      <w:r>
        <w:rPr>
          <w:spacing w:val="-1"/>
        </w:rPr>
        <w:t>自身权益工具交换固定金额现金或其他金融资产，或在转换价格不固定的情况下以可变数量自身</w:t>
      </w:r>
    </w:p>
    <w:p>
      <w:pPr>
        <w:pStyle w:val="BodyText"/>
        <w:spacing w:line="272" w:lineRule="exact" w:before="1"/>
        <w:ind w:right="0"/>
        <w:jc w:val="left"/>
      </w:pPr>
      <w:r>
        <w:rPr/>
        <w:t>权益工具交换可变金额现金或其他金融资产，则该衍生工具应当确认为金融负债或金融资产。</w:t>
      </w:r>
      <w:r>
        <w:rPr>
          <w:rFonts w:ascii="宋体" w:hAnsi="宋体" w:cs="宋体" w:eastAsia="宋体" w:hint="default"/>
          <w:w w:val="100"/>
        </w:rPr>
        <w:t> </w:t>
      </w:r>
      <w:r>
        <w:rPr>
          <w:rFonts w:ascii="宋体" w:hAnsi="宋体" w:cs="宋体" w:eastAsia="宋体" w:hint="default"/>
        </w:rPr>
        <w:t>2</w:t>
      </w:r>
      <w:r>
        <w:rPr/>
        <w:t>、优先股、永续债的会计处理</w:t>
      </w:r>
      <w:r>
        <w:rPr>
          <w:rFonts w:ascii="宋体" w:hAnsi="宋体" w:cs="宋体" w:eastAsia="宋体" w:hint="default"/>
          <w:w w:val="100"/>
        </w:rPr>
        <w:t> </w:t>
      </w:r>
      <w:r>
        <w:rPr>
          <w:spacing w:val="-1"/>
        </w:rPr>
        <w:t>发行方对于归类为金融负债的金融工具在“应付债券”科目核算，在该工具存续期间，计提利息</w:t>
      </w:r>
    </w:p>
    <w:p>
      <w:pPr>
        <w:pStyle w:val="BodyText"/>
        <w:spacing w:line="272" w:lineRule="exact" w:before="2"/>
        <w:ind w:right="0"/>
        <w:jc w:val="left"/>
      </w:pPr>
      <w:r>
        <w:rPr>
          <w:spacing w:val="-1"/>
        </w:rPr>
        <w:t>并对账面的利息调整进行调整等的会计处理，按照金融工具确认和计量准则中有关金融负债按摊</w:t>
      </w:r>
      <w:r>
        <w:rPr>
          <w:spacing w:val="-55"/>
        </w:rPr>
        <w:t> </w:t>
      </w:r>
      <w:r>
        <w:rPr>
          <w:spacing w:val="-55"/>
        </w:rPr>
      </w:r>
      <w:r>
        <w:rPr>
          <w:spacing w:val="-1"/>
        </w:rPr>
        <w:t>余成本后续计量的规定进行会计处理。发行方对于归类为权益工具的在“其他权益工具”科目核</w:t>
      </w:r>
    </w:p>
    <w:p>
      <w:pPr>
        <w:pStyle w:val="BodyText"/>
        <w:spacing w:line="244" w:lineRule="exact"/>
        <w:ind w:right="0"/>
        <w:jc w:val="left"/>
        <w:rPr>
          <w:rFonts w:ascii="宋体" w:hAnsi="宋体" w:cs="宋体" w:eastAsia="宋体" w:hint="default"/>
        </w:rPr>
      </w:pPr>
      <w:r>
        <w:rPr/>
        <w:t>算，在存续期间分派股利（含分类为权益工具的工具所产生的利息）的，作为利润分配处理。</w:t>
      </w:r>
      <w:r>
        <w:rPr>
          <w:rFonts w:ascii="宋体" w:hAnsi="宋体" w:cs="宋体" w:eastAsia="宋体" w:hint="default"/>
        </w:rPr>
        <w:t> </w:t>
      </w:r>
    </w:p>
    <w:p>
      <w:pPr>
        <w:pStyle w:val="Heading3"/>
        <w:spacing w:line="309" w:lineRule="exact"/>
        <w:ind w:left="136" w:right="0"/>
        <w:jc w:val="left"/>
        <w:rPr>
          <w:rFonts w:ascii="宋体" w:hAnsi="宋体" w:cs="宋体" w:eastAsia="宋体" w:hint="default"/>
        </w:rPr>
      </w:pPr>
      <w:r>
        <w:rPr>
          <w:rFonts w:ascii="宋体"/>
        </w:rPr>
        <w:t> </w:t>
      </w:r>
    </w:p>
    <w:p>
      <w:pPr>
        <w:pStyle w:val="Heading5"/>
        <w:spacing w:line="240" w:lineRule="auto"/>
        <w:ind w:left="136" w:right="0"/>
        <w:jc w:val="left"/>
        <w:rPr>
          <w:b w:val="0"/>
          <w:bCs w:val="0"/>
        </w:rPr>
      </w:pPr>
      <w:r>
        <w:rPr>
          <w:rFonts w:ascii="宋体" w:hAnsi="宋体" w:cs="宋体" w:eastAsia="宋体" w:hint="default"/>
        </w:rPr>
        <w:t>36.</w:t>
      </w:r>
      <w:r>
        <w:rPr>
          <w:rFonts w:ascii="宋体" w:hAnsi="宋体" w:cs="宋体" w:eastAsia="宋体" w:hint="default"/>
          <w:spacing w:val="2"/>
        </w:rPr>
        <w:t> </w:t>
      </w:r>
      <w:r>
        <w:rPr/>
        <w:t>收入</w:t>
      </w:r>
      <w:r>
        <w:rPr>
          <w:b w:val="0"/>
          <w:bCs w:val="0"/>
        </w:rPr>
      </w:r>
    </w:p>
    <w:p>
      <w:pPr>
        <w:pStyle w:val="BodyText"/>
        <w:spacing w:line="240" w:lineRule="auto" w:before="52"/>
        <w:ind w:right="0"/>
        <w:jc w:val="left"/>
        <w:rPr>
          <w:rFonts w:ascii="宋体" w:hAnsi="宋体" w:cs="宋体" w:eastAsia="宋体" w:hint="default"/>
        </w:rPr>
      </w:pPr>
      <w:r>
        <w:rPr>
          <w:sz w:val="24"/>
          <w:szCs w:val="24"/>
        </w:rPr>
        <w:t>√适用□不适用</w:t>
      </w:r>
      <w:r>
        <w:rPr>
          <w:rFonts w:ascii="宋体" w:hAnsi="宋体" w:cs="宋体" w:eastAsia="宋体" w:hint="default"/>
          <w:sz w:val="24"/>
          <w:szCs w:val="24"/>
        </w:rPr>
        <w:t>  </w:t>
      </w:r>
      <w:r>
        <w:rPr>
          <w:spacing w:val="-1"/>
        </w:rPr>
        <w:t>公司所涉及的业务收入，主要包括：智能电力业务的软件产品销售收入、软件项目开发收入及系</w:t>
      </w:r>
      <w:r>
        <w:rPr>
          <w:spacing w:val="-55"/>
        </w:rPr>
        <w:t> </w:t>
      </w:r>
      <w:r>
        <w:rPr>
          <w:spacing w:val="-55"/>
        </w:rPr>
      </w:r>
      <w:r>
        <w:rPr/>
        <w:t>统集成收入；军工装备业务。具体收入确认原则及方法如下：</w:t>
      </w:r>
      <w:r>
        <w:rPr>
          <w:rFonts w:ascii="宋体" w:hAnsi="宋体" w:cs="宋体" w:eastAsia="宋体" w:hint="default"/>
        </w:rPr>
        <w:t> </w:t>
      </w:r>
    </w:p>
    <w:p>
      <w:pPr>
        <w:pStyle w:val="BodyText"/>
        <w:spacing w:line="274" w:lineRule="exact" w:before="22"/>
        <w:ind w:right="0"/>
        <w:jc w:val="left"/>
      </w:pPr>
      <w:r>
        <w:rPr/>
        <w:t>（</w:t>
      </w:r>
      <w:r>
        <w:rPr>
          <w:rFonts w:ascii="宋体" w:hAnsi="宋体" w:cs="宋体" w:eastAsia="宋体" w:hint="default"/>
        </w:rPr>
        <w:t>1</w:t>
      </w:r>
      <w:r>
        <w:rPr/>
        <w:t>）软件产品销售收入的确认原则及方法</w:t>
      </w:r>
      <w:r>
        <w:rPr>
          <w:rFonts w:ascii="宋体" w:hAnsi="宋体" w:cs="宋体" w:eastAsia="宋体" w:hint="default"/>
          <w:w w:val="100"/>
        </w:rPr>
        <w:t> </w:t>
      </w:r>
      <w:r>
        <w:rPr>
          <w:spacing w:val="-1"/>
        </w:rPr>
        <w:t>软件产品销售收入：是指销售不需进行二次开发即可直接使用的计算机软件所获得的收入。该类</w:t>
      </w:r>
    </w:p>
    <w:p>
      <w:pPr>
        <w:spacing w:after="0" w:line="274" w:lineRule="exact"/>
        <w:jc w:val="left"/>
        <w:sectPr>
          <w:pgSz w:w="11910" w:h="16840"/>
          <w:pgMar w:header="882" w:footer="1195" w:top="1120" w:bottom="1380" w:left="1140" w:right="1680"/>
        </w:sectPr>
      </w:pPr>
    </w:p>
    <w:p>
      <w:pPr>
        <w:spacing w:line="240" w:lineRule="auto" w:before="9"/>
        <w:rPr>
          <w:rFonts w:ascii="宋体" w:hAnsi="宋体" w:cs="宋体" w:eastAsia="宋体" w:hint="default"/>
          <w:sz w:val="18"/>
          <w:szCs w:val="18"/>
        </w:rPr>
      </w:pPr>
    </w:p>
    <w:p>
      <w:pPr>
        <w:pStyle w:val="BodyText"/>
        <w:spacing w:line="237" w:lineRule="auto" w:before="38"/>
        <w:ind w:right="0"/>
        <w:jc w:val="left"/>
        <w:rPr>
          <w:rFonts w:ascii="宋体" w:hAnsi="宋体" w:cs="宋体" w:eastAsia="宋体" w:hint="default"/>
        </w:rPr>
      </w:pPr>
      <w:r>
        <w:rPr>
          <w:spacing w:val="-1"/>
        </w:rPr>
        <w:t>产品的特点是通用性强、不需要进行本地化开发，通过产品配置、技术培训就能够满足客户对产</w:t>
      </w:r>
      <w:r>
        <w:rPr>
          <w:spacing w:val="-55"/>
        </w:rPr>
        <w:t> </w:t>
      </w:r>
      <w:r>
        <w:rPr>
          <w:spacing w:val="-55"/>
        </w:rPr>
      </w:r>
      <w:r>
        <w:rPr/>
        <w:t>品的应用需求。</w:t>
      </w:r>
      <w:r>
        <w:rPr>
          <w:rFonts w:ascii="宋体" w:hAnsi="宋体" w:cs="宋体" w:eastAsia="宋体" w:hint="default"/>
          <w:w w:val="100"/>
        </w:rPr>
        <w:t> </w:t>
      </w:r>
      <w:r>
        <w:rPr>
          <w:spacing w:val="-1"/>
        </w:rPr>
        <w:t>公司在已将所销售的软件产品使用权上的主要风险和报酬转移给买方、不再对该软件产品使用权</w:t>
      </w:r>
      <w:r>
        <w:rPr>
          <w:spacing w:val="-55"/>
        </w:rPr>
        <w:t> </w:t>
      </w:r>
      <w:r>
        <w:rPr>
          <w:spacing w:val="-55"/>
        </w:rPr>
      </w:r>
      <w:r>
        <w:rPr>
          <w:spacing w:val="-1"/>
        </w:rPr>
        <w:t>实施继续管理权和实际控制权、相关的收入已经取得或取得了收款的凭据且相关的经济利益很可</w:t>
      </w:r>
      <w:r>
        <w:rPr>
          <w:spacing w:val="-55"/>
        </w:rPr>
        <w:t> </w:t>
      </w:r>
      <w:r>
        <w:rPr>
          <w:spacing w:val="-55"/>
        </w:rPr>
      </w:r>
      <w:r>
        <w:rPr/>
        <w:t>能流入，与销售该软件产品有关的成本能够可靠地计量时，确认销售收入。</w:t>
      </w:r>
      <w:r>
        <w:rPr>
          <w:rFonts w:ascii="宋体" w:hAnsi="宋体" w:cs="宋体" w:eastAsia="宋体" w:hint="default"/>
          <w:w w:val="100"/>
        </w:rPr>
        <w:t> </w:t>
      </w:r>
      <w:r>
        <w:rPr>
          <w:spacing w:val="-1"/>
        </w:rPr>
        <w:t>销售合同未规定需要安装验收的，在取得客户到货验收证明时确认为销售收入；销售合同规定需</w:t>
      </w:r>
      <w:r>
        <w:rPr>
          <w:spacing w:val="-55"/>
        </w:rPr>
        <w:t> </w:t>
      </w:r>
      <w:r>
        <w:rPr>
          <w:spacing w:val="-55"/>
        </w:rPr>
      </w:r>
      <w:r>
        <w:rPr/>
        <w:t>要安装验收的，在取得客户的安装验收报告时确认销售收入。</w:t>
      </w:r>
      <w:r>
        <w:rPr>
          <w:rFonts w:ascii="宋体" w:hAnsi="宋体" w:cs="宋体" w:eastAsia="宋体" w:hint="default"/>
          <w:spacing w:val="-3"/>
        </w:rPr>
        <w:t> </w:t>
      </w:r>
      <w:r>
        <w:rPr>
          <w:rFonts w:ascii="宋体" w:hAnsi="宋体" w:cs="宋体" w:eastAsia="宋体" w:hint="default"/>
        </w:rPr>
        <w:t> </w:t>
      </w:r>
    </w:p>
    <w:p>
      <w:pPr>
        <w:pStyle w:val="BodyText"/>
        <w:spacing w:line="237" w:lineRule="auto"/>
        <w:ind w:right="309"/>
        <w:jc w:val="left"/>
      </w:pPr>
      <w:r>
        <w:rPr/>
        <w:t>（</w:t>
      </w:r>
      <w:r>
        <w:rPr>
          <w:rFonts w:ascii="宋体" w:hAnsi="宋体" w:cs="宋体" w:eastAsia="宋体" w:hint="default"/>
        </w:rPr>
        <w:t>2</w:t>
      </w:r>
      <w:r>
        <w:rPr/>
        <w:t>）软件开发项目收入的确认原则及方法</w:t>
      </w:r>
      <w:r>
        <w:rPr>
          <w:rFonts w:ascii="宋体" w:hAnsi="宋体" w:cs="宋体" w:eastAsia="宋体" w:hint="default"/>
          <w:w w:val="100"/>
        </w:rPr>
        <w:t> </w:t>
      </w:r>
      <w:r>
        <w:rPr>
          <w:spacing w:val="-1"/>
        </w:rPr>
        <w:t>软件开发项目收入：是指接受客户委托，根据客户的需要，应用软件技术进行研究开发所获得的</w:t>
      </w:r>
      <w:r>
        <w:rPr>
          <w:spacing w:val="-55"/>
        </w:rPr>
        <w:t> </w:t>
      </w:r>
      <w:r>
        <w:rPr>
          <w:spacing w:val="-55"/>
        </w:rPr>
      </w:r>
      <w:r>
        <w:rPr/>
        <w:t>收入。该类业务通常是按客户需求定制，可复制性低、研发周期长。</w:t>
      </w:r>
      <w:r>
        <w:rPr>
          <w:rFonts w:ascii="宋体" w:hAnsi="宋体" w:cs="宋体" w:eastAsia="宋体" w:hint="default"/>
          <w:w w:val="100"/>
        </w:rPr>
        <w:t> </w:t>
      </w:r>
      <w:r>
        <w:rPr>
          <w:spacing w:val="-1"/>
        </w:rPr>
        <w:t>由于软件开发项目收入实质上属于提供劳务，适用收入准则中提供劳务收入的确认原则，公司对</w:t>
      </w:r>
      <w:r>
        <w:rPr>
          <w:spacing w:val="-55"/>
        </w:rPr>
        <w:t> </w:t>
      </w:r>
      <w:r>
        <w:rPr>
          <w:spacing w:val="-55"/>
        </w:rPr>
      </w:r>
      <w:r>
        <w:rPr>
          <w:spacing w:val="-1"/>
        </w:rPr>
        <w:t>软件开发项目收入的确认采用完工百分比法，即：在软件开发项目收入的金额能够可靠地计量，</w:t>
      </w:r>
      <w:r>
        <w:rPr>
          <w:spacing w:val="-55"/>
        </w:rPr>
        <w:t> </w:t>
      </w:r>
      <w:r>
        <w:rPr>
          <w:spacing w:val="-55"/>
        </w:rPr>
      </w:r>
      <w:r>
        <w:rPr>
          <w:spacing w:val="-1"/>
        </w:rPr>
        <w:t>相关的经济利益很可能流入企业，项目开发的完工进度能够可靠地确定，项目开发中已发生和将</w:t>
      </w:r>
      <w:r>
        <w:rPr>
          <w:spacing w:val="-55"/>
        </w:rPr>
        <w:t> </w:t>
      </w:r>
      <w:r>
        <w:rPr>
          <w:spacing w:val="-55"/>
        </w:rPr>
      </w:r>
      <w:r>
        <w:rPr/>
        <w:t>发生的成本能够可靠地计量时，确认软件开发项目收入。</w:t>
      </w:r>
      <w:r>
        <w:rPr>
          <w:rFonts w:ascii="宋体" w:hAnsi="宋体" w:cs="宋体" w:eastAsia="宋体" w:hint="default"/>
          <w:w w:val="100"/>
        </w:rPr>
        <w:t> </w:t>
      </w:r>
      <w:r>
        <w:rPr/>
        <w:t>当期软件开发项目收入＝合同金额×累计完工进度</w:t>
      </w:r>
      <w:r>
        <w:rPr>
          <w:rFonts w:ascii="宋体" w:hAnsi="宋体" w:cs="宋体" w:eastAsia="宋体" w:hint="default"/>
        </w:rPr>
        <w:t>-</w:t>
      </w:r>
      <w:r>
        <w:rPr/>
        <w:t>已确认软件开发项目收入</w:t>
      </w:r>
      <w:r>
        <w:rPr>
          <w:rFonts w:ascii="宋体" w:hAnsi="宋体" w:cs="宋体" w:eastAsia="宋体" w:hint="default"/>
          <w:w w:val="100"/>
        </w:rPr>
        <w:t> </w:t>
      </w:r>
      <w:r>
        <w:rPr>
          <w:spacing w:val="-1"/>
        </w:rPr>
        <w:t>软件开发项目完工百分比的确定方法：若合同约定工程进度的按合同约定执行；若合同未约定工</w:t>
      </w:r>
      <w:r>
        <w:rPr>
          <w:spacing w:val="-55"/>
        </w:rPr>
        <w:t> </w:t>
      </w:r>
      <w:r>
        <w:rPr>
          <w:spacing w:val="-55"/>
        </w:rPr>
      </w:r>
      <w:r>
        <w:rPr>
          <w:spacing w:val="-1"/>
        </w:rPr>
        <w:t>程进度则按软件项目的实施环节确认完工进度，即公司取得项目实施相关环节的文档并得到客户</w:t>
      </w:r>
      <w:r>
        <w:rPr>
          <w:spacing w:val="-55"/>
        </w:rPr>
        <w:t> </w:t>
      </w:r>
      <w:r>
        <w:rPr>
          <w:spacing w:val="-55"/>
        </w:rPr>
      </w:r>
      <w:r>
        <w:rPr/>
        <w:t>确认后，确定工程进度。</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342"/>
        <w:gridCol w:w="974"/>
        <w:gridCol w:w="1172"/>
        <w:gridCol w:w="989"/>
        <w:gridCol w:w="987"/>
        <w:gridCol w:w="974"/>
        <w:gridCol w:w="989"/>
        <w:gridCol w:w="989"/>
        <w:gridCol w:w="636"/>
      </w:tblGrid>
      <w:tr>
        <w:trPr>
          <w:trHeight w:val="281"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center"/>
              <w:rPr>
                <w:rFonts w:ascii="宋体" w:hAnsi="宋体" w:cs="宋体" w:eastAsia="宋体" w:hint="default"/>
                <w:sz w:val="21"/>
                <w:szCs w:val="21"/>
              </w:rPr>
            </w:pPr>
            <w:r>
              <w:rPr>
                <w:rFonts w:ascii="宋体" w:hAnsi="宋体" w:cs="宋体" w:eastAsia="宋体" w:hint="default"/>
                <w:sz w:val="21"/>
                <w:szCs w:val="21"/>
              </w:rPr>
              <w:t>项目研发环节</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项目立项</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可行性分析</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初步设计</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编程设计</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编程测试</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实施评审</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结项验收</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center"/>
              <w:rPr>
                <w:rFonts w:ascii="宋体" w:hAnsi="宋体" w:cs="宋体" w:eastAsia="宋体" w:hint="default"/>
                <w:sz w:val="21"/>
                <w:szCs w:val="21"/>
              </w:rPr>
            </w:pPr>
            <w:r>
              <w:rPr>
                <w:rFonts w:ascii="宋体" w:hAnsi="宋体" w:cs="宋体" w:eastAsia="宋体" w:hint="default"/>
                <w:sz w:val="21"/>
                <w:szCs w:val="21"/>
              </w:rPr>
              <w:t>项目完工进度</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1"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1" w:right="0"/>
              <w:jc w:val="left"/>
              <w:rPr>
                <w:rFonts w:ascii="Times New Roman" w:hAnsi="Times New Roman" w:cs="Times New Roman" w:eastAsia="Times New Roman" w:hint="default"/>
                <w:sz w:val="20"/>
                <w:szCs w:val="20"/>
              </w:rPr>
            </w:pPr>
            <w:r>
              <w:rPr>
                <w:rFonts w:ascii="Times New Roman"/>
                <w:sz w:val="20"/>
              </w:rPr>
              <w:t>30%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1" w:right="0"/>
              <w:jc w:val="left"/>
              <w:rPr>
                <w:rFonts w:ascii="Times New Roman" w:hAnsi="Times New Roman" w:cs="Times New Roman" w:eastAsia="Times New Roman" w:hint="default"/>
                <w:sz w:val="20"/>
                <w:szCs w:val="20"/>
              </w:rPr>
            </w:pPr>
            <w:r>
              <w:rPr>
                <w:rFonts w:ascii="Times New Roman"/>
                <w:sz w:val="20"/>
              </w:rPr>
              <w:t>10%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1" w:right="0"/>
              <w:jc w:val="left"/>
              <w:rPr>
                <w:rFonts w:ascii="Times New Roman" w:hAnsi="Times New Roman" w:cs="Times New Roman" w:eastAsia="Times New Roman" w:hint="default"/>
                <w:sz w:val="20"/>
                <w:szCs w:val="20"/>
              </w:rPr>
            </w:pPr>
            <w:r>
              <w:rPr>
                <w:rFonts w:ascii="Times New Roman"/>
                <w:sz w:val="20"/>
              </w:rPr>
              <w:t>10%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1" w:right="0"/>
              <w:jc w:val="left"/>
              <w:rPr>
                <w:rFonts w:ascii="Times New Roman" w:hAnsi="Times New Roman" w:cs="Times New Roman" w:eastAsia="Times New Roman" w:hint="default"/>
                <w:sz w:val="20"/>
                <w:szCs w:val="20"/>
              </w:rPr>
            </w:pPr>
            <w:r>
              <w:rPr>
                <w:rFonts w:ascii="Times New Roman"/>
                <w:sz w:val="20"/>
              </w:rPr>
              <w:t>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Times New Roman" w:hAnsi="Times New Roman" w:cs="Times New Roman" w:eastAsia="Times New Roman" w:hint="default"/>
                <w:sz w:val="20"/>
                <w:szCs w:val="20"/>
              </w:rPr>
            </w:pPr>
            <w:r>
              <w:rPr>
                <w:rFonts w:ascii="Times New Roman"/>
                <w:sz w:val="20"/>
              </w:rPr>
              <w:t>15%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1" w:right="0"/>
              <w:jc w:val="left"/>
              <w:rPr>
                <w:rFonts w:ascii="Times New Roman" w:hAnsi="Times New Roman" w:cs="Times New Roman" w:eastAsia="Times New Roman" w:hint="default"/>
                <w:sz w:val="20"/>
                <w:szCs w:val="20"/>
              </w:rPr>
            </w:pPr>
            <w:r>
              <w:rPr>
                <w:rFonts w:ascii="Times New Roman"/>
                <w:sz w:val="20"/>
              </w:rPr>
              <w:t>30%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1" w:right="0"/>
              <w:jc w:val="left"/>
              <w:rPr>
                <w:rFonts w:ascii="Times New Roman" w:hAnsi="Times New Roman" w:cs="Times New Roman" w:eastAsia="Times New Roman" w:hint="default"/>
                <w:sz w:val="20"/>
                <w:szCs w:val="20"/>
              </w:rPr>
            </w:pPr>
            <w:r>
              <w:rPr>
                <w:rFonts w:ascii="Times New Roman"/>
                <w:sz w:val="20"/>
              </w:rPr>
              <w:t>100%</w:t>
            </w:r>
          </w:p>
        </w:tc>
      </w:tr>
    </w:tbl>
    <w:p>
      <w:pPr>
        <w:pStyle w:val="BodyText"/>
        <w:spacing w:line="240" w:lineRule="exact"/>
        <w:ind w:right="0"/>
        <w:jc w:val="left"/>
        <w:rPr>
          <w:rFonts w:ascii="宋体" w:hAnsi="宋体" w:cs="宋体" w:eastAsia="宋体" w:hint="default"/>
        </w:rPr>
      </w:pPr>
      <w:r>
        <w:rPr/>
        <w:t>（</w:t>
      </w:r>
      <w:r>
        <w:rPr>
          <w:rFonts w:ascii="宋体" w:hAnsi="宋体" w:cs="宋体" w:eastAsia="宋体" w:hint="default"/>
        </w:rPr>
        <w:t>3</w:t>
      </w:r>
      <w:r>
        <w:rPr/>
        <w:t>）系统集成收入的确认原则及方法</w:t>
      </w:r>
      <w:r>
        <w:rPr>
          <w:rFonts w:ascii="宋体" w:hAnsi="宋体" w:cs="宋体" w:eastAsia="宋体" w:hint="default"/>
        </w:rPr>
        <w:t> </w:t>
      </w:r>
    </w:p>
    <w:p>
      <w:pPr>
        <w:pStyle w:val="BodyText"/>
        <w:spacing w:line="237" w:lineRule="auto" w:before="2"/>
        <w:ind w:right="309"/>
        <w:jc w:val="both"/>
        <w:rPr>
          <w:rFonts w:ascii="宋体" w:hAnsi="宋体" w:cs="宋体" w:eastAsia="宋体" w:hint="default"/>
        </w:rPr>
      </w:pPr>
      <w:r>
        <w:rPr>
          <w:spacing w:val="-1"/>
        </w:rPr>
        <w:t>系统集成销售收入是指公司应客户要求使用自制软件及外购软硬件，并进行设计、安装、集成所</w:t>
      </w:r>
      <w:r>
        <w:rPr>
          <w:spacing w:val="-55"/>
        </w:rPr>
        <w:t> </w:t>
      </w:r>
      <w:r>
        <w:rPr>
          <w:spacing w:val="-55"/>
        </w:rPr>
      </w:r>
      <w:r>
        <w:rPr>
          <w:spacing w:val="-1"/>
        </w:rPr>
        <w:t>获得的收入。由于系统集成业务有涉及产品数量多、种类繁杂、工程需在客户现场实施等特点，</w:t>
      </w:r>
      <w:r>
        <w:rPr>
          <w:spacing w:val="-55"/>
        </w:rPr>
        <w:t> </w:t>
      </w:r>
      <w:r>
        <w:rPr>
          <w:spacing w:val="-55"/>
        </w:rPr>
      </w:r>
      <w:r>
        <w:rPr>
          <w:spacing w:val="-1"/>
        </w:rPr>
        <w:t>故公司采用完工百分比法确认其收入，即：系统集成收入的金额能够可靠地计量，相关的经济利</w:t>
      </w:r>
      <w:r>
        <w:rPr>
          <w:spacing w:val="-55"/>
        </w:rPr>
        <w:t> </w:t>
      </w:r>
      <w:r>
        <w:rPr>
          <w:spacing w:val="-55"/>
        </w:rPr>
      </w:r>
      <w:r>
        <w:rPr>
          <w:spacing w:val="-1"/>
        </w:rPr>
        <w:t>益很可能流入企业，系统集成项目的完工进度能够可靠地确定，项目中已发生和将发生的成本能</w:t>
      </w:r>
      <w:r>
        <w:rPr>
          <w:spacing w:val="-55"/>
        </w:rPr>
        <w:t> </w:t>
      </w:r>
      <w:r>
        <w:rPr>
          <w:spacing w:val="-55"/>
        </w:rPr>
      </w:r>
      <w:r>
        <w:rPr/>
        <w:t>够可靠地计量时，确认系统集成收入：</w:t>
      </w:r>
      <w:r>
        <w:rPr>
          <w:rFonts w:ascii="宋体" w:hAnsi="宋体" w:cs="宋体" w:eastAsia="宋体" w:hint="default"/>
        </w:rPr>
        <w:t> </w:t>
      </w:r>
    </w:p>
    <w:p>
      <w:pPr>
        <w:pStyle w:val="BodyText"/>
        <w:spacing w:line="237" w:lineRule="auto" w:before="2"/>
        <w:ind w:right="0"/>
        <w:jc w:val="left"/>
        <w:rPr>
          <w:rFonts w:ascii="宋体" w:hAnsi="宋体" w:cs="宋体" w:eastAsia="宋体" w:hint="default"/>
        </w:rPr>
      </w:pPr>
      <w:r>
        <w:rPr/>
        <w:t>当期系统集成收入＝合同金额×完工进度</w:t>
      </w:r>
      <w:r>
        <w:rPr>
          <w:rFonts w:ascii="宋体" w:hAnsi="宋体" w:cs="宋体" w:eastAsia="宋体" w:hint="default"/>
        </w:rPr>
        <w:t>-</w:t>
      </w:r>
      <w:r>
        <w:rPr/>
        <w:t>已确认系统集成收入</w:t>
      </w:r>
      <w:r>
        <w:rPr>
          <w:rFonts w:ascii="宋体" w:hAnsi="宋体" w:cs="宋体" w:eastAsia="宋体" w:hint="default"/>
          <w:w w:val="100"/>
        </w:rPr>
        <w:t> </w:t>
      </w:r>
      <w:r>
        <w:rPr/>
        <w:t>完工进度＝（项目累计实际发出商品成本</w:t>
      </w:r>
      <w:r>
        <w:rPr>
          <w:rFonts w:ascii="宋体" w:hAnsi="宋体" w:cs="宋体" w:eastAsia="宋体" w:hint="default"/>
        </w:rPr>
        <w:t>/</w:t>
      </w:r>
      <w:r>
        <w:rPr/>
        <w:t>项目预算总成本）×</w:t>
      </w:r>
      <w:r>
        <w:rPr>
          <w:rFonts w:ascii="宋体" w:hAnsi="宋体" w:cs="宋体" w:eastAsia="宋体" w:hint="default"/>
        </w:rPr>
        <w:t>100%</w:t>
      </w:r>
      <w:r>
        <w:rPr/>
        <w:t>。</w:t>
      </w:r>
      <w:r>
        <w:rPr>
          <w:rFonts w:ascii="宋体" w:hAnsi="宋体" w:cs="宋体" w:eastAsia="宋体" w:hint="default"/>
          <w:w w:val="100"/>
        </w:rPr>
        <w:t> </w:t>
      </w:r>
      <w:r>
        <w:rPr>
          <w:spacing w:val="-1"/>
        </w:rPr>
        <w:t>但若系统集成项目施工周期小于三个月或项目合同金额在一百万元以下，为简化会计处理程序，</w:t>
      </w:r>
      <w:r>
        <w:rPr>
          <w:spacing w:val="-55"/>
        </w:rPr>
        <w:t> </w:t>
      </w:r>
      <w:r>
        <w:rPr>
          <w:spacing w:val="-55"/>
        </w:rPr>
      </w:r>
      <w:r>
        <w:rPr/>
        <w:t>公司在取得客户收货</w:t>
      </w:r>
      <w:r>
        <w:rPr>
          <w:rFonts w:ascii="宋体" w:hAnsi="宋体" w:cs="宋体" w:eastAsia="宋体" w:hint="default"/>
        </w:rPr>
        <w:t>/</w:t>
      </w:r>
      <w:r>
        <w:rPr/>
        <w:t>验收报告时确认收入。</w:t>
      </w:r>
      <w:r>
        <w:rPr>
          <w:rFonts w:ascii="宋体" w:hAnsi="宋体" w:cs="宋体" w:eastAsia="宋体" w:hint="default"/>
        </w:rPr>
        <w:t> </w:t>
      </w:r>
    </w:p>
    <w:p>
      <w:pPr>
        <w:pStyle w:val="BodyText"/>
        <w:spacing w:line="237" w:lineRule="auto" w:before="1"/>
        <w:ind w:right="0"/>
        <w:jc w:val="left"/>
        <w:rPr>
          <w:rFonts w:ascii="宋体" w:hAnsi="宋体" w:cs="宋体" w:eastAsia="宋体" w:hint="default"/>
        </w:rPr>
      </w:pPr>
      <w:r>
        <w:rPr/>
        <w:t>（</w:t>
      </w:r>
      <w:r>
        <w:rPr>
          <w:rFonts w:ascii="宋体" w:hAnsi="宋体" w:cs="宋体" w:eastAsia="宋体" w:hint="default"/>
        </w:rPr>
        <w:t>4</w:t>
      </w:r>
      <w:r>
        <w:rPr/>
        <w:t>）军工装备及其他业务收入确认原则及方法</w:t>
      </w:r>
      <w:r>
        <w:rPr>
          <w:rFonts w:ascii="宋体" w:hAnsi="宋体" w:cs="宋体" w:eastAsia="宋体" w:hint="default"/>
          <w:w w:val="100"/>
        </w:rPr>
        <w:t> </w:t>
      </w:r>
      <w:r>
        <w:rPr>
          <w:spacing w:val="-1"/>
        </w:rPr>
        <w:t>军工装备业务以购货方验收，并同时满足企业会计准则中规定的收入确认其他条件作为收入确认</w:t>
      </w:r>
      <w:r>
        <w:rPr>
          <w:spacing w:val="-55"/>
        </w:rPr>
        <w:t> </w:t>
      </w:r>
      <w:r>
        <w:rPr>
          <w:spacing w:val="-55"/>
        </w:rPr>
      </w:r>
      <w:r>
        <w:rPr/>
        <w:t>时点。</w:t>
      </w:r>
      <w:r>
        <w:rPr>
          <w:rFonts w:ascii="宋体" w:hAnsi="宋体" w:cs="宋体" w:eastAsia="宋体" w:hint="default"/>
          <w:w w:val="100"/>
        </w:rPr>
        <w:t> </w:t>
      </w:r>
      <w:r>
        <w:rPr>
          <w:spacing w:val="-1"/>
        </w:rPr>
        <w:t>公司与购货方在销售合同中约定了不同种贸易方式，公司将根据贸易方式判断主要风险和报酬转</w:t>
      </w:r>
      <w:r>
        <w:rPr>
          <w:spacing w:val="-55"/>
        </w:rPr>
        <w:t> </w:t>
      </w:r>
      <w:r>
        <w:rPr>
          <w:spacing w:val="-55"/>
        </w:rPr>
      </w:r>
      <w:r>
        <w:rPr/>
        <w:t>移的时点，并相应确认收入。</w:t>
      </w:r>
      <w:r>
        <w:rPr>
          <w:rFonts w:ascii="宋体" w:hAnsi="宋体" w:cs="宋体" w:eastAsia="宋体" w:hint="default"/>
          <w:w w:val="100"/>
        </w:rPr>
        <w:t> </w:t>
      </w:r>
      <w:r>
        <w:rPr>
          <w:spacing w:val="-1"/>
        </w:rPr>
        <w:t>合同或协议价款的收取采用递延方式，实质上具有融资性质的，按照应收的合同或协议价款的公</w:t>
      </w:r>
      <w:r>
        <w:rPr>
          <w:spacing w:val="-55"/>
        </w:rPr>
        <w:t> </w:t>
      </w:r>
      <w:r>
        <w:rPr>
          <w:spacing w:val="-55"/>
        </w:rPr>
      </w:r>
      <w:r>
        <w:rPr/>
        <w:t>允价值确定销售商品收入金额。</w:t>
      </w:r>
      <w:r>
        <w:rPr>
          <w:rFonts w:ascii="宋体" w:hAnsi="宋体" w:cs="宋体" w:eastAsia="宋体" w:hint="default"/>
        </w:rPr>
        <w:t> </w:t>
      </w:r>
    </w:p>
    <w:p>
      <w:pPr>
        <w:pStyle w:val="BodyText"/>
        <w:spacing w:line="237" w:lineRule="auto"/>
        <w:ind w:right="0"/>
        <w:jc w:val="left"/>
        <w:rPr>
          <w:rFonts w:ascii="宋体" w:hAnsi="宋体" w:cs="宋体" w:eastAsia="宋体" w:hint="default"/>
        </w:rPr>
      </w:pPr>
      <w:r>
        <w:rPr/>
        <w:t>（</w:t>
      </w:r>
      <w:r>
        <w:rPr>
          <w:rFonts w:ascii="宋体" w:hAnsi="宋体" w:cs="宋体" w:eastAsia="宋体" w:hint="default"/>
        </w:rPr>
        <w:t>5</w:t>
      </w:r>
      <w:r>
        <w:rPr/>
        <w:t>）让渡资产使用权</w:t>
      </w:r>
      <w:r>
        <w:rPr>
          <w:rFonts w:ascii="宋体" w:hAnsi="宋体" w:cs="宋体" w:eastAsia="宋体" w:hint="default"/>
          <w:w w:val="100"/>
        </w:rPr>
        <w:t> </w:t>
      </w:r>
      <w:r>
        <w:rPr>
          <w:spacing w:val="-1"/>
        </w:rPr>
        <w:t>本公司在让渡资产使用权相关的经济利益很可能流入并且收入的金额能够可靠地计量时确认让渡</w:t>
      </w:r>
      <w:r>
        <w:rPr>
          <w:spacing w:val="-55"/>
        </w:rPr>
        <w:t> </w:t>
      </w:r>
      <w:r>
        <w:rPr>
          <w:spacing w:val="-55"/>
        </w:rPr>
      </w:r>
      <w:r>
        <w:rPr/>
        <w:t>资产使用权收入。</w:t>
      </w:r>
      <w:r>
        <w:rPr>
          <w:rFonts w:ascii="宋体" w:hAnsi="宋体" w:cs="宋体" w:eastAsia="宋体" w:hint="default"/>
        </w:rPr>
        <w:t> </w:t>
      </w:r>
    </w:p>
    <w:p>
      <w:pPr>
        <w:pStyle w:val="BodyText"/>
        <w:spacing w:line="237" w:lineRule="auto" w:before="1"/>
        <w:ind w:right="197"/>
        <w:jc w:val="left"/>
      </w:pPr>
      <w:r>
        <w:rPr/>
        <w:t>（</w:t>
      </w:r>
      <w:r>
        <w:rPr>
          <w:rFonts w:ascii="宋体" w:hAnsi="宋体" w:cs="宋体" w:eastAsia="宋体" w:hint="default"/>
        </w:rPr>
        <w:t>6</w:t>
      </w:r>
      <w:r>
        <w:rPr/>
        <w:t>）建造合同收入</w:t>
      </w:r>
      <w:r>
        <w:rPr>
          <w:rFonts w:ascii="宋体" w:hAnsi="宋体" w:cs="宋体" w:eastAsia="宋体" w:hint="default"/>
          <w:w w:val="100"/>
        </w:rPr>
        <w:t> </w:t>
      </w:r>
      <w:r>
        <w:rPr>
          <w:spacing w:val="-7"/>
          <w:w w:val="100"/>
        </w:rPr>
        <w:t>在资产负债表日，建造合同的结果能够可靠估计的，根据完工百分比法确认合同收入和合同费用。</w:t>
      </w:r>
      <w:r>
        <w:rPr>
          <w:spacing w:val="-67"/>
          <w:w w:val="100"/>
        </w:rPr>
        <w:t> </w:t>
      </w:r>
      <w:r>
        <w:rPr>
          <w:rFonts w:ascii="宋体" w:hAnsi="宋体" w:cs="宋体" w:eastAsia="宋体" w:hint="default"/>
          <w:spacing w:val="-67"/>
          <w:w w:val="100"/>
        </w:rPr>
      </w:r>
      <w:r>
        <w:rPr>
          <w:spacing w:val="-1"/>
          <w:w w:val="100"/>
        </w:rPr>
        <w:t>固定造价合同的结果能够可靠估计，是指同时满足下列条件：（</w:t>
      </w:r>
      <w:r>
        <w:rPr>
          <w:rFonts w:ascii="宋体" w:hAnsi="宋体" w:cs="宋体" w:eastAsia="宋体" w:hint="default"/>
          <w:spacing w:val="-1"/>
          <w:w w:val="100"/>
        </w:rPr>
        <w:t>1</w:t>
      </w:r>
      <w:r>
        <w:rPr>
          <w:spacing w:val="-1"/>
          <w:w w:val="100"/>
        </w:rPr>
        <w:t>）合同总收入能够可靠地计量；</w:t>
      </w:r>
    </w:p>
    <w:p>
      <w:pPr>
        <w:pStyle w:val="BodyText"/>
        <w:spacing w:line="237" w:lineRule="auto"/>
        <w:ind w:right="0"/>
        <w:jc w:val="left"/>
      </w:pPr>
      <w:r>
        <w:rPr>
          <w:spacing w:val="-6"/>
          <w:w w:val="100"/>
        </w:rPr>
        <w:t>（</w:t>
      </w:r>
      <w:r>
        <w:rPr>
          <w:rFonts w:ascii="宋体" w:hAnsi="宋体" w:cs="宋体" w:eastAsia="宋体" w:hint="default"/>
          <w:spacing w:val="-6"/>
          <w:w w:val="100"/>
        </w:rPr>
        <w:t>2</w:t>
      </w:r>
      <w:r>
        <w:rPr>
          <w:spacing w:val="-6"/>
          <w:w w:val="100"/>
        </w:rPr>
        <w:t>）与合同相关的经济利益很可能流入企业；（</w:t>
      </w:r>
      <w:r>
        <w:rPr>
          <w:rFonts w:ascii="宋体" w:hAnsi="宋体" w:cs="宋体" w:eastAsia="宋体" w:hint="default"/>
          <w:spacing w:val="-6"/>
          <w:w w:val="100"/>
        </w:rPr>
        <w:t>3</w:t>
      </w:r>
      <w:r>
        <w:rPr>
          <w:spacing w:val="-6"/>
          <w:w w:val="100"/>
        </w:rPr>
        <w:t>）实际发生的合同成本能够清楚地区分和可靠地</w:t>
      </w:r>
      <w:r>
        <w:rPr>
          <w:spacing w:val="-98"/>
          <w:w w:val="100"/>
        </w:rPr>
        <w:t> </w:t>
      </w:r>
      <w:r>
        <w:rPr>
          <w:spacing w:val="-98"/>
          <w:w w:val="100"/>
        </w:rPr>
      </w:r>
      <w:r>
        <w:rPr>
          <w:spacing w:val="-5"/>
          <w:w w:val="100"/>
        </w:rPr>
        <w:t>计量；（</w:t>
      </w:r>
      <w:r>
        <w:rPr>
          <w:rFonts w:ascii="宋体" w:hAnsi="宋体" w:cs="宋体" w:eastAsia="宋体" w:hint="default"/>
          <w:spacing w:val="-5"/>
          <w:w w:val="100"/>
        </w:rPr>
        <w:t>4</w:t>
      </w:r>
      <w:r>
        <w:rPr>
          <w:spacing w:val="-5"/>
          <w:w w:val="100"/>
        </w:rPr>
        <w:t>）合同完工进度和为完成合同尚需发生的成本能够可靠地确定。</w:t>
      </w:r>
      <w:r>
        <w:rPr>
          <w:spacing w:val="-91"/>
          <w:w w:val="100"/>
        </w:rPr>
        <w:t> </w:t>
      </w:r>
      <w:r>
        <w:rPr>
          <w:rFonts w:ascii="宋体" w:hAnsi="宋体" w:cs="宋体" w:eastAsia="宋体" w:hint="default"/>
          <w:spacing w:val="-91"/>
          <w:w w:val="100"/>
        </w:rPr>
      </w:r>
      <w:r>
        <w:rPr>
          <w:spacing w:val="-4"/>
          <w:w w:val="100"/>
        </w:rPr>
        <w:t>成本加成合同的结果能够可靠估计，是指同时满足下列条件：（</w:t>
      </w:r>
      <w:r>
        <w:rPr>
          <w:rFonts w:ascii="宋体" w:hAnsi="宋体" w:cs="宋体" w:eastAsia="宋体" w:hint="default"/>
          <w:spacing w:val="-4"/>
          <w:w w:val="100"/>
        </w:rPr>
        <w:t>1</w:t>
      </w:r>
      <w:r>
        <w:rPr>
          <w:spacing w:val="-4"/>
          <w:w w:val="100"/>
        </w:rPr>
        <w:t>）与合同相关的经济利益很可能</w:t>
      </w:r>
      <w:r>
        <w:rPr>
          <w:spacing w:val="-82"/>
          <w:w w:val="100"/>
        </w:rPr>
        <w:t> </w:t>
      </w:r>
      <w:r>
        <w:rPr>
          <w:spacing w:val="-82"/>
          <w:w w:val="100"/>
        </w:rPr>
      </w:r>
      <w:r>
        <w:rPr>
          <w:spacing w:val="-5"/>
          <w:w w:val="100"/>
        </w:rPr>
        <w:t>流入企业；（</w:t>
      </w:r>
      <w:r>
        <w:rPr>
          <w:rFonts w:ascii="宋体" w:hAnsi="宋体" w:cs="宋体" w:eastAsia="宋体" w:hint="default"/>
          <w:spacing w:val="-5"/>
          <w:w w:val="100"/>
        </w:rPr>
        <w:t>2</w:t>
      </w:r>
      <w:r>
        <w:rPr>
          <w:spacing w:val="-5"/>
          <w:w w:val="100"/>
        </w:rPr>
        <w:t>）实际发生的合同成本能够清楚地区分和可靠地计量。</w:t>
      </w:r>
      <w:r>
        <w:rPr>
          <w:spacing w:val="-98"/>
          <w:w w:val="100"/>
        </w:rPr>
        <w:t> </w:t>
      </w:r>
      <w:r>
        <w:rPr>
          <w:rFonts w:ascii="宋体" w:hAnsi="宋体" w:cs="宋体" w:eastAsia="宋体" w:hint="default"/>
          <w:spacing w:val="-98"/>
          <w:w w:val="100"/>
        </w:rPr>
      </w:r>
      <w:r>
        <w:rPr>
          <w:spacing w:val="-1"/>
        </w:rPr>
        <w:t>公司采用累计实际发生的合同成本占合同预计总成本的比例（已经完成的合同工作量占合同预计</w:t>
      </w:r>
      <w:r>
        <w:rPr>
          <w:spacing w:val="-55"/>
        </w:rPr>
        <w:t> </w:t>
      </w:r>
      <w:r>
        <w:rPr>
          <w:spacing w:val="-55"/>
        </w:rPr>
      </w:r>
      <w:r>
        <w:rPr/>
        <w:t>总工作量的比例或实际测定的完工进度）确定合同完工进度。</w:t>
      </w:r>
      <w:r>
        <w:rPr>
          <w:rFonts w:ascii="宋体" w:hAnsi="宋体" w:cs="宋体" w:eastAsia="宋体" w:hint="default"/>
          <w:w w:val="100"/>
        </w:rPr>
        <w:t> </w:t>
      </w:r>
      <w:r>
        <w:rPr>
          <w:spacing w:val="-1"/>
        </w:rPr>
        <w:t>建造合同的结果不能可靠估计的，合同成本能够收回的，合同收入根据能够收回的实际合同成本</w:t>
      </w:r>
    </w:p>
    <w:p>
      <w:pPr>
        <w:spacing w:after="0" w:line="237" w:lineRule="auto"/>
        <w:jc w:val="left"/>
        <w:sectPr>
          <w:pgSz w:w="11910" w:h="16840"/>
          <w:pgMar w:header="882" w:footer="1195" w:top="1120" w:bottom="1380" w:left="1140" w:right="1480"/>
        </w:sectPr>
      </w:pPr>
    </w:p>
    <w:p>
      <w:pPr>
        <w:spacing w:line="240" w:lineRule="auto" w:before="9"/>
        <w:rPr>
          <w:rFonts w:ascii="宋体" w:hAnsi="宋体" w:cs="宋体" w:eastAsia="宋体" w:hint="default"/>
          <w:sz w:val="18"/>
          <w:szCs w:val="18"/>
        </w:rPr>
      </w:pPr>
    </w:p>
    <w:p>
      <w:pPr>
        <w:pStyle w:val="BodyText"/>
        <w:spacing w:line="272" w:lineRule="exact" w:before="64"/>
        <w:ind w:right="102"/>
        <w:jc w:val="left"/>
        <w:rPr>
          <w:rFonts w:ascii="宋体" w:hAnsi="宋体" w:cs="宋体" w:eastAsia="宋体" w:hint="default"/>
        </w:rPr>
      </w:pPr>
      <w:r>
        <w:rPr>
          <w:spacing w:val="-1"/>
        </w:rPr>
        <w:t>予以确认，合同成本在其发生的当期确认为合同费用；合同成本不可能收回的，在发生时立即确</w:t>
      </w:r>
      <w:r>
        <w:rPr>
          <w:spacing w:val="-55"/>
        </w:rPr>
        <w:t> </w:t>
      </w:r>
      <w:r>
        <w:rPr>
          <w:spacing w:val="-55"/>
        </w:rPr>
      </w:r>
      <w:r>
        <w:rPr/>
        <w:t>认为合同费用，不确认合同收入。</w:t>
      </w:r>
      <w:r>
        <w:rPr>
          <w:rFonts w:ascii="宋体" w:hAnsi="宋体" w:cs="宋体" w:eastAsia="宋体" w:hint="default"/>
        </w:rPr>
        <w:t> </w:t>
      </w:r>
    </w:p>
    <w:p>
      <w:pPr>
        <w:pStyle w:val="Heading3"/>
        <w:spacing w:line="282" w:lineRule="exact"/>
        <w:ind w:left="136" w:right="0"/>
        <w:jc w:val="left"/>
        <w:rPr>
          <w:rFonts w:ascii="宋体" w:hAnsi="宋体" w:cs="宋体" w:eastAsia="宋体" w:hint="default"/>
        </w:rPr>
      </w:pPr>
      <w:r>
        <w:rPr>
          <w:rFonts w:ascii="宋体"/>
        </w:rPr>
        <w:t> </w:t>
      </w:r>
    </w:p>
    <w:p>
      <w:pPr>
        <w:pStyle w:val="Heading5"/>
        <w:spacing w:line="240" w:lineRule="auto"/>
        <w:ind w:left="136" w:right="102"/>
        <w:jc w:val="left"/>
        <w:rPr>
          <w:b w:val="0"/>
          <w:bCs w:val="0"/>
        </w:rPr>
      </w:pPr>
      <w:r>
        <w:rPr>
          <w:rFonts w:ascii="宋体" w:hAnsi="宋体" w:cs="宋体" w:eastAsia="宋体" w:hint="default"/>
        </w:rPr>
        <w:t>37.</w:t>
      </w:r>
      <w:r>
        <w:rPr>
          <w:rFonts w:ascii="宋体" w:hAnsi="宋体" w:cs="宋体" w:eastAsia="宋体" w:hint="default"/>
          <w:spacing w:val="2"/>
        </w:rPr>
        <w:t> </w:t>
      </w:r>
      <w:r>
        <w:rPr/>
        <w:t>政府补助</w:t>
      </w:r>
      <w:r>
        <w:rPr>
          <w:b w:val="0"/>
          <w:bCs w:val="0"/>
        </w:rPr>
      </w:r>
    </w:p>
    <w:p>
      <w:pPr>
        <w:pStyle w:val="Heading3"/>
        <w:spacing w:line="240" w:lineRule="auto" w:before="50"/>
        <w:ind w:left="136" w:right="102"/>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73" w:lineRule="exact" w:before="4"/>
        <w:ind w:right="102"/>
        <w:jc w:val="left"/>
        <w:rPr>
          <w:rFonts w:ascii="宋体" w:hAnsi="宋体" w:cs="宋体" w:eastAsia="宋体" w:hint="default"/>
          <w:sz w:val="24"/>
          <w:szCs w:val="24"/>
        </w:rPr>
      </w:pPr>
      <w:r>
        <w:rPr/>
        <w:t>与资产相关的政府补助判断依据及会计处理方法</w:t>
      </w:r>
      <w:r>
        <w:rPr>
          <w:rFonts w:ascii="宋体" w:hAnsi="宋体" w:cs="宋体" w:eastAsia="宋体" w:hint="default"/>
          <w:sz w:val="24"/>
          <w:szCs w:val="24"/>
        </w:rPr>
        <w:t> </w:t>
      </w:r>
    </w:p>
    <w:p>
      <w:pPr>
        <w:pStyle w:val="BodyText"/>
        <w:spacing w:line="237" w:lineRule="auto"/>
        <w:ind w:right="102"/>
        <w:jc w:val="left"/>
        <w:rPr>
          <w:rFonts w:ascii="宋体" w:hAnsi="宋体" w:cs="宋体" w:eastAsia="宋体" w:hint="default"/>
        </w:rPr>
      </w:pPr>
      <w:r>
        <w:rPr>
          <w:rFonts w:ascii="宋体" w:hAnsi="宋体" w:cs="宋体" w:eastAsia="宋体" w:hint="default"/>
          <w:w w:val="100"/>
        </w:rPr>
        <w:t> </w:t>
      </w:r>
      <w:r>
        <w:rPr/>
        <w:t>MACROBUTTON SnrToggleCheckbox √适用 </w:t>
      </w:r>
      <w:r>
        <w:rPr>
          <w:rFonts w:ascii="宋体" w:hAnsi="宋体" w:cs="宋体" w:eastAsia="宋体" w:hint="default"/>
        </w:rPr>
        <w:t>MACROBUTTON SnrToggleCheckbox</w:t>
      </w:r>
      <w:r>
        <w:rPr>
          <w:rFonts w:ascii="宋体" w:hAnsi="宋体" w:cs="宋体" w:eastAsia="宋体" w:hint="default"/>
          <w:spacing w:val="-48"/>
        </w:rPr>
        <w:t> </w:t>
      </w:r>
      <w:r>
        <w:rPr>
          <w:rFonts w:ascii="宋体" w:hAnsi="宋体" w:cs="宋体" w:eastAsia="宋体" w:hint="default"/>
          <w:spacing w:val="-48"/>
          <w:sz w:val="24"/>
          <w:szCs w:val="24"/>
        </w:rPr>
      </w:r>
      <w:r>
        <w:rPr/>
        <w:t>□不适用</w:t>
      </w:r>
      <w:r>
        <w:rPr>
          <w:rFonts w:ascii="宋体" w:hAnsi="宋体" w:cs="宋体" w:eastAsia="宋体" w:hint="default"/>
          <w:spacing w:val="-3"/>
          <w:sz w:val="24"/>
          <w:szCs w:val="24"/>
        </w:rPr>
        <w:t> </w:t>
      </w:r>
      <w:r>
        <w:rPr>
          <w:rFonts w:ascii="宋体" w:hAnsi="宋体" w:cs="宋体" w:eastAsia="宋体" w:hint="default"/>
          <w:sz w:val="24"/>
          <w:szCs w:val="24"/>
        </w:rPr>
        <w:t> </w:t>
      </w:r>
      <w:r>
        <w:rPr>
          <w:spacing w:val="-1"/>
        </w:rPr>
        <w:t>与资产相关的政府补助，确认为递延收益。确认为递延收益的金额，在相关资产使用寿命内按照</w:t>
      </w:r>
      <w:r>
        <w:rPr>
          <w:spacing w:val="-55"/>
        </w:rPr>
        <w:t> </w:t>
      </w:r>
      <w:r>
        <w:rPr>
          <w:spacing w:val="-55"/>
        </w:rPr>
      </w:r>
      <w:r>
        <w:rPr>
          <w:spacing w:val="-1"/>
        </w:rPr>
        <w:t>合理、系统的方法分期计入当期损益。其中与本公司日常活动相关的，计入其他收益，与本公司</w:t>
      </w:r>
      <w:r>
        <w:rPr>
          <w:spacing w:val="-55"/>
        </w:rPr>
        <w:t> </w:t>
      </w:r>
      <w:r>
        <w:rPr>
          <w:spacing w:val="-55"/>
        </w:rPr>
      </w:r>
      <w:r>
        <w:rPr/>
        <w:t>日常活动无关的，计入营业外收入。按照名义金额计量的政府补助，直接计入当期损益。</w:t>
      </w:r>
      <w:r>
        <w:rPr>
          <w:rFonts w:ascii="宋体" w:hAnsi="宋体" w:cs="宋体" w:eastAsia="宋体" w:hint="default"/>
        </w:rPr>
        <w:t> </w:t>
      </w:r>
    </w:p>
    <w:p>
      <w:pPr>
        <w:pStyle w:val="BodyText"/>
        <w:spacing w:line="274" w:lineRule="exact" w:before="22"/>
        <w:ind w:right="102"/>
        <w:jc w:val="left"/>
        <w:rPr>
          <w:rFonts w:ascii="宋体" w:hAnsi="宋体" w:cs="宋体" w:eastAsia="宋体" w:hint="default"/>
        </w:rPr>
      </w:pPr>
      <w:r>
        <w:rPr>
          <w:rFonts w:ascii="宋体" w:hAnsi="宋体" w:cs="宋体" w:eastAsia="宋体" w:hint="default"/>
          <w:w w:val="100"/>
        </w:rPr>
        <w:t>  </w:t>
      </w:r>
      <w:r>
        <w:rPr>
          <w:w w:val="100"/>
        </w:rPr>
        <w:t>与收</w:t>
      </w:r>
      <w:r>
        <w:rPr>
          <w:spacing w:val="-3"/>
          <w:w w:val="100"/>
        </w:rPr>
        <w:t>益</w:t>
      </w:r>
      <w:r>
        <w:rPr>
          <w:w w:val="100"/>
        </w:rPr>
        <w:t>相</w:t>
      </w:r>
      <w:r>
        <w:rPr>
          <w:spacing w:val="-3"/>
          <w:w w:val="100"/>
        </w:rPr>
        <w:t>关</w:t>
      </w:r>
      <w:r>
        <w:rPr>
          <w:w w:val="100"/>
        </w:rPr>
        <w:t>的</w:t>
      </w:r>
      <w:r>
        <w:rPr>
          <w:spacing w:val="-3"/>
          <w:w w:val="100"/>
        </w:rPr>
        <w:t>政</w:t>
      </w:r>
      <w:r>
        <w:rPr>
          <w:w w:val="100"/>
        </w:rPr>
        <w:t>府</w:t>
      </w:r>
      <w:r>
        <w:rPr>
          <w:spacing w:val="-3"/>
          <w:w w:val="100"/>
        </w:rPr>
        <w:t>补</w:t>
      </w:r>
      <w:r>
        <w:rPr>
          <w:w w:val="100"/>
        </w:rPr>
        <w:t>助</w:t>
      </w:r>
      <w:r>
        <w:rPr>
          <w:spacing w:val="-3"/>
          <w:w w:val="100"/>
        </w:rPr>
        <w:t>判</w:t>
      </w:r>
      <w:r>
        <w:rPr>
          <w:w w:val="100"/>
        </w:rPr>
        <w:t>断依</w:t>
      </w:r>
      <w:r>
        <w:rPr>
          <w:spacing w:val="-3"/>
          <w:w w:val="100"/>
        </w:rPr>
        <w:t>据</w:t>
      </w:r>
      <w:r>
        <w:rPr>
          <w:w w:val="100"/>
        </w:rPr>
        <w:t>及</w:t>
      </w:r>
      <w:r>
        <w:rPr>
          <w:spacing w:val="-3"/>
          <w:w w:val="100"/>
        </w:rPr>
        <w:t>会</w:t>
      </w:r>
      <w:r>
        <w:rPr>
          <w:w w:val="100"/>
        </w:rPr>
        <w:t>计</w:t>
      </w:r>
      <w:r>
        <w:rPr>
          <w:spacing w:val="-3"/>
          <w:w w:val="100"/>
        </w:rPr>
        <w:t>处</w:t>
      </w:r>
      <w:r>
        <w:rPr>
          <w:w w:val="100"/>
        </w:rPr>
        <w:t>理</w:t>
      </w:r>
      <w:r>
        <w:rPr>
          <w:spacing w:val="-3"/>
          <w:w w:val="100"/>
        </w:rPr>
        <w:t>方法</w:t>
      </w:r>
      <w:r>
        <w:rPr>
          <w:rFonts w:ascii="宋体" w:hAnsi="宋体" w:cs="宋体" w:eastAsia="宋体" w:hint="default"/>
          <w:w w:val="100"/>
        </w:rPr>
        <w:t> </w:t>
      </w:r>
    </w:p>
    <w:p>
      <w:pPr>
        <w:pStyle w:val="BodyText"/>
        <w:spacing w:line="246" w:lineRule="exact"/>
        <w:ind w:right="102"/>
        <w:jc w:val="left"/>
        <w:rPr>
          <w:rFonts w:ascii="宋体" w:hAnsi="宋体" w:cs="宋体" w:eastAsia="宋体" w:hint="default"/>
        </w:rPr>
      </w:pPr>
      <w:r>
        <w:rPr>
          <w:rFonts w:ascii="宋体" w:hAnsi="宋体" w:cs="宋体" w:eastAsia="宋体" w:hint="default"/>
          <w:w w:val="100"/>
        </w:rPr>
        <w:t> </w:t>
      </w:r>
      <w:r>
        <w:rPr/>
        <w:t>MACROBUTTON  SnrToggleCheckbox √适用 MACROBUTTON  SnrToggleCheckbox</w:t>
      </w:r>
      <w:r>
        <w:rPr>
          <w:spacing w:val="-67"/>
        </w:rPr>
        <w:t> </w:t>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before="2"/>
        <w:ind w:right="206"/>
        <w:jc w:val="left"/>
        <w:rPr>
          <w:rFonts w:ascii="宋体" w:hAnsi="宋体" w:cs="宋体" w:eastAsia="宋体" w:hint="default"/>
        </w:rPr>
      </w:pPr>
      <w:r>
        <w:rPr>
          <w:spacing w:val="-1"/>
        </w:rPr>
        <w:t>与收益相关的政府补助，分别下列情况处理：用于补偿企业以后期间的相关费用或损失的，确认</w:t>
      </w:r>
      <w:r>
        <w:rPr>
          <w:spacing w:val="-54"/>
        </w:rPr>
        <w:t> </w:t>
      </w:r>
      <w:r>
        <w:rPr>
          <w:spacing w:val="-54"/>
        </w:rPr>
      </w:r>
      <w:r>
        <w:rPr>
          <w:spacing w:val="-1"/>
        </w:rPr>
        <w:t>为递延收益，并在确认相关费用的期间，计入当期损益。用于补偿企业已发生的相关费用或损失</w:t>
      </w:r>
      <w:r>
        <w:rPr>
          <w:spacing w:val="-55"/>
        </w:rPr>
        <w:t> </w:t>
      </w:r>
      <w:r>
        <w:rPr>
          <w:spacing w:val="-55"/>
        </w:rPr>
      </w:r>
      <w:r>
        <w:rPr>
          <w:spacing w:val="-1"/>
        </w:rPr>
        <w:t>的，直接计入当期损益。计入当期损益时，与本公司日常活动相关的政府补助，计入其他收益；</w:t>
      </w:r>
      <w:r>
        <w:rPr>
          <w:spacing w:val="-55"/>
        </w:rPr>
        <w:t> </w:t>
      </w:r>
      <w:r>
        <w:rPr>
          <w:spacing w:val="-55"/>
        </w:rPr>
      </w:r>
      <w:r>
        <w:rPr/>
        <w:t>与本公司日常活动无关的政府补助，计入营业外收入。</w:t>
      </w:r>
      <w:r>
        <w:rPr>
          <w:rFonts w:ascii="宋体" w:hAnsi="宋体" w:cs="宋体" w:eastAsia="宋体" w:hint="default"/>
          <w:w w:val="100"/>
        </w:rPr>
        <w:t> </w:t>
      </w:r>
      <w:r>
        <w:rPr/>
        <w:t>区分与资产相关政府补助和与收益相关政府补助的具体标准：</w:t>
      </w:r>
      <w:r>
        <w:rPr>
          <w:rFonts w:ascii="宋体" w:hAnsi="宋体" w:cs="宋体" w:eastAsia="宋体" w:hint="default"/>
          <w:w w:val="100"/>
        </w:rPr>
        <w:t> </w:t>
      </w:r>
      <w:r>
        <w:rPr>
          <w:spacing w:val="-6"/>
          <w:w w:val="100"/>
        </w:rPr>
        <w:t>本公司取得的、用于购建或以其他方式形成长期资产的政府补助，确认为与资产相关的政府补助，</w:t>
      </w:r>
      <w:r>
        <w:rPr>
          <w:w w:val="100"/>
        </w:rPr>
        <w:t> </w:t>
      </w:r>
      <w:r>
        <w:rPr/>
        <w:t>除与资产相关的政府补助之外的政府补助，确认为与收益相关的政府补助。</w:t>
      </w:r>
      <w:r>
        <w:rPr>
          <w:rFonts w:ascii="宋体" w:hAnsi="宋体" w:cs="宋体" w:eastAsia="宋体" w:hint="default"/>
          <w:w w:val="100"/>
        </w:rPr>
        <w:t> </w:t>
      </w:r>
      <w:r>
        <w:rPr>
          <w:spacing w:val="-1"/>
        </w:rPr>
        <w:t>若政府文件未明确规定补助对象，将该政府补助划分为与资产相关或与收益相关的判断依据：①</w:t>
      </w:r>
      <w:r>
        <w:rPr>
          <w:spacing w:val="-55"/>
        </w:rPr>
        <w:t> </w:t>
      </w:r>
      <w:r>
        <w:rPr>
          <w:spacing w:val="-55"/>
        </w:rPr>
      </w:r>
      <w:r>
        <w:rPr>
          <w:spacing w:val="-1"/>
        </w:rPr>
        <w:t>政府文件明确了补助所针对的特定项目的，根据该特定项目的预算中将形成资产的支出金额和计</w:t>
      </w:r>
      <w:r>
        <w:rPr>
          <w:spacing w:val="-55"/>
        </w:rPr>
        <w:t> </w:t>
      </w:r>
      <w:r>
        <w:rPr>
          <w:spacing w:val="-55"/>
        </w:rPr>
      </w:r>
      <w:r>
        <w:rPr>
          <w:spacing w:val="-1"/>
        </w:rPr>
        <w:t>入费用的支出金额的相对比例进行划分，对该划分比例需在每个资产负债表日进行复核，必要时</w:t>
      </w:r>
      <w:r>
        <w:rPr>
          <w:spacing w:val="-55"/>
        </w:rPr>
        <w:t> </w:t>
      </w:r>
      <w:r>
        <w:rPr>
          <w:spacing w:val="-55"/>
        </w:rPr>
      </w:r>
      <w:r>
        <w:rPr>
          <w:spacing w:val="-1"/>
        </w:rPr>
        <w:t>进行变更；②政府文件中对用途仅作一般性表述，没有指明特定项目的，作为与收益相关的政府</w:t>
      </w:r>
      <w:r>
        <w:rPr>
          <w:spacing w:val="-55"/>
        </w:rPr>
        <w:t> </w:t>
      </w:r>
      <w:r>
        <w:rPr>
          <w:spacing w:val="-55"/>
        </w:rPr>
      </w:r>
      <w:r>
        <w:rPr/>
        <w:t>补助。</w:t>
      </w:r>
      <w:r>
        <w:rPr>
          <w:rFonts w:ascii="宋体" w:hAnsi="宋体" w:cs="宋体" w:eastAsia="宋体" w:hint="default"/>
        </w:rPr>
        <w:t> </w:t>
      </w:r>
    </w:p>
    <w:p>
      <w:pPr>
        <w:pStyle w:val="BodyText"/>
        <w:spacing w:line="237" w:lineRule="auto"/>
        <w:ind w:right="102"/>
        <w:jc w:val="left"/>
        <w:rPr>
          <w:rFonts w:ascii="宋体" w:hAnsi="宋体" w:cs="宋体" w:eastAsia="宋体" w:hint="default"/>
        </w:rPr>
      </w:pPr>
      <w:r>
        <w:rPr/>
        <w:t>（</w:t>
      </w:r>
      <w:r>
        <w:rPr>
          <w:rFonts w:ascii="宋体" w:hAnsi="宋体" w:cs="宋体" w:eastAsia="宋体" w:hint="default"/>
        </w:rPr>
        <w:t>3</w:t>
      </w:r>
      <w:r>
        <w:rPr/>
        <w:t>）政府补助确认</w:t>
      </w:r>
      <w:r>
        <w:rPr>
          <w:rFonts w:ascii="宋体" w:hAnsi="宋体" w:cs="宋体" w:eastAsia="宋体" w:hint="default"/>
          <w:w w:val="100"/>
        </w:rPr>
        <w:t> </w:t>
      </w:r>
      <w:r>
        <w:rPr>
          <w:spacing w:val="-1"/>
        </w:rPr>
        <w:t>政府补助在满足政府补助所附条件并能够收到时确认。按照应收金额计量的政府补助，在期末有</w:t>
      </w:r>
      <w:r>
        <w:rPr>
          <w:spacing w:val="-55"/>
        </w:rPr>
        <w:t> </w:t>
      </w:r>
      <w:r>
        <w:rPr>
          <w:spacing w:val="-55"/>
        </w:rPr>
      </w:r>
      <w:r>
        <w:rPr>
          <w:spacing w:val="-1"/>
        </w:rPr>
        <w:t>确凿证据表明能够符合财政扶持政策规定的相关条件且预计能够收到财政扶持资金时予以确认。</w:t>
      </w:r>
      <w:r>
        <w:rPr>
          <w:spacing w:val="-55"/>
        </w:rPr>
        <w:t> </w:t>
      </w:r>
      <w:r>
        <w:rPr>
          <w:spacing w:val="-55"/>
        </w:rPr>
      </w:r>
      <w:r>
        <w:rPr/>
        <w:t>除按照应收金额计量的政府补助外的其他政府补助，在实际收到补助款项时予以确认。</w:t>
      </w:r>
      <w:r>
        <w:rPr>
          <w:rFonts w:ascii="宋体" w:hAnsi="宋体" w:cs="宋体" w:eastAsia="宋体" w:hint="default"/>
        </w:rPr>
        <w:t> </w:t>
      </w:r>
    </w:p>
    <w:p>
      <w:pPr>
        <w:pStyle w:val="BodyText"/>
        <w:spacing w:line="271" w:lineRule="exact"/>
        <w:ind w:right="102"/>
        <w:jc w:val="left"/>
        <w:rPr>
          <w:rFonts w:ascii="宋体" w:hAnsi="宋体" w:cs="宋体" w:eastAsia="宋体" w:hint="default"/>
        </w:rPr>
      </w:pPr>
      <w:r>
        <w:rPr/>
        <w:t>（</w:t>
      </w:r>
      <w:r>
        <w:rPr>
          <w:rFonts w:ascii="宋体" w:hAnsi="宋体" w:cs="宋体" w:eastAsia="宋体" w:hint="default"/>
        </w:rPr>
        <w:t>4</w:t>
      </w:r>
      <w:r>
        <w:rPr/>
        <w:t>）政策性优惠贷款贴息的会计处理</w:t>
      </w:r>
      <w:r>
        <w:rPr>
          <w:rFonts w:ascii="宋体" w:hAnsi="宋体" w:cs="宋体" w:eastAsia="宋体" w:hint="default"/>
        </w:rPr>
        <w:t> </w:t>
      </w:r>
    </w:p>
    <w:p>
      <w:pPr>
        <w:pStyle w:val="BodyText"/>
        <w:spacing w:line="237" w:lineRule="auto" w:before="2"/>
        <w:ind w:right="209"/>
        <w:jc w:val="both"/>
        <w:rPr>
          <w:rFonts w:ascii="宋体" w:hAnsi="宋体" w:cs="宋体" w:eastAsia="宋体" w:hint="default"/>
          <w:sz w:val="24"/>
          <w:szCs w:val="24"/>
        </w:rPr>
      </w:pPr>
      <w:r>
        <w:rPr>
          <w:spacing w:val="-1"/>
        </w:rPr>
        <w:t>①财政将贴息资金拨付给贷款银行，由贷款银行以政策性优惠利率向本公司提供贷款的，本公司</w:t>
      </w:r>
      <w:r>
        <w:rPr>
          <w:spacing w:val="-55"/>
        </w:rPr>
        <w:t> </w:t>
      </w:r>
      <w:r>
        <w:rPr>
          <w:spacing w:val="-55"/>
        </w:rPr>
      </w:r>
      <w:r>
        <w:rPr>
          <w:spacing w:val="-1"/>
        </w:rPr>
        <w:t>以实际收到的借款金额作为借款的入账价值，按照借款本金和该政策性优惠利率计算相关借款费</w:t>
      </w:r>
      <w:r>
        <w:rPr>
          <w:spacing w:val="-55"/>
        </w:rPr>
        <w:t> </w:t>
      </w:r>
      <w:r>
        <w:rPr>
          <w:spacing w:val="-55"/>
        </w:rPr>
      </w:r>
      <w:r>
        <w:rPr/>
        <w:t>用。②财政将贴息资金直接拨付给本公司的，本公司将对应的贴息冲减相关借款费用。</w:t>
      </w:r>
      <w:r>
        <w:rPr>
          <w:rFonts w:ascii="宋体" w:hAnsi="宋体" w:cs="宋体" w:eastAsia="宋体" w:hint="default"/>
          <w:sz w:val="24"/>
          <w:szCs w:val="24"/>
        </w:rPr>
        <w:t> </w:t>
      </w:r>
    </w:p>
    <w:p>
      <w:pPr>
        <w:pStyle w:val="Heading3"/>
        <w:spacing w:line="305" w:lineRule="exact"/>
        <w:ind w:left="136" w:right="0"/>
        <w:jc w:val="left"/>
        <w:rPr>
          <w:rFonts w:ascii="宋体" w:hAnsi="宋体" w:cs="宋体" w:eastAsia="宋体" w:hint="default"/>
        </w:rPr>
      </w:pPr>
      <w:r>
        <w:rPr>
          <w:rFonts w:ascii="宋体"/>
        </w:rPr>
        <w:t> </w:t>
      </w:r>
    </w:p>
    <w:p>
      <w:pPr>
        <w:pStyle w:val="Heading5"/>
        <w:spacing w:line="240" w:lineRule="auto"/>
        <w:ind w:left="136" w:right="102"/>
        <w:jc w:val="left"/>
        <w:rPr>
          <w:b w:val="0"/>
          <w:bCs w:val="0"/>
        </w:rPr>
      </w:pPr>
      <w:r>
        <w:rPr>
          <w:rFonts w:ascii="宋体" w:hAnsi="宋体" w:cs="宋体" w:eastAsia="宋体" w:hint="default"/>
        </w:rPr>
        <w:t>38.</w:t>
      </w:r>
      <w:r>
        <w:rPr>
          <w:rFonts w:ascii="宋体" w:hAnsi="宋体" w:cs="宋体" w:eastAsia="宋体" w:hint="default"/>
          <w:spacing w:val="1"/>
        </w:rPr>
        <w:t> </w:t>
      </w:r>
      <w:r>
        <w:rPr/>
        <w:t>递延所得税资产</w:t>
      </w:r>
      <w:r>
        <w:rPr>
          <w:rFonts w:ascii="Calibri" w:hAnsi="Calibri" w:cs="Calibri" w:eastAsia="Calibri" w:hint="default"/>
        </w:rPr>
        <w:t>/</w:t>
      </w:r>
      <w:r>
        <w:rPr/>
        <w:t>递延所得税负债</w:t>
      </w:r>
      <w:r>
        <w:rPr>
          <w:b w:val="0"/>
          <w:bCs w:val="0"/>
        </w:rPr>
      </w:r>
    </w:p>
    <w:p>
      <w:pPr>
        <w:pStyle w:val="BodyText"/>
        <w:spacing w:line="237" w:lineRule="auto" w:before="26"/>
        <w:ind w:right="102"/>
        <w:jc w:val="left"/>
        <w:rPr>
          <w:rFonts w:ascii="宋体" w:hAnsi="宋体" w:cs="宋体" w:eastAsia="宋体" w:hint="default"/>
        </w:rPr>
      </w:pPr>
      <w:r>
        <w:rPr>
          <w:sz w:val="24"/>
          <w:szCs w:val="24"/>
        </w:rPr>
        <w:t>√适用□不适用</w:t>
      </w:r>
      <w:r>
        <w:rPr>
          <w:rFonts w:ascii="宋体" w:hAnsi="宋体" w:cs="宋体" w:eastAsia="宋体" w:hint="default"/>
          <w:sz w:val="24"/>
          <w:szCs w:val="24"/>
        </w:rPr>
        <w:t>  </w:t>
      </w:r>
      <w:r>
        <w:rPr>
          <w:rFonts w:ascii="宋体" w:hAnsi="宋体" w:cs="宋体" w:eastAsia="宋体" w:hint="default"/>
          <w:spacing w:val="-4"/>
        </w:rPr>
        <w:t>1</w:t>
      </w:r>
      <w:r>
        <w:rPr>
          <w:spacing w:val="-4"/>
        </w:rPr>
        <w:t>、根据资产、负债的账面价值与其计税基础之间的差额（未作为资产和负债确认的项目按照税法</w:t>
      </w:r>
      <w:r>
        <w:rPr>
          <w:spacing w:val="-35"/>
        </w:rPr>
        <w:t> </w:t>
      </w:r>
      <w:r>
        <w:rPr>
          <w:spacing w:val="-35"/>
        </w:rPr>
      </w:r>
      <w:r>
        <w:rPr/>
        <w:t>规定可以确定其计税基础的，确定该计税基础为其差额），按照预期收回该资产或清偿该负债期</w:t>
      </w:r>
      <w:r>
        <w:rPr>
          <w:spacing w:val="-97"/>
        </w:rPr>
        <w:t> </w:t>
      </w:r>
      <w:r>
        <w:rPr>
          <w:spacing w:val="-97"/>
        </w:rPr>
      </w:r>
      <w:r>
        <w:rPr/>
        <w:t>间的适用税率计算确认递延所得税资产或递延所得税负债。</w:t>
      </w:r>
      <w:r>
        <w:rPr>
          <w:rFonts w:ascii="宋体" w:hAnsi="宋体" w:cs="宋体" w:eastAsia="宋体" w:hint="default"/>
          <w:w w:val="100"/>
        </w:rPr>
        <w:t> </w:t>
      </w:r>
      <w:r>
        <w:rPr>
          <w:rFonts w:ascii="宋体" w:hAnsi="宋体" w:cs="宋体" w:eastAsia="宋体" w:hint="default"/>
          <w:spacing w:val="-4"/>
        </w:rPr>
        <w:t>2</w:t>
      </w:r>
      <w:r>
        <w:rPr>
          <w:spacing w:val="-4"/>
        </w:rPr>
        <w:t>、递延所得税资产的确认以很可能取得用来抵扣可抵扣暂时性差异的应纳税所得额为限。资产负</w:t>
      </w:r>
      <w:r>
        <w:rPr>
          <w:spacing w:val="-33"/>
        </w:rPr>
        <w:t> </w:t>
      </w:r>
      <w:r>
        <w:rPr>
          <w:spacing w:val="-33"/>
        </w:rPr>
      </w:r>
      <w:r>
        <w:rPr>
          <w:spacing w:val="-4"/>
          <w:w w:val="100"/>
        </w:rPr>
        <w:t>债表日，有确凿证据表明未来期间很可能获得足够的应纳税所得额用来抵扣可抵扣暂时性差异的，</w:t>
      </w:r>
      <w:r>
        <w:rPr>
          <w:spacing w:val="-85"/>
          <w:w w:val="100"/>
        </w:rPr>
        <w:t> </w:t>
      </w:r>
      <w:r>
        <w:rPr>
          <w:spacing w:val="-85"/>
          <w:w w:val="100"/>
        </w:rPr>
      </w:r>
      <w:r>
        <w:rPr/>
        <w:t>确认以前会计期间未确认的递延所得税资产。如未来期间很可能无法获得足够的应纳税所得额用</w:t>
      </w:r>
      <w:r>
        <w:rPr>
          <w:spacing w:val="-97"/>
        </w:rPr>
        <w:t> </w:t>
      </w:r>
      <w:r>
        <w:rPr>
          <w:spacing w:val="-97"/>
        </w:rPr>
      </w:r>
      <w:r>
        <w:rPr/>
        <w:t>以抵扣递延所得税资产的，则减记递延所得税资产的账面价值。</w:t>
      </w:r>
      <w:r>
        <w:rPr>
          <w:rFonts w:ascii="宋体" w:hAnsi="宋体" w:cs="宋体" w:eastAsia="宋体" w:hint="default"/>
          <w:w w:val="100"/>
        </w:rPr>
        <w:t> </w:t>
      </w:r>
      <w:r>
        <w:rPr>
          <w:rFonts w:ascii="宋体" w:hAnsi="宋体" w:cs="宋体" w:eastAsia="宋体" w:hint="default"/>
          <w:spacing w:val="-4"/>
        </w:rPr>
        <w:t>3</w:t>
      </w:r>
      <w:r>
        <w:rPr>
          <w:spacing w:val="-4"/>
        </w:rPr>
        <w:t>、对与子公司及联营企业投资相关的应纳税暂时性差异，确认递延所得税负债，除非本公司能够</w:t>
      </w:r>
      <w:r>
        <w:rPr>
          <w:spacing w:val="-34"/>
        </w:rPr>
        <w:t> </w:t>
      </w:r>
      <w:r>
        <w:rPr>
          <w:spacing w:val="-34"/>
        </w:rPr>
      </w:r>
      <w:r>
        <w:rPr/>
        <w:t>控制暂时性差异转回的时间且该暂时性差异在可预见的未来很可能不会转回。对与子公司及联营</w:t>
      </w:r>
      <w:r>
        <w:rPr>
          <w:spacing w:val="-97"/>
        </w:rPr>
        <w:t> </w:t>
      </w:r>
      <w:r>
        <w:rPr>
          <w:spacing w:val="-97"/>
        </w:rPr>
      </w:r>
      <w:r>
        <w:rPr/>
        <w:t>企业投资相关的可抵扣暂时性差异，当该暂时性差异在可预见的未来很可能转回且未来很可能获</w:t>
      </w:r>
      <w:r>
        <w:rPr>
          <w:spacing w:val="-97"/>
        </w:rPr>
        <w:t> </w:t>
      </w:r>
      <w:r>
        <w:rPr>
          <w:spacing w:val="-97"/>
        </w:rPr>
      </w:r>
      <w:r>
        <w:rPr/>
        <w:t>得用来抵扣可抵扣暂时性差异的应纳税所得额时，确认递延所得税资产。</w:t>
      </w:r>
      <w:r>
        <w:rPr>
          <w:rFonts w:ascii="宋体" w:hAnsi="宋体" w:cs="宋体" w:eastAsia="宋体" w:hint="default"/>
        </w:rPr>
        <w:t> </w:t>
      </w:r>
    </w:p>
    <w:p>
      <w:pPr>
        <w:pStyle w:val="Heading3"/>
        <w:spacing w:line="304" w:lineRule="exact"/>
        <w:ind w:left="136" w:right="0"/>
        <w:jc w:val="left"/>
        <w:rPr>
          <w:rFonts w:ascii="宋体" w:hAnsi="宋体" w:cs="宋体" w:eastAsia="宋体" w:hint="default"/>
        </w:rPr>
      </w:pPr>
      <w:r>
        <w:rPr>
          <w:rFonts w:ascii="宋体"/>
        </w:rPr>
        <w:t> </w:t>
      </w:r>
    </w:p>
    <w:p>
      <w:pPr>
        <w:spacing w:after="0" w:line="304" w:lineRule="exact"/>
        <w:jc w:val="left"/>
        <w:rPr>
          <w:rFonts w:ascii="宋体" w:hAnsi="宋体" w:cs="宋体" w:eastAsia="宋体" w:hint="default"/>
        </w:rPr>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Heading5"/>
        <w:spacing w:line="290" w:lineRule="auto" w:before="36"/>
        <w:ind w:left="236" w:right="5521"/>
        <w:jc w:val="left"/>
        <w:rPr>
          <w:rFonts w:ascii="宋体" w:hAnsi="宋体" w:cs="宋体" w:eastAsia="宋体" w:hint="default"/>
          <w:b w:val="0"/>
          <w:bCs w:val="0"/>
        </w:rPr>
      </w:pPr>
      <w:r>
        <w:rPr>
          <w:rFonts w:ascii="宋体" w:hAnsi="宋体" w:cs="宋体" w:eastAsia="宋体" w:hint="default"/>
        </w:rPr>
        <w:t>39.</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8"/>
        <w:ind w:left="236" w:right="5521"/>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236" w:right="0"/>
        <w:jc w:val="left"/>
        <w:rPr>
          <w:rFonts w:ascii="宋体" w:hAnsi="宋体" w:cs="宋体" w:eastAsia="宋体" w:hint="default"/>
        </w:rPr>
      </w:pPr>
      <w:r>
        <w:rPr>
          <w:rFonts w:ascii="宋体"/>
        </w:rPr>
        <w:t> </w:t>
      </w:r>
    </w:p>
    <w:p>
      <w:pPr>
        <w:pStyle w:val="Heading5"/>
        <w:spacing w:line="240" w:lineRule="auto" w:before="61"/>
        <w:ind w:left="236" w:right="5521"/>
        <w:jc w:val="left"/>
        <w:rPr>
          <w:rFonts w:ascii="宋体" w:hAnsi="宋体" w:cs="宋体" w:eastAsia="宋体" w:hint="default"/>
          <w:b w:val="0"/>
          <w:bCs w:val="0"/>
        </w:rPr>
      </w:pPr>
      <w:r>
        <w:rPr>
          <w:rFonts w:ascii="宋体" w:hAnsi="宋体" w:cs="宋体" w:eastAsia="宋体" w:hint="default"/>
        </w:rPr>
        <w:t>(2).</w:t>
      </w:r>
      <w:r>
        <w:rPr/>
        <w:t>融资租赁的会计处理方法</w:t>
      </w:r>
      <w:r>
        <w:rPr>
          <w:rFonts w:ascii="宋体" w:hAnsi="宋体" w:cs="宋体" w:eastAsia="宋体" w:hint="default"/>
          <w:w w:val="99"/>
        </w:rPr>
        <w:t> </w:t>
      </w:r>
      <w:r>
        <w:rPr>
          <w:rFonts w:ascii="宋体" w:hAnsi="宋体" w:cs="宋体" w:eastAsia="宋体" w:hint="default"/>
          <w:b w:val="0"/>
          <w:bCs w:val="0"/>
        </w:rPr>
      </w:r>
    </w:p>
    <w:p>
      <w:pPr>
        <w:pStyle w:val="Heading3"/>
        <w:spacing w:line="312" w:lineRule="exact" w:before="52"/>
        <w:ind w:left="236" w:right="5521"/>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2" w:lineRule="exact"/>
        <w:ind w:left="236" w:right="0"/>
        <w:jc w:val="left"/>
        <w:rPr>
          <w:rFonts w:ascii="宋体" w:hAnsi="宋体" w:cs="宋体" w:eastAsia="宋体" w:hint="default"/>
        </w:rPr>
      </w:pPr>
      <w:r>
        <w:rPr>
          <w:rFonts w:ascii="宋体"/>
        </w:rPr>
        <w:t> </w:t>
      </w:r>
    </w:p>
    <w:p>
      <w:pPr>
        <w:pStyle w:val="Heading5"/>
        <w:spacing w:line="240" w:lineRule="auto"/>
        <w:ind w:left="236" w:right="0"/>
        <w:jc w:val="left"/>
        <w:rPr>
          <w:rFonts w:ascii="宋体" w:hAnsi="宋体" w:cs="宋体" w:eastAsia="宋体" w:hint="default"/>
          <w:b w:val="0"/>
          <w:bCs w:val="0"/>
        </w:rPr>
      </w:pPr>
      <w:r>
        <w:rPr>
          <w:rFonts w:ascii="宋体" w:hAnsi="宋体" w:cs="宋体" w:eastAsia="宋体" w:hint="default"/>
        </w:rPr>
        <w:t>(3).</w:t>
      </w:r>
      <w:r>
        <w:rPr/>
        <w:t>新租赁准则下租赁的确定方法及会计处理方法</w:t>
      </w:r>
      <w:r>
        <w:rPr>
          <w:rFonts w:ascii="宋体" w:hAnsi="宋体" w:cs="宋体" w:eastAsia="宋体" w:hint="default"/>
          <w:w w:val="99"/>
        </w:rPr>
        <w:t> </w:t>
      </w:r>
      <w:r>
        <w:rPr>
          <w:rFonts w:ascii="宋体" w:hAnsi="宋体" w:cs="宋体" w:eastAsia="宋体" w:hint="default"/>
          <w:b w:val="0"/>
          <w:bCs w:val="0"/>
        </w:rPr>
      </w:r>
    </w:p>
    <w:p>
      <w:pPr>
        <w:pStyle w:val="Heading3"/>
        <w:spacing w:line="312" w:lineRule="exact" w:before="52"/>
        <w:ind w:left="236" w:right="552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left="236" w:right="0"/>
        <w:jc w:val="left"/>
        <w:rPr>
          <w:rFonts w:ascii="宋体" w:hAnsi="宋体" w:cs="宋体" w:eastAsia="宋体" w:hint="default"/>
        </w:rPr>
      </w:pPr>
      <w:r>
        <w:rPr>
          <w:rFonts w:ascii="宋体"/>
        </w:rPr>
        <w:t> </w:t>
      </w:r>
    </w:p>
    <w:p>
      <w:pPr>
        <w:pStyle w:val="Heading5"/>
        <w:spacing w:line="240" w:lineRule="auto"/>
        <w:ind w:left="236" w:right="5521"/>
        <w:jc w:val="left"/>
        <w:rPr>
          <w:b w:val="0"/>
          <w:bCs w:val="0"/>
        </w:rPr>
      </w:pPr>
      <w:r>
        <w:rPr>
          <w:rFonts w:ascii="宋体" w:hAnsi="宋体" w:cs="宋体" w:eastAsia="宋体" w:hint="default"/>
        </w:rPr>
        <w:t>40. </w:t>
      </w:r>
      <w:r>
        <w:rPr/>
        <w:t>其他重要的会计政策和会计估计</w:t>
      </w:r>
      <w:r>
        <w:rPr>
          <w:b w:val="0"/>
          <w:bCs w:val="0"/>
        </w:rPr>
      </w:r>
    </w:p>
    <w:p>
      <w:pPr>
        <w:pStyle w:val="Heading3"/>
        <w:spacing w:line="312" w:lineRule="exact" w:before="53"/>
        <w:ind w:left="236" w:right="5521"/>
        <w:jc w:val="left"/>
        <w:rPr>
          <w:rFonts w:ascii="宋体" w:hAnsi="宋体" w:cs="宋体" w:eastAsia="宋体" w:hint="default"/>
        </w:rPr>
      </w:pPr>
      <w:r>
        <w:rPr/>
        <w:t>□适用√不适用</w:t>
      </w:r>
      <w:r>
        <w:rPr>
          <w:rFonts w:ascii="宋体" w:hAnsi="宋体" w:cs="宋体" w:eastAsia="宋体" w:hint="default"/>
        </w:rPr>
        <w:t>  </w:t>
      </w:r>
    </w:p>
    <w:p>
      <w:pPr>
        <w:pStyle w:val="Heading3"/>
        <w:spacing w:line="312" w:lineRule="exact"/>
        <w:ind w:left="236" w:right="0"/>
        <w:jc w:val="left"/>
        <w:rPr>
          <w:rFonts w:ascii="宋体" w:hAnsi="宋体" w:cs="宋体" w:eastAsia="宋体" w:hint="default"/>
        </w:rPr>
      </w:pPr>
      <w:r>
        <w:rPr>
          <w:rFonts w:ascii="宋体"/>
        </w:rPr>
        <w:t> </w:t>
      </w:r>
    </w:p>
    <w:p>
      <w:pPr>
        <w:pStyle w:val="Heading5"/>
        <w:spacing w:line="290" w:lineRule="auto"/>
        <w:ind w:left="236" w:right="5696"/>
        <w:jc w:val="left"/>
        <w:rPr>
          <w:rFonts w:ascii="宋体" w:hAnsi="宋体" w:cs="宋体" w:eastAsia="宋体" w:hint="default"/>
          <w:b w:val="0"/>
          <w:bCs w:val="0"/>
        </w:rPr>
      </w:pPr>
      <w:r>
        <w:rPr>
          <w:rFonts w:ascii="宋体" w:hAnsi="宋体" w:cs="宋体" w:eastAsia="宋体" w:hint="default"/>
        </w:rPr>
        <w:t>41.</w:t>
      </w:r>
      <w:r>
        <w:rPr>
          <w:rFonts w:ascii="宋体" w:hAnsi="宋体" w:cs="宋体" w:eastAsia="宋体" w:hint="default"/>
          <w:spacing w:val="-1"/>
        </w:rPr>
        <w:t> </w:t>
      </w:r>
      <w:r>
        <w:rPr/>
        <w:t>重要会计政策和会计估计的变更</w:t>
      </w:r>
      <w:r>
        <w:rPr>
          <w:w w:val="100"/>
        </w:rPr>
        <w:t> </w:t>
      </w:r>
      <w:r>
        <w:rPr>
          <w:rFonts w:ascii="宋体" w:hAnsi="宋体" w:cs="宋体" w:eastAsia="宋体" w:hint="default"/>
        </w:rPr>
        <w:t>(1).</w:t>
      </w:r>
      <w:r>
        <w:rPr/>
        <w:t>重要会计政策变更</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left="236" w:right="552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958"/>
        <w:gridCol w:w="3053"/>
        <w:gridCol w:w="3039"/>
      </w:tblGrid>
      <w:tr>
        <w:trPr>
          <w:trHeight w:val="554"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1"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99" w:right="0"/>
              <w:jc w:val="left"/>
              <w:rPr>
                <w:rFonts w:ascii="宋体" w:hAnsi="宋体" w:cs="宋体" w:eastAsia="宋体" w:hint="default"/>
                <w:sz w:val="21"/>
                <w:szCs w:val="21"/>
              </w:rPr>
            </w:pPr>
            <w:r>
              <w:rPr>
                <w:rFonts w:ascii="宋体" w:hAnsi="宋体" w:cs="宋体" w:eastAsia="宋体" w:hint="default"/>
                <w:sz w:val="21"/>
                <w:szCs w:val="21"/>
              </w:rPr>
              <w:t>审批程序</w:t>
            </w:r>
            <w:r>
              <w:rPr>
                <w:rFonts w:ascii="宋体" w:hAnsi="宋体" w:cs="宋体" w:eastAsia="宋体" w:hint="default"/>
                <w:sz w:val="21"/>
                <w:szCs w:val="21"/>
              </w:rPr>
              <w:t> </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受重要影响的报表项目</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名称和金额</w:t>
            </w:r>
            <w:r>
              <w:rPr>
                <w:rFonts w:ascii="宋体" w:hAnsi="宋体" w:cs="宋体" w:eastAsia="宋体" w:hint="default"/>
                <w:sz w:val="21"/>
                <w:szCs w:val="21"/>
              </w:rPr>
              <w:t>) </w:t>
            </w:r>
          </w:p>
        </w:tc>
      </w:tr>
      <w:tr>
        <w:trPr>
          <w:trHeight w:val="554" w:hRule="exact"/>
        </w:trPr>
        <w:tc>
          <w:tcPr>
            <w:tcW w:w="2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见下述其他说明</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第七届董事会第十一次会议审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议通过</w:t>
            </w:r>
            <w:r>
              <w:rPr>
                <w:rFonts w:ascii="宋体" w:hAnsi="宋体" w:cs="宋体" w:eastAsia="宋体" w:hint="default"/>
                <w:sz w:val="21"/>
                <w:szCs w:val="21"/>
              </w:rPr>
              <w:t> </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见下述其他说明</w:t>
            </w:r>
            <w:r>
              <w:rPr>
                <w:rFonts w:ascii="宋体" w:hAnsi="宋体" w:cs="宋体" w:eastAsia="宋体" w:hint="default"/>
                <w:sz w:val="21"/>
                <w:szCs w:val="21"/>
              </w:rPr>
              <w:t> </w:t>
            </w:r>
          </w:p>
        </w:tc>
      </w:tr>
    </w:tbl>
    <w:p>
      <w:pPr>
        <w:pStyle w:val="BodyText"/>
        <w:spacing w:line="239" w:lineRule="exact"/>
        <w:ind w:left="236" w:right="5521"/>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657" w:right="5521"/>
        <w:jc w:val="left"/>
        <w:rPr>
          <w:rFonts w:ascii="宋体" w:hAnsi="宋体" w:cs="宋体" w:eastAsia="宋体" w:hint="default"/>
        </w:rPr>
      </w:pPr>
      <w:r>
        <w:rPr>
          <w:rFonts w:ascii="宋体" w:hAnsi="宋体" w:cs="宋体" w:eastAsia="宋体" w:hint="default"/>
        </w:rPr>
        <w:t>1.</w:t>
      </w:r>
      <w:r>
        <w:rPr/>
        <w:t>会计政策变更及依据</w:t>
      </w:r>
      <w:r>
        <w:rPr>
          <w:rFonts w:ascii="宋体" w:hAnsi="宋体" w:cs="宋体" w:eastAsia="宋体" w:hint="default"/>
          <w:color w:val="0000FF"/>
        </w:rPr>
        <w:t> </w:t>
      </w:r>
      <w:r>
        <w:rPr>
          <w:rFonts w:ascii="宋体" w:hAnsi="宋体" w:cs="宋体" w:eastAsia="宋体" w:hint="default"/>
        </w:rPr>
      </w:r>
    </w:p>
    <w:p>
      <w:pPr>
        <w:pStyle w:val="BodyText"/>
        <w:spacing w:line="273" w:lineRule="exact"/>
        <w:ind w:left="657" w:right="0"/>
        <w:jc w:val="left"/>
      </w:pPr>
      <w:r>
        <w:rPr>
          <w:spacing w:val="-11"/>
        </w:rPr>
        <w:t>（</w:t>
      </w:r>
      <w:r>
        <w:rPr>
          <w:rFonts w:ascii="宋体" w:hAnsi="宋体" w:cs="宋体" w:eastAsia="宋体" w:hint="default"/>
          <w:spacing w:val="-11"/>
        </w:rPr>
        <w:t>1</w:t>
      </w:r>
      <w:r>
        <w:rPr>
          <w:spacing w:val="-11"/>
        </w:rPr>
        <w:t>）财政部于 </w:t>
      </w:r>
      <w:r>
        <w:rPr>
          <w:rFonts w:ascii="宋体" w:hAnsi="宋体" w:cs="宋体" w:eastAsia="宋体" w:hint="default"/>
        </w:rPr>
        <w:t>2017 </w:t>
      </w:r>
      <w:r>
        <w:rPr>
          <w:spacing w:val="-6"/>
        </w:rPr>
        <w:t>年发布了修订后的《企业会计准则第 </w:t>
      </w:r>
      <w:r>
        <w:rPr>
          <w:rFonts w:ascii="宋体" w:hAnsi="宋体" w:cs="宋体" w:eastAsia="宋体" w:hint="default"/>
          <w:spacing w:val="-6"/>
        </w:rPr>
      </w:r>
      <w:r>
        <w:rPr>
          <w:rFonts w:ascii="宋体" w:hAnsi="宋体" w:cs="宋体" w:eastAsia="宋体" w:hint="default"/>
        </w:rPr>
        <w:t>22</w:t>
      </w:r>
      <w:r>
        <w:rPr>
          <w:rFonts w:ascii="宋体" w:hAnsi="宋体" w:cs="宋体" w:eastAsia="宋体" w:hint="default"/>
          <w:spacing w:val="-26"/>
        </w:rPr>
        <w:t> </w:t>
      </w:r>
      <w:r>
        <w:rPr>
          <w:spacing w:val="-7"/>
        </w:rPr>
        <w:t>号——金融工具确认和计量》、</w:t>
      </w:r>
    </w:p>
    <w:p>
      <w:pPr>
        <w:pStyle w:val="BodyText"/>
        <w:spacing w:line="240" w:lineRule="auto"/>
        <w:ind w:left="236" w:right="244"/>
        <w:jc w:val="left"/>
        <w:rPr>
          <w:rFonts w:ascii="宋体" w:hAnsi="宋体" w:cs="宋体" w:eastAsia="宋体" w:hint="default"/>
        </w:rPr>
      </w:pPr>
      <w:r>
        <w:rPr/>
        <w:t>《企业会计准则第 </w:t>
      </w:r>
      <w:r>
        <w:rPr>
          <w:rFonts w:ascii="宋体" w:hAnsi="宋体" w:cs="宋体" w:eastAsia="宋体" w:hint="default"/>
        </w:rPr>
        <w:t>23 </w:t>
      </w:r>
      <w:r>
        <w:rPr/>
        <w:t>号——金融资产转移》、《企业会计准则第 </w:t>
      </w:r>
      <w:r>
        <w:rPr>
          <w:rFonts w:ascii="宋体" w:hAnsi="宋体" w:cs="宋体" w:eastAsia="宋体" w:hint="default"/>
        </w:rPr>
        <w:t>24</w:t>
      </w:r>
      <w:r>
        <w:rPr>
          <w:rFonts w:ascii="宋体" w:hAnsi="宋体" w:cs="宋体" w:eastAsia="宋体" w:hint="default"/>
          <w:spacing w:val="6"/>
        </w:rPr>
        <w:t> </w:t>
      </w:r>
      <w:r>
        <w:rPr/>
        <w:t>号——套期会计》、《企</w:t>
      </w:r>
      <w:r>
        <w:rPr>
          <w:w w:val="100"/>
        </w:rPr>
        <w:t> </w:t>
      </w:r>
      <w:r>
        <w:rPr/>
        <w:t>业会计准则第 </w:t>
      </w:r>
      <w:r>
        <w:rPr>
          <w:rFonts w:ascii="宋体" w:hAnsi="宋体" w:cs="宋体" w:eastAsia="宋体" w:hint="default"/>
        </w:rPr>
        <w:t>37</w:t>
      </w:r>
      <w:r>
        <w:rPr>
          <w:rFonts w:ascii="宋体" w:hAnsi="宋体" w:cs="宋体" w:eastAsia="宋体" w:hint="default"/>
          <w:spacing w:val="-6"/>
        </w:rPr>
        <w:t> </w:t>
      </w:r>
      <w:r>
        <w:rPr/>
        <w:t>号——金融工具列报》（上述四项准则以下统称“新金融工具准则”）。</w:t>
      </w:r>
      <w:r>
        <w:rPr>
          <w:rFonts w:ascii="宋体" w:hAnsi="宋体" w:cs="宋体" w:eastAsia="宋体" w:hint="default"/>
        </w:rPr>
        <w:t> </w:t>
      </w:r>
    </w:p>
    <w:p>
      <w:pPr>
        <w:pStyle w:val="BodyText"/>
        <w:spacing w:line="237" w:lineRule="auto"/>
        <w:ind w:left="236" w:right="248" w:firstLine="420"/>
        <w:jc w:val="both"/>
        <w:rPr>
          <w:rFonts w:ascii="宋体" w:hAnsi="宋体" w:cs="宋体" w:eastAsia="宋体" w:hint="default"/>
        </w:rPr>
      </w:pPr>
      <w:r>
        <w:rPr>
          <w:spacing w:val="-1"/>
        </w:rPr>
        <w:t>新金融工具准则将金融资产划分为三个类别：（</w:t>
      </w:r>
      <w:r>
        <w:rPr>
          <w:rFonts w:ascii="宋体" w:hAnsi="宋体" w:cs="宋体" w:eastAsia="宋体" w:hint="default"/>
          <w:spacing w:val="-1"/>
        </w:rPr>
        <w:t>1</w:t>
      </w:r>
      <w:r>
        <w:rPr>
          <w:spacing w:val="-1"/>
        </w:rPr>
        <w:t>）以摊余成本计量的金融资产；（</w:t>
      </w:r>
      <w:r>
        <w:rPr>
          <w:rFonts w:ascii="宋体" w:hAnsi="宋体" w:cs="宋体" w:eastAsia="宋体" w:hint="default"/>
          <w:spacing w:val="-1"/>
        </w:rPr>
        <w:t>2</w:t>
      </w:r>
      <w:r>
        <w:rPr>
          <w:spacing w:val="-1"/>
        </w:rPr>
        <w:t>）以公</w:t>
      </w:r>
      <w:r>
        <w:rPr>
          <w:w w:val="100"/>
        </w:rPr>
        <w:t> </w:t>
      </w:r>
      <w:r>
        <w:rPr>
          <w:spacing w:val="-4"/>
        </w:rPr>
        <w:t>允价值计量且其变动计入其他综合收益的金融资产；（</w:t>
      </w:r>
      <w:r>
        <w:rPr>
          <w:rFonts w:ascii="宋体" w:hAnsi="宋体" w:cs="宋体" w:eastAsia="宋体" w:hint="default"/>
          <w:spacing w:val="-4"/>
        </w:rPr>
        <w:t>3</w:t>
      </w:r>
      <w:r>
        <w:rPr>
          <w:spacing w:val="-4"/>
        </w:rPr>
        <w:t>）以公允价值计量且其变动计入当期损益</w:t>
      </w:r>
      <w:r>
        <w:rPr>
          <w:spacing w:val="-33"/>
        </w:rPr>
        <w:t> </w:t>
      </w:r>
      <w:r>
        <w:rPr>
          <w:spacing w:val="-33"/>
        </w:rPr>
      </w:r>
      <w:r>
        <w:rPr>
          <w:spacing w:val="-1"/>
        </w:rPr>
        <w:t>的金融资产。在新金融工具准则下，金融资产的分类是基于本公司管理金融资产的业务模式及该</w:t>
      </w:r>
      <w:r>
        <w:rPr>
          <w:spacing w:val="-55"/>
        </w:rPr>
        <w:t> </w:t>
      </w:r>
      <w:r>
        <w:rPr>
          <w:spacing w:val="-55"/>
        </w:rPr>
      </w:r>
      <w:r>
        <w:rPr>
          <w:spacing w:val="-1"/>
        </w:rPr>
        <w:t>资产的合同现金流量特征而确定。新金融工具准则取消了原金融工具准则中规定的持有至到期投</w:t>
      </w:r>
      <w:r>
        <w:rPr>
          <w:spacing w:val="-55"/>
        </w:rPr>
        <w:t> </w:t>
      </w:r>
      <w:r>
        <w:rPr>
          <w:spacing w:val="-55"/>
        </w:rPr>
      </w:r>
      <w:r>
        <w:rPr>
          <w:spacing w:val="-1"/>
        </w:rPr>
        <w:t>资、贷款和应收款项、可供出售金融资产三个类别。新金融工具准则以“预期信用损失”模型替</w:t>
      </w:r>
      <w:r>
        <w:rPr>
          <w:spacing w:val="-54"/>
        </w:rPr>
        <w:t> </w:t>
      </w:r>
      <w:r>
        <w:rPr>
          <w:spacing w:val="-54"/>
        </w:rPr>
      </w:r>
      <w:r>
        <w:rPr/>
        <w:t>代了原金融工具准则中的“已发生损失”模型。</w:t>
      </w:r>
      <w:r>
        <w:rPr>
          <w:rFonts w:ascii="宋体" w:hAnsi="宋体" w:cs="宋体" w:eastAsia="宋体" w:hint="default"/>
        </w:rPr>
        <w:t> </w:t>
      </w:r>
    </w:p>
    <w:p>
      <w:pPr>
        <w:pStyle w:val="BodyText"/>
        <w:spacing w:line="271" w:lineRule="exact"/>
        <w:ind w:left="657" w:right="0"/>
        <w:jc w:val="left"/>
      </w:pPr>
      <w:r>
        <w:rPr>
          <w:spacing w:val="-12"/>
        </w:rPr>
        <w:t>（</w:t>
      </w:r>
      <w:r>
        <w:rPr>
          <w:rFonts w:ascii="宋体" w:hAnsi="宋体" w:cs="宋体" w:eastAsia="宋体" w:hint="default"/>
          <w:spacing w:val="-12"/>
        </w:rPr>
        <w:t>2</w:t>
      </w:r>
      <w:r>
        <w:rPr>
          <w:spacing w:val="-12"/>
        </w:rPr>
        <w:t>）财政部于</w:t>
      </w:r>
      <w:r>
        <w:rPr>
          <w:spacing w:val="-52"/>
        </w:rPr>
        <w:t> </w:t>
      </w:r>
      <w:r>
        <w:rPr>
          <w:rFonts w:ascii="宋体" w:hAnsi="宋体" w:cs="宋体" w:eastAsia="宋体" w:hint="default"/>
        </w:rPr>
        <w:t>2019</w:t>
      </w:r>
      <w:r>
        <w:rPr>
          <w:rFonts w:ascii="宋体" w:hAnsi="宋体" w:cs="宋体" w:eastAsia="宋体" w:hint="default"/>
          <w:spacing w:val="-50"/>
        </w:rPr>
        <w:t> </w:t>
      </w:r>
      <w:r>
        <w:rPr/>
        <w:t>年</w:t>
      </w:r>
      <w:r>
        <w:rPr>
          <w:spacing w:val="-52"/>
        </w:rPr>
        <w:t> </w:t>
      </w:r>
      <w:r>
        <w:rPr>
          <w:rFonts w:ascii="宋体" w:hAnsi="宋体" w:cs="宋体" w:eastAsia="宋体" w:hint="default"/>
        </w:rPr>
        <w:t>4</w:t>
      </w:r>
      <w:r>
        <w:rPr>
          <w:rFonts w:ascii="宋体" w:hAnsi="宋体" w:cs="宋体" w:eastAsia="宋体" w:hint="default"/>
          <w:spacing w:val="-49"/>
        </w:rPr>
        <w:t> </w:t>
      </w:r>
      <w:r>
        <w:rPr>
          <w:spacing w:val="-8"/>
        </w:rPr>
        <w:t>月发布了《关于修订印发</w:t>
      </w:r>
      <w:r>
        <w:rPr>
          <w:spacing w:val="-50"/>
        </w:rPr>
        <w:t> </w:t>
      </w:r>
      <w:r>
        <w:rPr>
          <w:rFonts w:ascii="宋体" w:hAnsi="宋体" w:cs="宋体" w:eastAsia="宋体" w:hint="default"/>
        </w:rPr>
        <w:t>2019</w:t>
      </w:r>
      <w:r>
        <w:rPr>
          <w:rFonts w:ascii="宋体" w:hAnsi="宋体" w:cs="宋体" w:eastAsia="宋体" w:hint="default"/>
          <w:spacing w:val="7"/>
        </w:rPr>
        <w:t> </w:t>
      </w:r>
      <w:r>
        <w:rPr/>
        <w:t>年度一般企业财务报表格式的通知》</w:t>
      </w:r>
    </w:p>
    <w:p>
      <w:pPr>
        <w:pStyle w:val="BodyText"/>
        <w:spacing w:line="272" w:lineRule="exact" w:before="27"/>
        <w:ind w:left="236" w:right="245"/>
        <w:jc w:val="left"/>
        <w:rPr>
          <w:rFonts w:ascii="宋体" w:hAnsi="宋体" w:cs="宋体" w:eastAsia="宋体" w:hint="default"/>
        </w:rPr>
      </w:pPr>
      <w:r>
        <w:rPr/>
        <w:t>（财会</w:t>
      </w:r>
      <w:r>
        <w:rPr>
          <w:rFonts w:ascii="宋体" w:hAnsi="宋体" w:cs="宋体" w:eastAsia="宋体" w:hint="default"/>
        </w:rPr>
        <w:t>[2019]6</w:t>
      </w:r>
      <w:r>
        <w:rPr>
          <w:rFonts w:ascii="宋体" w:hAnsi="宋体" w:cs="宋体" w:eastAsia="宋体" w:hint="default"/>
          <w:spacing w:val="5"/>
        </w:rPr>
        <w:t> </w:t>
      </w:r>
      <w:r>
        <w:rPr/>
        <w:t>号）（以下简称“财务报表格式”），执行企业会计准则的企业应按照企业会计</w:t>
      </w:r>
      <w:r>
        <w:rPr>
          <w:w w:val="100"/>
        </w:rPr>
        <w:t> </w:t>
      </w:r>
      <w:r>
        <w:rPr/>
        <w:t>准则和该通知的要求编制财务报表。</w:t>
      </w:r>
      <w:r>
        <w:rPr>
          <w:rFonts w:ascii="宋体" w:hAnsi="宋体" w:cs="宋体" w:eastAsia="宋体" w:hint="default"/>
        </w:rPr>
        <w:t> </w:t>
      </w:r>
    </w:p>
    <w:p>
      <w:pPr>
        <w:pStyle w:val="BodyText"/>
        <w:spacing w:line="272" w:lineRule="exact" w:before="1"/>
        <w:ind w:left="236" w:right="0" w:firstLine="420"/>
        <w:jc w:val="left"/>
        <w:rPr>
          <w:rFonts w:ascii="宋体" w:hAnsi="宋体" w:cs="宋体" w:eastAsia="宋体" w:hint="default"/>
        </w:rPr>
      </w:pPr>
      <w:r>
        <w:rPr>
          <w:spacing w:val="-1"/>
          <w:w w:val="100"/>
        </w:rPr>
        <w:t>本公司于</w:t>
      </w:r>
      <w:r>
        <w:rPr>
          <w:spacing w:val="-51"/>
          <w:w w:val="100"/>
        </w:rPr>
        <w:t> </w:t>
      </w:r>
      <w:r>
        <w:rPr>
          <w:rFonts w:ascii="宋体" w:hAnsi="宋体" w:cs="宋体" w:eastAsia="宋体" w:hint="default"/>
          <w:spacing w:val="-1"/>
          <w:w w:val="100"/>
        </w:rPr>
        <w:t>2019</w:t>
      </w:r>
      <w:r>
        <w:rPr>
          <w:rFonts w:ascii="宋体" w:hAnsi="宋体" w:cs="宋体" w:eastAsia="宋体" w:hint="default"/>
          <w:spacing w:val="-53"/>
          <w:w w:val="100"/>
        </w:rPr>
        <w:t> </w:t>
      </w:r>
      <w:r>
        <w:rPr>
          <w:w w:val="100"/>
        </w:rPr>
        <w:t>年</w:t>
      </w:r>
      <w:r>
        <w:rPr>
          <w:spacing w:val="-51"/>
          <w:w w:val="100"/>
        </w:rPr>
        <w:t> </w:t>
      </w:r>
      <w:r>
        <w:rPr>
          <w:rFonts w:ascii="宋体" w:hAnsi="宋体" w:cs="宋体" w:eastAsia="宋体" w:hint="default"/>
          <w:w w:val="100"/>
        </w:rPr>
        <w:t>1</w:t>
      </w:r>
      <w:r>
        <w:rPr>
          <w:rFonts w:ascii="宋体" w:hAnsi="宋体" w:cs="宋体" w:eastAsia="宋体" w:hint="default"/>
          <w:spacing w:val="-53"/>
          <w:w w:val="100"/>
        </w:rPr>
        <w:t> </w:t>
      </w:r>
      <w:r>
        <w:rPr>
          <w:w w:val="100"/>
        </w:rPr>
        <w:t>月</w:t>
      </w:r>
      <w:r>
        <w:rPr>
          <w:spacing w:val="-51"/>
          <w:w w:val="100"/>
        </w:rPr>
        <w:t> </w:t>
      </w:r>
      <w:r>
        <w:rPr>
          <w:rFonts w:ascii="宋体" w:hAnsi="宋体" w:cs="宋体" w:eastAsia="宋体" w:hint="default"/>
          <w:w w:val="100"/>
        </w:rPr>
        <w:t>1</w:t>
      </w:r>
      <w:r>
        <w:rPr>
          <w:rFonts w:ascii="宋体" w:hAnsi="宋体" w:cs="宋体" w:eastAsia="宋体" w:hint="default"/>
          <w:spacing w:val="-52"/>
          <w:w w:val="100"/>
        </w:rPr>
        <w:t> </w:t>
      </w:r>
      <w:r>
        <w:rPr>
          <w:spacing w:val="-5"/>
          <w:w w:val="100"/>
        </w:rPr>
        <w:t>日起执行上述修订后的准则和财务报表格式，对会计政策相关内容进</w:t>
      </w:r>
      <w:r>
        <w:rPr>
          <w:w w:val="100"/>
        </w:rPr>
        <w:t> </w:t>
      </w:r>
      <w:r>
        <w:rPr/>
        <w:t>行调整。</w:t>
      </w:r>
      <w:r>
        <w:rPr>
          <w:rFonts w:ascii="宋体" w:hAnsi="宋体" w:cs="宋体" w:eastAsia="宋体" w:hint="default"/>
        </w:rPr>
        <w:t> </w:t>
      </w:r>
    </w:p>
    <w:p>
      <w:pPr>
        <w:pStyle w:val="BodyText"/>
        <w:spacing w:line="248" w:lineRule="exact"/>
        <w:ind w:left="657" w:right="5521"/>
        <w:jc w:val="left"/>
        <w:rPr>
          <w:rFonts w:ascii="宋体" w:hAnsi="宋体" w:cs="宋体" w:eastAsia="宋体" w:hint="default"/>
        </w:rPr>
      </w:pPr>
      <w:r>
        <w:rPr>
          <w:rFonts w:ascii="宋体" w:hAnsi="宋体" w:cs="宋体" w:eastAsia="宋体" w:hint="default"/>
        </w:rPr>
        <w:t>2.</w:t>
      </w:r>
      <w:r>
        <w:rPr/>
        <w:t>会计政策变更的影响</w:t>
      </w:r>
      <w:r>
        <w:rPr>
          <w:rFonts w:ascii="宋体" w:hAnsi="宋体" w:cs="宋体" w:eastAsia="宋体" w:hint="default"/>
        </w:rPr>
        <w:t> </w:t>
      </w:r>
    </w:p>
    <w:p>
      <w:pPr>
        <w:pStyle w:val="BodyText"/>
        <w:spacing w:line="273" w:lineRule="exact"/>
        <w:ind w:left="657" w:right="5521"/>
        <w:jc w:val="left"/>
        <w:rPr>
          <w:rFonts w:ascii="宋体" w:hAnsi="宋体" w:cs="宋体" w:eastAsia="宋体" w:hint="default"/>
        </w:rPr>
      </w:pPr>
      <w:r>
        <w:rPr/>
        <w:t>（</w:t>
      </w:r>
      <w:r>
        <w:rPr>
          <w:rFonts w:ascii="宋体" w:hAnsi="宋体" w:cs="宋体" w:eastAsia="宋体" w:hint="default"/>
        </w:rPr>
        <w:t>1</w:t>
      </w:r>
      <w:r>
        <w:rPr/>
        <w:t>）执行新金融工具准则的影响</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633"/>
        <w:gridCol w:w="2201"/>
        <w:gridCol w:w="2060"/>
        <w:gridCol w:w="2170"/>
      </w:tblGrid>
      <w:tr>
        <w:trPr>
          <w:trHeight w:val="379" w:hRule="exact"/>
        </w:trPr>
        <w:tc>
          <w:tcPr>
            <w:tcW w:w="263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4"/>
              <w:ind w:left="694" w:right="0"/>
              <w:jc w:val="left"/>
              <w:rPr>
                <w:rFonts w:ascii="宋体" w:hAnsi="宋体" w:cs="宋体" w:eastAsia="宋体" w:hint="default"/>
                <w:sz w:val="21"/>
                <w:szCs w:val="21"/>
              </w:rPr>
            </w:pPr>
            <w:r>
              <w:rPr>
                <w:rFonts w:ascii="宋体" w:hAnsi="宋体" w:cs="宋体" w:eastAsia="宋体" w:hint="default"/>
                <w:sz w:val="21"/>
                <w:szCs w:val="21"/>
              </w:rPr>
              <w:t>合并报表项目</w:t>
            </w:r>
          </w:p>
        </w:tc>
        <w:tc>
          <w:tcPr>
            <w:tcW w:w="22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4"/>
              <w:ind w:right="180"/>
              <w:jc w:val="right"/>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20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4"/>
              <w:ind w:left="605" w:right="0"/>
              <w:jc w:val="left"/>
              <w:rPr>
                <w:rFonts w:ascii="宋体" w:hAnsi="宋体" w:cs="宋体" w:eastAsia="宋体" w:hint="default"/>
                <w:sz w:val="21"/>
                <w:szCs w:val="21"/>
              </w:rPr>
            </w:pPr>
            <w:r>
              <w:rPr>
                <w:rFonts w:ascii="宋体" w:hAnsi="宋体" w:cs="宋体" w:eastAsia="宋体" w:hint="default"/>
                <w:sz w:val="21"/>
                <w:szCs w:val="21"/>
              </w:rPr>
              <w:t>影响金额</w:t>
            </w:r>
          </w:p>
        </w:tc>
        <w:tc>
          <w:tcPr>
            <w:tcW w:w="217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4"/>
              <w:ind w:left="283" w:right="0"/>
              <w:jc w:val="left"/>
              <w:rPr>
                <w:rFonts w:ascii="宋体" w:hAnsi="宋体" w:cs="宋体" w:eastAsia="宋体" w:hint="default"/>
                <w:sz w:val="21"/>
                <w:szCs w:val="21"/>
              </w:rPr>
            </w:pPr>
            <w:r>
              <w:rPr>
                <w:rFonts w:ascii="Arial" w:hAnsi="Arial" w:cs="Arial" w:eastAsia="Arial" w:hint="default"/>
                <w:sz w:val="21"/>
                <w:szCs w:val="21"/>
              </w:rPr>
              <w:t>2019</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日</w:t>
            </w:r>
          </w:p>
        </w:tc>
      </w:tr>
      <w:tr>
        <w:trPr>
          <w:trHeight w:val="350"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2201"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201"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59"/>
              <w:jc w:val="right"/>
              <w:rPr>
                <w:rFonts w:ascii="Times New Roman" w:hAnsi="Times New Roman" w:cs="Times New Roman" w:eastAsia="Times New Roman" w:hint="default"/>
                <w:sz w:val="20"/>
                <w:szCs w:val="20"/>
              </w:rPr>
            </w:pPr>
            <w:r>
              <w:rPr>
                <w:rFonts w:ascii="Times New Roman"/>
                <w:w w:val="95"/>
                <w:sz w:val="20"/>
              </w:rPr>
              <w:t>49,000,000.00</w:t>
            </w:r>
            <w:r>
              <w:rPr>
                <w:rFonts w:ascii="Times New Roman"/>
                <w:sz w:val="20"/>
              </w:rPr>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64"/>
              <w:jc w:val="right"/>
              <w:rPr>
                <w:rFonts w:ascii="Times New Roman" w:hAnsi="Times New Roman" w:cs="Times New Roman" w:eastAsia="Times New Roman" w:hint="default"/>
                <w:sz w:val="20"/>
                <w:szCs w:val="20"/>
              </w:rPr>
            </w:pPr>
            <w:r>
              <w:rPr>
                <w:rFonts w:ascii="Times New Roman"/>
                <w:w w:val="95"/>
                <w:sz w:val="20"/>
              </w:rPr>
              <w:t>49,000,000.00</w:t>
            </w:r>
            <w:r>
              <w:rPr>
                <w:rFonts w:ascii="Times New Roman"/>
                <w:sz w:val="20"/>
              </w:rPr>
            </w:r>
          </w:p>
        </w:tc>
      </w:tr>
      <w:tr>
        <w:trPr>
          <w:trHeight w:val="350"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182,658,189.25</w:t>
            </w:r>
            <w:r>
              <w:rPr>
                <w:rFonts w:ascii="Times New Roman"/>
                <w:sz w:val="20"/>
              </w:rPr>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0"/>
                <w:szCs w:val="20"/>
              </w:rPr>
            </w:pPr>
            <w:r>
              <w:rPr>
                <w:rFonts w:ascii="Times New Roman"/>
                <w:w w:val="95"/>
                <w:sz w:val="20"/>
              </w:rPr>
              <w:t>-182,658,189.25</w:t>
            </w:r>
            <w:r>
              <w:rPr>
                <w:rFonts w:ascii="Times New Roman"/>
                <w:sz w:val="20"/>
              </w:rPr>
            </w:r>
          </w:p>
        </w:tc>
        <w:tc>
          <w:tcPr>
            <w:tcW w:w="2170"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spacing w:val="-1"/>
                <w:sz w:val="20"/>
              </w:rPr>
              <w:t>5,327,802,216.25</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59"/>
              <w:jc w:val="right"/>
              <w:rPr>
                <w:rFonts w:ascii="Times New Roman" w:hAnsi="Times New Roman" w:cs="Times New Roman" w:eastAsia="Times New Roman" w:hint="default"/>
                <w:sz w:val="20"/>
                <w:szCs w:val="20"/>
              </w:rPr>
            </w:pPr>
            <w:r>
              <w:rPr>
                <w:rFonts w:ascii="Times New Roman"/>
                <w:w w:val="95"/>
                <w:sz w:val="20"/>
              </w:rPr>
              <w:t>-143,881,715.7</w:t>
            </w:r>
            <w:r>
              <w:rPr>
                <w:rFonts w:ascii="Times New Roman"/>
                <w:sz w:val="20"/>
              </w:rPr>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65"/>
              <w:jc w:val="right"/>
              <w:rPr>
                <w:rFonts w:ascii="Times New Roman" w:hAnsi="Times New Roman" w:cs="Times New Roman" w:eastAsia="Times New Roman" w:hint="default"/>
                <w:sz w:val="20"/>
                <w:szCs w:val="20"/>
              </w:rPr>
            </w:pPr>
            <w:r>
              <w:rPr>
                <w:rFonts w:ascii="Times New Roman"/>
                <w:spacing w:val="-1"/>
                <w:sz w:val="20"/>
              </w:rPr>
              <w:t>5,183,920,500.55</w:t>
            </w:r>
          </w:p>
        </w:tc>
      </w:tr>
      <w:tr>
        <w:trPr>
          <w:trHeight w:val="362" w:hRule="exact"/>
        </w:trPr>
        <w:tc>
          <w:tcPr>
            <w:tcW w:w="263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2201" w:type="dxa"/>
            <w:tcBorders>
              <w:top w:val="single" w:sz="4" w:space="0" w:color="000000"/>
              <w:left w:val="single" w:sz="4" w:space="0" w:color="000000"/>
              <w:bottom w:val="single" w:sz="12" w:space="0" w:color="000000"/>
              <w:right w:val="single" w:sz="4" w:space="0" w:color="000000"/>
            </w:tcBorders>
          </w:tcPr>
          <w:p>
            <w:pPr/>
          </w:p>
        </w:tc>
        <w:tc>
          <w:tcPr>
            <w:tcW w:w="20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right="159"/>
              <w:jc w:val="right"/>
              <w:rPr>
                <w:rFonts w:ascii="Times New Roman" w:hAnsi="Times New Roman" w:cs="Times New Roman" w:eastAsia="Times New Roman" w:hint="default"/>
                <w:sz w:val="20"/>
                <w:szCs w:val="20"/>
              </w:rPr>
            </w:pPr>
            <w:r>
              <w:rPr>
                <w:rFonts w:ascii="Times New Roman"/>
                <w:w w:val="95"/>
                <w:sz w:val="20"/>
              </w:rPr>
              <w:t>180,812,637.63</w:t>
            </w:r>
            <w:r>
              <w:rPr>
                <w:rFonts w:ascii="Times New Roman"/>
                <w:sz w:val="20"/>
              </w:rPr>
            </w:r>
          </w:p>
        </w:tc>
        <w:tc>
          <w:tcPr>
            <w:tcW w:w="217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8"/>
              <w:ind w:right="164"/>
              <w:jc w:val="right"/>
              <w:rPr>
                <w:rFonts w:ascii="Times New Roman" w:hAnsi="Times New Roman" w:cs="Times New Roman" w:eastAsia="Times New Roman" w:hint="default"/>
                <w:sz w:val="20"/>
                <w:szCs w:val="20"/>
              </w:rPr>
            </w:pPr>
            <w:r>
              <w:rPr>
                <w:rFonts w:ascii="Times New Roman"/>
                <w:w w:val="95"/>
                <w:sz w:val="20"/>
              </w:rPr>
              <w:t>180,812,637.63</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footerReference w:type="default" r:id="rId45"/>
          <w:pgSz w:w="11910" w:h="16840"/>
          <w:pgMar w:footer="1195" w:header="882" w:top="1120" w:bottom="1380" w:left="1040" w:right="1540"/>
        </w:sectPr>
      </w:pPr>
    </w:p>
    <w:p>
      <w:pPr>
        <w:spacing w:line="240" w:lineRule="auto" w:before="0"/>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2633"/>
        <w:gridCol w:w="2201"/>
        <w:gridCol w:w="2060"/>
        <w:gridCol w:w="2170"/>
      </w:tblGrid>
      <w:tr>
        <w:trPr>
          <w:trHeight w:val="382" w:hRule="exact"/>
        </w:trPr>
        <w:tc>
          <w:tcPr>
            <w:tcW w:w="263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7"/>
              <w:ind w:left="694" w:right="0"/>
              <w:jc w:val="left"/>
              <w:rPr>
                <w:rFonts w:ascii="宋体" w:hAnsi="宋体" w:cs="宋体" w:eastAsia="宋体" w:hint="default"/>
                <w:sz w:val="21"/>
                <w:szCs w:val="21"/>
              </w:rPr>
            </w:pPr>
            <w:r>
              <w:rPr>
                <w:rFonts w:ascii="宋体" w:hAnsi="宋体" w:cs="宋体" w:eastAsia="宋体" w:hint="default"/>
                <w:sz w:val="21"/>
                <w:szCs w:val="21"/>
              </w:rPr>
              <w:t>合并报表项目</w:t>
            </w:r>
          </w:p>
        </w:tc>
        <w:tc>
          <w:tcPr>
            <w:tcW w:w="22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7"/>
              <w:ind w:right="180"/>
              <w:jc w:val="right"/>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20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7"/>
              <w:ind w:left="605" w:right="0"/>
              <w:jc w:val="left"/>
              <w:rPr>
                <w:rFonts w:ascii="宋体" w:hAnsi="宋体" w:cs="宋体" w:eastAsia="宋体" w:hint="default"/>
                <w:sz w:val="21"/>
                <w:szCs w:val="21"/>
              </w:rPr>
            </w:pPr>
            <w:r>
              <w:rPr>
                <w:rFonts w:ascii="宋体" w:hAnsi="宋体" w:cs="宋体" w:eastAsia="宋体" w:hint="default"/>
                <w:sz w:val="21"/>
                <w:szCs w:val="21"/>
              </w:rPr>
              <w:t>影响金额</w:t>
            </w:r>
          </w:p>
        </w:tc>
        <w:tc>
          <w:tcPr>
            <w:tcW w:w="217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7"/>
              <w:ind w:left="283" w:right="0"/>
              <w:jc w:val="left"/>
              <w:rPr>
                <w:rFonts w:ascii="宋体" w:hAnsi="宋体" w:cs="宋体" w:eastAsia="宋体" w:hint="default"/>
                <w:sz w:val="21"/>
                <w:szCs w:val="21"/>
              </w:rPr>
            </w:pPr>
            <w:r>
              <w:rPr>
                <w:rFonts w:ascii="Arial" w:hAnsi="Arial" w:cs="Arial" w:eastAsia="Arial" w:hint="default"/>
                <w:sz w:val="21"/>
                <w:szCs w:val="21"/>
              </w:rPr>
              <w:t>2019</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日</w:t>
            </w:r>
          </w:p>
        </w:tc>
      </w:tr>
      <w:tr>
        <w:trPr>
          <w:trHeight w:val="348"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457,040,591.25</w:t>
            </w:r>
            <w:r>
              <w:rPr>
                <w:rFonts w:ascii="Times New Roman"/>
                <w:sz w:val="20"/>
              </w:rPr>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59"/>
              <w:jc w:val="right"/>
              <w:rPr>
                <w:rFonts w:ascii="Times New Roman" w:hAnsi="Times New Roman" w:cs="Times New Roman" w:eastAsia="Times New Roman" w:hint="default"/>
                <w:sz w:val="20"/>
                <w:szCs w:val="20"/>
              </w:rPr>
            </w:pPr>
            <w:r>
              <w:rPr>
                <w:rFonts w:ascii="Times New Roman"/>
                <w:w w:val="95"/>
                <w:sz w:val="20"/>
              </w:rPr>
              <w:t>-89,888,405.9</w:t>
            </w:r>
            <w:r>
              <w:rPr>
                <w:rFonts w:ascii="Times New Roman"/>
                <w:sz w:val="20"/>
              </w:rPr>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64"/>
              <w:jc w:val="right"/>
              <w:rPr>
                <w:rFonts w:ascii="Times New Roman" w:hAnsi="Times New Roman" w:cs="Times New Roman" w:eastAsia="Times New Roman" w:hint="default"/>
                <w:sz w:val="20"/>
                <w:szCs w:val="20"/>
              </w:rPr>
            </w:pPr>
            <w:r>
              <w:rPr>
                <w:rFonts w:ascii="Times New Roman"/>
                <w:w w:val="95"/>
                <w:sz w:val="20"/>
              </w:rPr>
              <w:t>367,152,185.40</w:t>
            </w:r>
            <w:r>
              <w:rPr>
                <w:rFonts w:ascii="Times New Roman"/>
                <w:sz w:val="20"/>
              </w:rPr>
            </w:r>
          </w:p>
        </w:tc>
      </w:tr>
      <w:tr>
        <w:trPr>
          <w:trHeight w:val="350"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481,518,955.32</w:t>
            </w:r>
            <w:r>
              <w:rPr>
                <w:rFonts w:ascii="Times New Roman"/>
                <w:sz w:val="20"/>
              </w:rPr>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59"/>
              <w:jc w:val="right"/>
              <w:rPr>
                <w:rFonts w:ascii="Times New Roman" w:hAnsi="Times New Roman" w:cs="Times New Roman" w:eastAsia="Times New Roman" w:hint="default"/>
                <w:sz w:val="20"/>
                <w:szCs w:val="20"/>
              </w:rPr>
            </w:pPr>
            <w:r>
              <w:rPr>
                <w:rFonts w:ascii="Times New Roman"/>
                <w:w w:val="95"/>
                <w:sz w:val="20"/>
              </w:rPr>
              <w:t>-481,518,955.32</w:t>
            </w:r>
            <w:r>
              <w:rPr>
                <w:rFonts w:ascii="Times New Roman"/>
                <w:sz w:val="20"/>
              </w:rPr>
            </w:r>
          </w:p>
        </w:tc>
        <w:tc>
          <w:tcPr>
            <w:tcW w:w="217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2201"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59"/>
              <w:jc w:val="right"/>
              <w:rPr>
                <w:rFonts w:ascii="Times New Roman" w:hAnsi="Times New Roman" w:cs="Times New Roman" w:eastAsia="Times New Roman" w:hint="default"/>
                <w:sz w:val="20"/>
                <w:szCs w:val="20"/>
              </w:rPr>
            </w:pPr>
            <w:r>
              <w:rPr>
                <w:rFonts w:ascii="Times New Roman"/>
                <w:w w:val="95"/>
                <w:sz w:val="20"/>
              </w:rPr>
              <w:t>406,584,981.64</w:t>
            </w:r>
            <w:r>
              <w:rPr>
                <w:rFonts w:ascii="Times New Roman"/>
                <w:sz w:val="20"/>
              </w:rPr>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64"/>
              <w:jc w:val="right"/>
              <w:rPr>
                <w:rFonts w:ascii="Times New Roman" w:hAnsi="Times New Roman" w:cs="Times New Roman" w:eastAsia="Times New Roman" w:hint="default"/>
                <w:sz w:val="20"/>
                <w:szCs w:val="20"/>
              </w:rPr>
            </w:pPr>
            <w:r>
              <w:rPr>
                <w:rFonts w:ascii="Times New Roman"/>
                <w:w w:val="95"/>
                <w:sz w:val="20"/>
              </w:rPr>
              <w:t>406,584,981.64</w:t>
            </w:r>
            <w:r>
              <w:rPr>
                <w:rFonts w:ascii="Times New Roman"/>
                <w:sz w:val="20"/>
              </w:rPr>
            </w:r>
          </w:p>
        </w:tc>
      </w:tr>
      <w:tr>
        <w:trPr>
          <w:trHeight w:val="350"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30,436,822.43</w:t>
            </w:r>
            <w:r>
              <w:rPr>
                <w:rFonts w:ascii="Times New Roman"/>
                <w:sz w:val="20"/>
              </w:rPr>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59"/>
              <w:jc w:val="right"/>
              <w:rPr>
                <w:rFonts w:ascii="Times New Roman" w:hAnsi="Times New Roman" w:cs="Times New Roman" w:eastAsia="Times New Roman" w:hint="default"/>
                <w:sz w:val="20"/>
                <w:szCs w:val="20"/>
              </w:rPr>
            </w:pPr>
            <w:r>
              <w:rPr>
                <w:rFonts w:ascii="Times New Roman"/>
                <w:w w:val="95"/>
                <w:sz w:val="20"/>
              </w:rPr>
              <w:t>14,656,075.7</w:t>
            </w:r>
            <w:r>
              <w:rPr>
                <w:rFonts w:ascii="Times New Roman"/>
                <w:sz w:val="20"/>
              </w:rPr>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64"/>
              <w:jc w:val="right"/>
              <w:rPr>
                <w:rFonts w:ascii="Times New Roman" w:hAnsi="Times New Roman" w:cs="Times New Roman" w:eastAsia="Times New Roman" w:hint="default"/>
                <w:sz w:val="20"/>
                <w:szCs w:val="20"/>
              </w:rPr>
            </w:pPr>
            <w:r>
              <w:rPr>
                <w:rFonts w:ascii="Times New Roman"/>
                <w:w w:val="95"/>
                <w:sz w:val="20"/>
              </w:rPr>
              <w:t>45,092,898.09</w:t>
            </w:r>
            <w:r>
              <w:rPr>
                <w:rFonts w:ascii="Times New Roman"/>
                <w:sz w:val="20"/>
              </w:rPr>
            </w:r>
          </w:p>
        </w:tc>
      </w:tr>
      <w:tr>
        <w:trPr>
          <w:trHeight w:val="350"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2201"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spacing w:val="-1"/>
                <w:sz w:val="20"/>
              </w:rPr>
              <w:t>1,376,400,000.00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59"/>
              <w:jc w:val="right"/>
              <w:rPr>
                <w:rFonts w:ascii="Times New Roman" w:hAnsi="Times New Roman" w:cs="Times New Roman" w:eastAsia="Times New Roman" w:hint="default"/>
                <w:sz w:val="20"/>
                <w:szCs w:val="20"/>
              </w:rPr>
            </w:pPr>
            <w:r>
              <w:rPr>
                <w:rFonts w:ascii="Times New Roman"/>
                <w:w w:val="95"/>
                <w:sz w:val="20"/>
              </w:rPr>
              <w:t>1,483,593.47</w:t>
            </w:r>
            <w:r>
              <w:rPr>
                <w:rFonts w:ascii="Times New Roman"/>
                <w:sz w:val="20"/>
              </w:rPr>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65"/>
              <w:jc w:val="right"/>
              <w:rPr>
                <w:rFonts w:ascii="Times New Roman" w:hAnsi="Times New Roman" w:cs="Times New Roman" w:eastAsia="Times New Roman" w:hint="default"/>
                <w:sz w:val="20"/>
                <w:szCs w:val="20"/>
              </w:rPr>
            </w:pPr>
            <w:r>
              <w:rPr>
                <w:rFonts w:ascii="Times New Roman"/>
                <w:spacing w:val="-1"/>
                <w:sz w:val="20"/>
              </w:rPr>
              <w:t>1,377,883,593.47</w:t>
            </w:r>
          </w:p>
        </w:tc>
      </w:tr>
      <w:tr>
        <w:trPr>
          <w:trHeight w:val="348"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29,845,074.86</w:t>
            </w:r>
            <w:r>
              <w:rPr>
                <w:rFonts w:ascii="Times New Roman"/>
                <w:sz w:val="20"/>
              </w:rPr>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0"/>
                <w:szCs w:val="20"/>
              </w:rPr>
            </w:pPr>
            <w:r>
              <w:rPr>
                <w:rFonts w:ascii="Times New Roman"/>
                <w:w w:val="95"/>
                <w:sz w:val="20"/>
              </w:rPr>
              <w:t>-29,845,074.86</w:t>
            </w:r>
            <w:r>
              <w:rPr>
                <w:rFonts w:ascii="Times New Roman"/>
                <w:sz w:val="20"/>
              </w:rPr>
            </w:r>
          </w:p>
        </w:tc>
        <w:tc>
          <w:tcPr>
            <w:tcW w:w="217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57,190,000.00</w:t>
            </w:r>
            <w:r>
              <w:rPr>
                <w:rFonts w:ascii="Times New Roman"/>
                <w:sz w:val="20"/>
              </w:rPr>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0"/>
                <w:szCs w:val="20"/>
              </w:rPr>
            </w:pPr>
            <w:r>
              <w:rPr>
                <w:rFonts w:ascii="Times New Roman"/>
                <w:w w:val="95"/>
                <w:sz w:val="20"/>
              </w:rPr>
              <w:t>76,775.62</w:t>
            </w:r>
            <w:r>
              <w:rPr>
                <w:rFonts w:ascii="Times New Roman"/>
                <w:sz w:val="20"/>
              </w:rPr>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64"/>
              <w:jc w:val="right"/>
              <w:rPr>
                <w:rFonts w:ascii="Times New Roman" w:hAnsi="Times New Roman" w:cs="Times New Roman" w:eastAsia="Times New Roman" w:hint="default"/>
                <w:sz w:val="20"/>
                <w:szCs w:val="20"/>
              </w:rPr>
            </w:pPr>
            <w:r>
              <w:rPr>
                <w:rFonts w:ascii="Times New Roman"/>
                <w:w w:val="95"/>
                <w:sz w:val="20"/>
              </w:rPr>
              <w:t>57,266,775.62</w:t>
            </w:r>
            <w:r>
              <w:rPr>
                <w:rFonts w:ascii="Times New Roman"/>
                <w:sz w:val="20"/>
              </w:rPr>
            </w:r>
          </w:p>
        </w:tc>
      </w:tr>
      <w:tr>
        <w:trPr>
          <w:trHeight w:val="350"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643,681,816.00</w:t>
            </w:r>
            <w:r>
              <w:rPr>
                <w:rFonts w:ascii="Times New Roman"/>
                <w:sz w:val="20"/>
              </w:rPr>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59"/>
              <w:jc w:val="right"/>
              <w:rPr>
                <w:rFonts w:ascii="Times New Roman" w:hAnsi="Times New Roman" w:cs="Times New Roman" w:eastAsia="Times New Roman" w:hint="default"/>
                <w:sz w:val="20"/>
                <w:szCs w:val="20"/>
              </w:rPr>
            </w:pPr>
            <w:r>
              <w:rPr>
                <w:rFonts w:ascii="Times New Roman"/>
                <w:w w:val="95"/>
                <w:sz w:val="20"/>
              </w:rPr>
              <w:t>900,596.16</w:t>
            </w:r>
            <w:r>
              <w:rPr>
                <w:rFonts w:ascii="Times New Roman"/>
                <w:sz w:val="20"/>
              </w:rPr>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64"/>
              <w:jc w:val="right"/>
              <w:rPr>
                <w:rFonts w:ascii="Times New Roman" w:hAnsi="Times New Roman" w:cs="Times New Roman" w:eastAsia="Times New Roman" w:hint="default"/>
                <w:sz w:val="20"/>
                <w:szCs w:val="20"/>
              </w:rPr>
            </w:pPr>
            <w:r>
              <w:rPr>
                <w:rFonts w:ascii="Times New Roman"/>
                <w:w w:val="95"/>
                <w:sz w:val="20"/>
              </w:rPr>
              <w:t>644,582,412.16</w:t>
            </w:r>
            <w:r>
              <w:rPr>
                <w:rFonts w:ascii="Times New Roman"/>
                <w:sz w:val="20"/>
              </w:rPr>
            </w:r>
          </w:p>
        </w:tc>
      </w:tr>
      <w:tr>
        <w:trPr>
          <w:trHeight w:val="351"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spacing w:val="-1"/>
                <w:sz w:val="20"/>
              </w:rPr>
              <w:t>1,281,187,198.64</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59"/>
              <w:jc w:val="right"/>
              <w:rPr>
                <w:rFonts w:ascii="Times New Roman" w:hAnsi="Times New Roman" w:cs="Times New Roman" w:eastAsia="Times New Roman" w:hint="default"/>
                <w:sz w:val="20"/>
                <w:szCs w:val="20"/>
              </w:rPr>
            </w:pPr>
            <w:r>
              <w:rPr>
                <w:rFonts w:ascii="Times New Roman"/>
                <w:w w:val="95"/>
                <w:sz w:val="20"/>
              </w:rPr>
              <w:t>27,384,109.61</w:t>
            </w:r>
            <w:r>
              <w:rPr>
                <w:rFonts w:ascii="Times New Roman"/>
                <w:sz w:val="20"/>
              </w:rPr>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65"/>
              <w:jc w:val="right"/>
              <w:rPr>
                <w:rFonts w:ascii="Times New Roman" w:hAnsi="Times New Roman" w:cs="Times New Roman" w:eastAsia="Times New Roman" w:hint="default"/>
                <w:sz w:val="20"/>
                <w:szCs w:val="20"/>
              </w:rPr>
            </w:pPr>
            <w:r>
              <w:rPr>
                <w:rFonts w:ascii="Times New Roman"/>
                <w:spacing w:val="-1"/>
                <w:sz w:val="20"/>
              </w:rPr>
              <w:t>1,308,571,308.25</w:t>
            </w:r>
          </w:p>
        </w:tc>
      </w:tr>
      <w:tr>
        <w:trPr>
          <w:trHeight w:val="350"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股东权益：</w:t>
            </w:r>
          </w:p>
        </w:tc>
        <w:tc>
          <w:tcPr>
            <w:tcW w:w="2201"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633"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729,556,091.90</w:t>
            </w:r>
            <w:r>
              <w:rPr>
                <w:rFonts w:ascii="Times New Roman"/>
                <w:sz w:val="20"/>
              </w:rPr>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59"/>
              <w:jc w:val="right"/>
              <w:rPr>
                <w:rFonts w:ascii="Times New Roman" w:hAnsi="Times New Roman" w:cs="Times New Roman" w:eastAsia="Times New Roman" w:hint="default"/>
                <w:sz w:val="20"/>
                <w:szCs w:val="20"/>
              </w:rPr>
            </w:pPr>
            <w:r>
              <w:rPr>
                <w:rFonts w:ascii="Times New Roman"/>
                <w:w w:val="95"/>
                <w:sz w:val="20"/>
              </w:rPr>
              <w:t>-237,216,300.2</w:t>
            </w:r>
            <w:r>
              <w:rPr>
                <w:rFonts w:ascii="Times New Roman"/>
                <w:sz w:val="20"/>
              </w:rPr>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64"/>
              <w:jc w:val="right"/>
              <w:rPr>
                <w:rFonts w:ascii="Times New Roman" w:hAnsi="Times New Roman" w:cs="Times New Roman" w:eastAsia="Times New Roman" w:hint="default"/>
                <w:sz w:val="20"/>
                <w:szCs w:val="20"/>
              </w:rPr>
            </w:pPr>
            <w:r>
              <w:rPr>
                <w:rFonts w:ascii="Times New Roman"/>
                <w:w w:val="95"/>
                <w:sz w:val="20"/>
              </w:rPr>
              <w:t>492,339,791.72</w:t>
            </w:r>
            <w:r>
              <w:rPr>
                <w:rFonts w:ascii="Times New Roman"/>
                <w:sz w:val="20"/>
              </w:rPr>
            </w:r>
          </w:p>
        </w:tc>
      </w:tr>
      <w:tr>
        <w:trPr>
          <w:trHeight w:val="360" w:hRule="exact"/>
        </w:trPr>
        <w:tc>
          <w:tcPr>
            <w:tcW w:w="2633" w:type="dxa"/>
            <w:tcBorders>
              <w:top w:val="single" w:sz="4" w:space="0" w:color="000000"/>
              <w:left w:val="nil" w:sz="6" w:space="0" w:color="auto"/>
              <w:bottom w:val="single" w:sz="12"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2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374,743,874.48</w:t>
            </w:r>
            <w:r>
              <w:rPr>
                <w:rFonts w:ascii="Times New Roman"/>
                <w:sz w:val="20"/>
              </w:rPr>
            </w:r>
          </w:p>
        </w:tc>
        <w:tc>
          <w:tcPr>
            <w:tcW w:w="20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right="159"/>
              <w:jc w:val="right"/>
              <w:rPr>
                <w:rFonts w:ascii="Times New Roman" w:hAnsi="Times New Roman" w:cs="Times New Roman" w:eastAsia="Times New Roman" w:hint="default"/>
                <w:sz w:val="20"/>
                <w:szCs w:val="20"/>
              </w:rPr>
            </w:pPr>
            <w:r>
              <w:rPr>
                <w:rFonts w:ascii="Times New Roman"/>
                <w:w w:val="95"/>
                <w:sz w:val="20"/>
              </w:rPr>
              <w:t>-9,677,271.00</w:t>
            </w:r>
            <w:r>
              <w:rPr>
                <w:rFonts w:ascii="Times New Roman"/>
                <w:sz w:val="20"/>
              </w:rPr>
            </w:r>
          </w:p>
        </w:tc>
        <w:tc>
          <w:tcPr>
            <w:tcW w:w="217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8"/>
              <w:ind w:right="164"/>
              <w:jc w:val="right"/>
              <w:rPr>
                <w:rFonts w:ascii="Times New Roman" w:hAnsi="Times New Roman" w:cs="Times New Roman" w:eastAsia="Times New Roman" w:hint="default"/>
                <w:sz w:val="20"/>
                <w:szCs w:val="20"/>
              </w:rPr>
            </w:pPr>
            <w:r>
              <w:rPr>
                <w:rFonts w:ascii="Times New Roman"/>
                <w:w w:val="95"/>
                <w:sz w:val="20"/>
              </w:rPr>
              <w:t>365,066,603.47</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tbl>
      <w:tblPr>
        <w:tblW w:w="0" w:type="auto"/>
        <w:jc w:val="left"/>
        <w:tblInd w:w="120" w:type="dxa"/>
        <w:tblLayout w:type="fixed"/>
        <w:tblCellMar>
          <w:top w:w="0" w:type="dxa"/>
          <w:left w:w="0" w:type="dxa"/>
          <w:bottom w:w="0" w:type="dxa"/>
          <w:right w:w="0" w:type="dxa"/>
        </w:tblCellMar>
        <w:tblLook w:val="01E0"/>
      </w:tblPr>
      <w:tblGrid>
        <w:gridCol w:w="2744"/>
        <w:gridCol w:w="2285"/>
        <w:gridCol w:w="2036"/>
        <w:gridCol w:w="2000"/>
      </w:tblGrid>
      <w:tr>
        <w:trPr>
          <w:trHeight w:val="379" w:hRule="exact"/>
        </w:trPr>
        <w:tc>
          <w:tcPr>
            <w:tcW w:w="274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4"/>
              <w:ind w:left="643" w:right="0"/>
              <w:jc w:val="left"/>
              <w:rPr>
                <w:rFonts w:ascii="宋体" w:hAnsi="宋体" w:cs="宋体" w:eastAsia="宋体" w:hint="default"/>
                <w:sz w:val="21"/>
                <w:szCs w:val="21"/>
              </w:rPr>
            </w:pPr>
            <w:r>
              <w:rPr>
                <w:rFonts w:ascii="宋体" w:hAnsi="宋体" w:cs="宋体" w:eastAsia="宋体" w:hint="default"/>
                <w:sz w:val="21"/>
                <w:szCs w:val="21"/>
              </w:rPr>
              <w:t>母公司报表项目</w:t>
            </w:r>
            <w:r>
              <w:rPr>
                <w:rFonts w:ascii="宋体" w:hAnsi="宋体" w:cs="宋体" w:eastAsia="宋体" w:hint="default"/>
                <w:sz w:val="21"/>
                <w:szCs w:val="21"/>
              </w:rPr>
              <w:t> </w:t>
            </w:r>
          </w:p>
        </w:tc>
        <w:tc>
          <w:tcPr>
            <w:tcW w:w="22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4"/>
              <w:ind w:right="163"/>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0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4"/>
              <w:ind w:left="590" w:right="0"/>
              <w:jc w:val="left"/>
              <w:rPr>
                <w:rFonts w:ascii="宋体" w:hAnsi="宋体" w:cs="宋体" w:eastAsia="宋体" w:hint="default"/>
                <w:sz w:val="21"/>
                <w:szCs w:val="21"/>
              </w:rPr>
            </w:pPr>
            <w:r>
              <w:rPr>
                <w:rFonts w:ascii="宋体" w:hAnsi="宋体" w:cs="宋体" w:eastAsia="宋体" w:hint="default"/>
                <w:sz w:val="21"/>
                <w:szCs w:val="21"/>
              </w:rPr>
              <w:t>影响金额</w:t>
            </w:r>
            <w:r>
              <w:rPr>
                <w:rFonts w:ascii="宋体" w:hAnsi="宋体" w:cs="宋体" w:eastAsia="宋体" w:hint="default"/>
                <w:sz w:val="21"/>
                <w:szCs w:val="21"/>
              </w:rPr>
              <w:t> </w:t>
            </w:r>
          </w:p>
        </w:tc>
        <w:tc>
          <w:tcPr>
            <w:tcW w:w="200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4"/>
              <w:ind w:right="132"/>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350" w:hRule="exact"/>
        </w:trPr>
        <w:tc>
          <w:tcPr>
            <w:tcW w:w="27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285"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7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0"/>
                <w:szCs w:val="20"/>
              </w:rPr>
            </w:pPr>
            <w:r>
              <w:rPr>
                <w:rFonts w:ascii="Times New Roman"/>
                <w:w w:val="95"/>
                <w:sz w:val="20"/>
              </w:rPr>
              <w:t>11,038,715.20</w:t>
            </w:r>
            <w:r>
              <w:rPr>
                <w:rFonts w:ascii="Times New Roman"/>
                <w:sz w:val="20"/>
              </w:rPr>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2"/>
              <w:jc w:val="right"/>
              <w:rPr>
                <w:rFonts w:ascii="Times New Roman" w:hAnsi="Times New Roman" w:cs="Times New Roman" w:eastAsia="Times New Roman" w:hint="default"/>
                <w:sz w:val="20"/>
                <w:szCs w:val="20"/>
              </w:rPr>
            </w:pPr>
            <w:r>
              <w:rPr>
                <w:rFonts w:ascii="Times New Roman"/>
                <w:w w:val="95"/>
                <w:sz w:val="20"/>
              </w:rPr>
              <w:t>-11,038,715.20</w:t>
            </w:r>
            <w:r>
              <w:rPr>
                <w:rFonts w:ascii="Times New Roman"/>
                <w:sz w:val="20"/>
              </w:rPr>
            </w:r>
          </w:p>
        </w:tc>
        <w:tc>
          <w:tcPr>
            <w:tcW w:w="200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7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0"/>
                <w:szCs w:val="20"/>
              </w:rPr>
            </w:pPr>
            <w:r>
              <w:rPr>
                <w:rFonts w:ascii="Times New Roman"/>
                <w:spacing w:val="-1"/>
                <w:sz w:val="20"/>
              </w:rPr>
              <w:t>1,846,243,876.23</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2"/>
              <w:jc w:val="right"/>
              <w:rPr>
                <w:rFonts w:ascii="Times New Roman" w:hAnsi="Times New Roman" w:cs="Times New Roman" w:eastAsia="Times New Roman" w:hint="default"/>
                <w:sz w:val="20"/>
                <w:szCs w:val="20"/>
              </w:rPr>
            </w:pPr>
            <w:r>
              <w:rPr>
                <w:rFonts w:ascii="Times New Roman"/>
                <w:w w:val="95"/>
                <w:sz w:val="20"/>
              </w:rPr>
              <w:t>-61,712,852.81</w:t>
            </w:r>
            <w:r>
              <w:rPr>
                <w:rFonts w:ascii="Times New Roman"/>
                <w:sz w:val="20"/>
              </w:rPr>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65"/>
              <w:jc w:val="right"/>
              <w:rPr>
                <w:rFonts w:ascii="Times New Roman" w:hAnsi="Times New Roman" w:cs="Times New Roman" w:eastAsia="Times New Roman" w:hint="default"/>
                <w:sz w:val="20"/>
                <w:szCs w:val="20"/>
              </w:rPr>
            </w:pPr>
            <w:r>
              <w:rPr>
                <w:rFonts w:ascii="Times New Roman"/>
                <w:spacing w:val="-1"/>
                <w:sz w:val="20"/>
              </w:rPr>
              <w:t>1,784,531,023.42</w:t>
            </w:r>
          </w:p>
        </w:tc>
      </w:tr>
      <w:tr>
        <w:trPr>
          <w:trHeight w:val="348" w:hRule="exact"/>
        </w:trPr>
        <w:tc>
          <w:tcPr>
            <w:tcW w:w="27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285"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1"/>
              <w:jc w:val="right"/>
              <w:rPr>
                <w:rFonts w:ascii="Times New Roman" w:hAnsi="Times New Roman" w:cs="Times New Roman" w:eastAsia="Times New Roman" w:hint="default"/>
                <w:sz w:val="20"/>
                <w:szCs w:val="20"/>
              </w:rPr>
            </w:pPr>
            <w:r>
              <w:rPr>
                <w:rFonts w:ascii="Times New Roman"/>
                <w:w w:val="95"/>
                <w:sz w:val="20"/>
              </w:rPr>
              <w:t>10,681,168.30</w:t>
            </w:r>
            <w:r>
              <w:rPr>
                <w:rFonts w:ascii="Times New Roman"/>
                <w:sz w:val="20"/>
              </w:rPr>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64"/>
              <w:jc w:val="right"/>
              <w:rPr>
                <w:rFonts w:ascii="Times New Roman" w:hAnsi="Times New Roman" w:cs="Times New Roman" w:eastAsia="Times New Roman" w:hint="default"/>
                <w:sz w:val="20"/>
                <w:szCs w:val="20"/>
              </w:rPr>
            </w:pPr>
            <w:r>
              <w:rPr>
                <w:rFonts w:ascii="Times New Roman"/>
                <w:w w:val="95"/>
                <w:sz w:val="20"/>
              </w:rPr>
              <w:t>10,681,168.30</w:t>
            </w:r>
            <w:r>
              <w:rPr>
                <w:rFonts w:ascii="Times New Roman"/>
                <w:sz w:val="20"/>
              </w:rPr>
            </w:r>
          </w:p>
        </w:tc>
      </w:tr>
      <w:tr>
        <w:trPr>
          <w:trHeight w:val="351" w:hRule="exact"/>
        </w:trPr>
        <w:tc>
          <w:tcPr>
            <w:tcW w:w="27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20"/>
                <w:szCs w:val="20"/>
              </w:rPr>
            </w:pPr>
            <w:r>
              <w:rPr>
                <w:rFonts w:ascii="Times New Roman"/>
                <w:spacing w:val="-1"/>
                <w:sz w:val="20"/>
              </w:rPr>
              <w:t>1,428,352,547.73</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2"/>
              <w:jc w:val="right"/>
              <w:rPr>
                <w:rFonts w:ascii="Times New Roman" w:hAnsi="Times New Roman" w:cs="Times New Roman" w:eastAsia="Times New Roman" w:hint="default"/>
                <w:sz w:val="20"/>
                <w:szCs w:val="20"/>
              </w:rPr>
            </w:pPr>
            <w:r>
              <w:rPr>
                <w:rFonts w:ascii="Times New Roman"/>
                <w:w w:val="95"/>
                <w:sz w:val="20"/>
              </w:rPr>
              <w:t>-78,115,512.53</w:t>
            </w:r>
            <w:r>
              <w:rPr>
                <w:rFonts w:ascii="Times New Roman"/>
                <w:sz w:val="20"/>
              </w:rPr>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65"/>
              <w:jc w:val="right"/>
              <w:rPr>
                <w:rFonts w:ascii="Times New Roman" w:hAnsi="Times New Roman" w:cs="Times New Roman" w:eastAsia="Times New Roman" w:hint="default"/>
                <w:sz w:val="20"/>
                <w:szCs w:val="20"/>
              </w:rPr>
            </w:pPr>
            <w:r>
              <w:rPr>
                <w:rFonts w:ascii="Times New Roman"/>
                <w:spacing w:val="-1"/>
                <w:sz w:val="20"/>
              </w:rPr>
              <w:t>1,350,237,035.20</w:t>
            </w:r>
          </w:p>
        </w:tc>
      </w:tr>
      <w:tr>
        <w:trPr>
          <w:trHeight w:val="350" w:hRule="exact"/>
        </w:trPr>
        <w:tc>
          <w:tcPr>
            <w:tcW w:w="27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0"/>
                <w:szCs w:val="20"/>
              </w:rPr>
            </w:pPr>
            <w:r>
              <w:rPr>
                <w:rFonts w:ascii="Times New Roman"/>
                <w:w w:val="95"/>
                <w:sz w:val="20"/>
              </w:rPr>
              <w:t>332,000,000.00</w:t>
            </w:r>
            <w:r>
              <w:rPr>
                <w:rFonts w:ascii="Times New Roman"/>
                <w:sz w:val="20"/>
              </w:rPr>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2"/>
              <w:jc w:val="right"/>
              <w:rPr>
                <w:rFonts w:ascii="Times New Roman" w:hAnsi="Times New Roman" w:cs="Times New Roman" w:eastAsia="Times New Roman" w:hint="default"/>
                <w:sz w:val="20"/>
                <w:szCs w:val="20"/>
              </w:rPr>
            </w:pPr>
            <w:r>
              <w:rPr>
                <w:rFonts w:ascii="Times New Roman"/>
                <w:w w:val="95"/>
                <w:sz w:val="20"/>
              </w:rPr>
              <w:t>-332,000,000.00</w:t>
            </w:r>
            <w:r>
              <w:rPr>
                <w:rFonts w:ascii="Times New Roman"/>
                <w:sz w:val="20"/>
              </w:rPr>
            </w:r>
          </w:p>
        </w:tc>
        <w:tc>
          <w:tcPr>
            <w:tcW w:w="200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7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285"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2"/>
              <w:jc w:val="right"/>
              <w:rPr>
                <w:rFonts w:ascii="Times New Roman" w:hAnsi="Times New Roman" w:cs="Times New Roman" w:eastAsia="Times New Roman" w:hint="default"/>
                <w:sz w:val="20"/>
                <w:szCs w:val="20"/>
              </w:rPr>
            </w:pPr>
            <w:r>
              <w:rPr>
                <w:rFonts w:ascii="Times New Roman"/>
                <w:w w:val="95"/>
                <w:sz w:val="20"/>
              </w:rPr>
              <w:t>312,198,261.97</w:t>
            </w:r>
            <w:r>
              <w:rPr>
                <w:rFonts w:ascii="Times New Roman"/>
                <w:sz w:val="20"/>
              </w:rPr>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64"/>
              <w:jc w:val="right"/>
              <w:rPr>
                <w:rFonts w:ascii="Times New Roman" w:hAnsi="Times New Roman" w:cs="Times New Roman" w:eastAsia="Times New Roman" w:hint="default"/>
                <w:sz w:val="20"/>
                <w:szCs w:val="20"/>
              </w:rPr>
            </w:pPr>
            <w:r>
              <w:rPr>
                <w:rFonts w:ascii="Times New Roman"/>
                <w:w w:val="95"/>
                <w:sz w:val="20"/>
              </w:rPr>
              <w:t>312,198,261.97</w:t>
            </w:r>
            <w:r>
              <w:rPr>
                <w:rFonts w:ascii="Times New Roman"/>
                <w:sz w:val="20"/>
              </w:rPr>
            </w:r>
          </w:p>
        </w:tc>
      </w:tr>
      <w:tr>
        <w:trPr>
          <w:trHeight w:val="350" w:hRule="exact"/>
        </w:trPr>
        <w:tc>
          <w:tcPr>
            <w:tcW w:w="27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285"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7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0"/>
                <w:szCs w:val="20"/>
              </w:rPr>
            </w:pPr>
            <w:r>
              <w:rPr>
                <w:rFonts w:ascii="Times New Roman"/>
                <w:w w:val="95"/>
                <w:sz w:val="20"/>
              </w:rPr>
              <w:t>813,000,000.00</w:t>
            </w:r>
            <w:r>
              <w:rPr>
                <w:rFonts w:ascii="Times New Roman"/>
                <w:sz w:val="20"/>
              </w:rPr>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1"/>
              <w:jc w:val="right"/>
              <w:rPr>
                <w:rFonts w:ascii="Times New Roman" w:hAnsi="Times New Roman" w:cs="Times New Roman" w:eastAsia="Times New Roman" w:hint="default"/>
                <w:sz w:val="20"/>
                <w:szCs w:val="20"/>
              </w:rPr>
            </w:pPr>
            <w:r>
              <w:rPr>
                <w:rFonts w:ascii="Times New Roman"/>
                <w:w w:val="95"/>
                <w:sz w:val="20"/>
              </w:rPr>
              <w:t>1,111,103.78</w:t>
            </w:r>
            <w:r>
              <w:rPr>
                <w:rFonts w:ascii="Times New Roman"/>
                <w:sz w:val="20"/>
              </w:rPr>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64"/>
              <w:jc w:val="right"/>
              <w:rPr>
                <w:rFonts w:ascii="Times New Roman" w:hAnsi="Times New Roman" w:cs="Times New Roman" w:eastAsia="Times New Roman" w:hint="default"/>
                <w:sz w:val="20"/>
                <w:szCs w:val="20"/>
              </w:rPr>
            </w:pPr>
            <w:r>
              <w:rPr>
                <w:rFonts w:ascii="Times New Roman"/>
                <w:w w:val="95"/>
                <w:sz w:val="20"/>
              </w:rPr>
              <w:t>814,111,103.78</w:t>
            </w:r>
            <w:r>
              <w:rPr>
                <w:rFonts w:ascii="Times New Roman"/>
                <w:sz w:val="20"/>
              </w:rPr>
            </w:r>
          </w:p>
        </w:tc>
      </w:tr>
      <w:tr>
        <w:trPr>
          <w:trHeight w:val="348" w:hRule="exact"/>
        </w:trPr>
        <w:tc>
          <w:tcPr>
            <w:tcW w:w="27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0"/>
                <w:szCs w:val="20"/>
              </w:rPr>
            </w:pPr>
            <w:r>
              <w:rPr>
                <w:rFonts w:ascii="Times New Roman"/>
                <w:w w:val="95"/>
                <w:sz w:val="20"/>
              </w:rPr>
              <w:t>29,472,585.17</w:t>
            </w:r>
            <w:r>
              <w:rPr>
                <w:rFonts w:ascii="Times New Roman"/>
                <w:sz w:val="20"/>
              </w:rPr>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-29,472,585.17</w:t>
            </w:r>
            <w:r>
              <w:rPr>
                <w:rFonts w:ascii="Times New Roman"/>
                <w:sz w:val="20"/>
              </w:rPr>
            </w:r>
          </w:p>
        </w:tc>
        <w:tc>
          <w:tcPr>
            <w:tcW w:w="200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7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0"/>
                <w:szCs w:val="20"/>
              </w:rPr>
            </w:pPr>
            <w:r>
              <w:rPr>
                <w:rFonts w:ascii="Times New Roman"/>
                <w:w w:val="95"/>
                <w:sz w:val="20"/>
              </w:rPr>
              <w:t>57,190,000.00</w:t>
            </w:r>
            <w:r>
              <w:rPr>
                <w:rFonts w:ascii="Times New Roman"/>
                <w:sz w:val="20"/>
              </w:rPr>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3"/>
              <w:jc w:val="right"/>
              <w:rPr>
                <w:rFonts w:ascii="Times New Roman" w:hAnsi="Times New Roman" w:cs="Times New Roman" w:eastAsia="Times New Roman" w:hint="default"/>
                <w:sz w:val="20"/>
                <w:szCs w:val="20"/>
              </w:rPr>
            </w:pPr>
            <w:r>
              <w:rPr>
                <w:rFonts w:ascii="Times New Roman"/>
                <w:w w:val="95"/>
                <w:sz w:val="20"/>
              </w:rPr>
              <w:t>76,775.62</w:t>
            </w:r>
            <w:r>
              <w:rPr>
                <w:rFonts w:ascii="Times New Roman"/>
                <w:sz w:val="20"/>
              </w:rPr>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64"/>
              <w:jc w:val="right"/>
              <w:rPr>
                <w:rFonts w:ascii="Times New Roman" w:hAnsi="Times New Roman" w:cs="Times New Roman" w:eastAsia="Times New Roman" w:hint="default"/>
                <w:sz w:val="20"/>
                <w:szCs w:val="20"/>
              </w:rPr>
            </w:pPr>
            <w:r>
              <w:rPr>
                <w:rFonts w:ascii="Times New Roman"/>
                <w:w w:val="95"/>
                <w:sz w:val="20"/>
              </w:rPr>
              <w:t>57,266,775.62</w:t>
            </w:r>
            <w:r>
              <w:rPr>
                <w:rFonts w:ascii="Times New Roman"/>
                <w:sz w:val="20"/>
              </w:rPr>
            </w:r>
          </w:p>
        </w:tc>
      </w:tr>
      <w:tr>
        <w:trPr>
          <w:trHeight w:val="350" w:hRule="exact"/>
        </w:trPr>
        <w:tc>
          <w:tcPr>
            <w:tcW w:w="27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0"/>
                <w:szCs w:val="20"/>
              </w:rPr>
            </w:pPr>
            <w:r>
              <w:rPr>
                <w:rFonts w:ascii="Times New Roman"/>
                <w:w w:val="95"/>
                <w:sz w:val="20"/>
              </w:rPr>
              <w:t>643,681,816.00</w:t>
            </w:r>
            <w:r>
              <w:rPr>
                <w:rFonts w:ascii="Times New Roman"/>
                <w:sz w:val="20"/>
              </w:rPr>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1"/>
              <w:jc w:val="right"/>
              <w:rPr>
                <w:rFonts w:ascii="Times New Roman" w:hAnsi="Times New Roman" w:cs="Times New Roman" w:eastAsia="Times New Roman" w:hint="default"/>
                <w:sz w:val="20"/>
                <w:szCs w:val="20"/>
              </w:rPr>
            </w:pPr>
            <w:r>
              <w:rPr>
                <w:rFonts w:ascii="Times New Roman"/>
                <w:w w:val="95"/>
                <w:sz w:val="20"/>
              </w:rPr>
              <w:t>900,596.16</w:t>
            </w:r>
            <w:r>
              <w:rPr>
                <w:rFonts w:ascii="Times New Roman"/>
                <w:sz w:val="20"/>
              </w:rPr>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64"/>
              <w:jc w:val="right"/>
              <w:rPr>
                <w:rFonts w:ascii="Times New Roman" w:hAnsi="Times New Roman" w:cs="Times New Roman" w:eastAsia="Times New Roman" w:hint="default"/>
                <w:sz w:val="20"/>
                <w:szCs w:val="20"/>
              </w:rPr>
            </w:pPr>
            <w:r>
              <w:rPr>
                <w:rFonts w:ascii="Times New Roman"/>
                <w:w w:val="95"/>
                <w:sz w:val="20"/>
              </w:rPr>
              <w:t>644,582,412.16</w:t>
            </w:r>
            <w:r>
              <w:rPr>
                <w:rFonts w:ascii="Times New Roman"/>
                <w:sz w:val="20"/>
              </w:rPr>
            </w:r>
          </w:p>
        </w:tc>
      </w:tr>
      <w:tr>
        <w:trPr>
          <w:trHeight w:val="350" w:hRule="exact"/>
        </w:trPr>
        <w:tc>
          <w:tcPr>
            <w:tcW w:w="27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0"/>
                <w:szCs w:val="20"/>
              </w:rPr>
            </w:pPr>
            <w:r>
              <w:rPr>
                <w:rFonts w:ascii="Times New Roman"/>
                <w:spacing w:val="-1"/>
                <w:sz w:val="20"/>
              </w:rPr>
              <w:t>1,281,187,198.64</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1"/>
              <w:jc w:val="right"/>
              <w:rPr>
                <w:rFonts w:ascii="Times New Roman" w:hAnsi="Times New Roman" w:cs="Times New Roman" w:eastAsia="Times New Roman" w:hint="default"/>
                <w:sz w:val="20"/>
                <w:szCs w:val="20"/>
              </w:rPr>
            </w:pPr>
            <w:r>
              <w:rPr>
                <w:rFonts w:ascii="Times New Roman"/>
                <w:w w:val="95"/>
                <w:sz w:val="20"/>
              </w:rPr>
              <w:t>27,384,109.61</w:t>
            </w:r>
            <w:r>
              <w:rPr>
                <w:rFonts w:ascii="Times New Roman"/>
                <w:sz w:val="20"/>
              </w:rPr>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65"/>
              <w:jc w:val="right"/>
              <w:rPr>
                <w:rFonts w:ascii="Times New Roman" w:hAnsi="Times New Roman" w:cs="Times New Roman" w:eastAsia="Times New Roman" w:hint="default"/>
                <w:sz w:val="20"/>
                <w:szCs w:val="20"/>
              </w:rPr>
            </w:pPr>
            <w:r>
              <w:rPr>
                <w:rFonts w:ascii="Times New Roman"/>
                <w:spacing w:val="-1"/>
                <w:sz w:val="20"/>
              </w:rPr>
              <w:t>1,308,571,308.25</w:t>
            </w:r>
          </w:p>
        </w:tc>
      </w:tr>
      <w:tr>
        <w:trPr>
          <w:trHeight w:val="350" w:hRule="exact"/>
        </w:trPr>
        <w:tc>
          <w:tcPr>
            <w:tcW w:w="27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2285"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274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2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02"/>
              <w:jc w:val="right"/>
              <w:rPr>
                <w:rFonts w:ascii="Times New Roman" w:hAnsi="Times New Roman" w:cs="Times New Roman" w:eastAsia="Times New Roman" w:hint="default"/>
                <w:sz w:val="20"/>
                <w:szCs w:val="20"/>
              </w:rPr>
            </w:pPr>
            <w:r>
              <w:rPr>
                <w:rFonts w:ascii="Times New Roman"/>
                <w:w w:val="95"/>
                <w:sz w:val="20"/>
              </w:rPr>
              <w:t>-52,065,686.98</w:t>
            </w:r>
            <w:r>
              <w:rPr>
                <w:rFonts w:ascii="Times New Roman"/>
                <w:sz w:val="20"/>
              </w:rPr>
            </w:r>
          </w:p>
        </w:tc>
        <w:tc>
          <w:tcPr>
            <w:tcW w:w="20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62"/>
              <w:jc w:val="right"/>
              <w:rPr>
                <w:rFonts w:ascii="Times New Roman" w:hAnsi="Times New Roman" w:cs="Times New Roman" w:eastAsia="Times New Roman" w:hint="default"/>
                <w:sz w:val="20"/>
                <w:szCs w:val="20"/>
              </w:rPr>
            </w:pPr>
            <w:r>
              <w:rPr>
                <w:rFonts w:ascii="Times New Roman"/>
                <w:w w:val="95"/>
                <w:sz w:val="20"/>
              </w:rPr>
              <w:t>-159,987,650.27</w:t>
            </w:r>
            <w:r>
              <w:rPr>
                <w:rFonts w:ascii="Times New Roman"/>
                <w:sz w:val="20"/>
              </w:rPr>
            </w:r>
          </w:p>
        </w:tc>
        <w:tc>
          <w:tcPr>
            <w:tcW w:w="20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9"/>
              <w:ind w:right="165"/>
              <w:jc w:val="right"/>
              <w:rPr>
                <w:rFonts w:ascii="Times New Roman" w:hAnsi="Times New Roman" w:cs="Times New Roman" w:eastAsia="Times New Roman" w:hint="default"/>
                <w:sz w:val="20"/>
                <w:szCs w:val="20"/>
              </w:rPr>
            </w:pPr>
            <w:r>
              <w:rPr>
                <w:rFonts w:ascii="Times New Roman"/>
                <w:w w:val="95"/>
                <w:sz w:val="20"/>
              </w:rPr>
              <w:t>-212,053,337.25</w:t>
            </w:r>
            <w:r>
              <w:rPr>
                <w:rFonts w:ascii="Times New Roman"/>
                <w:sz w:val="20"/>
              </w:rPr>
            </w:r>
          </w:p>
        </w:tc>
      </w:tr>
    </w:tbl>
    <w:p>
      <w:pPr>
        <w:pStyle w:val="BodyText"/>
        <w:spacing w:line="239" w:lineRule="exact"/>
        <w:ind w:left="256" w:right="0" w:firstLine="420"/>
        <w:jc w:val="left"/>
      </w:pPr>
      <w:r>
        <w:rPr/>
        <w:t>本公司根据新金融工具准则的规定，对金融工具的分类和计量（含减值）进行追溯调整，将</w:t>
      </w:r>
    </w:p>
    <w:p>
      <w:pPr>
        <w:pStyle w:val="BodyText"/>
        <w:spacing w:line="272" w:lineRule="exact"/>
        <w:ind w:left="256" w:right="0"/>
        <w:jc w:val="left"/>
      </w:pPr>
      <w:r>
        <w:rPr>
          <w:spacing w:val="-4"/>
        </w:rPr>
        <w:t>金融工具原账面价值和在新金融工具准则施行日（即</w:t>
      </w:r>
      <w:r>
        <w:rPr>
          <w:spacing w:val="-43"/>
        </w:rPr>
        <w:t> </w:t>
      </w:r>
      <w:r>
        <w:rPr>
          <w:rFonts w:ascii="宋体" w:hAnsi="宋体" w:cs="宋体" w:eastAsia="宋体" w:hint="default"/>
        </w:rPr>
        <w:t>2019</w:t>
      </w:r>
      <w:r>
        <w:rPr>
          <w:rFonts w:ascii="宋体" w:hAnsi="宋体" w:cs="宋体" w:eastAsia="宋体" w:hint="default"/>
          <w:spacing w:val="-42"/>
        </w:rPr>
        <w:t> </w:t>
      </w:r>
      <w:r>
        <w:rPr/>
        <w:t>年</w:t>
      </w:r>
      <w:r>
        <w:rPr>
          <w:spacing w:val="-46"/>
        </w:rPr>
        <w:t> </w:t>
      </w:r>
      <w:r>
        <w:rPr>
          <w:rFonts w:ascii="宋体" w:hAnsi="宋体" w:cs="宋体" w:eastAsia="宋体" w:hint="default"/>
        </w:rPr>
        <w:t>1</w:t>
      </w:r>
      <w:r>
        <w:rPr>
          <w:rFonts w:ascii="宋体" w:hAnsi="宋体" w:cs="宋体" w:eastAsia="宋体" w:hint="default"/>
          <w:spacing w:val="-43"/>
        </w:rPr>
        <w:t> </w:t>
      </w:r>
      <w:r>
        <w:rPr/>
        <w:t>月</w:t>
      </w:r>
      <w:r>
        <w:rPr>
          <w:spacing w:val="-46"/>
        </w:rPr>
        <w:t> </w:t>
      </w:r>
      <w:r>
        <w:rPr>
          <w:rFonts w:ascii="宋体" w:hAnsi="宋体" w:cs="宋体" w:eastAsia="宋体" w:hint="default"/>
        </w:rPr>
        <w:t>1</w:t>
      </w:r>
      <w:r>
        <w:rPr>
          <w:rFonts w:ascii="宋体" w:hAnsi="宋体" w:cs="宋体" w:eastAsia="宋体" w:hint="default"/>
          <w:spacing w:val="-43"/>
        </w:rPr>
        <w:t> </w:t>
      </w:r>
      <w:r>
        <w:rPr>
          <w:spacing w:val="-5"/>
        </w:rPr>
        <w:t>日）的新账面价值之间的差额</w:t>
      </w:r>
    </w:p>
    <w:p>
      <w:pPr>
        <w:pStyle w:val="BodyText"/>
        <w:spacing w:line="272" w:lineRule="exact"/>
        <w:ind w:left="256" w:right="0"/>
        <w:jc w:val="left"/>
        <w:rPr>
          <w:rFonts w:ascii="宋体" w:hAnsi="宋体" w:cs="宋体" w:eastAsia="宋体" w:hint="default"/>
        </w:rPr>
      </w:pPr>
      <w:r>
        <w:rPr/>
        <w:t>计入</w:t>
      </w:r>
      <w:r>
        <w:rPr>
          <w:spacing w:val="-55"/>
        </w:rPr>
        <w:t> </w:t>
      </w:r>
      <w:r>
        <w:rPr>
          <w:rFonts w:ascii="宋体" w:hAnsi="宋体" w:cs="宋体" w:eastAsia="宋体" w:hint="default"/>
        </w:rPr>
        <w:t>2019</w:t>
      </w:r>
      <w:r>
        <w:rPr>
          <w:rFonts w:ascii="宋体" w:hAnsi="宋体" w:cs="宋体" w:eastAsia="宋体" w:hint="default"/>
          <w:spacing w:val="-57"/>
        </w:rPr>
        <w:t> </w:t>
      </w:r>
      <w:r>
        <w:rPr/>
        <w:t>年年初留存收益或其他综合收益。</w:t>
      </w:r>
      <w:r>
        <w:rPr>
          <w:rFonts w:ascii="宋体" w:hAnsi="宋体" w:cs="宋体" w:eastAsia="宋体" w:hint="default"/>
        </w:rPr>
        <w:t> </w:t>
      </w:r>
    </w:p>
    <w:p>
      <w:pPr>
        <w:pStyle w:val="BodyText"/>
        <w:spacing w:line="240" w:lineRule="auto"/>
        <w:ind w:left="682" w:right="304"/>
        <w:jc w:val="left"/>
      </w:pPr>
      <w:r>
        <w:rPr/>
        <w:t>（</w:t>
      </w:r>
      <w:r>
        <w:rPr>
          <w:rFonts w:ascii="宋体" w:hAnsi="宋体" w:cs="宋体" w:eastAsia="宋体" w:hint="default"/>
        </w:rPr>
        <w:t>2</w:t>
      </w:r>
      <w:r>
        <w:rPr/>
        <w:t>）执行修订后财务报表格式的影响</w:t>
      </w:r>
      <w:r>
        <w:rPr>
          <w:rFonts w:ascii="宋体" w:hAnsi="宋体" w:cs="宋体" w:eastAsia="宋体" w:hint="default"/>
          <w:w w:val="100"/>
        </w:rPr>
        <w:t> </w:t>
      </w:r>
      <w:r>
        <w:rPr>
          <w:spacing w:val="-4"/>
        </w:rPr>
        <w:t>根据财务报表格式的要求，除执行上述新金融工具准则产生的列报变化以外，本公司将</w:t>
      </w:r>
      <w:r>
        <w:rPr>
          <w:spacing w:val="47"/>
        </w:rPr>
        <w:t> </w:t>
      </w:r>
      <w:r>
        <w:rPr>
          <w:rFonts w:ascii="宋体" w:hAnsi="宋体" w:cs="宋体" w:eastAsia="宋体" w:hint="default"/>
          <w:spacing w:val="47"/>
        </w:rPr>
      </w:r>
      <w:r>
        <w:rPr/>
        <w:t>“应</w:t>
      </w:r>
    </w:p>
    <w:p>
      <w:pPr>
        <w:pStyle w:val="BodyText"/>
        <w:spacing w:line="237" w:lineRule="auto"/>
        <w:ind w:left="256" w:right="0"/>
        <w:jc w:val="left"/>
        <w:rPr>
          <w:rFonts w:ascii="宋体" w:hAnsi="宋体" w:cs="宋体" w:eastAsia="宋体" w:hint="default"/>
        </w:rPr>
      </w:pPr>
      <w:r>
        <w:rPr/>
        <w:t>收票据及应收账款”拆分列示为 </w:t>
      </w:r>
      <w:r>
        <w:rPr>
          <w:rFonts w:ascii="宋体" w:hAnsi="宋体" w:cs="宋体" w:eastAsia="宋体" w:hint="default"/>
        </w:rPr>
      </w:r>
      <w:r>
        <w:rPr/>
        <w:t>“应收票据”和“应收账款”两个项目，将 </w:t>
      </w:r>
      <w:r>
        <w:rPr>
          <w:rFonts w:ascii="宋体" w:hAnsi="宋体" w:cs="宋体" w:eastAsia="宋体" w:hint="default"/>
        </w:rPr>
      </w:r>
      <w:r>
        <w:rPr/>
        <w:t>“应付票据及应付</w:t>
      </w:r>
      <w:r>
        <w:rPr>
          <w:spacing w:val="-98"/>
        </w:rPr>
        <w:t> </w:t>
      </w:r>
      <w:r>
        <w:rPr>
          <w:spacing w:val="-98"/>
        </w:rPr>
      </w:r>
      <w:r>
        <w:rPr>
          <w:spacing w:val="-1"/>
          <w:w w:val="100"/>
        </w:rPr>
        <w:t>账款”</w:t>
      </w:r>
      <w:r>
        <w:rPr>
          <w:spacing w:val="6"/>
          <w:w w:val="100"/>
        </w:rPr>
        <w:t> </w:t>
      </w:r>
      <w:r>
        <w:rPr>
          <w:rFonts w:ascii="宋体" w:hAnsi="宋体" w:cs="宋体" w:eastAsia="宋体" w:hint="default"/>
          <w:spacing w:val="6"/>
          <w:w w:val="100"/>
        </w:rPr>
      </w:r>
      <w:r>
        <w:rPr>
          <w:spacing w:val="-4"/>
          <w:w w:val="100"/>
        </w:rPr>
        <w:t>拆分列示为“应付票据”和“应付账款”两个项目。本公司相应追溯调整了比较期间报表，</w:t>
      </w:r>
      <w:r>
        <w:rPr>
          <w:w w:val="100"/>
        </w:rPr>
        <w:t> </w:t>
      </w:r>
      <w:r>
        <w:rPr/>
        <w:t>该会计政策变更对合并及公司净利润和股东权益无影响。</w:t>
      </w:r>
      <w:r>
        <w:rPr>
          <w:rFonts w:ascii="宋体" w:hAnsi="宋体" w:cs="宋体" w:eastAsia="宋体" w:hint="default"/>
        </w:rPr>
        <w:t> </w:t>
      </w:r>
    </w:p>
    <w:p>
      <w:pPr>
        <w:pStyle w:val="Heading3"/>
        <w:spacing w:line="307" w:lineRule="exact"/>
        <w:ind w:left="256" w:right="0"/>
        <w:jc w:val="left"/>
        <w:rPr>
          <w:rFonts w:ascii="宋体" w:hAnsi="宋体" w:cs="宋体" w:eastAsia="宋体" w:hint="default"/>
        </w:rPr>
      </w:pPr>
      <w:r>
        <w:rPr>
          <w:rFonts w:ascii="宋体"/>
        </w:rPr>
        <w:t> </w:t>
      </w:r>
    </w:p>
    <w:p>
      <w:pPr>
        <w:spacing w:after="0" w:line="307" w:lineRule="exact"/>
        <w:jc w:val="left"/>
        <w:rPr>
          <w:rFonts w:ascii="宋体" w:hAnsi="宋体" w:cs="宋体" w:eastAsia="宋体" w:hint="default"/>
        </w:rPr>
        <w:sectPr>
          <w:footerReference w:type="default" r:id="rId46"/>
          <w:pgSz w:w="11910" w:h="16840"/>
          <w:pgMar w:footer="1195" w:header="882" w:top="1120" w:bottom="1380" w:left="1020" w:right="1480"/>
          <w:pgNumType w:start="101"/>
        </w:sectPr>
      </w:pPr>
    </w:p>
    <w:p>
      <w:pPr>
        <w:spacing w:line="240" w:lineRule="auto" w:before="9"/>
        <w:rPr>
          <w:rFonts w:ascii="宋体" w:hAnsi="宋体" w:cs="宋体" w:eastAsia="宋体" w:hint="default"/>
          <w:sz w:val="18"/>
          <w:szCs w:val="18"/>
        </w:rPr>
      </w:pPr>
    </w:p>
    <w:p>
      <w:pPr>
        <w:pStyle w:val="Heading5"/>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t>重要会计估计变更</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72" w:lineRule="exact" w:before="92"/>
        <w:ind w:left="644" w:right="225" w:hanging="428"/>
        <w:jc w:val="left"/>
        <w:rPr>
          <w:rFonts w:ascii="宋体" w:hAnsi="宋体" w:cs="宋体" w:eastAsia="宋体" w:hint="default"/>
          <w:b w:val="0"/>
          <w:bCs w:val="0"/>
        </w:rPr>
      </w:pPr>
      <w:r>
        <w:rPr>
          <w:rFonts w:ascii="宋体" w:hAnsi="宋体" w:cs="宋体" w:eastAsia="宋体" w:hint="default"/>
        </w:rPr>
        <w:t>(3).</w:t>
      </w:r>
      <w:r>
        <w:rPr>
          <w:rFonts w:ascii="Times New Roman" w:hAnsi="Times New Roman" w:cs="Times New Roman" w:eastAsia="Times New Roman" w:hint="default"/>
        </w:rPr>
        <w:t>2019</w:t>
      </w:r>
      <w:r>
        <w:rPr>
          <w:rFonts w:ascii="Times New Roman" w:hAnsi="Times New Roman" w:cs="Times New Roman" w:eastAsia="Times New Roman" w:hint="default"/>
          <w:spacing w:val="32"/>
        </w:rPr>
        <w:t> </w:t>
      </w:r>
      <w:r>
        <w:rPr>
          <w:spacing w:val="-3"/>
        </w:rPr>
        <w:t>年起执行新金融工具准则、新收入准则或新租赁准则调整执行当年年初财务报表相关项</w:t>
      </w:r>
      <w:r>
        <w:rPr>
          <w:spacing w:val="-98"/>
        </w:rPr>
        <w:t> </w:t>
      </w:r>
      <w:r>
        <w:rPr>
          <w:spacing w:val="-98"/>
        </w:rPr>
      </w:r>
      <w:r>
        <w:rPr/>
        <w:t>目情况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27"/>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4" w:lineRule="exact" w:before="1"/>
        <w:ind w:left="100" w:right="16"/>
        <w:jc w:val="center"/>
        <w:rPr>
          <w:rFonts w:ascii="宋体" w:hAnsi="宋体" w:cs="宋体" w:eastAsia="宋体" w:hint="default"/>
        </w:rPr>
      </w:pPr>
      <w:r>
        <w:rPr/>
        <w:t>合并资产负债表</w:t>
      </w:r>
      <w:r>
        <w:rPr>
          <w:rFonts w:ascii="宋体" w:hAnsi="宋体" w:cs="宋体" w:eastAsia="宋体" w:hint="default"/>
        </w:rPr>
        <w:t> </w:t>
      </w:r>
    </w:p>
    <w:p>
      <w:pPr>
        <w:pStyle w:val="BodyText"/>
        <w:spacing w:line="274" w:lineRule="exact"/>
        <w:ind w:left="0" w:right="128"/>
        <w:jc w:val="righ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486"/>
        <w:gridCol w:w="1892"/>
        <w:gridCol w:w="2033"/>
        <w:gridCol w:w="1640"/>
      </w:tblGrid>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68"/>
                <w:sz w:val="21"/>
                <w:szCs w:val="21"/>
              </w:rPr>
              <w:t> </w:t>
            </w:r>
            <w:r>
              <w:rPr>
                <w:rFonts w:ascii="宋体" w:hAnsi="宋体" w:cs="宋体" w:eastAsia="宋体" w:hint="default"/>
                <w:b/>
                <w:bCs/>
                <w:sz w:val="21"/>
                <w:szCs w:val="21"/>
              </w:rPr>
              <w:t>年</w:t>
            </w:r>
            <w:r>
              <w:rPr>
                <w:rFonts w:ascii="宋体" w:hAnsi="宋体" w:cs="宋体" w:eastAsia="宋体" w:hint="default"/>
                <w:b/>
                <w:bCs/>
                <w:spacing w:val="-68"/>
                <w:sz w:val="21"/>
                <w:szCs w:val="21"/>
              </w:rPr>
              <w:t> </w:t>
            </w:r>
            <w:r>
              <w:rPr>
                <w:rFonts w:ascii="宋体" w:hAnsi="宋体" w:cs="宋体" w:eastAsia="宋体" w:hint="default"/>
                <w:b/>
                <w:bCs/>
                <w:sz w:val="21"/>
                <w:szCs w:val="21"/>
              </w:rPr>
              <w:t>12</w:t>
            </w:r>
            <w:r>
              <w:rPr>
                <w:rFonts w:ascii="宋体" w:hAnsi="宋体" w:cs="宋体" w:eastAsia="宋体" w:hint="default"/>
                <w:b/>
                <w:bCs/>
                <w:spacing w:val="-66"/>
                <w:sz w:val="21"/>
                <w:szCs w:val="21"/>
              </w:rPr>
              <w:t> </w:t>
            </w:r>
            <w:r>
              <w:rPr>
                <w:rFonts w:ascii="宋体" w:hAnsi="宋体" w:cs="宋体" w:eastAsia="宋体" w:hint="default"/>
                <w:b/>
                <w:bCs/>
                <w:sz w:val="21"/>
                <w:szCs w:val="21"/>
              </w:rPr>
              <w:t>月</w:t>
            </w:r>
            <w:r>
              <w:rPr>
                <w:rFonts w:ascii="宋体" w:hAnsi="宋体" w:cs="宋体" w:eastAsia="宋体" w:hint="default"/>
                <w:b/>
                <w:bCs/>
                <w:spacing w:val="-68"/>
                <w:sz w:val="21"/>
                <w:szCs w:val="21"/>
              </w:rPr>
              <w:t> </w:t>
            </w:r>
            <w:r>
              <w:rPr>
                <w:rFonts w:ascii="宋体" w:hAnsi="宋体" w:cs="宋体" w:eastAsia="宋体" w:hint="default"/>
                <w:b/>
                <w:bCs/>
                <w:sz w:val="21"/>
                <w:szCs w:val="21"/>
              </w:rPr>
              <w:t>31</w:t>
            </w:r>
            <w:r>
              <w:rPr>
                <w:rFonts w:ascii="宋体" w:hAnsi="宋体" w:cs="宋体" w:eastAsia="宋体" w:hint="default"/>
                <w:b/>
                <w:bCs/>
                <w:spacing w:val="-68"/>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3"/>
              <w:jc w:val="righ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b/>
                <w:w w:val="99"/>
                <w:sz w:val="21"/>
              </w:rPr>
              <w:t> </w:t>
            </w:r>
            <w:r>
              <w:rPr>
                <w:rFonts w:ascii="宋体"/>
                <w:sz w:val="21"/>
              </w:rPr>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b/>
                <w:w w:val="99"/>
                <w:sz w:val="21"/>
              </w:rPr>
              <w:t> </w:t>
            </w:r>
            <w:r>
              <w:rPr>
                <w:rFonts w:ascii="宋体"/>
                <w:sz w:val="21"/>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b/>
                <w:w w:val="99"/>
                <w:sz w:val="21"/>
              </w:rPr>
              <w:t> </w:t>
            </w:r>
            <w:r>
              <w:rPr>
                <w:rFonts w:ascii="宋体"/>
                <w:sz w:val="21"/>
              </w:rPr>
            </w:r>
          </w:p>
        </w:tc>
      </w:tr>
      <w:tr>
        <w:trPr>
          <w:trHeight w:val="281"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04" w:right="0"/>
              <w:jc w:val="left"/>
              <w:rPr>
                <w:rFonts w:ascii="Times New Roman" w:hAnsi="Times New Roman" w:cs="Times New Roman" w:eastAsia="Times New Roman" w:hint="default"/>
                <w:sz w:val="21"/>
                <w:szCs w:val="21"/>
              </w:rPr>
            </w:pPr>
            <w:r>
              <w:rPr>
                <w:rFonts w:ascii="Times New Roman"/>
                <w:sz w:val="21"/>
              </w:rPr>
              <w:t>1,456,275,995.86</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1,456,275,995.86</w:t>
            </w: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49,000,000.00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17" w:right="0"/>
              <w:jc w:val="center"/>
              <w:rPr>
                <w:rFonts w:ascii="Times New Roman" w:hAnsi="Times New Roman" w:cs="Times New Roman" w:eastAsia="Times New Roman" w:hint="default"/>
                <w:sz w:val="21"/>
                <w:szCs w:val="21"/>
              </w:rPr>
            </w:pPr>
            <w:r>
              <w:rPr>
                <w:rFonts w:ascii="Times New Roman"/>
                <w:sz w:val="21"/>
              </w:rPr>
              <w:t>49,000,000.00</w:t>
            </w:r>
          </w:p>
        </w:tc>
      </w:tr>
      <w:tr>
        <w:trPr>
          <w:trHeight w:val="554"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63" w:right="0"/>
              <w:jc w:val="left"/>
              <w:rPr>
                <w:rFonts w:ascii="Times New Roman" w:hAnsi="Times New Roman" w:cs="Times New Roman" w:eastAsia="Times New Roman" w:hint="default"/>
                <w:sz w:val="21"/>
                <w:szCs w:val="21"/>
              </w:rPr>
            </w:pPr>
            <w:r>
              <w:rPr>
                <w:rFonts w:ascii="Times New Roman"/>
                <w:sz w:val="21"/>
              </w:rPr>
              <w:t>182,658,189.25</w:t>
            </w:r>
          </w:p>
        </w:tc>
        <w:tc>
          <w:tcPr>
            <w:tcW w:w="2033"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2" w:right="0"/>
              <w:jc w:val="center"/>
              <w:rPr>
                <w:rFonts w:ascii="Times New Roman" w:hAnsi="Times New Roman" w:cs="Times New Roman" w:eastAsia="Times New Roman" w:hint="default"/>
                <w:sz w:val="21"/>
                <w:szCs w:val="21"/>
              </w:rPr>
            </w:pPr>
            <w:r>
              <w:rPr>
                <w:rFonts w:ascii="Times New Roman"/>
                <w:sz w:val="21"/>
              </w:rPr>
              <w:t>-182,658,189.25</w:t>
            </w:r>
          </w:p>
        </w:tc>
      </w:tr>
      <w:tr>
        <w:trPr>
          <w:trHeight w:val="281"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04" w:right="0"/>
              <w:jc w:val="left"/>
              <w:rPr>
                <w:rFonts w:ascii="Times New Roman" w:hAnsi="Times New Roman" w:cs="Times New Roman" w:eastAsia="Times New Roman" w:hint="default"/>
                <w:sz w:val="21"/>
                <w:szCs w:val="21"/>
              </w:rPr>
            </w:pPr>
            <w:r>
              <w:rPr>
                <w:rFonts w:ascii="Times New Roman"/>
                <w:sz w:val="21"/>
              </w:rPr>
              <w:t>5,327,802,216.25</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5,183,920,500.55</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2" w:right="0"/>
              <w:jc w:val="center"/>
              <w:rPr>
                <w:rFonts w:ascii="Times New Roman" w:hAnsi="Times New Roman" w:cs="Times New Roman" w:eastAsia="Times New Roman" w:hint="default"/>
                <w:sz w:val="21"/>
                <w:szCs w:val="21"/>
              </w:rPr>
            </w:pPr>
            <w:r>
              <w:rPr>
                <w:rFonts w:ascii="Times New Roman"/>
                <w:sz w:val="21"/>
              </w:rPr>
              <w:t>-143,881,715.70</w:t>
            </w: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180,812,637.63</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12" w:right="0"/>
              <w:jc w:val="center"/>
              <w:rPr>
                <w:rFonts w:ascii="Times New Roman" w:hAnsi="Times New Roman" w:cs="Times New Roman" w:eastAsia="Times New Roman" w:hint="default"/>
                <w:sz w:val="21"/>
                <w:szCs w:val="21"/>
              </w:rPr>
            </w:pPr>
            <w:r>
              <w:rPr>
                <w:rFonts w:ascii="Times New Roman"/>
                <w:sz w:val="21"/>
              </w:rPr>
              <w:t>180,812,637.63</w:t>
            </w: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63" w:right="0"/>
              <w:jc w:val="left"/>
              <w:rPr>
                <w:rFonts w:ascii="Times New Roman" w:hAnsi="Times New Roman" w:cs="Times New Roman" w:eastAsia="Times New Roman" w:hint="default"/>
                <w:sz w:val="21"/>
                <w:szCs w:val="21"/>
              </w:rPr>
            </w:pPr>
            <w:r>
              <w:rPr>
                <w:rFonts w:ascii="Times New Roman"/>
                <w:sz w:val="21"/>
              </w:rPr>
              <w:t>577,011,390.01</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577,011,390.01</w:t>
            </w: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63" w:right="0"/>
              <w:jc w:val="left"/>
              <w:rPr>
                <w:rFonts w:ascii="Times New Roman" w:hAnsi="Times New Roman" w:cs="Times New Roman" w:eastAsia="Times New Roman" w:hint="default"/>
                <w:sz w:val="21"/>
                <w:szCs w:val="21"/>
              </w:rPr>
            </w:pPr>
            <w:r>
              <w:rPr>
                <w:rFonts w:ascii="Times New Roman"/>
                <w:sz w:val="21"/>
              </w:rPr>
              <w:t>457,040,591.25</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367,152,185.40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8" w:right="0"/>
              <w:jc w:val="center"/>
              <w:rPr>
                <w:rFonts w:ascii="Times New Roman" w:hAnsi="Times New Roman" w:cs="Times New Roman" w:eastAsia="Times New Roman" w:hint="default"/>
                <w:sz w:val="21"/>
                <w:szCs w:val="21"/>
              </w:rPr>
            </w:pPr>
            <w:r>
              <w:rPr>
                <w:rFonts w:ascii="Times New Roman"/>
                <w:sz w:val="21"/>
              </w:rPr>
              <w:t>-89,888,405.85</w:t>
            </w:r>
          </w:p>
        </w:tc>
      </w:tr>
      <w:tr>
        <w:trPr>
          <w:trHeight w:val="284"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04" w:right="0"/>
              <w:jc w:val="left"/>
              <w:rPr>
                <w:rFonts w:ascii="Times New Roman" w:hAnsi="Times New Roman" w:cs="Times New Roman" w:eastAsia="Times New Roman" w:hint="default"/>
                <w:sz w:val="21"/>
                <w:szCs w:val="21"/>
              </w:rPr>
            </w:pPr>
            <w:r>
              <w:rPr>
                <w:rFonts w:ascii="Times New Roman"/>
                <w:sz w:val="21"/>
              </w:rPr>
              <w:t>1,152,289,853.69</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1,152,289,853.69</w:t>
            </w: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68" w:right="0"/>
              <w:jc w:val="left"/>
              <w:rPr>
                <w:rFonts w:ascii="Times New Roman" w:hAnsi="Times New Roman" w:cs="Times New Roman" w:eastAsia="Times New Roman" w:hint="default"/>
                <w:sz w:val="21"/>
                <w:szCs w:val="21"/>
              </w:rPr>
            </w:pPr>
            <w:r>
              <w:rPr>
                <w:rFonts w:ascii="Times New Roman"/>
                <w:sz w:val="21"/>
              </w:rPr>
              <w:t>35,661,994.97</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35,661,994.97</w:t>
            </w: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04" w:right="0"/>
              <w:jc w:val="left"/>
              <w:rPr>
                <w:rFonts w:ascii="Times New Roman" w:hAnsi="Times New Roman" w:cs="Times New Roman" w:eastAsia="Times New Roman" w:hint="default"/>
                <w:sz w:val="21"/>
                <w:szCs w:val="21"/>
              </w:rPr>
            </w:pPr>
            <w:r>
              <w:rPr>
                <w:rFonts w:ascii="Times New Roman"/>
                <w:sz w:val="21"/>
              </w:rPr>
              <w:t>9,188,740,231.28</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9,002,124,558.11</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2" w:right="0"/>
              <w:jc w:val="center"/>
              <w:rPr>
                <w:rFonts w:ascii="Times New Roman" w:hAnsi="Times New Roman" w:cs="Times New Roman" w:eastAsia="Times New Roman" w:hint="default"/>
                <w:sz w:val="21"/>
                <w:szCs w:val="21"/>
              </w:rPr>
            </w:pPr>
            <w:r>
              <w:rPr>
                <w:rFonts w:ascii="Times New Roman"/>
                <w:sz w:val="21"/>
              </w:rPr>
              <w:t>-186,615,673.17</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63" w:right="0"/>
              <w:jc w:val="left"/>
              <w:rPr>
                <w:rFonts w:ascii="Times New Roman" w:hAnsi="Times New Roman" w:cs="Times New Roman" w:eastAsia="Times New Roman" w:hint="default"/>
                <w:sz w:val="21"/>
                <w:szCs w:val="21"/>
              </w:rPr>
            </w:pPr>
            <w:r>
              <w:rPr>
                <w:rFonts w:ascii="Times New Roman"/>
                <w:sz w:val="21"/>
              </w:rPr>
              <w:t>481,518,955.32</w:t>
            </w:r>
          </w:p>
        </w:tc>
        <w:tc>
          <w:tcPr>
            <w:tcW w:w="2033"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2" w:right="0"/>
              <w:jc w:val="center"/>
              <w:rPr>
                <w:rFonts w:ascii="Times New Roman" w:hAnsi="Times New Roman" w:cs="Times New Roman" w:eastAsia="Times New Roman" w:hint="default"/>
                <w:sz w:val="21"/>
                <w:szCs w:val="21"/>
              </w:rPr>
            </w:pPr>
            <w:r>
              <w:rPr>
                <w:rFonts w:ascii="Times New Roman"/>
                <w:sz w:val="21"/>
              </w:rPr>
              <w:t>-481,518,955.32</w:t>
            </w:r>
          </w:p>
        </w:tc>
      </w:tr>
      <w:tr>
        <w:trPr>
          <w:trHeight w:val="284"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63" w:right="0"/>
              <w:jc w:val="left"/>
              <w:rPr>
                <w:rFonts w:ascii="Times New Roman" w:hAnsi="Times New Roman" w:cs="Times New Roman" w:eastAsia="Times New Roman" w:hint="default"/>
                <w:sz w:val="21"/>
                <w:szCs w:val="21"/>
              </w:rPr>
            </w:pPr>
            <w:r>
              <w:rPr>
                <w:rFonts w:ascii="Times New Roman"/>
                <w:sz w:val="21"/>
              </w:rPr>
              <w:t>240,000,000.00</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240,000,000.00</w:t>
            </w: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63" w:right="0"/>
              <w:jc w:val="left"/>
              <w:rPr>
                <w:rFonts w:ascii="Times New Roman" w:hAnsi="Times New Roman" w:cs="Times New Roman" w:eastAsia="Times New Roman" w:hint="default"/>
                <w:sz w:val="21"/>
                <w:szCs w:val="21"/>
              </w:rPr>
            </w:pPr>
            <w:r>
              <w:rPr>
                <w:rFonts w:ascii="Times New Roman"/>
                <w:sz w:val="21"/>
              </w:rPr>
              <w:t>395,352,828.17</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395,352,828.17</w:t>
            </w: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406,584,981.64</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2" w:right="0"/>
              <w:jc w:val="center"/>
              <w:rPr>
                <w:rFonts w:ascii="Times New Roman" w:hAnsi="Times New Roman" w:cs="Times New Roman" w:eastAsia="Times New Roman" w:hint="default"/>
                <w:sz w:val="21"/>
                <w:szCs w:val="21"/>
              </w:rPr>
            </w:pPr>
            <w:r>
              <w:rPr>
                <w:rFonts w:ascii="Times New Roman"/>
                <w:sz w:val="21"/>
              </w:rPr>
              <w:t>406,584,981.64</w:t>
            </w:r>
          </w:p>
        </w:tc>
      </w:tr>
      <w:tr>
        <w:trPr>
          <w:trHeight w:val="281"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68" w:right="0"/>
              <w:jc w:val="left"/>
              <w:rPr>
                <w:rFonts w:ascii="Times New Roman" w:hAnsi="Times New Roman" w:cs="Times New Roman" w:eastAsia="Times New Roman" w:hint="default"/>
                <w:sz w:val="21"/>
                <w:szCs w:val="21"/>
              </w:rPr>
            </w:pPr>
            <w:r>
              <w:rPr>
                <w:rFonts w:ascii="Times New Roman"/>
                <w:sz w:val="21"/>
              </w:rPr>
              <w:t>71,426,813.69</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71,426,813.69</w:t>
            </w: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63" w:right="0"/>
              <w:jc w:val="left"/>
              <w:rPr>
                <w:rFonts w:ascii="Times New Roman" w:hAnsi="Times New Roman" w:cs="Times New Roman" w:eastAsia="Times New Roman" w:hint="default"/>
                <w:sz w:val="21"/>
                <w:szCs w:val="21"/>
              </w:rPr>
            </w:pPr>
            <w:r>
              <w:rPr>
                <w:rFonts w:ascii="Times New Roman"/>
                <w:sz w:val="21"/>
              </w:rPr>
              <w:t>654,199,659.63</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654,199,659.63</w:t>
            </w: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68" w:right="0"/>
              <w:jc w:val="left"/>
              <w:rPr>
                <w:rFonts w:ascii="Times New Roman" w:hAnsi="Times New Roman" w:cs="Times New Roman" w:eastAsia="Times New Roman" w:hint="default"/>
                <w:sz w:val="21"/>
                <w:szCs w:val="21"/>
              </w:rPr>
            </w:pPr>
            <w:r>
              <w:rPr>
                <w:rFonts w:ascii="Times New Roman"/>
                <w:sz w:val="21"/>
              </w:rPr>
              <w:t>79,164,911.53</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79,164,911.53</w:t>
            </w: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486"/>
        <w:gridCol w:w="1892"/>
        <w:gridCol w:w="2033"/>
        <w:gridCol w:w="1640"/>
      </w:tblGrid>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63" w:right="0"/>
              <w:jc w:val="left"/>
              <w:rPr>
                <w:rFonts w:ascii="Times New Roman" w:hAnsi="Times New Roman" w:cs="Times New Roman" w:eastAsia="Times New Roman" w:hint="default"/>
                <w:sz w:val="21"/>
                <w:szCs w:val="21"/>
              </w:rPr>
            </w:pPr>
            <w:r>
              <w:rPr>
                <w:rFonts w:ascii="Times New Roman"/>
                <w:sz w:val="21"/>
              </w:rPr>
              <w:t>413,539,601.45</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413,539,601.45</w:t>
            </w: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63" w:right="0"/>
              <w:jc w:val="left"/>
              <w:rPr>
                <w:rFonts w:ascii="Times New Roman" w:hAnsi="Times New Roman" w:cs="Times New Roman" w:eastAsia="Times New Roman" w:hint="default"/>
                <w:sz w:val="21"/>
                <w:szCs w:val="21"/>
              </w:rPr>
            </w:pPr>
            <w:r>
              <w:rPr>
                <w:rFonts w:ascii="Times New Roman"/>
                <w:sz w:val="21"/>
              </w:rPr>
              <w:t>107,588,083.00</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107,588,083.00</w:t>
            </w: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04" w:right="0"/>
              <w:jc w:val="left"/>
              <w:rPr>
                <w:rFonts w:ascii="Times New Roman" w:hAnsi="Times New Roman" w:cs="Times New Roman" w:eastAsia="Times New Roman" w:hint="default"/>
                <w:sz w:val="21"/>
                <w:szCs w:val="21"/>
              </w:rPr>
            </w:pPr>
            <w:r>
              <w:rPr>
                <w:rFonts w:ascii="Times New Roman"/>
                <w:sz w:val="21"/>
              </w:rPr>
              <w:t>1,273,391,451.99</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1,273,391,451.99</w:t>
            </w: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68" w:right="0"/>
              <w:jc w:val="left"/>
              <w:rPr>
                <w:rFonts w:ascii="Times New Roman" w:hAnsi="Times New Roman" w:cs="Times New Roman" w:eastAsia="Times New Roman" w:hint="default"/>
                <w:sz w:val="21"/>
                <w:szCs w:val="21"/>
              </w:rPr>
            </w:pPr>
            <w:r>
              <w:rPr>
                <w:rFonts w:ascii="Times New Roman"/>
                <w:sz w:val="21"/>
              </w:rPr>
              <w:t>16,033,378.25</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16,033,378.25</w:t>
            </w: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68" w:right="0"/>
              <w:jc w:val="left"/>
              <w:rPr>
                <w:rFonts w:ascii="Times New Roman" w:hAnsi="Times New Roman" w:cs="Times New Roman" w:eastAsia="Times New Roman" w:hint="default"/>
                <w:sz w:val="21"/>
                <w:szCs w:val="21"/>
              </w:rPr>
            </w:pPr>
            <w:r>
              <w:rPr>
                <w:rFonts w:ascii="Times New Roman"/>
                <w:sz w:val="21"/>
              </w:rPr>
              <w:t>30,436,822.43</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45,092,898.09</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19" w:right="0"/>
              <w:jc w:val="left"/>
              <w:rPr>
                <w:rFonts w:ascii="Times New Roman" w:hAnsi="Times New Roman" w:cs="Times New Roman" w:eastAsia="Times New Roman" w:hint="default"/>
                <w:sz w:val="21"/>
                <w:szCs w:val="21"/>
              </w:rPr>
            </w:pPr>
            <w:r>
              <w:rPr>
                <w:rFonts w:ascii="Times New Roman"/>
                <w:sz w:val="21"/>
              </w:rPr>
              <w:t>14,656,075.66</w:t>
            </w: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63" w:right="0"/>
              <w:jc w:val="left"/>
              <w:rPr>
                <w:rFonts w:ascii="Times New Roman" w:hAnsi="Times New Roman" w:cs="Times New Roman" w:eastAsia="Times New Roman" w:hint="default"/>
                <w:sz w:val="21"/>
                <w:szCs w:val="21"/>
              </w:rPr>
            </w:pPr>
            <w:r>
              <w:rPr>
                <w:rFonts w:ascii="Times New Roman"/>
                <w:sz w:val="21"/>
              </w:rPr>
              <w:t>194,540,000.00</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194,540,000.00</w:t>
            </w: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04" w:right="0"/>
              <w:jc w:val="left"/>
              <w:rPr>
                <w:rFonts w:ascii="Times New Roman" w:hAnsi="Times New Roman" w:cs="Times New Roman" w:eastAsia="Times New Roman" w:hint="default"/>
                <w:sz w:val="21"/>
                <w:szCs w:val="21"/>
              </w:rPr>
            </w:pPr>
            <w:r>
              <w:rPr>
                <w:rFonts w:ascii="Times New Roman"/>
                <w:sz w:val="21"/>
              </w:rPr>
              <w:t>3,957,192,505.46</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3,896,914,607.44</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9" w:right="0"/>
              <w:jc w:val="left"/>
              <w:rPr>
                <w:rFonts w:ascii="Times New Roman" w:hAnsi="Times New Roman" w:cs="Times New Roman" w:eastAsia="Times New Roman" w:hint="default"/>
                <w:sz w:val="21"/>
                <w:szCs w:val="21"/>
              </w:rPr>
            </w:pPr>
            <w:r>
              <w:rPr>
                <w:rFonts w:ascii="Times New Roman"/>
                <w:sz w:val="21"/>
              </w:rPr>
              <w:t>-60,277,898.02</w:t>
            </w: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1" w:right="0"/>
              <w:jc w:val="left"/>
              <w:rPr>
                <w:rFonts w:ascii="Times New Roman" w:hAnsi="Times New Roman" w:cs="Times New Roman" w:eastAsia="Times New Roman" w:hint="default"/>
                <w:sz w:val="21"/>
                <w:szCs w:val="21"/>
              </w:rPr>
            </w:pPr>
            <w:r>
              <w:rPr>
                <w:rFonts w:ascii="Times New Roman"/>
                <w:sz w:val="21"/>
              </w:rPr>
              <w:t>13,145,932,736.74</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43" w:right="0"/>
              <w:jc w:val="left"/>
              <w:rPr>
                <w:rFonts w:ascii="Times New Roman" w:hAnsi="Times New Roman" w:cs="Times New Roman" w:eastAsia="Times New Roman" w:hint="default"/>
                <w:sz w:val="21"/>
                <w:szCs w:val="21"/>
              </w:rPr>
            </w:pPr>
            <w:r>
              <w:rPr>
                <w:rFonts w:ascii="Times New Roman"/>
                <w:sz w:val="21"/>
              </w:rPr>
              <w:t>12,899,039,165.55</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3" w:right="0"/>
              <w:jc w:val="left"/>
              <w:rPr>
                <w:rFonts w:ascii="Times New Roman" w:hAnsi="Times New Roman" w:cs="Times New Roman" w:eastAsia="Times New Roman" w:hint="default"/>
                <w:sz w:val="21"/>
                <w:szCs w:val="21"/>
              </w:rPr>
            </w:pPr>
            <w:r>
              <w:rPr>
                <w:rFonts w:ascii="Times New Roman"/>
                <w:sz w:val="21"/>
              </w:rPr>
              <w:t>-246,893,571.19</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04" w:right="0"/>
              <w:jc w:val="left"/>
              <w:rPr>
                <w:rFonts w:ascii="Times New Roman" w:hAnsi="Times New Roman" w:cs="Times New Roman" w:eastAsia="Times New Roman" w:hint="default"/>
                <w:sz w:val="21"/>
                <w:szCs w:val="21"/>
              </w:rPr>
            </w:pPr>
            <w:r>
              <w:rPr>
                <w:rFonts w:ascii="Times New Roman"/>
                <w:sz w:val="21"/>
              </w:rPr>
              <w:t>1,376,400,000.00</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1,377,883,593.47</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24" w:right="0"/>
              <w:jc w:val="left"/>
              <w:rPr>
                <w:rFonts w:ascii="Times New Roman" w:hAnsi="Times New Roman" w:cs="Times New Roman" w:eastAsia="Times New Roman" w:hint="default"/>
                <w:sz w:val="21"/>
                <w:szCs w:val="21"/>
              </w:rPr>
            </w:pPr>
            <w:r>
              <w:rPr>
                <w:rFonts w:ascii="Times New Roman"/>
                <w:sz w:val="21"/>
              </w:rPr>
              <w:t>1,483,593.47</w:t>
            </w: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期损益的金融负债</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04" w:right="0"/>
              <w:jc w:val="left"/>
              <w:rPr>
                <w:rFonts w:ascii="Times New Roman" w:hAnsi="Times New Roman" w:cs="Times New Roman" w:eastAsia="Times New Roman" w:hint="default"/>
                <w:sz w:val="21"/>
                <w:szCs w:val="21"/>
              </w:rPr>
            </w:pPr>
            <w:r>
              <w:rPr>
                <w:rFonts w:ascii="Times New Roman"/>
                <w:sz w:val="21"/>
              </w:rPr>
              <w:t>2,090,259,523.39</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2,090,259,523.39</w:t>
            </w: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04" w:right="0"/>
              <w:jc w:val="left"/>
              <w:rPr>
                <w:rFonts w:ascii="Times New Roman" w:hAnsi="Times New Roman" w:cs="Times New Roman" w:eastAsia="Times New Roman" w:hint="default"/>
                <w:sz w:val="21"/>
                <w:szCs w:val="21"/>
              </w:rPr>
            </w:pPr>
            <w:r>
              <w:rPr>
                <w:rFonts w:ascii="Times New Roman"/>
                <w:sz w:val="21"/>
              </w:rPr>
              <w:t>2,397,450,958.44</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2,397,450,958.44</w:t>
            </w: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63" w:right="0"/>
              <w:jc w:val="left"/>
              <w:rPr>
                <w:rFonts w:ascii="Times New Roman" w:hAnsi="Times New Roman" w:cs="Times New Roman" w:eastAsia="Times New Roman" w:hint="default"/>
                <w:sz w:val="21"/>
                <w:szCs w:val="21"/>
              </w:rPr>
            </w:pPr>
            <w:r>
              <w:rPr>
                <w:rFonts w:ascii="Times New Roman"/>
                <w:sz w:val="21"/>
              </w:rPr>
              <w:t>264,120,858.47</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264,120,858.47</w:t>
            </w: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74" w:right="0"/>
              <w:jc w:val="left"/>
              <w:rPr>
                <w:rFonts w:ascii="Times New Roman" w:hAnsi="Times New Roman" w:cs="Times New Roman" w:eastAsia="Times New Roman" w:hint="default"/>
                <w:sz w:val="21"/>
                <w:szCs w:val="21"/>
              </w:rPr>
            </w:pPr>
            <w:r>
              <w:rPr>
                <w:rFonts w:ascii="Times New Roman"/>
                <w:sz w:val="21"/>
              </w:rPr>
              <w:t>9,459,725.08</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9,459,725.08</w:t>
            </w: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63" w:right="0"/>
              <w:jc w:val="left"/>
              <w:rPr>
                <w:rFonts w:ascii="Times New Roman" w:hAnsi="Times New Roman" w:cs="Times New Roman" w:eastAsia="Times New Roman" w:hint="default"/>
                <w:sz w:val="21"/>
                <w:szCs w:val="21"/>
              </w:rPr>
            </w:pPr>
            <w:r>
              <w:rPr>
                <w:rFonts w:ascii="Times New Roman"/>
                <w:sz w:val="21"/>
              </w:rPr>
              <w:t>223,726,585.83</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223,726,585.83</w:t>
            </w: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63" w:right="0"/>
              <w:jc w:val="left"/>
              <w:rPr>
                <w:rFonts w:ascii="Times New Roman" w:hAnsi="Times New Roman" w:cs="Times New Roman" w:eastAsia="Times New Roman" w:hint="default"/>
                <w:sz w:val="21"/>
                <w:szCs w:val="21"/>
              </w:rPr>
            </w:pPr>
            <w:r>
              <w:rPr>
                <w:rFonts w:ascii="Times New Roman"/>
                <w:sz w:val="21"/>
              </w:rPr>
              <w:t>357,510,078.23</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327,665,003.37</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9" w:right="0"/>
              <w:jc w:val="left"/>
              <w:rPr>
                <w:rFonts w:ascii="Times New Roman" w:hAnsi="Times New Roman" w:cs="Times New Roman" w:eastAsia="Times New Roman" w:hint="default"/>
                <w:sz w:val="21"/>
                <w:szCs w:val="21"/>
              </w:rPr>
            </w:pPr>
            <w:r>
              <w:rPr>
                <w:rFonts w:ascii="Times New Roman"/>
                <w:sz w:val="21"/>
              </w:rPr>
              <w:t>-29,845,074.86</w:t>
            </w: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68" w:right="0"/>
              <w:jc w:val="left"/>
              <w:rPr>
                <w:rFonts w:ascii="Times New Roman" w:hAnsi="Times New Roman" w:cs="Times New Roman" w:eastAsia="Times New Roman" w:hint="default"/>
                <w:sz w:val="21"/>
                <w:szCs w:val="21"/>
              </w:rPr>
            </w:pPr>
            <w:r>
              <w:rPr>
                <w:rFonts w:ascii="Times New Roman"/>
                <w:sz w:val="21"/>
              </w:rPr>
              <w:t>29,845,074.86</w:t>
            </w:r>
          </w:p>
        </w:tc>
        <w:tc>
          <w:tcPr>
            <w:tcW w:w="2033"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9" w:right="0"/>
              <w:jc w:val="left"/>
              <w:rPr>
                <w:rFonts w:ascii="Times New Roman" w:hAnsi="Times New Roman" w:cs="Times New Roman" w:eastAsia="Times New Roman" w:hint="default"/>
                <w:sz w:val="21"/>
                <w:szCs w:val="21"/>
              </w:rPr>
            </w:pPr>
            <w:r>
              <w:rPr>
                <w:rFonts w:ascii="Times New Roman"/>
                <w:sz w:val="21"/>
              </w:rPr>
              <w:t>-29,845,074.86</w:t>
            </w:r>
          </w:p>
        </w:tc>
      </w:tr>
      <w:tr>
        <w:trPr>
          <w:trHeight w:val="281"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68" w:right="0"/>
              <w:jc w:val="left"/>
              <w:rPr>
                <w:rFonts w:ascii="Times New Roman" w:hAnsi="Times New Roman" w:cs="Times New Roman" w:eastAsia="Times New Roman" w:hint="default"/>
                <w:sz w:val="21"/>
                <w:szCs w:val="21"/>
              </w:rPr>
            </w:pPr>
            <w:r>
              <w:rPr>
                <w:rFonts w:ascii="Times New Roman"/>
                <w:sz w:val="21"/>
              </w:rPr>
              <w:t>57,190,000.00</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57,266,775.62</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686" w:right="0"/>
              <w:jc w:val="left"/>
              <w:rPr>
                <w:rFonts w:ascii="Times New Roman" w:hAnsi="Times New Roman" w:cs="Times New Roman" w:eastAsia="Times New Roman" w:hint="default"/>
                <w:sz w:val="21"/>
                <w:szCs w:val="21"/>
              </w:rPr>
            </w:pPr>
            <w:r>
              <w:rPr>
                <w:rFonts w:ascii="Times New Roman"/>
                <w:sz w:val="21"/>
              </w:rPr>
              <w:t>76,775.62</w:t>
            </w: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04" w:right="0"/>
              <w:jc w:val="left"/>
              <w:rPr>
                <w:rFonts w:ascii="Times New Roman" w:hAnsi="Times New Roman" w:cs="Times New Roman" w:eastAsia="Times New Roman" w:hint="default"/>
                <w:sz w:val="21"/>
                <w:szCs w:val="21"/>
              </w:rPr>
            </w:pPr>
            <w:r>
              <w:rPr>
                <w:rFonts w:ascii="Times New Roman"/>
                <w:sz w:val="21"/>
              </w:rPr>
              <w:t>6,776,117,729.44</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6,747,833,023.67</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9" w:right="0"/>
              <w:jc w:val="left"/>
              <w:rPr>
                <w:rFonts w:ascii="Times New Roman" w:hAnsi="Times New Roman" w:cs="Times New Roman" w:eastAsia="Times New Roman" w:hint="default"/>
                <w:sz w:val="21"/>
                <w:szCs w:val="21"/>
              </w:rPr>
            </w:pPr>
            <w:r>
              <w:rPr>
                <w:rFonts w:ascii="Times New Roman"/>
                <w:sz w:val="21"/>
              </w:rPr>
              <w:t>-28,284,705.77</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63" w:right="0"/>
              <w:jc w:val="left"/>
              <w:rPr>
                <w:rFonts w:ascii="Times New Roman" w:hAnsi="Times New Roman" w:cs="Times New Roman" w:eastAsia="Times New Roman" w:hint="default"/>
                <w:sz w:val="21"/>
                <w:szCs w:val="21"/>
              </w:rPr>
            </w:pPr>
            <w:r>
              <w:rPr>
                <w:rFonts w:ascii="Times New Roman"/>
                <w:sz w:val="21"/>
              </w:rPr>
              <w:t>643,681,816.00</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644,582,412.16</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81" w:right="0"/>
              <w:jc w:val="left"/>
              <w:rPr>
                <w:rFonts w:ascii="Times New Roman" w:hAnsi="Times New Roman" w:cs="Times New Roman" w:eastAsia="Times New Roman" w:hint="default"/>
                <w:sz w:val="21"/>
                <w:szCs w:val="21"/>
              </w:rPr>
            </w:pPr>
            <w:r>
              <w:rPr>
                <w:rFonts w:ascii="Times New Roman"/>
                <w:sz w:val="21"/>
              </w:rPr>
              <w:t>900,596.16</w:t>
            </w:r>
          </w:p>
        </w:tc>
      </w:tr>
      <w:tr>
        <w:trPr>
          <w:trHeight w:val="284"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04" w:right="0"/>
              <w:jc w:val="left"/>
              <w:rPr>
                <w:rFonts w:ascii="Times New Roman" w:hAnsi="Times New Roman" w:cs="Times New Roman" w:eastAsia="Times New Roman" w:hint="default"/>
                <w:sz w:val="21"/>
                <w:szCs w:val="21"/>
              </w:rPr>
            </w:pPr>
            <w:r>
              <w:rPr>
                <w:rFonts w:ascii="Times New Roman"/>
                <w:sz w:val="21"/>
              </w:rPr>
              <w:t>1,281,187,198.64</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1"/>
                <w:sz w:val="21"/>
              </w:rPr>
              <w:t>1,308,571,308.25</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19" w:right="0"/>
              <w:jc w:val="left"/>
              <w:rPr>
                <w:rFonts w:ascii="Times New Roman" w:hAnsi="Times New Roman" w:cs="Times New Roman" w:eastAsia="Times New Roman" w:hint="default"/>
                <w:sz w:val="21"/>
                <w:szCs w:val="21"/>
              </w:rPr>
            </w:pPr>
            <w:r>
              <w:rPr>
                <w:rFonts w:ascii="Times New Roman"/>
                <w:sz w:val="21"/>
              </w:rPr>
              <w:t>27,384,109.61</w:t>
            </w: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4"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68" w:right="0"/>
              <w:jc w:val="left"/>
              <w:rPr>
                <w:rFonts w:ascii="Times New Roman" w:hAnsi="Times New Roman" w:cs="Times New Roman" w:eastAsia="Times New Roman" w:hint="default"/>
                <w:sz w:val="21"/>
                <w:szCs w:val="21"/>
              </w:rPr>
            </w:pPr>
            <w:r>
              <w:rPr>
                <w:rFonts w:ascii="Times New Roman"/>
                <w:sz w:val="21"/>
              </w:rPr>
              <w:t>56,743,338.62</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56,743,338.62</w:t>
            </w: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674" w:right="0"/>
              <w:jc w:val="left"/>
              <w:rPr>
                <w:rFonts w:ascii="Times New Roman" w:hAnsi="Times New Roman" w:cs="Times New Roman" w:eastAsia="Times New Roman" w:hint="default"/>
                <w:sz w:val="21"/>
                <w:szCs w:val="21"/>
              </w:rPr>
            </w:pPr>
            <w:r>
              <w:rPr>
                <w:rFonts w:ascii="Times New Roman"/>
                <w:sz w:val="21"/>
              </w:rPr>
              <w:t>5,296,508.43</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5,296,508.43</w:t>
            </w: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04" w:right="0"/>
              <w:jc w:val="left"/>
              <w:rPr>
                <w:rFonts w:ascii="Times New Roman" w:hAnsi="Times New Roman" w:cs="Times New Roman" w:eastAsia="Times New Roman" w:hint="default"/>
                <w:sz w:val="21"/>
                <w:szCs w:val="21"/>
              </w:rPr>
            </w:pPr>
            <w:r>
              <w:rPr>
                <w:rFonts w:ascii="Times New Roman"/>
                <w:sz w:val="21"/>
              </w:rPr>
              <w:t>1,986,908,861.69</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2,015,193,567.46</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19" w:right="0"/>
              <w:jc w:val="left"/>
              <w:rPr>
                <w:rFonts w:ascii="Times New Roman" w:hAnsi="Times New Roman" w:cs="Times New Roman" w:eastAsia="Times New Roman" w:hint="default"/>
                <w:sz w:val="21"/>
                <w:szCs w:val="21"/>
              </w:rPr>
            </w:pPr>
            <w:r>
              <w:rPr>
                <w:rFonts w:ascii="Times New Roman"/>
                <w:sz w:val="21"/>
              </w:rPr>
              <w:t>28,284,705.77</w:t>
            </w:r>
          </w:p>
        </w:tc>
      </w:tr>
    </w:tbl>
    <w:p>
      <w:pPr>
        <w:spacing w:after="0" w:line="235" w:lineRule="exact"/>
        <w:jc w:val="left"/>
        <w:rPr>
          <w:rFonts w:ascii="Times New Roman" w:hAnsi="Times New Roman" w:cs="Times New Roman" w:eastAsia="Times New Roman" w:hint="default"/>
          <w:sz w:val="21"/>
          <w:szCs w:val="21"/>
        </w:rPr>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63" w:type="dxa"/>
        <w:tblLayout w:type="fixed"/>
        <w:tblCellMar>
          <w:top w:w="0" w:type="dxa"/>
          <w:left w:w="0" w:type="dxa"/>
          <w:bottom w:w="0" w:type="dxa"/>
          <w:right w:w="0" w:type="dxa"/>
        </w:tblCellMar>
        <w:tblLook w:val="01E0"/>
      </w:tblPr>
      <w:tblGrid>
        <w:gridCol w:w="3486"/>
        <w:gridCol w:w="1892"/>
        <w:gridCol w:w="2033"/>
        <w:gridCol w:w="1640"/>
      </w:tblGrid>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8,763,026,591.13</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8,763,026,591.13</w:t>
            </w: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w w:val="100"/>
                <w:sz w:val="21"/>
                <w:szCs w:val="21"/>
              </w:rPr>
              <w:t>所有者权益（或股</w:t>
            </w:r>
            <w:r>
              <w:rPr>
                <w:rFonts w:ascii="宋体" w:hAnsi="宋体" w:cs="宋体" w:eastAsia="宋体" w:hint="default"/>
                <w:b/>
                <w:bCs/>
                <w:spacing w:val="-3"/>
                <w:w w:val="100"/>
                <w:sz w:val="21"/>
                <w:szCs w:val="21"/>
              </w:rPr>
              <w:t>东</w:t>
            </w:r>
            <w:r>
              <w:rPr>
                <w:rFonts w:ascii="宋体" w:hAnsi="宋体" w:cs="宋体" w:eastAsia="宋体" w:hint="default"/>
                <w:b/>
                <w:bCs/>
                <w:w w:val="100"/>
                <w:sz w:val="21"/>
                <w:szCs w:val="21"/>
              </w:rPr>
              <w:t>权益</w:t>
            </w:r>
            <w:r>
              <w:rPr>
                <w:rFonts w:ascii="宋体" w:hAnsi="宋体" w:cs="宋体" w:eastAsia="宋体" w:hint="default"/>
                <w:b/>
                <w:bCs/>
                <w:spacing w:val="-108"/>
                <w:w w:val="100"/>
                <w:sz w:val="21"/>
                <w:szCs w:val="21"/>
              </w:rPr>
              <w:t>）</w:t>
            </w:r>
            <w:r>
              <w:rPr>
                <w:rFonts w:ascii="宋体" w:hAnsi="宋体" w:cs="宋体" w:eastAsia="宋体" w:hint="default"/>
                <w:b/>
                <w:bCs/>
                <w:w w:val="100"/>
                <w:sz w:val="21"/>
                <w:szCs w:val="21"/>
              </w:rPr>
              <w:t>：</w:t>
            </w:r>
            <w:r>
              <w:rPr>
                <w:rFonts w:ascii="宋体" w:hAnsi="宋体" w:cs="宋体" w:eastAsia="宋体" w:hint="default"/>
                <w:w w:val="100"/>
                <w:sz w:val="21"/>
                <w:szCs w:val="21"/>
              </w:rPr>
            </w: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866,298,784.00</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866,298,784.00</w:t>
            </w: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4"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2,488,987,862.43</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2,488,987,862.43</w:t>
            </w: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174,824,068.42</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174,824,068.42</w:t>
            </w: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173,389.38</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173,389.38</w:t>
            </w: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97,970,211.84</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97,970,211.84</w:t>
            </w: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729,556,091.90</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492,339,791.72</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-237,216,300.18</w:t>
            </w:r>
          </w:p>
        </w:tc>
      </w:tr>
      <w:tr>
        <w:trPr>
          <w:trHeight w:val="555"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w w:val="100"/>
                <w:sz w:val="21"/>
                <w:szCs w:val="21"/>
              </w:rPr>
              <w:t>归属</w:t>
            </w:r>
            <w:r>
              <w:rPr>
                <w:rFonts w:ascii="宋体" w:hAnsi="宋体" w:cs="宋体" w:eastAsia="宋体" w:hint="default"/>
                <w:spacing w:val="-3"/>
                <w:w w:val="100"/>
                <w:sz w:val="21"/>
                <w:szCs w:val="21"/>
              </w:rPr>
              <w:t>于</w:t>
            </w:r>
            <w:r>
              <w:rPr>
                <w:rFonts w:ascii="宋体" w:hAnsi="宋体" w:cs="宋体" w:eastAsia="宋体" w:hint="default"/>
                <w:w w:val="100"/>
                <w:sz w:val="21"/>
                <w:szCs w:val="21"/>
              </w:rPr>
              <w:t>母</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所</w:t>
            </w:r>
            <w:r>
              <w:rPr>
                <w:rFonts w:ascii="宋体" w:hAnsi="宋体" w:cs="宋体" w:eastAsia="宋体" w:hint="default"/>
                <w:w w:val="100"/>
                <w:sz w:val="21"/>
                <w:szCs w:val="21"/>
              </w:rPr>
              <w:t>有</w:t>
            </w:r>
            <w:r>
              <w:rPr>
                <w:rFonts w:ascii="宋体" w:hAnsi="宋体" w:cs="宋体" w:eastAsia="宋体" w:hint="default"/>
                <w:spacing w:val="-3"/>
                <w:w w:val="100"/>
                <w:sz w:val="21"/>
                <w:szCs w:val="21"/>
              </w:rPr>
              <w:t>者</w:t>
            </w:r>
            <w:r>
              <w:rPr>
                <w:rFonts w:ascii="宋体" w:hAnsi="宋体" w:cs="宋体" w:eastAsia="宋体" w:hint="default"/>
                <w:w w:val="100"/>
                <w:sz w:val="21"/>
                <w:szCs w:val="21"/>
              </w:rPr>
              <w:t>权</w:t>
            </w:r>
            <w:r>
              <w:rPr>
                <w:rFonts w:ascii="宋体" w:hAnsi="宋体" w:cs="宋体" w:eastAsia="宋体" w:hint="default"/>
                <w:spacing w:val="-94"/>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或股东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权益）合计</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4,008,162,271.13</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3,770,945,970.95</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-237,216,300.18</w:t>
            </w: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374,743,874.48</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365,066,603.47</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-9,677,271.01</w:t>
            </w: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3"/>
              <w:jc w:val="left"/>
              <w:rPr>
                <w:rFonts w:ascii="宋体" w:hAnsi="宋体" w:cs="宋体" w:eastAsia="宋体" w:hint="default"/>
                <w:sz w:val="21"/>
                <w:szCs w:val="21"/>
              </w:rPr>
            </w:pPr>
            <w:r>
              <w:rPr>
                <w:rFonts w:ascii="宋体" w:hAnsi="宋体" w:cs="宋体" w:eastAsia="宋体" w:hint="default"/>
                <w:spacing w:val="-8"/>
                <w:sz w:val="21"/>
                <w:szCs w:val="21"/>
              </w:rPr>
              <w:t>所有者权益（或股东权益）合计</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4,382,906,145.61</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4,136,012,574.42</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-246,893,571.19</w:t>
            </w:r>
          </w:p>
        </w:tc>
      </w:tr>
      <w:tr>
        <w:trPr>
          <w:trHeight w:val="554"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负债</w:t>
            </w:r>
            <w:r>
              <w:rPr>
                <w:rFonts w:ascii="宋体" w:hAnsi="宋体" w:cs="宋体" w:eastAsia="宋体" w:hint="default"/>
                <w:spacing w:val="-3"/>
                <w:w w:val="100"/>
                <w:sz w:val="21"/>
                <w:szCs w:val="21"/>
              </w:rPr>
              <w:t>和</w:t>
            </w:r>
            <w:r>
              <w:rPr>
                <w:rFonts w:ascii="宋体" w:hAnsi="宋体" w:cs="宋体" w:eastAsia="宋体" w:hint="default"/>
                <w:w w:val="100"/>
                <w:sz w:val="21"/>
                <w:szCs w:val="21"/>
              </w:rPr>
              <w:t>所</w:t>
            </w:r>
            <w:r>
              <w:rPr>
                <w:rFonts w:ascii="宋体" w:hAnsi="宋体" w:cs="宋体" w:eastAsia="宋体" w:hint="default"/>
                <w:spacing w:val="-3"/>
                <w:w w:val="100"/>
                <w:sz w:val="21"/>
                <w:szCs w:val="21"/>
              </w:rPr>
              <w:t>有</w:t>
            </w:r>
            <w:r>
              <w:rPr>
                <w:rFonts w:ascii="宋体" w:hAnsi="宋体" w:cs="宋体" w:eastAsia="宋体" w:hint="default"/>
                <w:w w:val="100"/>
                <w:sz w:val="21"/>
                <w:szCs w:val="21"/>
              </w:rPr>
              <w:t>者</w:t>
            </w:r>
            <w:r>
              <w:rPr>
                <w:rFonts w:ascii="宋体" w:hAnsi="宋体" w:cs="宋体" w:eastAsia="宋体" w:hint="default"/>
                <w:spacing w:val="-3"/>
                <w:w w:val="100"/>
                <w:sz w:val="21"/>
                <w:szCs w:val="21"/>
              </w:rPr>
              <w:t>权</w:t>
            </w:r>
            <w:r>
              <w:rPr>
                <w:rFonts w:ascii="宋体" w:hAnsi="宋体" w:cs="宋体" w:eastAsia="宋体" w:hint="default"/>
                <w:spacing w:val="-94"/>
                <w:w w:val="100"/>
                <w:sz w:val="21"/>
                <w:szCs w:val="21"/>
              </w:rPr>
              <w:t>益</w:t>
            </w:r>
            <w:r>
              <w:rPr>
                <w:rFonts w:ascii="宋体" w:hAnsi="宋体" w:cs="宋体" w:eastAsia="宋体" w:hint="default"/>
                <w:w w:val="100"/>
                <w:sz w:val="21"/>
                <w:szCs w:val="21"/>
              </w:rPr>
              <w:t>（</w:t>
            </w:r>
            <w:r>
              <w:rPr>
                <w:rFonts w:ascii="宋体" w:hAnsi="宋体" w:cs="宋体" w:eastAsia="宋体" w:hint="default"/>
                <w:spacing w:val="-3"/>
                <w:w w:val="100"/>
                <w:sz w:val="21"/>
                <w:szCs w:val="21"/>
              </w:rPr>
              <w:t>或</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益）总计</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13,145,932,736.74</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21"/>
                <w:szCs w:val="21"/>
              </w:rPr>
            </w:pPr>
            <w:r>
              <w:rPr>
                <w:rFonts w:ascii="Times New Roman"/>
                <w:spacing w:val="-1"/>
                <w:sz w:val="21"/>
              </w:rPr>
              <w:t>12,899,039,165.55</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-246,893,571.19</w:t>
            </w:r>
          </w:p>
        </w:tc>
      </w:tr>
    </w:tbl>
    <w:p>
      <w:pPr>
        <w:spacing w:line="240" w:lineRule="auto" w:before="11"/>
        <w:rPr>
          <w:rFonts w:ascii="Times New Roman" w:hAnsi="Times New Roman" w:cs="Times New Roman" w:eastAsia="Times New Roman" w:hint="default"/>
          <w:sz w:val="14"/>
          <w:szCs w:val="14"/>
        </w:rPr>
      </w:pPr>
    </w:p>
    <w:p>
      <w:pPr>
        <w:spacing w:after="0" w:line="240" w:lineRule="auto"/>
        <w:rPr>
          <w:rFonts w:ascii="Times New Roman" w:hAnsi="Times New Roman" w:cs="Times New Roman" w:eastAsia="Times New Roman" w:hint="default"/>
          <w:sz w:val="14"/>
          <w:szCs w:val="14"/>
        </w:rPr>
        <w:sectPr>
          <w:pgSz w:w="11910" w:h="16840"/>
          <w:pgMar w:header="882" w:footer="1195" w:top="1120" w:bottom="1380" w:left="1000" w:right="1520"/>
        </w:sectPr>
      </w:pPr>
    </w:p>
    <w:p>
      <w:pPr>
        <w:pStyle w:val="BodyText"/>
        <w:spacing w:line="270" w:lineRule="exact" w:before="36"/>
        <w:ind w:left="276" w:right="0"/>
        <w:jc w:val="left"/>
        <w:rPr>
          <w:rFonts w:ascii="宋体" w:hAnsi="宋体" w:cs="宋体" w:eastAsia="宋体" w:hint="default"/>
        </w:rPr>
      </w:pPr>
      <w:r>
        <w:rPr/>
        <w:t>各项目调整情况的说明：</w:t>
      </w:r>
      <w:r>
        <w:rPr>
          <w:rFonts w:ascii="宋体" w:hAnsi="宋体" w:cs="宋体" w:eastAsia="宋体" w:hint="default"/>
        </w:rPr>
        <w:t> </w:t>
      </w:r>
    </w:p>
    <w:p>
      <w:pPr>
        <w:pStyle w:val="Heading3"/>
        <w:spacing w:line="308" w:lineRule="exact"/>
        <w:ind w:left="27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276" w:right="0"/>
        <w:jc w:val="left"/>
        <w:rPr>
          <w:rFonts w:ascii="宋体" w:hAnsi="宋体" w:cs="宋体" w:eastAsia="宋体" w:hint="default"/>
        </w:rPr>
      </w:pPr>
      <w:r>
        <w:rPr>
          <w:rFonts w:ascii="宋体"/>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6"/>
        <w:ind w:left="276" w:right="0"/>
        <w:jc w:val="left"/>
        <w:rPr>
          <w:rFonts w:ascii="宋体" w:hAnsi="宋体" w:cs="宋体" w:eastAsia="宋体" w:hint="default"/>
        </w:rPr>
      </w:pPr>
      <w:r>
        <w:rPr/>
        <w:t>母公司资产负债表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5"/>
        <w:ind w:left="276"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spacing w:val="-1"/>
          <w:w w:val="100"/>
        </w:rPr>
        <w:t> </w:t>
      </w:r>
      <w:r>
        <w:rPr/>
        <w:t>单位</w:t>
      </w:r>
      <w:r>
        <w:rPr>
          <w:rFonts w:ascii="宋体" w:hAnsi="宋体" w:cs="宋体" w:eastAsia="宋体" w:hint="default"/>
        </w:rPr>
        <w:t>:</w:t>
      </w:r>
      <w:r>
        <w:rPr/>
        <w:t>元</w:t>
      </w:r>
      <w:r>
        <w:rPr>
          <w:spacing w:val="99"/>
        </w:rPr>
        <w:t> </w:t>
      </w:r>
      <w:r>
        <w:rPr>
          <w:rFonts w:ascii="宋体" w:hAnsi="宋体" w:cs="宋体" w:eastAsia="宋体" w:hint="default"/>
          <w:spacing w:val="99"/>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00" w:right="1520"/>
          <w:cols w:num="3" w:equalWidth="0">
            <w:col w:w="2695" w:space="882"/>
            <w:col w:w="2063" w:space="359"/>
            <w:col w:w="3391"/>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067"/>
        <w:gridCol w:w="1743"/>
        <w:gridCol w:w="1747"/>
        <w:gridCol w:w="1599"/>
      </w:tblGrid>
      <w:tr>
        <w:trPr>
          <w:trHeight w:val="557"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center"/>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宋体" w:hAnsi="宋体" w:cs="宋体" w:eastAsia="宋体" w:hint="default"/>
                <w:b/>
                <w:bCs/>
                <w:sz w:val="21"/>
                <w:szCs w:val="21"/>
              </w:rPr>
              <w:t>31</w:t>
            </w:r>
            <w:r>
              <w:rPr>
                <w:rFonts w:ascii="宋体" w:hAnsi="宋体" w:cs="宋体" w:eastAsia="宋体" w:hint="default"/>
                <w:sz w:val="21"/>
                <w:szCs w:val="21"/>
              </w:rPr>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75"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915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16" w:right="0"/>
              <w:jc w:val="left"/>
              <w:rPr>
                <w:rFonts w:ascii="Times New Roman" w:hAnsi="Times New Roman" w:cs="Times New Roman" w:eastAsia="Times New Roman" w:hint="default"/>
                <w:sz w:val="21"/>
                <w:szCs w:val="21"/>
              </w:rPr>
            </w:pPr>
            <w:r>
              <w:rPr>
                <w:rFonts w:ascii="Times New Roman"/>
                <w:sz w:val="21"/>
              </w:rPr>
              <w:t>624,860,415.33</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21" w:right="0"/>
              <w:jc w:val="left"/>
              <w:rPr>
                <w:rFonts w:ascii="Times New Roman" w:hAnsi="Times New Roman" w:cs="Times New Roman" w:eastAsia="Times New Roman" w:hint="default"/>
                <w:sz w:val="21"/>
                <w:szCs w:val="21"/>
              </w:rPr>
            </w:pPr>
            <w:r>
              <w:rPr>
                <w:rFonts w:ascii="Times New Roman"/>
                <w:sz w:val="21"/>
              </w:rPr>
              <w:t>624,860,415.33</w:t>
            </w: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的金融资产</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22" w:right="0"/>
              <w:jc w:val="left"/>
              <w:rPr>
                <w:rFonts w:ascii="Times New Roman" w:hAnsi="Times New Roman" w:cs="Times New Roman" w:eastAsia="Times New Roman" w:hint="default"/>
                <w:sz w:val="21"/>
                <w:szCs w:val="21"/>
              </w:rPr>
            </w:pPr>
            <w:r>
              <w:rPr>
                <w:rFonts w:ascii="Times New Roman"/>
                <w:sz w:val="21"/>
              </w:rPr>
              <w:t>11,038,715.20</w:t>
            </w:r>
          </w:p>
        </w:tc>
        <w:tc>
          <w:tcPr>
            <w:tcW w:w="1747"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6" w:right="0"/>
              <w:jc w:val="left"/>
              <w:rPr>
                <w:rFonts w:ascii="Times New Roman" w:hAnsi="Times New Roman" w:cs="Times New Roman" w:eastAsia="Times New Roman" w:hint="default"/>
                <w:sz w:val="21"/>
                <w:szCs w:val="21"/>
              </w:rPr>
            </w:pPr>
            <w:r>
              <w:rPr>
                <w:rFonts w:ascii="Times New Roman"/>
                <w:sz w:val="21"/>
              </w:rPr>
              <w:t>-11,038,715.20</w:t>
            </w: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58" w:right="0"/>
              <w:jc w:val="left"/>
              <w:rPr>
                <w:rFonts w:ascii="Times New Roman" w:hAnsi="Times New Roman" w:cs="Times New Roman" w:eastAsia="Times New Roman" w:hint="default"/>
                <w:sz w:val="21"/>
                <w:szCs w:val="21"/>
              </w:rPr>
            </w:pPr>
            <w:r>
              <w:rPr>
                <w:rFonts w:ascii="Times New Roman"/>
                <w:sz w:val="21"/>
              </w:rPr>
              <w:t>1,846,243,876.23</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3" w:right="0"/>
              <w:jc w:val="left"/>
              <w:rPr>
                <w:rFonts w:ascii="Times New Roman" w:hAnsi="Times New Roman" w:cs="Times New Roman" w:eastAsia="Times New Roman" w:hint="default"/>
                <w:sz w:val="21"/>
                <w:szCs w:val="21"/>
              </w:rPr>
            </w:pPr>
            <w:r>
              <w:rPr>
                <w:rFonts w:ascii="Times New Roman"/>
                <w:sz w:val="21"/>
              </w:rPr>
              <w:t>1,784,531,023.42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6" w:right="0"/>
              <w:jc w:val="left"/>
              <w:rPr>
                <w:rFonts w:ascii="Times New Roman" w:hAnsi="Times New Roman" w:cs="Times New Roman" w:eastAsia="Times New Roman" w:hint="default"/>
                <w:sz w:val="21"/>
                <w:szCs w:val="21"/>
              </w:rPr>
            </w:pPr>
            <w:r>
              <w:rPr>
                <w:rFonts w:ascii="Times New Roman"/>
                <w:sz w:val="21"/>
              </w:rPr>
              <w:t>-61,712,852.81</w:t>
            </w:r>
          </w:p>
        </w:tc>
      </w:tr>
      <w:tr>
        <w:trPr>
          <w:trHeight w:val="281"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10,681,168.30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75" w:right="0"/>
              <w:jc w:val="left"/>
              <w:rPr>
                <w:rFonts w:ascii="Times New Roman" w:hAnsi="Times New Roman" w:cs="Times New Roman" w:eastAsia="Times New Roman" w:hint="default"/>
                <w:sz w:val="21"/>
                <w:szCs w:val="21"/>
              </w:rPr>
            </w:pPr>
            <w:r>
              <w:rPr>
                <w:rFonts w:ascii="Times New Roman"/>
                <w:sz w:val="21"/>
              </w:rPr>
              <w:t>10,681,168.30</w:t>
            </w: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16" w:right="0"/>
              <w:jc w:val="left"/>
              <w:rPr>
                <w:rFonts w:ascii="Times New Roman" w:hAnsi="Times New Roman" w:cs="Times New Roman" w:eastAsia="Times New Roman" w:hint="default"/>
                <w:sz w:val="21"/>
                <w:szCs w:val="21"/>
              </w:rPr>
            </w:pPr>
            <w:r>
              <w:rPr>
                <w:rFonts w:ascii="Times New Roman"/>
                <w:sz w:val="21"/>
              </w:rPr>
              <w:t>728,805,865.77</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21" w:right="0"/>
              <w:jc w:val="left"/>
              <w:rPr>
                <w:rFonts w:ascii="Times New Roman" w:hAnsi="Times New Roman" w:cs="Times New Roman" w:eastAsia="Times New Roman" w:hint="default"/>
                <w:sz w:val="21"/>
                <w:szCs w:val="21"/>
              </w:rPr>
            </w:pPr>
            <w:r>
              <w:rPr>
                <w:rFonts w:ascii="Times New Roman"/>
                <w:sz w:val="21"/>
              </w:rPr>
              <w:t>728,805,865.77</w:t>
            </w: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58" w:right="0"/>
              <w:jc w:val="left"/>
              <w:rPr>
                <w:rFonts w:ascii="Times New Roman" w:hAnsi="Times New Roman" w:cs="Times New Roman" w:eastAsia="Times New Roman" w:hint="default"/>
                <w:sz w:val="21"/>
                <w:szCs w:val="21"/>
              </w:rPr>
            </w:pPr>
            <w:r>
              <w:rPr>
                <w:rFonts w:ascii="Times New Roman"/>
                <w:sz w:val="21"/>
              </w:rPr>
              <w:t>1,428,352,547.73</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3" w:right="0"/>
              <w:jc w:val="left"/>
              <w:rPr>
                <w:rFonts w:ascii="Times New Roman" w:hAnsi="Times New Roman" w:cs="Times New Roman" w:eastAsia="Times New Roman" w:hint="default"/>
                <w:sz w:val="21"/>
                <w:szCs w:val="21"/>
              </w:rPr>
            </w:pPr>
            <w:r>
              <w:rPr>
                <w:rFonts w:ascii="Times New Roman"/>
                <w:sz w:val="21"/>
              </w:rPr>
              <w:t>1,350,237,035.20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6" w:right="0"/>
              <w:jc w:val="left"/>
              <w:rPr>
                <w:rFonts w:ascii="Times New Roman" w:hAnsi="Times New Roman" w:cs="Times New Roman" w:eastAsia="Times New Roman" w:hint="default"/>
                <w:sz w:val="21"/>
                <w:szCs w:val="21"/>
              </w:rPr>
            </w:pPr>
            <w:r>
              <w:rPr>
                <w:rFonts w:ascii="Times New Roman"/>
                <w:sz w:val="21"/>
              </w:rPr>
              <w:t>-78,115,512.53</w:t>
            </w:r>
          </w:p>
        </w:tc>
      </w:tr>
      <w:tr>
        <w:trPr>
          <w:trHeight w:val="281"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16" w:right="0"/>
              <w:jc w:val="left"/>
              <w:rPr>
                <w:rFonts w:ascii="Times New Roman" w:hAnsi="Times New Roman" w:cs="Times New Roman" w:eastAsia="Times New Roman" w:hint="default"/>
                <w:sz w:val="21"/>
                <w:szCs w:val="21"/>
              </w:rPr>
            </w:pPr>
            <w:r>
              <w:rPr>
                <w:rFonts w:ascii="Times New Roman"/>
                <w:sz w:val="21"/>
              </w:rPr>
              <w:t>414,268,925.26</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21" w:right="0"/>
              <w:jc w:val="left"/>
              <w:rPr>
                <w:rFonts w:ascii="Times New Roman" w:hAnsi="Times New Roman" w:cs="Times New Roman" w:eastAsia="Times New Roman" w:hint="default"/>
                <w:sz w:val="21"/>
                <w:szCs w:val="21"/>
              </w:rPr>
            </w:pPr>
            <w:r>
              <w:rPr>
                <w:rFonts w:ascii="Times New Roman"/>
                <w:sz w:val="21"/>
              </w:rPr>
              <w:t>414,268,925.26</w:t>
            </w: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95" w:right="0"/>
              <w:jc w:val="left"/>
              <w:rPr>
                <w:rFonts w:ascii="Times New Roman" w:hAnsi="Times New Roman" w:cs="Times New Roman" w:eastAsia="Times New Roman" w:hint="default"/>
                <w:sz w:val="21"/>
                <w:szCs w:val="21"/>
              </w:rPr>
            </w:pPr>
            <w:r>
              <w:rPr>
                <w:rFonts w:ascii="Times New Roman"/>
                <w:sz w:val="21"/>
              </w:rPr>
              <w:t>2,152.04</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2,152.04</w:t>
            </w: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58" w:right="0"/>
              <w:jc w:val="left"/>
              <w:rPr>
                <w:rFonts w:ascii="Times New Roman" w:hAnsi="Times New Roman" w:cs="Times New Roman" w:eastAsia="Times New Roman" w:hint="default"/>
                <w:sz w:val="21"/>
                <w:szCs w:val="21"/>
              </w:rPr>
            </w:pPr>
            <w:r>
              <w:rPr>
                <w:rFonts w:ascii="Times New Roman"/>
                <w:sz w:val="21"/>
              </w:rPr>
              <w:t>5,053,572,497.56</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63" w:right="0"/>
              <w:jc w:val="left"/>
              <w:rPr>
                <w:rFonts w:ascii="Times New Roman" w:hAnsi="Times New Roman" w:cs="Times New Roman" w:eastAsia="Times New Roman" w:hint="default"/>
                <w:sz w:val="21"/>
                <w:szCs w:val="21"/>
              </w:rPr>
            </w:pPr>
            <w:r>
              <w:rPr>
                <w:rFonts w:ascii="Times New Roman"/>
                <w:sz w:val="21"/>
              </w:rPr>
              <w:t>4,913,386,585.32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Times New Roman" w:hAnsi="Times New Roman" w:cs="Times New Roman" w:eastAsia="Times New Roman" w:hint="default"/>
                <w:sz w:val="21"/>
                <w:szCs w:val="21"/>
              </w:rPr>
            </w:pPr>
            <w:r>
              <w:rPr>
                <w:rFonts w:ascii="Times New Roman"/>
                <w:sz w:val="21"/>
              </w:rPr>
              <w:t>-140,185,912.24</w:t>
            </w:r>
          </w:p>
        </w:tc>
      </w:tr>
      <w:tr>
        <w:trPr>
          <w:trHeight w:val="283" w:hRule="exact"/>
        </w:trPr>
        <w:tc>
          <w:tcPr>
            <w:tcW w:w="915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1"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16" w:right="0"/>
              <w:jc w:val="left"/>
              <w:rPr>
                <w:rFonts w:ascii="Times New Roman" w:hAnsi="Times New Roman" w:cs="Times New Roman" w:eastAsia="Times New Roman" w:hint="default"/>
                <w:sz w:val="21"/>
                <w:szCs w:val="21"/>
              </w:rPr>
            </w:pPr>
            <w:r>
              <w:rPr>
                <w:rFonts w:ascii="Times New Roman"/>
                <w:sz w:val="21"/>
              </w:rPr>
              <w:t>332,000,000.00</w:t>
            </w:r>
          </w:p>
        </w:tc>
        <w:tc>
          <w:tcPr>
            <w:tcW w:w="1747"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-332,000,000.00</w:t>
            </w: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00" w:right="1520"/>
        </w:sectPr>
      </w:pPr>
    </w:p>
    <w:p>
      <w:pPr>
        <w:spacing w:line="240" w:lineRule="auto" w:before="4"/>
        <w:rPr>
          <w:rFonts w:ascii="Times New Roman" w:hAnsi="Times New Roman" w:cs="Times New Roman" w:eastAsia="Times New Roman"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4067"/>
        <w:gridCol w:w="1743"/>
        <w:gridCol w:w="1747"/>
        <w:gridCol w:w="1599"/>
      </w:tblGrid>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180,000,000.00</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180,000,000.00</w:t>
            </w: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3,178,631,213.16</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3,178,631,213.16</w:t>
            </w: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312,198,261.97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312,198,261.97</w:t>
            </w: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6,670,859.89</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6,670,859.89</w:t>
            </w: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257,397,541.55</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257,397,541.55</w:t>
            </w: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2,446,528.93</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2,446,528.93</w:t>
            </w: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86,391,255.94</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86,391,255.94</w:t>
            </w: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11,463,543.95</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11,463,543.95</w:t>
            </w: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106,118.57</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106,118.57</w:t>
            </w: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170,000,000.00</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170,000,000.00</w:t>
            </w: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4,225,107,061.99</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4,205,305,323.96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-19,801,738.03</w:t>
            </w:r>
          </w:p>
        </w:tc>
      </w:tr>
      <w:tr>
        <w:trPr>
          <w:trHeight w:val="281"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9,278,679,559.55</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9,118,691,909.28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-159,987,650.27</w:t>
            </w:r>
          </w:p>
        </w:tc>
      </w:tr>
      <w:tr>
        <w:trPr>
          <w:trHeight w:val="283" w:hRule="exact"/>
        </w:trPr>
        <w:tc>
          <w:tcPr>
            <w:tcW w:w="915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813,000,000.00</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814,111,103.78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1,111,103.78</w:t>
            </w:r>
          </w:p>
        </w:tc>
      </w:tr>
      <w:tr>
        <w:trPr>
          <w:trHeight w:val="281"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的金融负债</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1,369,195,402.96</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1,369,195,402.96</w:t>
            </w: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758,084,154.51</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758,084,154.51</w:t>
            </w: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199,925,296.13</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199,925,296.13</w:t>
            </w: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846,371.13</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846,371.13</w:t>
            </w: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68,136,993.13</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68,136,993.13</w:t>
            </w: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851,660,838.49</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822,188,253.32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-29,472,585.17</w:t>
            </w:r>
          </w:p>
        </w:tc>
      </w:tr>
      <w:tr>
        <w:trPr>
          <w:trHeight w:val="281"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29,472,585.17</w:t>
            </w:r>
          </w:p>
        </w:tc>
        <w:tc>
          <w:tcPr>
            <w:tcW w:w="1747"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-29,472,585.17</w:t>
            </w: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57,190,000.00</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57,266,775.62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76,775.62</w:t>
            </w: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4,118,039,056.35</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4,089,754,350.58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-28,284,705.77</w:t>
            </w:r>
          </w:p>
        </w:tc>
      </w:tr>
      <w:tr>
        <w:trPr>
          <w:trHeight w:val="281" w:hRule="exact"/>
        </w:trPr>
        <w:tc>
          <w:tcPr>
            <w:tcW w:w="915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4"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643,681,816.00</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644,582,412.16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1"/>
                <w:sz w:val="21"/>
              </w:rPr>
              <w:t>900,596.16</w:t>
            </w: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1,281,187,198.64</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1,308,571,308.25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27,384,109.61</w:t>
            </w:r>
          </w:p>
        </w:tc>
      </w:tr>
      <w:tr>
        <w:trPr>
          <w:trHeight w:val="281"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4"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11,333,332.59</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11,333,332.59</w:t>
            </w: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000" w:right="1520"/>
        </w:sectPr>
      </w:pPr>
    </w:p>
    <w:p>
      <w:pPr>
        <w:spacing w:line="240" w:lineRule="auto" w:before="4"/>
        <w:rPr>
          <w:rFonts w:ascii="Times New Roman" w:hAnsi="Times New Roman" w:cs="Times New Roman" w:eastAsia="Times New Roman"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4067"/>
        <w:gridCol w:w="1743"/>
        <w:gridCol w:w="1747"/>
        <w:gridCol w:w="1599"/>
      </w:tblGrid>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1,936,202,347.23</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1,964,487,053.00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28,284,705.77</w:t>
            </w:r>
          </w:p>
        </w:tc>
      </w:tr>
      <w:tr>
        <w:trPr>
          <w:trHeight w:val="281"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6,054,241,403.58</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6,054,241,403.58</w:t>
            </w: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15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866,298,784.00</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866,298,784.00</w:t>
            </w: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4"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2,487,058,915.53</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2,487,058,915.53</w:t>
            </w: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174,824,068.42</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174,824,068.42</w:t>
            </w: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97,970,211.84</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97,970,211.84</w:t>
            </w: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-52,065,686.98</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-212,053,337.25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-159,987,650.27</w:t>
            </w:r>
          </w:p>
        </w:tc>
      </w:tr>
      <w:tr>
        <w:trPr>
          <w:trHeight w:val="284"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1"/>
                <w:szCs w:val="21"/>
              </w:rPr>
            </w:pPr>
            <w:r>
              <w:rPr>
                <w:rFonts w:ascii="Times New Roman"/>
                <w:spacing w:val="-1"/>
                <w:sz w:val="21"/>
              </w:rPr>
              <w:t>3,224,438,155.97</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3,064,450,505.70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1"/>
                <w:szCs w:val="21"/>
              </w:rPr>
            </w:pPr>
            <w:r>
              <w:rPr>
                <w:rFonts w:ascii="Times New Roman"/>
                <w:spacing w:val="-1"/>
                <w:sz w:val="21"/>
              </w:rPr>
              <w:t>-159,987,650.27</w:t>
            </w:r>
          </w:p>
        </w:tc>
      </w:tr>
      <w:tr>
        <w:trPr>
          <w:trHeight w:val="554"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总计</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9,278,679,559.55</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9,118,691,909.28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-159,987,650.27</w:t>
            </w:r>
          </w:p>
        </w:tc>
      </w:tr>
    </w:tbl>
    <w:p>
      <w:pPr>
        <w:spacing w:line="240" w:lineRule="auto" w:before="11"/>
        <w:rPr>
          <w:rFonts w:ascii="Times New Roman" w:hAnsi="Times New Roman" w:cs="Times New Roman" w:eastAsia="Times New Roman" w:hint="default"/>
          <w:sz w:val="14"/>
          <w:szCs w:val="14"/>
        </w:rPr>
      </w:pPr>
    </w:p>
    <w:p>
      <w:pPr>
        <w:pStyle w:val="BodyText"/>
        <w:spacing w:line="270" w:lineRule="exact" w:before="36"/>
        <w:ind w:left="276" w:right="0"/>
        <w:jc w:val="left"/>
        <w:rPr>
          <w:rFonts w:ascii="宋体" w:hAnsi="宋体" w:cs="宋体" w:eastAsia="宋体" w:hint="default"/>
        </w:rPr>
      </w:pPr>
      <w:r>
        <w:rPr/>
        <w:t>各项目调整情况的说明：</w:t>
      </w:r>
      <w:r>
        <w:rPr>
          <w:rFonts w:ascii="宋体" w:hAnsi="宋体" w:cs="宋体" w:eastAsia="宋体" w:hint="default"/>
        </w:rPr>
        <w:t> </w:t>
      </w:r>
    </w:p>
    <w:p>
      <w:pPr>
        <w:pStyle w:val="Heading3"/>
        <w:spacing w:line="308" w:lineRule="exact"/>
        <w:ind w:left="27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276" w:right="0"/>
        <w:jc w:val="left"/>
        <w:rPr>
          <w:rFonts w:ascii="宋体" w:hAnsi="宋体" w:cs="宋体" w:eastAsia="宋体" w:hint="default"/>
        </w:rPr>
      </w:pPr>
      <w:r>
        <w:rPr>
          <w:rFonts w:ascii="宋体"/>
        </w:rPr>
        <w:t> </w:t>
      </w:r>
    </w:p>
    <w:p>
      <w:pPr>
        <w:pStyle w:val="Heading5"/>
        <w:spacing w:line="240" w:lineRule="auto"/>
        <w:ind w:left="276" w:right="0"/>
        <w:jc w:val="left"/>
        <w:rPr>
          <w:rFonts w:ascii="宋体" w:hAnsi="宋体" w:cs="宋体" w:eastAsia="宋体" w:hint="default"/>
          <w:b w:val="0"/>
          <w:bCs w:val="0"/>
        </w:rPr>
      </w:pPr>
      <w:r>
        <w:rPr>
          <w:rFonts w:ascii="宋体" w:hAnsi="宋体" w:cs="宋体" w:eastAsia="宋体" w:hint="default"/>
        </w:rPr>
        <w:t>(4).</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年起执行新金融工具准则或新租赁准则追溯调整前期比较数据说明</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34"/>
        <w:ind w:left="27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276" w:right="0"/>
        <w:jc w:val="left"/>
        <w:rPr>
          <w:rFonts w:ascii="宋体" w:hAnsi="宋体" w:cs="宋体" w:eastAsia="宋体" w:hint="default"/>
        </w:rPr>
      </w:pPr>
      <w:r>
        <w:rPr>
          <w:rFonts w:ascii="宋体"/>
        </w:rPr>
        <w:t> </w:t>
      </w:r>
    </w:p>
    <w:p>
      <w:pPr>
        <w:pStyle w:val="Heading5"/>
        <w:spacing w:line="240" w:lineRule="auto"/>
        <w:ind w:left="276" w:right="0"/>
        <w:jc w:val="left"/>
        <w:rPr>
          <w:b w:val="0"/>
          <w:bCs w:val="0"/>
        </w:rPr>
      </w:pPr>
      <w:r>
        <w:rPr>
          <w:rFonts w:ascii="宋体" w:hAnsi="宋体" w:cs="宋体" w:eastAsia="宋体" w:hint="default"/>
        </w:rPr>
        <w:t>42.</w:t>
      </w:r>
      <w:r>
        <w:rPr>
          <w:rFonts w:ascii="宋体" w:hAnsi="宋体" w:cs="宋体" w:eastAsia="宋体" w:hint="default"/>
          <w:spacing w:val="2"/>
        </w:rPr>
        <w:t> </w:t>
      </w:r>
      <w:r>
        <w:rPr/>
        <w:t>其他</w:t>
      </w:r>
      <w:r>
        <w:rPr>
          <w:b w:val="0"/>
          <w:bCs w:val="0"/>
        </w:rPr>
      </w:r>
    </w:p>
    <w:p>
      <w:pPr>
        <w:pStyle w:val="Heading3"/>
        <w:spacing w:line="240" w:lineRule="auto" w:before="50"/>
        <w:ind w:left="276" w:right="0"/>
        <w:jc w:val="left"/>
        <w:rPr>
          <w:rFonts w:ascii="宋体" w:hAnsi="宋体" w:cs="宋体" w:eastAsia="宋体" w:hint="default"/>
        </w:rPr>
      </w:pPr>
      <w:r>
        <w:rPr/>
        <w:t>√适用□不适用</w:t>
      </w:r>
      <w:r>
        <w:rPr>
          <w:rFonts w:ascii="宋体" w:hAnsi="宋体" w:cs="宋体" w:eastAsia="宋体" w:hint="default"/>
        </w:rPr>
        <w:t>  </w:t>
      </w:r>
    </w:p>
    <w:p>
      <w:pPr>
        <w:pStyle w:val="BodyText"/>
        <w:spacing w:line="237" w:lineRule="auto" w:before="7"/>
        <w:ind w:left="276" w:right="0"/>
        <w:jc w:val="left"/>
        <w:rPr>
          <w:rFonts w:ascii="宋体" w:hAnsi="宋体" w:cs="宋体" w:eastAsia="宋体" w:hint="default"/>
        </w:rPr>
      </w:pPr>
      <w:r>
        <w:rPr>
          <w:rFonts w:ascii="宋体" w:hAnsi="宋体" w:cs="宋体" w:eastAsia="宋体" w:hint="default"/>
        </w:rPr>
        <w:t>1</w:t>
      </w:r>
      <w:r>
        <w:rPr/>
        <w:t>、商誉</w:t>
      </w:r>
      <w:r>
        <w:rPr>
          <w:rFonts w:ascii="宋体" w:hAnsi="宋体" w:cs="宋体" w:eastAsia="宋体" w:hint="default"/>
          <w:w w:val="100"/>
        </w:rPr>
        <w:t> </w:t>
      </w:r>
      <w:r>
        <w:rPr>
          <w:spacing w:val="-1"/>
        </w:rPr>
        <w:t>商誉是指在非同一控制下的企业合并下，购买方的合并成本大于合并中取得的被购买方可辨认净</w:t>
      </w:r>
      <w:r>
        <w:rPr>
          <w:spacing w:val="-55"/>
        </w:rPr>
        <w:t> </w:t>
      </w:r>
      <w:r>
        <w:rPr>
          <w:spacing w:val="-55"/>
        </w:rPr>
      </w:r>
      <w:r>
        <w:rPr>
          <w:spacing w:val="-1"/>
        </w:rPr>
        <w:t>资产公允价值份额的差额或股权投资成本超过取得日应享有被投资单位公允价值份额的差额。初</w:t>
      </w:r>
      <w:r>
        <w:rPr>
          <w:spacing w:val="-54"/>
        </w:rPr>
        <w:t> </w:t>
      </w:r>
      <w:r>
        <w:rPr>
          <w:spacing w:val="-54"/>
        </w:rPr>
      </w:r>
      <w:r>
        <w:rPr/>
        <w:t>始确认后的商誉，应当以其成本扣除累计减值准备后的金额计量。</w:t>
      </w:r>
      <w:r>
        <w:rPr>
          <w:rFonts w:ascii="宋体" w:hAnsi="宋体" w:cs="宋体" w:eastAsia="宋体" w:hint="default"/>
          <w:w w:val="100"/>
        </w:rPr>
        <w:t> </w:t>
      </w:r>
      <w:r>
        <w:rPr>
          <w:spacing w:val="-1"/>
        </w:rPr>
        <w:t>本公司在每年年度终了对企业合并所形成的商誉进行减值测试。在对包含商誉的相关资产组或者</w:t>
      </w:r>
      <w:r>
        <w:rPr>
          <w:spacing w:val="-55"/>
        </w:rPr>
        <w:t> </w:t>
      </w:r>
      <w:r>
        <w:rPr>
          <w:spacing w:val="-55"/>
        </w:rPr>
      </w:r>
      <w:r>
        <w:rPr>
          <w:spacing w:val="-1"/>
        </w:rPr>
        <w:t>资产组组合进行减值测试时，如与商誉相关的资产组或者资产组组合存在减值迹象的，则先对不</w:t>
      </w:r>
      <w:r>
        <w:rPr>
          <w:spacing w:val="-55"/>
        </w:rPr>
        <w:t> </w:t>
      </w:r>
      <w:r>
        <w:rPr>
          <w:spacing w:val="-55"/>
        </w:rPr>
      </w:r>
      <w:r>
        <w:rPr>
          <w:spacing w:val="-1"/>
        </w:rPr>
        <w:t>包含商誉的资产组或者资产组组合进行减值测试，计算可收回金额，并与相关账面价值相比较，</w:t>
      </w:r>
      <w:r>
        <w:rPr>
          <w:spacing w:val="-55"/>
        </w:rPr>
        <w:t> </w:t>
      </w:r>
      <w:r>
        <w:rPr>
          <w:spacing w:val="-55"/>
        </w:rPr>
      </w:r>
      <w:r>
        <w:rPr>
          <w:spacing w:val="-1"/>
        </w:rPr>
        <w:t>确认相应的减值损失。再对包含商誉的资产组或者资产组组合进行减值测试，比较这些相关资产</w:t>
      </w:r>
      <w:r>
        <w:rPr>
          <w:spacing w:val="-55"/>
        </w:rPr>
        <w:t> </w:t>
      </w:r>
      <w:r>
        <w:rPr>
          <w:spacing w:val="-55"/>
        </w:rPr>
      </w:r>
      <w:r>
        <w:rPr>
          <w:spacing w:val="-1"/>
        </w:rPr>
        <w:t>组或者资产组组合的账面价值（包括所分摊的商誉的账面价值部分）与其可收回金额，如相关资</w:t>
      </w:r>
      <w:r>
        <w:rPr>
          <w:spacing w:val="-54"/>
        </w:rPr>
        <w:t> </w:t>
      </w:r>
      <w:r>
        <w:rPr>
          <w:spacing w:val="-54"/>
        </w:rPr>
      </w:r>
      <w:r>
        <w:rPr>
          <w:spacing w:val="-1"/>
        </w:rPr>
        <w:t>产组或者资产组组合的可收回金额低于其账面价值的，则确认商誉的减值损失，资产减值损失一</w:t>
      </w:r>
      <w:r>
        <w:rPr>
          <w:spacing w:val="-55"/>
        </w:rPr>
        <w:t> </w:t>
      </w:r>
      <w:r>
        <w:rPr>
          <w:spacing w:val="-55"/>
        </w:rPr>
      </w:r>
      <w:r>
        <w:rPr/>
        <w:t>经确认，在以后会计期间均不再转回。</w:t>
      </w:r>
      <w:r>
        <w:rPr>
          <w:rFonts w:ascii="宋体" w:hAnsi="宋体" w:cs="宋体" w:eastAsia="宋体" w:hint="default"/>
        </w:rPr>
        <w:t> </w:t>
      </w:r>
    </w:p>
    <w:p>
      <w:pPr>
        <w:pStyle w:val="Heading3"/>
        <w:spacing w:line="305" w:lineRule="exact"/>
        <w:ind w:left="276" w:right="0"/>
        <w:jc w:val="left"/>
        <w:rPr>
          <w:rFonts w:ascii="宋体" w:hAnsi="宋体" w:cs="宋体" w:eastAsia="宋体" w:hint="default"/>
        </w:rPr>
      </w:pPr>
      <w:r>
        <w:rPr>
          <w:rFonts w:ascii="宋体"/>
        </w:rPr>
        <w:t> </w:t>
      </w:r>
    </w:p>
    <w:p>
      <w:pPr>
        <w:pStyle w:val="Heading5"/>
        <w:spacing w:line="240" w:lineRule="auto"/>
        <w:ind w:left="276" w:right="0"/>
        <w:jc w:val="left"/>
        <w:rPr>
          <w:rFonts w:ascii="宋体" w:hAnsi="宋体" w:cs="宋体" w:eastAsia="宋体" w:hint="default"/>
          <w:b w:val="0"/>
          <w:bCs w:val="0"/>
        </w:rPr>
      </w:pPr>
      <w:r>
        <w:rPr/>
        <w:t>六、</w:t>
      </w:r>
      <w:r>
        <w:rPr>
          <w:spacing w:val="-104"/>
        </w:rPr>
        <w:t> </w:t>
      </w:r>
      <w:r>
        <w:rPr>
          <w:rFonts w:ascii="宋体" w:hAnsi="宋体" w:cs="宋体" w:eastAsia="宋体" w:hint="default"/>
          <w:spacing w:val="-104"/>
        </w:rPr>
      </w:r>
      <w:r>
        <w:rPr/>
        <w:t>税项</w:t>
      </w:r>
      <w:r>
        <w:rPr>
          <w:rFonts w:ascii="宋体" w:hAnsi="宋体" w:cs="宋体" w:eastAsia="宋体" w:hint="default"/>
          <w:w w:val="99"/>
        </w:rPr>
        <w:t> </w:t>
      </w:r>
      <w:r>
        <w:rPr>
          <w:rFonts w:ascii="宋体" w:hAnsi="宋体" w:cs="宋体" w:eastAsia="宋体" w:hint="default"/>
          <w:b w:val="0"/>
          <w:bCs w:val="0"/>
        </w:rPr>
      </w:r>
    </w:p>
    <w:p>
      <w:pPr>
        <w:pStyle w:val="Heading5"/>
        <w:tabs>
          <w:tab w:pos="701" w:val="left" w:leader="none"/>
        </w:tabs>
        <w:spacing w:line="240" w:lineRule="auto" w:before="56"/>
        <w:ind w:left="276" w:right="0"/>
        <w:jc w:val="left"/>
        <w:rPr>
          <w:b w:val="0"/>
          <w:bCs w:val="0"/>
        </w:rPr>
      </w:pPr>
      <w:r>
        <w:rPr>
          <w:rFonts w:ascii="宋体" w:hAnsi="宋体" w:cs="宋体" w:eastAsia="宋体" w:hint="default"/>
          <w:w w:val="95"/>
        </w:rPr>
        <w:t>1.</w:t>
        <w:tab/>
      </w:r>
      <w:r>
        <w:rPr/>
        <w:t>主要税种及税率</w:t>
      </w:r>
      <w:r>
        <w:rPr>
          <w:b w:val="0"/>
          <w:bCs w:val="0"/>
        </w:rPr>
      </w:r>
    </w:p>
    <w:p>
      <w:pPr>
        <w:pStyle w:val="Heading3"/>
        <w:spacing w:line="312" w:lineRule="exact" w:before="52"/>
        <w:ind w:left="276" w:right="0"/>
        <w:jc w:val="left"/>
        <w:rPr>
          <w:rFonts w:ascii="宋体" w:hAnsi="宋体" w:cs="宋体" w:eastAsia="宋体" w:hint="default"/>
        </w:rPr>
      </w:pPr>
      <w:r>
        <w:rPr/>
        <w:t>主要税种及税率情况</w:t>
      </w:r>
      <w:r>
        <w:rPr>
          <w:rFonts w:ascii="宋体" w:hAnsi="宋体" w:cs="宋体" w:eastAsia="宋体" w:hint="default"/>
        </w:rPr>
        <w:t> </w:t>
      </w:r>
    </w:p>
    <w:p>
      <w:pPr>
        <w:pStyle w:val="Heading3"/>
        <w:spacing w:line="312" w:lineRule="exact"/>
        <w:ind w:left="276" w:right="0"/>
        <w:jc w:val="left"/>
        <w:rPr>
          <w:rFonts w:ascii="宋体" w:hAnsi="宋体" w:cs="宋体" w:eastAsia="宋体" w:hint="default"/>
        </w:rPr>
      </w:pPr>
      <w:r>
        <w:rPr/>
        <w:t>√适用□不适用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63" w:type="dxa"/>
        <w:tblLayout w:type="fixed"/>
        <w:tblCellMar>
          <w:top w:w="0" w:type="dxa"/>
          <w:left w:w="0" w:type="dxa"/>
          <w:bottom w:w="0" w:type="dxa"/>
          <w:right w:w="0" w:type="dxa"/>
        </w:tblCellMar>
        <w:tblLook w:val="01E0"/>
      </w:tblPr>
      <w:tblGrid>
        <w:gridCol w:w="2783"/>
        <w:gridCol w:w="3147"/>
        <w:gridCol w:w="3121"/>
      </w:tblGrid>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税种</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47" w:right="0"/>
              <w:jc w:val="left"/>
              <w:rPr>
                <w:rFonts w:ascii="宋体" w:hAnsi="宋体" w:cs="宋体" w:eastAsia="宋体" w:hint="default"/>
                <w:sz w:val="21"/>
                <w:szCs w:val="21"/>
              </w:rPr>
            </w:pPr>
            <w:r>
              <w:rPr>
                <w:rFonts w:ascii="宋体" w:hAnsi="宋体" w:cs="宋体" w:eastAsia="宋体" w:hint="default"/>
                <w:sz w:val="21"/>
                <w:szCs w:val="21"/>
              </w:rPr>
              <w:t>计税依据</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税率</w:t>
            </w:r>
            <w:r>
              <w:rPr>
                <w:rFonts w:ascii="宋体" w:hAnsi="宋体" w:cs="宋体" w:eastAsia="宋体" w:hint="default"/>
                <w:sz w:val="21"/>
                <w:szCs w:val="21"/>
              </w:rPr>
              <w:t> </w:t>
            </w:r>
          </w:p>
        </w:tc>
      </w:tr>
      <w:tr>
        <w:trPr>
          <w:trHeight w:val="28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销售货物或者提供应税劳务</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w:t>
            </w:r>
            <w:r>
              <w:rPr>
                <w:rFonts w:ascii="宋体" w:hAnsi="宋体" w:cs="宋体" w:eastAsia="宋体" w:hint="default"/>
                <w:sz w:val="21"/>
                <w:szCs w:val="21"/>
              </w:rPr>
              <w:t>10%</w:t>
            </w: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z w:val="21"/>
                <w:szCs w:val="21"/>
              </w:rPr>
              <w:t>、</w:t>
            </w:r>
            <w:r>
              <w:rPr>
                <w:rFonts w:ascii="宋体" w:hAnsi="宋体" w:cs="宋体" w:eastAsia="宋体" w:hint="default"/>
                <w:sz w:val="21"/>
                <w:szCs w:val="21"/>
              </w:rPr>
              <w:t>16% </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应纳流转税税额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7% </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w:t>
            </w:r>
            <w:r>
              <w:rPr>
                <w:rFonts w:ascii="宋体" w:hAnsi="宋体" w:cs="宋体" w:eastAsia="宋体" w:hint="default"/>
                <w:sz w:val="21"/>
                <w:szCs w:val="21"/>
              </w:rPr>
              <w:t>15%</w:t>
            </w:r>
            <w:r>
              <w:rPr>
                <w:rFonts w:ascii="宋体" w:hAnsi="宋体" w:cs="宋体" w:eastAsia="宋体" w:hint="default"/>
                <w:sz w:val="21"/>
                <w:szCs w:val="21"/>
              </w:rPr>
              <w:t>、</w:t>
            </w:r>
            <w:r>
              <w:rPr>
                <w:rFonts w:ascii="宋体" w:hAnsi="宋体" w:cs="宋体" w:eastAsia="宋体" w:hint="default"/>
                <w:sz w:val="21"/>
                <w:szCs w:val="21"/>
              </w:rPr>
              <w:t>25% </w:t>
            </w:r>
          </w:p>
        </w:tc>
      </w:tr>
      <w:tr>
        <w:trPr>
          <w:trHeight w:val="28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应纳流转税税额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 </w:t>
            </w:r>
          </w:p>
        </w:tc>
      </w:tr>
    </w:tbl>
    <w:p>
      <w:pPr>
        <w:pStyle w:val="Heading3"/>
        <w:spacing w:line="274" w:lineRule="exact"/>
        <w:ind w:left="276" w:right="0"/>
        <w:jc w:val="left"/>
        <w:rPr>
          <w:rFonts w:ascii="宋体" w:hAnsi="宋体" w:cs="宋体" w:eastAsia="宋体" w:hint="default"/>
        </w:rPr>
      </w:pPr>
      <w:r>
        <w:rPr>
          <w:rFonts w:ascii="宋体"/>
        </w:rPr>
        <w:t> </w:t>
      </w:r>
    </w:p>
    <w:p>
      <w:pPr>
        <w:spacing w:after="0" w:line="274" w:lineRule="exact"/>
        <w:jc w:val="left"/>
        <w:rPr>
          <w:rFonts w:ascii="宋体" w:hAnsi="宋体" w:cs="宋体" w:eastAsia="宋体" w:hint="default"/>
        </w:rPr>
        <w:sectPr>
          <w:pgSz w:w="11910" w:h="16840"/>
          <w:pgMar w:header="882" w:footer="1195" w:top="1120" w:bottom="1380" w:left="1000" w:right="1520"/>
        </w:sectPr>
      </w:pPr>
    </w:p>
    <w:p>
      <w:pPr>
        <w:spacing w:line="240" w:lineRule="auto" w:before="9"/>
        <w:rPr>
          <w:rFonts w:ascii="宋体" w:hAnsi="宋体" w:cs="宋体" w:eastAsia="宋体" w:hint="default"/>
          <w:sz w:val="18"/>
          <w:szCs w:val="18"/>
        </w:rPr>
      </w:pPr>
    </w:p>
    <w:p>
      <w:pPr>
        <w:pStyle w:val="BodyText"/>
        <w:spacing w:line="270" w:lineRule="exact" w:before="36"/>
        <w:ind w:left="216" w:right="0"/>
        <w:jc w:val="left"/>
        <w:rPr>
          <w:rFonts w:ascii="宋体" w:hAnsi="宋体" w:cs="宋体" w:eastAsia="宋体" w:hint="default"/>
        </w:rPr>
      </w:pPr>
      <w:r>
        <w:rPr/>
        <w:t>存在不同企业所得税税率纳税主体的，披露情况说明</w:t>
      </w:r>
      <w:r>
        <w:rPr>
          <w:rFonts w:ascii="宋体" w:hAnsi="宋体" w:cs="宋体" w:eastAsia="宋体" w:hint="default"/>
        </w:rPr>
        <w:t> </w:t>
      </w:r>
    </w:p>
    <w:p>
      <w:pPr>
        <w:pStyle w:val="Heading3"/>
        <w:spacing w:line="309" w:lineRule="exact"/>
        <w:ind w:right="0"/>
        <w:jc w:val="left"/>
        <w:rPr>
          <w:rFonts w:ascii="宋体" w:hAnsi="宋体" w:cs="宋体" w:eastAsia="宋体" w:hint="default"/>
        </w:rPr>
      </w:pPr>
      <w:r>
        <w:rPr/>
        <w:t>√适用□不适用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604"/>
        <w:gridCol w:w="4446"/>
      </w:tblGrid>
      <w:tr>
        <w:trPr>
          <w:trHeight w:val="286"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纳税主体名称</w:t>
            </w:r>
            <w:r>
              <w:rPr>
                <w:rFonts w:ascii="宋体" w:hAnsi="宋体" w:cs="宋体" w:eastAsia="宋体" w:hint="default"/>
                <w:sz w:val="21"/>
                <w:szCs w:val="21"/>
              </w:rPr>
              <w:t> </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425" w:right="0"/>
              <w:jc w:val="left"/>
              <w:rPr>
                <w:rFonts w:ascii="宋体" w:hAnsi="宋体" w:cs="宋体" w:eastAsia="宋体" w:hint="default"/>
                <w:sz w:val="21"/>
                <w:szCs w:val="21"/>
              </w:rPr>
            </w:pPr>
            <w:r>
              <w:rPr>
                <w:rFonts w:ascii="宋体" w:hAnsi="宋体" w:cs="宋体" w:eastAsia="宋体" w:hint="default"/>
                <w:sz w:val="21"/>
                <w:szCs w:val="21"/>
              </w:rPr>
              <w:t>所得税税率（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泰豪科技股份有限公司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15 </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泰豪软件股份有限公司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10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江西泰豪军工集团有限公司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15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泰豪电源技术有限公司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15 </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龙岩市海德馨汽车有限公司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上海红生系统工程有限公司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15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上海泰豪智能节能技术有限公司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上海博辕信息技术服务有限公司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15 </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北京泰豪装备科技有限公司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衡阳泰豪通信车辆有限公司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15 </w:t>
            </w:r>
          </w:p>
        </w:tc>
      </w:tr>
      <w:tr>
        <w:trPr>
          <w:trHeight w:val="289"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江西清华泰豪三波电机有限公司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泰豪科技（深圳）电力技术有限公司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15 </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莱福士电力电子设备（深圳）有限公司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上海博辕信息技术服务如皋有限公司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15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西安泰豪红外科技有限公司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15 </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陕西泰豪沃达动力设备有限公司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江西泰豪电力电气有限公司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25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泰豪国际工程有限公司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泰豪国际投资有限公司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25 </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泰豪晟大创业投资有限公司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广东泰豪能源科技有限公司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25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上海泰豪迈能能源科技有限公司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泰豪新能源装备有限公司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25 </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清大泰豪（厦门）能源科技有限公司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TELLHOW POWER</w:t>
            </w:r>
            <w:r>
              <w:rPr>
                <w:rFonts w:ascii="宋体"/>
                <w:spacing w:val="-2"/>
                <w:sz w:val="21"/>
              </w:rPr>
              <w:t> </w:t>
            </w:r>
            <w:r>
              <w:rPr>
                <w:rFonts w:ascii="宋体"/>
                <w:sz w:val="21"/>
              </w:rPr>
              <w:t>SOLUTION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北京泰豪新源工程技术有限公司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25 </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泰豪福瑞斯动力设备有限公司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广东泰豪三奥动力科技有限公司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25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嘉兴泰豪装备技术有限公司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北京泰豪电力技术有限公司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25 </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北京泰豪电力科技有限公司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泰豪科技（亚洲）有限公司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25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北京博辕捷迅科技发展有限公司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Meinergy </w:t>
            </w:r>
            <w:r>
              <w:rPr>
                <w:rFonts w:ascii="宋体"/>
                <w:spacing w:val="102"/>
                <w:sz w:val="21"/>
              </w:rPr>
              <w:t> </w:t>
            </w:r>
            <w:r>
              <w:rPr>
                <w:rFonts w:ascii="宋体"/>
                <w:sz w:val="21"/>
              </w:rPr>
              <w:t>GMBH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25 </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Meinergy </w:t>
            </w:r>
            <w:r>
              <w:rPr>
                <w:rFonts w:ascii="宋体"/>
                <w:spacing w:val="104"/>
                <w:sz w:val="21"/>
              </w:rPr>
              <w:t> </w:t>
            </w:r>
            <w:r>
              <w:rPr>
                <w:rFonts w:ascii="宋体"/>
                <w:sz w:val="21"/>
              </w:rPr>
              <w:t>Inc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中能华电（北京）电力技术研究院</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北京海德馨应急科技有限公司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25 </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江西泰豪智能电力科技有限公司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重庆市梁平区泰豪售电有限公司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25 </w:t>
            </w:r>
          </w:p>
        </w:tc>
      </w:tr>
      <w:tr>
        <w:trPr>
          <w:trHeight w:val="286"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湖南泰豪系统工程研究院有限公司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25 </w:t>
            </w:r>
          </w:p>
        </w:tc>
      </w:tr>
    </w:tbl>
    <w:p>
      <w:pPr>
        <w:pStyle w:val="Heading3"/>
        <w:spacing w:line="273" w:lineRule="exact"/>
        <w:ind w:right="0"/>
        <w:jc w:val="left"/>
        <w:rPr>
          <w:rFonts w:ascii="宋体" w:hAnsi="宋体" w:cs="宋体" w:eastAsia="宋体" w:hint="default"/>
        </w:rPr>
      </w:pPr>
      <w:r>
        <w:rPr>
          <w:rFonts w:ascii="宋体"/>
        </w:rPr>
        <w:t> </w:t>
      </w:r>
    </w:p>
    <w:p>
      <w:pPr>
        <w:pStyle w:val="Heading3"/>
        <w:spacing w:line="313" w:lineRule="exact"/>
        <w:ind w:right="0"/>
        <w:jc w:val="left"/>
        <w:rPr>
          <w:rFonts w:ascii="宋体" w:hAnsi="宋体" w:cs="宋体" w:eastAsia="宋体" w:hint="default"/>
        </w:rPr>
      </w:pPr>
      <w:r>
        <w:rPr>
          <w:rFonts w:ascii="宋体"/>
        </w:rPr>
        <w:t> </w:t>
      </w:r>
    </w:p>
    <w:p>
      <w:pPr>
        <w:pStyle w:val="Heading5"/>
        <w:tabs>
          <w:tab w:pos="641" w:val="left" w:leader="none"/>
        </w:tabs>
        <w:spacing w:line="240" w:lineRule="auto" w:before="61"/>
        <w:ind w:right="0"/>
        <w:jc w:val="left"/>
        <w:rPr>
          <w:b w:val="0"/>
          <w:bCs w:val="0"/>
        </w:rPr>
      </w:pPr>
      <w:r>
        <w:rPr>
          <w:rFonts w:ascii="宋体" w:hAnsi="宋体" w:cs="宋体" w:eastAsia="宋体" w:hint="default"/>
          <w:w w:val="95"/>
        </w:rPr>
        <w:t>2.</w:t>
        <w:tab/>
      </w:r>
      <w:r>
        <w:rPr/>
        <w:t>税收优惠</w:t>
      </w:r>
      <w:r>
        <w:rPr>
          <w:b w:val="0"/>
          <w:bCs w:val="0"/>
        </w:rPr>
      </w:r>
    </w:p>
    <w:p>
      <w:pPr>
        <w:pStyle w:val="Heading3"/>
        <w:spacing w:line="240" w:lineRule="auto" w:before="52"/>
        <w:ind w:right="0"/>
        <w:jc w:val="left"/>
        <w:rPr>
          <w:rFonts w:ascii="宋体" w:hAnsi="宋体" w:cs="宋体" w:eastAsia="宋体" w:hint="default"/>
        </w:rPr>
      </w:pPr>
      <w:r>
        <w:rPr/>
        <w:t>√适用□不适用</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47"/>
          <w:pgSz w:w="11910" w:h="16840"/>
          <w:pgMar w:footer="1195" w:header="882" w:top="1120" w:bottom="1380" w:left="1060" w:right="1560"/>
          <w:pgNumType w:start="107"/>
        </w:sectPr>
      </w:pPr>
    </w:p>
    <w:p>
      <w:pPr>
        <w:spacing w:line="240" w:lineRule="auto" w:before="9"/>
        <w:rPr>
          <w:rFonts w:ascii="宋体" w:hAnsi="宋体" w:cs="宋体" w:eastAsia="宋体" w:hint="default"/>
          <w:sz w:val="18"/>
          <w:szCs w:val="18"/>
        </w:rPr>
      </w:pPr>
    </w:p>
    <w:p>
      <w:pPr>
        <w:pStyle w:val="BodyText"/>
        <w:spacing w:line="237" w:lineRule="auto" w:before="38"/>
        <w:ind w:left="236" w:right="1681"/>
        <w:jc w:val="left"/>
        <w:rPr>
          <w:rFonts w:ascii="宋体" w:hAnsi="宋体" w:cs="宋体" w:eastAsia="宋体" w:hint="default"/>
        </w:rPr>
      </w:pPr>
      <w:r>
        <w:rPr/>
        <w:t>（</w:t>
      </w:r>
      <w:r>
        <w:rPr>
          <w:rFonts w:ascii="宋体" w:hAnsi="宋体" w:cs="宋体" w:eastAsia="宋体" w:hint="default"/>
        </w:rPr>
        <w:t>1</w:t>
      </w:r>
      <w:r>
        <w:rPr/>
        <w:t>）企业所得税</w:t>
      </w:r>
      <w:r>
        <w:rPr>
          <w:rFonts w:ascii="宋体" w:hAnsi="宋体" w:cs="宋体" w:eastAsia="宋体" w:hint="default"/>
          <w:w w:val="100"/>
        </w:rPr>
        <w:t> </w:t>
      </w:r>
      <w:r>
        <w:rPr>
          <w:spacing w:val="-1"/>
        </w:rPr>
        <w:t>本公司及子公司江西泰豪军工集团有限公司、泰豪电源技术有限公司、泰豪软件股份有限公司、</w:t>
      </w:r>
      <w:r>
        <w:rPr>
          <w:spacing w:val="-55"/>
        </w:rPr>
        <w:t> </w:t>
      </w:r>
      <w:r>
        <w:rPr>
          <w:spacing w:val="-55"/>
        </w:rPr>
      </w:r>
      <w:r>
        <w:rPr>
          <w:spacing w:val="-1"/>
        </w:rPr>
        <w:t>龙岩市海德馨汽车有限公司、上海红生系统工程有限公司、上海泰豪智能节能技术有限公司、上</w:t>
      </w:r>
      <w:r>
        <w:rPr>
          <w:spacing w:val="-55"/>
        </w:rPr>
        <w:t> </w:t>
      </w:r>
      <w:r>
        <w:rPr>
          <w:spacing w:val="-55"/>
        </w:rPr>
      </w:r>
      <w:r>
        <w:rPr>
          <w:spacing w:val="-1"/>
        </w:rPr>
        <w:t>海博辕信息技术服务有限公司、北京泰豪装备科技有限公司、衡阳泰豪通信车辆有限公司、江西</w:t>
      </w:r>
      <w:r>
        <w:rPr>
          <w:spacing w:val="-55"/>
        </w:rPr>
        <w:t> </w:t>
      </w:r>
      <w:r>
        <w:rPr>
          <w:spacing w:val="-55"/>
        </w:rPr>
      </w:r>
      <w:r>
        <w:rPr>
          <w:spacing w:val="-6"/>
        </w:rPr>
        <w:t>清华泰豪三波电机有限公司、泰豪科技（深圳）电力技术有限公司、莱福士电力电子设备（深圳）</w:t>
      </w:r>
      <w:r>
        <w:rPr>
          <w:spacing w:val="-53"/>
        </w:rPr>
        <w:t> </w:t>
      </w:r>
      <w:r>
        <w:rPr>
          <w:spacing w:val="-53"/>
        </w:rPr>
      </w:r>
      <w:r>
        <w:rPr>
          <w:spacing w:val="-1"/>
        </w:rPr>
        <w:t>有限公司、上海博辕信息技术服务如皋有限公司、西安泰豪红外科技有限公司、陕西泰豪沃达动</w:t>
      </w:r>
      <w:r>
        <w:rPr>
          <w:spacing w:val="-55"/>
        </w:rPr>
        <w:t> </w:t>
      </w:r>
      <w:r>
        <w:rPr>
          <w:spacing w:val="-55"/>
        </w:rPr>
      </w:r>
      <w:r>
        <w:rPr/>
        <w:t>力设备有限公司均被认定为高新技术企业，</w:t>
      </w:r>
      <w:r>
        <w:rPr>
          <w:rFonts w:ascii="宋体" w:hAnsi="宋体" w:cs="宋体" w:eastAsia="宋体" w:hint="default"/>
        </w:rPr>
        <w:t>2019</w:t>
      </w:r>
      <w:r>
        <w:rPr>
          <w:rFonts w:ascii="宋体" w:hAnsi="宋体" w:cs="宋体" w:eastAsia="宋体" w:hint="default"/>
          <w:spacing w:val="-53"/>
        </w:rPr>
        <w:t> </w:t>
      </w:r>
      <w:r>
        <w:rPr/>
        <w:t>年度上述公司执行的企业所得税税率为</w:t>
      </w:r>
      <w:r>
        <w:rPr>
          <w:spacing w:val="-51"/>
        </w:rPr>
        <w:t> </w:t>
      </w:r>
      <w:r>
        <w:rPr>
          <w:rFonts w:ascii="宋体" w:hAnsi="宋体" w:cs="宋体" w:eastAsia="宋体" w:hint="default"/>
        </w:rPr>
        <w:t>15%</w:t>
      </w:r>
      <w:r>
        <w:rPr/>
        <w:t>；本</w:t>
      </w:r>
      <w:r>
        <w:rPr>
          <w:spacing w:val="-3"/>
          <w:w w:val="100"/>
        </w:rPr>
        <w:t> </w:t>
      </w:r>
      <w:r>
        <w:rPr/>
        <w:t>公司控股子公司泰豪软件股份有限公司为国家重点软件企业减按</w:t>
      </w:r>
      <w:r>
        <w:rPr>
          <w:spacing w:val="-54"/>
        </w:rPr>
        <w:t> </w:t>
      </w:r>
      <w:r>
        <w:rPr>
          <w:rFonts w:ascii="宋体" w:hAnsi="宋体" w:cs="宋体" w:eastAsia="宋体" w:hint="default"/>
        </w:rPr>
        <w:t>10%</w:t>
      </w:r>
      <w:r>
        <w:rPr/>
        <w:t>的税率征收企业所得税。</w:t>
      </w:r>
      <w:r>
        <w:rPr>
          <w:rFonts w:ascii="宋体" w:hAnsi="宋体" w:cs="宋体" w:eastAsia="宋体" w:hint="default"/>
          <w:w w:val="100"/>
        </w:rPr>
        <w:t> </w:t>
      </w:r>
      <w:r>
        <w:rPr/>
        <w:t>除上述企业外其他控股子公司</w:t>
      </w:r>
      <w:r>
        <w:rPr>
          <w:spacing w:val="-55"/>
        </w:rPr>
        <w:t> </w:t>
      </w:r>
      <w:r>
        <w:rPr>
          <w:rFonts w:ascii="宋体" w:hAnsi="宋体" w:cs="宋体" w:eastAsia="宋体" w:hint="default"/>
        </w:rPr>
        <w:t>2019</w:t>
      </w:r>
      <w:r>
        <w:rPr>
          <w:rFonts w:ascii="宋体" w:hAnsi="宋体" w:cs="宋体" w:eastAsia="宋体" w:hint="default"/>
          <w:spacing w:val="-58"/>
        </w:rPr>
        <w:t> </w:t>
      </w:r>
      <w:r>
        <w:rPr/>
        <w:t>度执行的企业所得税税率为</w:t>
      </w:r>
      <w:r>
        <w:rPr>
          <w:spacing w:val="-56"/>
        </w:rPr>
        <w:t> </w:t>
      </w:r>
      <w:r>
        <w:rPr>
          <w:rFonts w:ascii="宋体" w:hAnsi="宋体" w:cs="宋体" w:eastAsia="宋体" w:hint="default"/>
        </w:rPr>
        <w:t>25%</w:t>
      </w:r>
      <w:r>
        <w:rPr/>
        <w:t>。</w:t>
      </w:r>
      <w:r>
        <w:rPr>
          <w:rFonts w:ascii="宋体" w:hAnsi="宋体" w:cs="宋体" w:eastAsia="宋体" w:hint="default"/>
        </w:rPr>
        <w:t> </w:t>
      </w:r>
    </w:p>
    <w:p>
      <w:pPr>
        <w:pStyle w:val="BodyText"/>
        <w:spacing w:line="271" w:lineRule="exact"/>
        <w:ind w:left="236" w:right="1681"/>
        <w:jc w:val="left"/>
        <w:rPr>
          <w:rFonts w:ascii="宋体" w:hAnsi="宋体" w:cs="宋体" w:eastAsia="宋体" w:hint="default"/>
        </w:rPr>
      </w:pPr>
      <w:r>
        <w:rPr/>
        <w:t>（</w:t>
      </w:r>
      <w:r>
        <w:rPr>
          <w:rFonts w:ascii="宋体" w:hAnsi="宋体" w:cs="宋体" w:eastAsia="宋体" w:hint="default"/>
        </w:rPr>
        <w:t>2</w:t>
      </w:r>
      <w:r>
        <w:rPr/>
        <w:t>）增值税</w:t>
      </w:r>
      <w:r>
        <w:rPr>
          <w:rFonts w:ascii="宋体" w:hAnsi="宋体" w:cs="宋体" w:eastAsia="宋体" w:hint="default"/>
        </w:rPr>
        <w:t> </w:t>
      </w:r>
    </w:p>
    <w:p>
      <w:pPr>
        <w:pStyle w:val="BodyText"/>
        <w:spacing w:line="237" w:lineRule="auto" w:before="2"/>
        <w:ind w:left="236" w:right="1681"/>
        <w:jc w:val="left"/>
        <w:rPr>
          <w:rFonts w:ascii="宋体" w:hAnsi="宋体" w:cs="宋体" w:eastAsia="宋体" w:hint="default"/>
        </w:rPr>
      </w:pPr>
      <w:r>
        <w:rPr/>
        <w:t>依据《财政部 </w:t>
      </w:r>
      <w:r>
        <w:rPr>
          <w:rFonts w:ascii="宋体" w:hAnsi="宋体" w:cs="宋体" w:eastAsia="宋体" w:hint="default"/>
        </w:rPr>
      </w:r>
      <w:r>
        <w:rPr/>
        <w:t>国家税务总局关于软件产品增值税政策的通知》（财税</w:t>
      </w:r>
      <w:r>
        <w:rPr>
          <w:rFonts w:ascii="宋体" w:hAnsi="宋体" w:cs="宋体" w:eastAsia="宋体" w:hint="default"/>
        </w:rPr>
        <w:t>[2011]100</w:t>
      </w:r>
      <w:r>
        <w:rPr>
          <w:rFonts w:ascii="宋体" w:hAnsi="宋体" w:cs="宋体" w:eastAsia="宋体" w:hint="default"/>
          <w:spacing w:val="4"/>
        </w:rPr>
        <w:t> </w:t>
      </w:r>
      <w:r>
        <w:rPr/>
        <w:t>号）文件规定，</w:t>
      </w:r>
      <w:r>
        <w:rPr>
          <w:w w:val="100"/>
        </w:rPr>
        <w:t> </w:t>
      </w:r>
      <w:r>
        <w:rPr/>
        <w:t>本公司控股子公司泰豪软件股份有限公司自</w:t>
      </w:r>
      <w:r>
        <w:rPr>
          <w:spacing w:val="-50"/>
        </w:rPr>
        <w:t> </w:t>
      </w:r>
      <w:r>
        <w:rPr>
          <w:rFonts w:ascii="宋体" w:hAnsi="宋体" w:cs="宋体" w:eastAsia="宋体" w:hint="default"/>
        </w:rPr>
        <w:t>2011</w:t>
      </w:r>
      <w:r>
        <w:rPr>
          <w:rFonts w:ascii="宋体" w:hAnsi="宋体" w:cs="宋体" w:eastAsia="宋体" w:hint="default"/>
          <w:spacing w:val="-53"/>
        </w:rPr>
        <w:t> </w:t>
      </w:r>
      <w:r>
        <w:rPr/>
        <w:t>年</w:t>
      </w:r>
      <w:r>
        <w:rPr>
          <w:spacing w:val="-51"/>
        </w:rPr>
        <w:t> </w:t>
      </w:r>
      <w:r>
        <w:rPr>
          <w:rFonts w:ascii="宋体" w:hAnsi="宋体" w:cs="宋体" w:eastAsia="宋体" w:hint="default"/>
        </w:rPr>
        <w:t>1</w:t>
      </w:r>
      <w:r>
        <w:rPr>
          <w:rFonts w:ascii="宋体" w:hAnsi="宋体" w:cs="宋体" w:eastAsia="宋体" w:hint="default"/>
          <w:spacing w:val="-53"/>
        </w:rPr>
        <w:t> </w:t>
      </w:r>
      <w:r>
        <w:rPr/>
        <w:t>月</w:t>
      </w:r>
      <w:r>
        <w:rPr>
          <w:spacing w:val="-50"/>
        </w:rPr>
        <w:t> </w:t>
      </w:r>
      <w:r>
        <w:rPr>
          <w:rFonts w:ascii="宋体" w:hAnsi="宋体" w:cs="宋体" w:eastAsia="宋体" w:hint="default"/>
        </w:rPr>
        <w:t>1</w:t>
      </w:r>
      <w:r>
        <w:rPr>
          <w:rFonts w:ascii="宋体" w:hAnsi="宋体" w:cs="宋体" w:eastAsia="宋体" w:hint="default"/>
          <w:spacing w:val="-51"/>
        </w:rPr>
        <w:t> </w:t>
      </w:r>
      <w:r>
        <w:rPr>
          <w:spacing w:val="-5"/>
        </w:rPr>
        <w:t>日起，对自行开发的软件产品按</w:t>
      </w:r>
      <w:r>
        <w:rPr>
          <w:spacing w:val="-50"/>
        </w:rPr>
        <w:t> </w:t>
      </w:r>
      <w:r>
        <w:rPr>
          <w:rFonts w:ascii="宋体" w:hAnsi="宋体" w:cs="宋体" w:eastAsia="宋体" w:hint="default"/>
        </w:rPr>
        <w:t>17%</w:t>
      </w:r>
      <w:r>
        <w:rPr/>
        <w:t>的</w:t>
      </w:r>
      <w:r>
        <w:rPr>
          <w:spacing w:val="-99"/>
        </w:rPr>
        <w:t> </w:t>
      </w:r>
      <w:r>
        <w:rPr>
          <w:spacing w:val="-2"/>
        </w:rPr>
        <w:t>法定税率征收增值税后，对其增值税实际税负超过</w:t>
      </w:r>
      <w:r>
        <w:rPr>
          <w:spacing w:val="11"/>
        </w:rPr>
        <w:t> </w:t>
      </w:r>
      <w:r>
        <w:rPr>
          <w:rFonts w:ascii="宋体" w:hAnsi="宋体" w:cs="宋体" w:eastAsia="宋体" w:hint="default"/>
          <w:spacing w:val="-2"/>
        </w:rPr>
        <w:t>3%</w:t>
      </w:r>
      <w:r>
        <w:rPr>
          <w:spacing w:val="-2"/>
        </w:rPr>
        <w:t>的部分实行即征即退政策。</w:t>
      </w:r>
      <w:r>
        <w:rPr>
          <w:rFonts w:ascii="宋体" w:hAnsi="宋体" w:cs="宋体" w:eastAsia="宋体" w:hint="default"/>
        </w:rPr>
        <w:t> </w:t>
      </w:r>
    </w:p>
    <w:p>
      <w:pPr>
        <w:pStyle w:val="BodyText"/>
        <w:spacing w:line="237" w:lineRule="auto"/>
        <w:ind w:left="236" w:right="1790"/>
        <w:jc w:val="both"/>
        <w:rPr>
          <w:rFonts w:ascii="宋体" w:hAnsi="宋体" w:cs="宋体" w:eastAsia="宋体" w:hint="default"/>
        </w:rPr>
      </w:pPr>
      <w:r>
        <w:rPr>
          <w:spacing w:val="-7"/>
        </w:rPr>
        <w:t>根据《财政部</w:t>
      </w:r>
      <w:r>
        <w:rPr>
          <w:spacing w:val="71"/>
        </w:rPr>
        <w:t> </w:t>
      </w:r>
      <w:r>
        <w:rPr>
          <w:rFonts w:ascii="宋体" w:hAnsi="宋体" w:cs="宋体" w:eastAsia="宋体" w:hint="default"/>
          <w:spacing w:val="71"/>
        </w:rPr>
      </w:r>
      <w:r>
        <w:rPr>
          <w:spacing w:val="-4"/>
        </w:rPr>
        <w:t>国家税务总局关于将铁路运输和邮政业纳入营业税改征增值税试点的通知》（财税</w:t>
      </w:r>
      <w:r>
        <w:rPr>
          <w:spacing w:val="-92"/>
        </w:rPr>
        <w:t> </w:t>
      </w:r>
      <w:r>
        <w:rPr>
          <w:spacing w:val="-92"/>
        </w:rPr>
      </w:r>
      <w:r>
        <w:rPr/>
        <w:t>字 </w:t>
      </w:r>
      <w:r>
        <w:rPr>
          <w:rFonts w:ascii="宋体" w:hAnsi="宋体" w:cs="宋体" w:eastAsia="宋体" w:hint="default"/>
        </w:rPr>
        <w:t>[2013] 106</w:t>
      </w:r>
      <w:r>
        <w:rPr>
          <w:rFonts w:ascii="宋体" w:hAnsi="宋体" w:cs="宋体" w:eastAsia="宋体" w:hint="default"/>
          <w:spacing w:val="7"/>
        </w:rPr>
        <w:t> </w:t>
      </w:r>
      <w:r>
        <w:rPr/>
        <w:t>号）文件规定，本公司控股子公司泰豪软件股份有限公司技术开发收入免征增值</w:t>
      </w:r>
      <w:r>
        <w:rPr>
          <w:w w:val="100"/>
        </w:rPr>
        <w:t> </w:t>
      </w:r>
      <w:r>
        <w:rPr/>
        <w:t>税。</w:t>
      </w:r>
      <w:r>
        <w:rPr>
          <w:rFonts w:ascii="宋体" w:hAnsi="宋体" w:cs="宋体" w:eastAsia="宋体" w:hint="default"/>
        </w:rPr>
        <w:t> </w:t>
      </w:r>
    </w:p>
    <w:p>
      <w:pPr>
        <w:pStyle w:val="Heading3"/>
        <w:spacing w:line="307" w:lineRule="exact"/>
        <w:ind w:left="236" w:right="0"/>
        <w:jc w:val="left"/>
        <w:rPr>
          <w:rFonts w:ascii="宋体" w:hAnsi="宋体" w:cs="宋体" w:eastAsia="宋体" w:hint="default"/>
        </w:rPr>
      </w:pPr>
      <w:r>
        <w:rPr>
          <w:rFonts w:ascii="宋体"/>
        </w:rPr>
        <w:t> </w:t>
      </w:r>
    </w:p>
    <w:p>
      <w:pPr>
        <w:pStyle w:val="Heading5"/>
        <w:tabs>
          <w:tab w:pos="661" w:val="left" w:leader="none"/>
        </w:tabs>
        <w:spacing w:line="240" w:lineRule="auto" w:before="61"/>
        <w:ind w:left="236" w:right="1681"/>
        <w:jc w:val="left"/>
        <w:rPr>
          <w:rFonts w:ascii="宋体" w:hAnsi="宋体" w:cs="宋体" w:eastAsia="宋体" w:hint="default"/>
          <w:b w:val="0"/>
          <w:bCs w:val="0"/>
        </w:rPr>
      </w:pPr>
      <w:r>
        <w:rPr>
          <w:rFonts w:ascii="宋体" w:hAnsi="宋体" w:cs="宋体" w:eastAsia="宋体" w:hint="default"/>
          <w:w w:val="95"/>
        </w:rPr>
        <w:t>3.</w:t>
        <w:tab/>
      </w:r>
      <w:r>
        <w:rPr/>
        <w:t>其他</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236" w:right="1681"/>
        <w:jc w:val="left"/>
        <w:rPr>
          <w:rFonts w:ascii="宋体" w:hAnsi="宋体" w:cs="宋体" w:eastAsia="宋体" w:hint="default"/>
        </w:rPr>
      </w:pPr>
      <w:r>
        <w:rPr/>
        <w:t>√适用□不适用</w:t>
      </w:r>
      <w:r>
        <w:rPr>
          <w:rFonts w:ascii="宋体" w:hAnsi="宋体" w:cs="宋体" w:eastAsia="宋体" w:hint="default"/>
        </w:rPr>
        <w:t>  </w:t>
      </w:r>
    </w:p>
    <w:p>
      <w:pPr>
        <w:pStyle w:val="BodyText"/>
        <w:spacing w:line="240" w:lineRule="auto" w:before="1"/>
        <w:ind w:left="236" w:right="1681"/>
        <w:jc w:val="left"/>
        <w:rPr>
          <w:rFonts w:ascii="宋体" w:hAnsi="宋体" w:cs="宋体" w:eastAsia="宋体" w:hint="default"/>
          <w:sz w:val="24"/>
          <w:szCs w:val="24"/>
        </w:rPr>
      </w:pPr>
      <w:r>
        <w:rPr/>
        <w:t>根据财政部</w:t>
      </w:r>
      <w:r>
        <w:rPr>
          <w:spacing w:val="-1"/>
        </w:rPr>
        <w:t> </w:t>
      </w:r>
      <w:r>
        <w:rPr>
          <w:rFonts w:ascii="宋体" w:hAnsi="宋体" w:cs="宋体" w:eastAsia="宋体" w:hint="default"/>
          <w:spacing w:val="-1"/>
        </w:rPr>
      </w:r>
      <w:r>
        <w:rPr/>
        <w:t>税务总局</w:t>
      </w:r>
      <w:r>
        <w:rPr>
          <w:spacing w:val="-1"/>
        </w:rPr>
        <w:t> </w:t>
      </w:r>
      <w:r>
        <w:rPr>
          <w:rFonts w:ascii="宋体" w:hAnsi="宋体" w:cs="宋体" w:eastAsia="宋体" w:hint="default"/>
          <w:spacing w:val="-1"/>
        </w:rPr>
      </w:r>
      <w:r>
        <w:rPr/>
        <w:t>海关总署公告</w:t>
      </w:r>
      <w:r>
        <w:rPr>
          <w:spacing w:val="-51"/>
        </w:rPr>
        <w:t> </w:t>
      </w:r>
      <w:r>
        <w:rPr>
          <w:rFonts w:ascii="宋体" w:hAnsi="宋体" w:cs="宋体" w:eastAsia="宋体" w:hint="default"/>
        </w:rPr>
        <w:t>2019</w:t>
      </w:r>
      <w:r>
        <w:rPr>
          <w:rFonts w:ascii="宋体" w:hAnsi="宋体" w:cs="宋体" w:eastAsia="宋体" w:hint="default"/>
          <w:spacing w:val="-51"/>
        </w:rPr>
        <w:t> </w:t>
      </w:r>
      <w:r>
        <w:rPr/>
        <w:t>年第</w:t>
      </w:r>
      <w:r>
        <w:rPr>
          <w:spacing w:val="-51"/>
        </w:rPr>
        <w:t> </w:t>
      </w:r>
      <w:r>
        <w:rPr>
          <w:rFonts w:ascii="宋体" w:hAnsi="宋体" w:cs="宋体" w:eastAsia="宋体" w:hint="default"/>
        </w:rPr>
        <w:t>39</w:t>
      </w:r>
      <w:r>
        <w:rPr>
          <w:rFonts w:ascii="宋体" w:hAnsi="宋体" w:cs="宋体" w:eastAsia="宋体" w:hint="default"/>
          <w:spacing w:val="-54"/>
        </w:rPr>
        <w:t> </w:t>
      </w:r>
      <w:r>
        <w:rPr/>
        <w:t>号文件规定，本公司及其控股子公司增值税应</w:t>
      </w:r>
      <w:r>
        <w:rPr>
          <w:w w:val="100"/>
        </w:rPr>
        <w:t> </w:t>
      </w:r>
      <w:r>
        <w:rPr/>
        <w:t>税销售行为，自</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4</w:t>
      </w:r>
      <w:r>
        <w:rPr>
          <w:rFonts w:ascii="宋体" w:hAnsi="宋体" w:cs="宋体" w:eastAsia="宋体" w:hint="default"/>
          <w:spacing w:val="-56"/>
        </w:rPr>
        <w:t> </w:t>
      </w:r>
      <w:r>
        <w:rPr/>
        <w:t>月</w:t>
      </w:r>
      <w:r>
        <w:rPr>
          <w:spacing w:val="-53"/>
        </w:rPr>
        <w:t> </w:t>
      </w:r>
      <w:r>
        <w:rPr>
          <w:rFonts w:ascii="宋体" w:hAnsi="宋体" w:cs="宋体" w:eastAsia="宋体" w:hint="default"/>
        </w:rPr>
        <w:t>1</w:t>
      </w:r>
      <w:r>
        <w:rPr>
          <w:rFonts w:ascii="宋体" w:hAnsi="宋体" w:cs="宋体" w:eastAsia="宋体" w:hint="default"/>
          <w:spacing w:val="-54"/>
        </w:rPr>
        <w:t> </w:t>
      </w:r>
      <w:r>
        <w:rPr/>
        <w:t>日起原适用</w:t>
      </w:r>
      <w:r>
        <w:rPr>
          <w:spacing w:val="-54"/>
        </w:rPr>
        <w:t> </w:t>
      </w:r>
      <w:r>
        <w:rPr>
          <w:rFonts w:ascii="宋体" w:hAnsi="宋体" w:cs="宋体" w:eastAsia="宋体" w:hint="default"/>
        </w:rPr>
        <w:t>16%</w:t>
      </w:r>
      <w:r>
        <w:rPr/>
        <w:t>和</w:t>
      </w:r>
      <w:r>
        <w:rPr>
          <w:spacing w:val="-54"/>
        </w:rPr>
        <w:t> </w:t>
      </w:r>
      <w:r>
        <w:rPr>
          <w:rFonts w:ascii="宋体" w:hAnsi="宋体" w:cs="宋体" w:eastAsia="宋体" w:hint="default"/>
        </w:rPr>
        <w:t>10%</w:t>
      </w:r>
      <w:r>
        <w:rPr/>
        <w:t>税率的，税率分别计调整为</w:t>
      </w:r>
      <w:r>
        <w:rPr>
          <w:spacing w:val="-54"/>
        </w:rPr>
        <w:t> </w:t>
      </w:r>
      <w:r>
        <w:rPr>
          <w:rFonts w:ascii="宋体" w:hAnsi="宋体" w:cs="宋体" w:eastAsia="宋体" w:hint="default"/>
        </w:rPr>
        <w:t>13%</w:t>
      </w:r>
      <w:r>
        <w:rPr/>
        <w:t>，</w:t>
      </w:r>
      <w:r>
        <w:rPr>
          <w:rFonts w:ascii="宋体" w:hAnsi="宋体" w:cs="宋体" w:eastAsia="宋体" w:hint="default"/>
        </w:rPr>
        <w:t>9%</w:t>
      </w:r>
      <w:r>
        <w:rPr/>
        <w:t>。</w:t>
      </w:r>
      <w:r>
        <w:rPr>
          <w:rFonts w:ascii="宋体" w:hAnsi="宋体" w:cs="宋体" w:eastAsia="宋体" w:hint="default"/>
          <w:sz w:val="24"/>
          <w:szCs w:val="24"/>
        </w:rPr>
        <w:t> </w:t>
      </w:r>
    </w:p>
    <w:p>
      <w:pPr>
        <w:pStyle w:val="Heading3"/>
        <w:spacing w:line="304" w:lineRule="exact"/>
        <w:ind w:left="236" w:right="0"/>
        <w:jc w:val="left"/>
        <w:rPr>
          <w:rFonts w:ascii="宋体" w:hAnsi="宋体" w:cs="宋体" w:eastAsia="宋体" w:hint="default"/>
        </w:rPr>
      </w:pPr>
      <w:r>
        <w:rPr>
          <w:rFonts w:ascii="宋体"/>
        </w:rPr>
        <w:t> </w:t>
      </w:r>
    </w:p>
    <w:p>
      <w:pPr>
        <w:pStyle w:val="Heading5"/>
        <w:spacing w:line="290" w:lineRule="auto"/>
        <w:ind w:left="236" w:right="8078"/>
        <w:jc w:val="left"/>
        <w:rPr>
          <w:b w:val="0"/>
          <w:bCs w:val="0"/>
        </w:rPr>
      </w:pPr>
      <w:r>
        <w:rPr/>
        <w:t>七、</w:t>
      </w:r>
      <w:r>
        <w:rPr>
          <w:spacing w:val="-104"/>
        </w:rPr>
        <w:t> </w:t>
      </w:r>
      <w:r>
        <w:rPr>
          <w:rFonts w:ascii="宋体" w:hAnsi="宋体" w:cs="宋体" w:eastAsia="宋体" w:hint="default"/>
          <w:spacing w:val="-104"/>
        </w:rPr>
      </w:r>
      <w:r>
        <w:rPr/>
        <w:t>合并财务报表项目注释</w:t>
      </w:r>
      <w:r>
        <w:rPr>
          <w:w w:val="100"/>
        </w:rPr>
        <w:t> </w:t>
      </w:r>
      <w:r>
        <w:rPr>
          <w:rFonts w:ascii="宋体" w:hAnsi="宋体" w:cs="宋体" w:eastAsia="宋体" w:hint="default"/>
        </w:rPr>
        <w:t>1</w:t>
      </w:r>
      <w:r>
        <w:rPr/>
        <w:t>、</w:t>
      </w:r>
      <w:r>
        <w:rPr>
          <w:spacing w:val="-2"/>
        </w:rPr>
        <w:t> </w:t>
      </w:r>
      <w:r>
        <w:rPr/>
        <w:t>货币资金</w:t>
      </w:r>
      <w:r>
        <w:rPr>
          <w:b w:val="0"/>
          <w:bCs w:val="0"/>
        </w:rPr>
      </w:r>
    </w:p>
    <w:p>
      <w:pPr>
        <w:pStyle w:val="Heading3"/>
        <w:spacing w:line="240" w:lineRule="auto" w:before="6"/>
        <w:ind w:left="236" w:right="1681"/>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4"/>
        <w:ind w:left="6759" w:right="1681"/>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276"/>
        <w:gridCol w:w="3380"/>
        <w:gridCol w:w="3406"/>
      </w:tblGrid>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库存现金</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114,272.18</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5"/>
              <w:jc w:val="right"/>
              <w:rPr>
                <w:rFonts w:ascii="Times New Roman" w:hAnsi="Times New Roman" w:cs="Times New Roman" w:eastAsia="Times New Roman" w:hint="default"/>
                <w:sz w:val="21"/>
                <w:szCs w:val="21"/>
              </w:rPr>
            </w:pPr>
            <w:r>
              <w:rPr>
                <w:rFonts w:ascii="Times New Roman"/>
                <w:spacing w:val="-1"/>
                <w:sz w:val="21"/>
              </w:rPr>
              <w:t>54,024.46</w:t>
            </w:r>
          </w:p>
        </w:tc>
      </w:tr>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银行存款</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1,651,037,139.29</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1"/>
                <w:szCs w:val="21"/>
              </w:rPr>
            </w:pPr>
            <w:r>
              <w:rPr>
                <w:rFonts w:ascii="Times New Roman"/>
                <w:spacing w:val="-1"/>
                <w:sz w:val="21"/>
              </w:rPr>
              <w:t>1,333,895,431.21</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其他货币资金</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965,598,850.12</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Times New Roman" w:hAnsi="Times New Roman" w:cs="Times New Roman" w:eastAsia="Times New Roman" w:hint="default"/>
                <w:sz w:val="21"/>
                <w:szCs w:val="21"/>
              </w:rPr>
            </w:pPr>
            <w:r>
              <w:rPr>
                <w:rFonts w:ascii="Times New Roman"/>
                <w:spacing w:val="-1"/>
                <w:sz w:val="21"/>
              </w:rPr>
              <w:t>122,326,540.19</w:t>
            </w:r>
          </w:p>
        </w:tc>
      </w:tr>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2,616,750,261.59</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Times New Roman" w:hAnsi="Times New Roman" w:cs="Times New Roman" w:eastAsia="Times New Roman" w:hint="default"/>
                <w:sz w:val="21"/>
                <w:szCs w:val="21"/>
              </w:rPr>
            </w:pPr>
            <w:r>
              <w:rPr>
                <w:rFonts w:ascii="Times New Roman"/>
                <w:spacing w:val="-1"/>
                <w:sz w:val="21"/>
              </w:rPr>
              <w:t>1,456,275,995.86</w:t>
            </w:r>
          </w:p>
        </w:tc>
      </w:tr>
      <w:tr>
        <w:trPr>
          <w:trHeight w:val="557"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6" w:right="0"/>
              <w:jc w:val="center"/>
              <w:rPr>
                <w:rFonts w:ascii="宋体" w:hAnsi="宋体" w:cs="宋体" w:eastAsia="宋体" w:hint="default"/>
                <w:sz w:val="21"/>
                <w:szCs w:val="21"/>
              </w:rPr>
            </w:pPr>
            <w:r>
              <w:rPr>
                <w:rFonts w:ascii="宋体" w:hAnsi="宋体" w:cs="宋体" w:eastAsia="宋体" w:hint="default"/>
                <w:spacing w:val="-7"/>
                <w:sz w:val="21"/>
                <w:szCs w:val="21"/>
              </w:rPr>
              <w:t>其中：存放在境外的</w:t>
            </w:r>
          </w:p>
          <w:p>
            <w:pPr>
              <w:pStyle w:val="TableParagraph"/>
              <w:spacing w:line="273" w:lineRule="exact"/>
              <w:ind w:left="106" w:right="0"/>
              <w:jc w:val="center"/>
              <w:rPr>
                <w:rFonts w:ascii="宋体" w:hAnsi="宋体" w:cs="宋体" w:eastAsia="宋体" w:hint="default"/>
                <w:sz w:val="21"/>
                <w:szCs w:val="21"/>
              </w:rPr>
            </w:pPr>
            <w:r>
              <w:rPr>
                <w:rFonts w:ascii="宋体" w:hAnsi="宋体" w:cs="宋体" w:eastAsia="宋体" w:hint="default"/>
                <w:sz w:val="21"/>
                <w:szCs w:val="21"/>
              </w:rPr>
              <w:t>款项总额</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6,157,579.34</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6"/>
              <w:jc w:val="right"/>
              <w:rPr>
                <w:rFonts w:ascii="Times New Roman" w:hAnsi="Times New Roman" w:cs="Times New Roman" w:eastAsia="Times New Roman" w:hint="default"/>
                <w:sz w:val="21"/>
                <w:szCs w:val="21"/>
              </w:rPr>
            </w:pPr>
            <w:r>
              <w:rPr>
                <w:rFonts w:ascii="Times New Roman"/>
                <w:spacing w:val="-1"/>
                <w:sz w:val="21"/>
              </w:rPr>
              <w:t>35,696,957.46</w:t>
            </w:r>
          </w:p>
        </w:tc>
      </w:tr>
    </w:tbl>
    <w:p>
      <w:pPr>
        <w:spacing w:line="240" w:lineRule="auto" w:before="13"/>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footerReference w:type="default" r:id="rId48"/>
          <w:pgSz w:w="11910" w:h="16840"/>
          <w:pgMar w:footer="1195" w:header="882" w:top="1120" w:bottom="1380" w:left="1040" w:right="0"/>
          <w:pgNumType w:start="108"/>
        </w:sectPr>
      </w:pPr>
    </w:p>
    <w:p>
      <w:pPr>
        <w:pStyle w:val="BodyText"/>
        <w:spacing w:line="240" w:lineRule="auto" w:before="36"/>
        <w:ind w:left="236" w:right="0"/>
        <w:jc w:val="left"/>
        <w:rPr>
          <w:rFonts w:ascii="宋体" w:hAnsi="宋体" w:cs="宋体" w:eastAsia="宋体" w:hint="default"/>
        </w:rPr>
      </w:pPr>
      <w:r>
        <w:rPr/>
        <w:t>其他说明</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14"/>
          <w:szCs w:val="14"/>
        </w:rPr>
      </w:pPr>
    </w:p>
    <w:p>
      <w:pPr>
        <w:pStyle w:val="BodyText"/>
        <w:spacing w:line="272" w:lineRule="exact"/>
        <w:ind w:left="236" w:right="958" w:firstLine="314"/>
        <w:jc w:val="left"/>
        <w:rPr>
          <w:rFonts w:ascii="宋体" w:hAnsi="宋体" w:cs="宋体" w:eastAsia="宋体" w:hint="default"/>
        </w:rPr>
      </w:pPr>
      <w:r>
        <w:rPr/>
        <w:t>其他货币资金明细：</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t>单位：元</w:t>
      </w:r>
      <w:r>
        <w:rPr>
          <w:spacing w:val="-3"/>
        </w:rPr>
        <w:t> </w:t>
      </w:r>
      <w:r>
        <w:rPr>
          <w:rFonts w:ascii="宋体" w:hAnsi="宋体" w:cs="宋体" w:eastAsia="宋体" w:hint="default"/>
          <w:spacing w:val="-3"/>
        </w:rPr>
      </w:r>
      <w:r>
        <w:rPr/>
        <w:t>币种：人民币</w:t>
      </w:r>
      <w:r>
        <w:rPr>
          <w:rFonts w:ascii="宋体" w:hAnsi="宋体" w:cs="宋体" w:eastAsia="宋体" w:hint="default"/>
        </w:rPr>
        <w:t> </w:t>
      </w:r>
    </w:p>
    <w:p>
      <w:pPr>
        <w:spacing w:after="0" w:line="272" w:lineRule="exact"/>
        <w:jc w:val="left"/>
        <w:rPr>
          <w:rFonts w:ascii="宋体" w:hAnsi="宋体" w:cs="宋体" w:eastAsia="宋体" w:hint="default"/>
        </w:rPr>
        <w:sectPr>
          <w:type w:val="continuous"/>
          <w:pgSz w:w="11910" w:h="16840"/>
          <w:pgMar w:top="1120" w:bottom="1380" w:left="1040" w:right="0"/>
          <w:cols w:num="2" w:equalWidth="0">
            <w:col w:w="1183" w:space="5444"/>
            <w:col w:w="4243"/>
          </w:cols>
        </w:sectPr>
      </w:pPr>
    </w:p>
    <w:p>
      <w:pPr>
        <w:spacing w:line="240" w:lineRule="auto" w:before="11"/>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2893"/>
        <w:gridCol w:w="3118"/>
        <w:gridCol w:w="3053"/>
      </w:tblGrid>
      <w:tr>
        <w:trPr>
          <w:trHeight w:val="360" w:hRule="exact"/>
        </w:trPr>
        <w:tc>
          <w:tcPr>
            <w:tcW w:w="2893" w:type="dxa"/>
            <w:tcBorders>
              <w:top w:val="single" w:sz="12" w:space="0" w:color="000000"/>
              <w:left w:val="nil" w:sz="6" w:space="0" w:color="auto"/>
              <w:bottom w:val="single" w:sz="4" w:space="0" w:color="000000"/>
              <w:right w:val="single" w:sz="4" w:space="0" w:color="000000"/>
            </w:tcBorders>
          </w:tcPr>
          <w:p>
            <w:pPr>
              <w:pStyle w:val="TableParagraph"/>
              <w:spacing w:line="274" w:lineRule="exact"/>
              <w:ind w:left="979" w:right="0"/>
              <w:jc w:val="left"/>
              <w:rPr>
                <w:rFonts w:ascii="宋体" w:hAnsi="宋体" w:cs="宋体" w:eastAsia="宋体" w:hint="default"/>
                <w:sz w:val="21"/>
                <w:szCs w:val="21"/>
              </w:rPr>
            </w:pPr>
            <w:r>
              <w:rPr>
                <w:rFonts w:ascii="宋体" w:hAnsi="宋体" w:cs="宋体" w:eastAsia="宋体" w:hint="default"/>
                <w:sz w:val="21"/>
                <w:szCs w:val="21"/>
              </w:rPr>
              <w:t>类    </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pacing w:val="-3"/>
                <w:sz w:val="21"/>
                <w:szCs w:val="21"/>
              </w:rPr>
              <w:t>别</w:t>
            </w:r>
            <w:r>
              <w:rPr>
                <w:rFonts w:ascii="宋体" w:hAnsi="宋体" w:cs="宋体" w:eastAsia="宋体" w:hint="default"/>
                <w:sz w:val="21"/>
                <w:szCs w:val="21"/>
              </w:rPr>
              <w:t> </w:t>
            </w:r>
          </w:p>
        </w:tc>
        <w:tc>
          <w:tcPr>
            <w:tcW w:w="3118"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left="113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53" w:type="dxa"/>
            <w:tcBorders>
              <w:top w:val="single" w:sz="12" w:space="0" w:color="000000"/>
              <w:left w:val="single" w:sz="4" w:space="0" w:color="000000"/>
              <w:bottom w:val="single" w:sz="4" w:space="0" w:color="000000"/>
              <w:right w:val="nil" w:sz="6" w:space="0" w:color="auto"/>
            </w:tcBorders>
          </w:tcPr>
          <w:p>
            <w:pPr>
              <w:pStyle w:val="TableParagraph"/>
              <w:spacing w:line="274" w:lineRule="exact"/>
              <w:ind w:left="110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50" w:hRule="exact"/>
        </w:trPr>
        <w:tc>
          <w:tcPr>
            <w:tcW w:w="289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票据、保函保证金</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0"/>
                <w:szCs w:val="20"/>
              </w:rPr>
            </w:pPr>
            <w:r>
              <w:rPr>
                <w:rFonts w:ascii="Times New Roman"/>
                <w:w w:val="95"/>
                <w:sz w:val="20"/>
              </w:rPr>
              <w:t>962,998,096.22</w:t>
            </w:r>
            <w:r>
              <w:rPr>
                <w:rFonts w:ascii="Times New Roman"/>
                <w:sz w:val="20"/>
              </w:rPr>
            </w:r>
          </w:p>
        </w:tc>
        <w:tc>
          <w:tcPr>
            <w:tcW w:w="30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20"/>
                <w:szCs w:val="20"/>
              </w:rPr>
            </w:pPr>
            <w:r>
              <w:rPr>
                <w:rFonts w:ascii="Times New Roman"/>
                <w:w w:val="95"/>
                <w:sz w:val="20"/>
              </w:rPr>
              <w:t>119,925,791.62</w:t>
            </w:r>
            <w:r>
              <w:rPr>
                <w:rFonts w:ascii="Times New Roman"/>
                <w:sz w:val="20"/>
              </w:rPr>
            </w:r>
          </w:p>
        </w:tc>
      </w:tr>
      <w:tr>
        <w:trPr>
          <w:trHeight w:val="350" w:hRule="exact"/>
        </w:trPr>
        <w:tc>
          <w:tcPr>
            <w:tcW w:w="289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存出投资款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0"/>
                <w:szCs w:val="20"/>
              </w:rPr>
            </w:pPr>
            <w:r>
              <w:rPr>
                <w:rFonts w:ascii="Times New Roman"/>
                <w:w w:val="95"/>
                <w:sz w:val="20"/>
              </w:rPr>
              <w:t>99,248.74</w:t>
            </w:r>
            <w:r>
              <w:rPr>
                <w:rFonts w:ascii="Times New Roman"/>
                <w:sz w:val="20"/>
              </w:rPr>
            </w:r>
          </w:p>
        </w:tc>
        <w:tc>
          <w:tcPr>
            <w:tcW w:w="30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20"/>
                <w:szCs w:val="20"/>
              </w:rPr>
            </w:pPr>
            <w:r>
              <w:rPr>
                <w:rFonts w:ascii="Times New Roman"/>
                <w:w w:val="95"/>
                <w:sz w:val="20"/>
              </w:rPr>
              <w:t>99,248.74</w:t>
            </w:r>
            <w:r>
              <w:rPr>
                <w:rFonts w:ascii="Times New Roman"/>
                <w:sz w:val="20"/>
              </w:rPr>
            </w:r>
          </w:p>
        </w:tc>
      </w:tr>
      <w:tr>
        <w:trPr>
          <w:trHeight w:val="348" w:hRule="exact"/>
        </w:trPr>
        <w:tc>
          <w:tcPr>
            <w:tcW w:w="289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2,000,000.00</w:t>
            </w:r>
          </w:p>
        </w:tc>
        <w:tc>
          <w:tcPr>
            <w:tcW w:w="30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spacing w:val="-1"/>
                <w:sz w:val="21"/>
              </w:rPr>
              <w:t>2,300,000.00</w:t>
            </w:r>
          </w:p>
        </w:tc>
      </w:tr>
      <w:tr>
        <w:trPr>
          <w:trHeight w:val="350" w:hRule="exact"/>
        </w:trPr>
        <w:tc>
          <w:tcPr>
            <w:tcW w:w="2893"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证券公司存款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1,505.16</w:t>
            </w:r>
          </w:p>
        </w:tc>
        <w:tc>
          <w:tcPr>
            <w:tcW w:w="30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1,499.83</w:t>
            </w:r>
          </w:p>
        </w:tc>
      </w:tr>
      <w:tr>
        <w:trPr>
          <w:trHeight w:val="350" w:hRule="exact"/>
        </w:trPr>
        <w:tc>
          <w:tcPr>
            <w:tcW w:w="289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农民工工资保证金</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500,000.00</w:t>
            </w:r>
          </w:p>
        </w:tc>
        <w:tc>
          <w:tcPr>
            <w:tcW w:w="3053"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893" w:type="dxa"/>
            <w:tcBorders>
              <w:top w:val="single" w:sz="4" w:space="0" w:color="000000"/>
              <w:left w:val="nil" w:sz="6" w:space="0" w:color="auto"/>
              <w:bottom w:val="single" w:sz="12" w:space="0" w:color="000000"/>
              <w:right w:val="single" w:sz="4" w:space="0" w:color="000000"/>
            </w:tcBorders>
          </w:tcPr>
          <w:p>
            <w:pPr>
              <w:pStyle w:val="TableParagraph"/>
              <w:spacing w:line="274" w:lineRule="exact"/>
              <w:ind w:left="12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965,598,850.12</w:t>
            </w:r>
          </w:p>
        </w:tc>
        <w:tc>
          <w:tcPr>
            <w:tcW w:w="305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122,326,540.19</w:t>
            </w:r>
          </w:p>
        </w:tc>
      </w:tr>
    </w:tbl>
    <w:p>
      <w:pPr>
        <w:pStyle w:val="Heading3"/>
        <w:spacing w:line="274" w:lineRule="exact"/>
        <w:ind w:left="236" w:right="0"/>
        <w:jc w:val="left"/>
        <w:rPr>
          <w:rFonts w:ascii="宋体" w:hAnsi="宋体" w:cs="宋体" w:eastAsia="宋体" w:hint="default"/>
        </w:rPr>
      </w:pPr>
      <w:r>
        <w:rPr>
          <w:rFonts w:ascii="宋体"/>
        </w:rPr>
        <w:t> </w:t>
      </w:r>
    </w:p>
    <w:p>
      <w:pPr>
        <w:spacing w:after="0" w:line="274" w:lineRule="exact"/>
        <w:jc w:val="left"/>
        <w:rPr>
          <w:rFonts w:ascii="宋体" w:hAnsi="宋体" w:cs="宋体" w:eastAsia="宋体" w:hint="default"/>
        </w:rPr>
        <w:sectPr>
          <w:type w:val="continuous"/>
          <w:pgSz w:w="11910" w:h="16840"/>
          <w:pgMar w:top="1120" w:bottom="1380" w:left="1040" w:right="0"/>
        </w:sectPr>
      </w:pPr>
    </w:p>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760"/>
        </w:sectPr>
      </w:pPr>
    </w:p>
    <w:p>
      <w:pPr>
        <w:pStyle w:val="Heading3"/>
        <w:spacing w:line="240" w:lineRule="auto" w:before="26"/>
        <w:ind w:right="0"/>
        <w:jc w:val="left"/>
        <w:rPr>
          <w:rFonts w:ascii="宋体" w:hAnsi="宋体" w:cs="宋体" w:eastAsia="宋体" w:hint="default"/>
        </w:rPr>
      </w:pPr>
      <w:r>
        <w:rPr>
          <w:rFonts w:ascii="宋体"/>
        </w:rPr>
        <w:t> </w:t>
      </w:r>
    </w:p>
    <w:p>
      <w:pPr>
        <w:pStyle w:val="Heading5"/>
        <w:spacing w:line="240" w:lineRule="auto"/>
        <w:ind w:right="0"/>
        <w:jc w:val="left"/>
        <w:rPr>
          <w:b w:val="0"/>
          <w:bCs w:val="0"/>
        </w:rPr>
      </w:pPr>
      <w:r>
        <w:rPr>
          <w:rFonts w:ascii="宋体" w:hAnsi="宋体" w:cs="宋体" w:eastAsia="宋体" w:hint="default"/>
        </w:rPr>
        <w:t>2</w:t>
      </w:r>
      <w:r>
        <w:rPr/>
        <w:t>、</w:t>
      </w:r>
      <w:r>
        <w:rPr>
          <w:spacing w:val="-1"/>
        </w:rPr>
        <w:t> </w:t>
      </w:r>
      <w:r>
        <w:rPr/>
        <w:t>交易性金融资产</w:t>
      </w:r>
      <w:r>
        <w:rPr>
          <w:b w:val="0"/>
          <w:bCs w:val="0"/>
        </w:rPr>
      </w:r>
    </w:p>
    <w:p>
      <w:pPr>
        <w:pStyle w:val="Heading3"/>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32"/>
          <w:szCs w:val="32"/>
        </w:rPr>
      </w:pPr>
    </w:p>
    <w:p>
      <w:pPr>
        <w:pStyle w:val="BodyText"/>
        <w:spacing w:line="240" w:lineRule="auto"/>
        <w:ind w:left="216" w:right="0"/>
        <w:jc w:val="left"/>
        <w:rPr>
          <w:rFonts w:ascii="宋体" w:hAnsi="宋体" w:cs="宋体" w:eastAsia="宋体" w:hint="default"/>
        </w:rPr>
      </w:pPr>
      <w:r>
        <w:rPr>
          <w:rFonts w:ascii="宋体" w:hAnsi="宋体" w:cs="宋体" w:eastAsia="宋体" w:hint="default"/>
          <w:sz w:val="24"/>
          <w:szCs w:val="24"/>
        </w:rPr>
        <w:t>  </w:t>
      </w:r>
      <w:r>
        <w:rPr>
          <w:rFonts w:ascii="宋体" w:hAnsi="宋体" w:cs="宋体" w:eastAsia="宋体" w:hint="default"/>
          <w:w w:val="100"/>
        </w:rPr>
        <w:t>  </w:t>
      </w:r>
      <w:r>
        <w:rPr/>
        <w:t>单位：元</w:t>
      </w:r>
      <w:r>
        <w:rPr>
          <w:spacing w:val="100"/>
        </w:rPr>
        <w:t> </w:t>
      </w:r>
      <w:r>
        <w:rPr>
          <w:rFonts w:ascii="宋体" w:hAnsi="宋体" w:cs="宋体" w:eastAsia="宋体" w:hint="default"/>
          <w:spacing w:val="100"/>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760"/>
          <w:cols w:num="2" w:equalWidth="0">
            <w:col w:w="2258" w:space="3772"/>
            <w:col w:w="4060"/>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651"/>
        <w:gridCol w:w="2688"/>
        <w:gridCol w:w="2710"/>
      </w:tblGrid>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0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w w:val="95"/>
                <w:sz w:val="20"/>
              </w:rPr>
              <w:t>116,080,000.00</w:t>
            </w:r>
            <w:r>
              <w:rPr>
                <w:rFonts w:ascii="Times New Roman"/>
                <w:sz w:val="20"/>
              </w:rPr>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w w:val="95"/>
                <w:sz w:val="20"/>
              </w:rPr>
              <w:t>49,000,000.00</w:t>
            </w:r>
            <w:r>
              <w:rPr>
                <w:rFonts w:ascii="Times New Roman"/>
                <w:sz w:val="20"/>
              </w:rPr>
            </w:r>
          </w:p>
        </w:tc>
      </w:tr>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28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0" w:right="0"/>
              <w:jc w:val="left"/>
              <w:rPr>
                <w:rFonts w:ascii="宋体" w:hAnsi="宋体" w:cs="宋体" w:eastAsia="宋体" w:hint="default"/>
                <w:sz w:val="21"/>
                <w:szCs w:val="21"/>
              </w:rPr>
            </w:pP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116,080,000.00</w:t>
            </w:r>
            <w:r>
              <w:rPr>
                <w:rFonts w:ascii="Times New Roman"/>
                <w:sz w:val="20"/>
              </w:rPr>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49,000,000.00</w:t>
            </w:r>
            <w:r>
              <w:rPr>
                <w:rFonts w:ascii="Times New Roman"/>
                <w:sz w:val="20"/>
              </w:rPr>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50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116,080,000.00</w:t>
            </w:r>
            <w:r>
              <w:rPr>
                <w:rFonts w:ascii="Times New Roman"/>
                <w:sz w:val="20"/>
              </w:rPr>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49,000,000.00</w:t>
            </w:r>
            <w:r>
              <w:rPr>
                <w:rFonts w:ascii="Times New Roman"/>
                <w:sz w:val="20"/>
              </w:rPr>
            </w:r>
          </w:p>
        </w:tc>
      </w:tr>
    </w:tbl>
    <w:p>
      <w:pPr>
        <w:spacing w:line="240" w:lineRule="auto" w:before="2"/>
        <w:rPr>
          <w:rFonts w:ascii="宋体" w:hAnsi="宋体" w:cs="宋体" w:eastAsia="宋体" w:hint="default"/>
          <w:sz w:val="13"/>
          <w:szCs w:val="13"/>
        </w:rPr>
      </w:pPr>
    </w:p>
    <w:p>
      <w:pPr>
        <w:pStyle w:val="BodyText"/>
        <w:spacing w:line="270" w:lineRule="exact" w:before="36"/>
        <w:ind w:left="216" w:right="6510"/>
        <w:jc w:val="left"/>
        <w:rPr>
          <w:rFonts w:ascii="宋体" w:hAnsi="宋体" w:cs="宋体" w:eastAsia="宋体" w:hint="default"/>
        </w:rPr>
      </w:pPr>
      <w:r>
        <w:rPr/>
        <w:t>其他说明：</w:t>
      </w:r>
      <w:r>
        <w:rPr>
          <w:rFonts w:ascii="宋体" w:hAnsi="宋体" w:cs="宋体" w:eastAsia="宋体" w:hint="default"/>
        </w:rPr>
        <w:t> </w:t>
      </w:r>
    </w:p>
    <w:p>
      <w:pPr>
        <w:pStyle w:val="Heading3"/>
        <w:spacing w:line="309" w:lineRule="exact"/>
        <w:ind w:right="651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2" w:lineRule="exact" w:before="32"/>
        <w:ind w:left="216" w:right="6510"/>
        <w:jc w:val="left"/>
        <w:rPr>
          <w:rFonts w:ascii="宋体" w:hAnsi="宋体" w:cs="宋体" w:eastAsia="宋体" w:hint="default"/>
        </w:rPr>
      </w:pPr>
      <w:r>
        <w:rPr/>
        <w:t>交易性金融资产明细如下：</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t>单位：元</w:t>
      </w:r>
      <w:r>
        <w:rPr>
          <w:spacing w:val="-3"/>
        </w:rPr>
        <w:t> </w:t>
      </w:r>
      <w:r>
        <w:rPr>
          <w:rFonts w:ascii="宋体" w:hAnsi="宋体" w:cs="宋体" w:eastAsia="宋体" w:hint="default"/>
          <w:spacing w:val="-3"/>
        </w:rPr>
      </w:r>
      <w:r>
        <w:rPr/>
        <w:t>币种：人民币</w:t>
      </w:r>
      <w:r>
        <w:rPr>
          <w:rFonts w:ascii="宋体" w:hAnsi="宋体" w:cs="宋体" w:eastAsia="宋体" w:hint="default"/>
        </w:rPr>
        <w:t> </w:t>
      </w:r>
    </w:p>
    <w:tbl>
      <w:tblPr>
        <w:tblW w:w="0" w:type="auto"/>
        <w:jc w:val="left"/>
        <w:tblInd w:w="216" w:type="dxa"/>
        <w:tblLayout w:type="fixed"/>
        <w:tblCellMar>
          <w:top w:w="0" w:type="dxa"/>
          <w:left w:w="0" w:type="dxa"/>
          <w:bottom w:w="0" w:type="dxa"/>
          <w:right w:w="0" w:type="dxa"/>
        </w:tblCellMar>
        <w:tblLook w:val="01E0"/>
      </w:tblPr>
      <w:tblGrid>
        <w:gridCol w:w="2831"/>
        <w:gridCol w:w="1560"/>
        <w:gridCol w:w="1419"/>
        <w:gridCol w:w="1418"/>
        <w:gridCol w:w="1597"/>
      </w:tblGrid>
      <w:tr>
        <w:trPr>
          <w:trHeight w:val="286"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6"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成都芯通科技股份有限公司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93" w:right="0"/>
              <w:jc w:val="center"/>
              <w:rPr>
                <w:rFonts w:ascii="Times New Roman" w:hAnsi="Times New Roman" w:cs="Times New Roman" w:eastAsia="Times New Roman" w:hint="default"/>
                <w:sz w:val="20"/>
                <w:szCs w:val="20"/>
              </w:rPr>
            </w:pPr>
            <w:r>
              <w:rPr>
                <w:rFonts w:ascii="Times New Roman"/>
                <w:sz w:val="20"/>
              </w:rPr>
              <w:t>34,000,000.00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0"/>
                <w:szCs w:val="20"/>
              </w:rPr>
            </w:pPr>
            <w:r>
              <w:rPr>
                <w:rFonts w:ascii="Times New Roman"/>
                <w:w w:val="95"/>
                <w:sz w:val="20"/>
              </w:rPr>
              <w:t>34,000,000.00</w:t>
            </w:r>
            <w:r>
              <w:rPr>
                <w:rFonts w:ascii="Times New Roman"/>
                <w:sz w:val="20"/>
              </w:rPr>
            </w:r>
          </w:p>
        </w:tc>
      </w:tr>
      <w:tr>
        <w:trPr>
          <w:trHeight w:val="554"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湖州星耀股权投资合伙企业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（有限合伙）</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93" w:right="0"/>
              <w:jc w:val="center"/>
              <w:rPr>
                <w:rFonts w:ascii="Times New Roman" w:hAnsi="Times New Roman" w:cs="Times New Roman" w:eastAsia="Times New Roman" w:hint="default"/>
                <w:sz w:val="20"/>
                <w:szCs w:val="20"/>
              </w:rPr>
            </w:pPr>
            <w:r>
              <w:rPr>
                <w:rFonts w:ascii="Times New Roman"/>
                <w:sz w:val="20"/>
              </w:rPr>
              <w:t>15,000,000.00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47" w:right="0"/>
              <w:jc w:val="center"/>
              <w:rPr>
                <w:rFonts w:ascii="Times New Roman" w:hAnsi="Times New Roman" w:cs="Times New Roman" w:eastAsia="Times New Roman" w:hint="default"/>
                <w:sz w:val="20"/>
                <w:szCs w:val="20"/>
              </w:rPr>
            </w:pPr>
            <w:r>
              <w:rPr>
                <w:rFonts w:ascii="Times New Roman"/>
                <w:sz w:val="20"/>
              </w:rPr>
              <w:t>15,000,000.00</w:t>
            </w: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应收账款资产支持专项计划</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泰豪次</w:t>
            </w:r>
            <w:r>
              <w:rPr>
                <w:rFonts w:ascii="宋体" w:hAnsi="宋体" w:cs="宋体" w:eastAsia="宋体" w:hint="default"/>
                <w:spacing w:val="-52"/>
                <w:sz w:val="21"/>
                <w:szCs w:val="21"/>
              </w:rPr>
              <w:t> </w:t>
            </w:r>
            <w:r>
              <w:rPr>
                <w:rFonts w:ascii="宋体" w:hAnsi="宋体" w:cs="宋体" w:eastAsia="宋体" w:hint="default"/>
                <w:spacing w:val="-3"/>
                <w:sz w:val="21"/>
                <w:szCs w:val="21"/>
              </w:rPr>
              <w:t>B</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46" w:right="0"/>
              <w:jc w:val="center"/>
              <w:rPr>
                <w:rFonts w:ascii="Times New Roman" w:hAnsi="Times New Roman" w:cs="Times New Roman" w:eastAsia="Times New Roman" w:hint="default"/>
                <w:sz w:val="20"/>
                <w:szCs w:val="20"/>
              </w:rPr>
            </w:pPr>
            <w:r>
              <w:rPr>
                <w:rFonts w:ascii="Times New Roman"/>
                <w:sz w:val="20"/>
              </w:rPr>
              <w:t>82,080,000.00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w w:val="95"/>
                <w:sz w:val="20"/>
              </w:rPr>
              <w:t>82,080,000.00</w:t>
            </w:r>
            <w:r>
              <w:rPr>
                <w:rFonts w:ascii="Times New Roman"/>
                <w:sz w:val="20"/>
              </w:rPr>
            </w:r>
          </w:p>
        </w:tc>
      </w:tr>
      <w:tr>
        <w:trPr>
          <w:trHeight w:val="295"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等线" w:hAnsi="等线" w:cs="等线" w:eastAsia="等线" w:hint="default"/>
                <w:sz w:val="21"/>
                <w:szCs w:val="21"/>
              </w:rPr>
            </w:pPr>
            <w:r>
              <w:rPr>
                <w:rFonts w:ascii="等线" w:hAnsi="等线" w:cs="等线" w:eastAsia="等线" w:hint="default"/>
                <w:sz w:val="21"/>
                <w:szCs w:val="21"/>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93" w:right="0"/>
              <w:jc w:val="center"/>
              <w:rPr>
                <w:rFonts w:ascii="Times New Roman" w:hAnsi="Times New Roman" w:cs="Times New Roman" w:eastAsia="Times New Roman" w:hint="default"/>
                <w:sz w:val="20"/>
                <w:szCs w:val="20"/>
              </w:rPr>
            </w:pPr>
            <w:r>
              <w:rPr>
                <w:rFonts w:ascii="Times New Roman"/>
                <w:sz w:val="20"/>
              </w:rPr>
              <w:t>49,000,000.00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 w:right="0"/>
              <w:jc w:val="center"/>
              <w:rPr>
                <w:rFonts w:ascii="Times New Roman" w:hAnsi="Times New Roman" w:cs="Times New Roman" w:eastAsia="Times New Roman" w:hint="default"/>
                <w:sz w:val="20"/>
                <w:szCs w:val="20"/>
              </w:rPr>
            </w:pPr>
            <w:r>
              <w:rPr>
                <w:rFonts w:ascii="Times New Roman"/>
                <w:sz w:val="20"/>
              </w:rPr>
              <w:t>82,080,000.00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7" w:right="0"/>
              <w:jc w:val="center"/>
              <w:rPr>
                <w:rFonts w:ascii="Times New Roman" w:hAnsi="Times New Roman" w:cs="Times New Roman" w:eastAsia="Times New Roman" w:hint="default"/>
                <w:sz w:val="20"/>
                <w:szCs w:val="20"/>
              </w:rPr>
            </w:pPr>
            <w:r>
              <w:rPr>
                <w:rFonts w:ascii="Times New Roman"/>
                <w:sz w:val="20"/>
              </w:rPr>
              <w:t>15,000,000.00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20"/>
                <w:szCs w:val="20"/>
              </w:rPr>
            </w:pPr>
            <w:r>
              <w:rPr>
                <w:rFonts w:ascii="Times New Roman"/>
                <w:w w:val="95"/>
                <w:sz w:val="20"/>
              </w:rPr>
              <w:t>116,080,000.00</w:t>
            </w:r>
            <w:r>
              <w:rPr>
                <w:rFonts w:ascii="Times New Roman"/>
                <w:sz w:val="20"/>
              </w:rPr>
            </w:r>
          </w:p>
        </w:tc>
      </w:tr>
    </w:tbl>
    <w:p>
      <w:pPr>
        <w:pStyle w:val="Heading3"/>
        <w:spacing w:line="282" w:lineRule="exact"/>
        <w:ind w:right="0"/>
        <w:jc w:val="left"/>
        <w:rPr>
          <w:rFonts w:ascii="宋体" w:hAnsi="宋体" w:cs="宋体" w:eastAsia="宋体" w:hint="default"/>
        </w:rPr>
      </w:pPr>
      <w:r>
        <w:rPr>
          <w:rFonts w:ascii="宋体"/>
        </w:rPr>
        <w:t> </w:t>
      </w:r>
    </w:p>
    <w:p>
      <w:pPr>
        <w:pStyle w:val="Heading5"/>
        <w:spacing w:line="240" w:lineRule="auto"/>
        <w:ind w:right="6510"/>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Heading3"/>
        <w:spacing w:line="312" w:lineRule="exact" w:before="52"/>
        <w:ind w:right="651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right="0"/>
        <w:jc w:val="left"/>
        <w:rPr>
          <w:rFonts w:ascii="宋体" w:hAnsi="宋体" w:cs="宋体" w:eastAsia="宋体" w:hint="default"/>
        </w:rPr>
      </w:pPr>
      <w:r>
        <w:rPr>
          <w:rFonts w:ascii="宋体"/>
        </w:rPr>
        <w:t> </w:t>
      </w:r>
    </w:p>
    <w:p>
      <w:pPr>
        <w:pStyle w:val="Heading5"/>
        <w:spacing w:line="240" w:lineRule="auto"/>
        <w:ind w:right="6510"/>
        <w:jc w:val="left"/>
        <w:rPr>
          <w:rFonts w:ascii="宋体" w:hAnsi="宋体" w:cs="宋体" w:eastAsia="宋体" w:hint="default"/>
          <w:b w:val="0"/>
          <w:bCs w:val="0"/>
        </w:rPr>
      </w:pPr>
      <w:r>
        <w:rPr>
          <w:rFonts w:ascii="宋体" w:hAnsi="宋体" w:cs="宋体" w:eastAsia="宋体" w:hint="default"/>
        </w:rPr>
        <w:t>4</w:t>
      </w:r>
      <w:r>
        <w:rPr/>
        <w:t>、</w:t>
      </w:r>
      <w:r>
        <w:rPr>
          <w:spacing w:val="-5"/>
        </w:rPr>
        <w:t> </w:t>
      </w:r>
      <w:r>
        <w:rPr/>
        <w:t>应收票据</w:t>
      </w:r>
      <w:r>
        <w:rPr>
          <w:rFonts w:ascii="宋体" w:hAnsi="宋体" w:cs="宋体" w:eastAsia="宋体" w:hint="default"/>
          <w:w w:val="99"/>
        </w:rPr>
        <w:t> </w:t>
      </w:r>
      <w:r>
        <w:rPr>
          <w:rFonts w:ascii="宋体" w:hAnsi="宋体" w:cs="宋体" w:eastAsia="宋体" w:hint="default"/>
          <w:b w:val="0"/>
          <w:bCs w:val="0"/>
        </w:rPr>
      </w:r>
    </w:p>
    <w:p>
      <w:pPr>
        <w:pStyle w:val="Heading5"/>
        <w:spacing w:line="240" w:lineRule="auto" w:before="56"/>
        <w:ind w:right="651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应收票据分类列示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651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3"/>
        <w:rPr>
          <w:rFonts w:ascii="宋体" w:hAnsi="宋体" w:cs="宋体" w:eastAsia="宋体" w:hint="default"/>
          <w:sz w:val="23"/>
          <w:szCs w:val="23"/>
        </w:rPr>
      </w:pPr>
    </w:p>
    <w:p>
      <w:pPr>
        <w:pStyle w:val="Heading5"/>
        <w:spacing w:line="240" w:lineRule="auto" w:before="0"/>
        <w:ind w:right="651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651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40" w:lineRule="auto" w:before="61"/>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5"/>
        </w:rPr>
        <w:t> </w:t>
      </w:r>
      <w:r>
        <w:rPr/>
        <w:t>期末公司已背书或贴现且在资产负债表日尚未到期的应收票据</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651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1"/>
        <w:rPr>
          <w:rFonts w:ascii="宋体" w:hAnsi="宋体" w:cs="宋体" w:eastAsia="宋体" w:hint="default"/>
          <w:sz w:val="25"/>
          <w:szCs w:val="25"/>
        </w:rPr>
      </w:pPr>
    </w:p>
    <w:p>
      <w:pPr>
        <w:pStyle w:val="Heading5"/>
        <w:spacing w:line="240" w:lineRule="auto" w:before="0"/>
        <w:ind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5"/>
        </w:rPr>
        <w:t> </w:t>
      </w:r>
      <w:r>
        <w:rPr/>
        <w:t>期末公司因出票人未履约而将其转应收账款的票据</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651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40" w:lineRule="auto"/>
        <w:ind w:right="651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2"/>
        </w:rPr>
        <w:t> </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651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0" w:lineRule="exact" w:before="4"/>
        <w:ind w:left="216" w:right="6510"/>
        <w:jc w:val="left"/>
        <w:rPr>
          <w:rFonts w:ascii="宋体" w:hAnsi="宋体" w:cs="宋体" w:eastAsia="宋体" w:hint="default"/>
        </w:rPr>
      </w:pPr>
      <w:r>
        <w:rPr/>
        <w:t>按单项计提坏账准备：</w:t>
      </w:r>
      <w:r>
        <w:rPr>
          <w:rFonts w:ascii="宋体" w:hAnsi="宋体" w:cs="宋体" w:eastAsia="宋体" w:hint="default"/>
        </w:rPr>
        <w:t> </w:t>
      </w:r>
    </w:p>
    <w:p>
      <w:pPr>
        <w:pStyle w:val="Heading3"/>
        <w:spacing w:line="308" w:lineRule="exact"/>
        <w:ind w:right="651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BodyText"/>
        <w:spacing w:line="270" w:lineRule="exact" w:before="4"/>
        <w:ind w:left="216" w:right="6510"/>
        <w:jc w:val="left"/>
      </w:pPr>
      <w:r>
        <w:rPr/>
        <w:t>按组合计提坏账准备：</w:t>
      </w:r>
    </w:p>
    <w:p>
      <w:pPr>
        <w:pStyle w:val="Heading3"/>
        <w:spacing w:line="309" w:lineRule="exact"/>
        <w:ind w:right="651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left="216" w:right="0"/>
        <w:jc w:val="left"/>
        <w:rPr>
          <w:rFonts w:ascii="宋体" w:hAnsi="宋体" w:cs="宋体" w:eastAsia="宋体" w:hint="default"/>
          <w:sz w:val="24"/>
          <w:szCs w:val="24"/>
        </w:rPr>
      </w:pPr>
      <w:r>
        <w:rPr/>
        <w:t>如按预期信用损失一般模型计提坏账准备，请参照其他应收款披露：</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1060" w:right="760"/>
        </w:sectPr>
      </w:pPr>
    </w:p>
    <w:p>
      <w:pPr>
        <w:spacing w:line="240" w:lineRule="auto" w:before="13"/>
        <w:rPr>
          <w:rFonts w:ascii="宋体" w:hAnsi="宋体" w:cs="宋体" w:eastAsia="宋体" w:hint="default"/>
          <w:sz w:val="18"/>
          <w:szCs w:val="18"/>
        </w:rPr>
      </w:pPr>
    </w:p>
    <w:p>
      <w:pPr>
        <w:pStyle w:val="Heading3"/>
        <w:spacing w:line="240" w:lineRule="auto" w:before="26"/>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4"/>
        <w:rPr>
          <w:rFonts w:ascii="宋体" w:hAnsi="宋体" w:cs="宋体" w:eastAsia="宋体" w:hint="default"/>
          <w:sz w:val="27"/>
          <w:szCs w:val="27"/>
        </w:rPr>
      </w:pPr>
    </w:p>
    <w:p>
      <w:pPr>
        <w:pStyle w:val="Heading5"/>
        <w:spacing w:line="240" w:lineRule="auto" w:before="0"/>
        <w:ind w:left="136"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2"/>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4"/>
        <w:rPr>
          <w:rFonts w:ascii="宋体" w:hAnsi="宋体" w:cs="宋体" w:eastAsia="宋体" w:hint="default"/>
          <w:sz w:val="27"/>
          <w:szCs w:val="27"/>
        </w:rPr>
      </w:pPr>
    </w:p>
    <w:p>
      <w:pPr>
        <w:pStyle w:val="Heading5"/>
        <w:spacing w:line="240" w:lineRule="auto" w:before="0"/>
        <w:ind w:left="136"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3"/>
        </w:rPr>
        <w:t> </w:t>
      </w:r>
      <w:r>
        <w:rPr/>
        <w:t>本期实际核销的应收票据情况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3"/>
        <w:rPr>
          <w:rFonts w:ascii="宋体" w:hAnsi="宋体" w:cs="宋体" w:eastAsia="宋体" w:hint="default"/>
          <w:sz w:val="22"/>
          <w:szCs w:val="22"/>
        </w:rPr>
      </w:pPr>
    </w:p>
    <w:p>
      <w:pPr>
        <w:pStyle w:val="Heading3"/>
        <w:spacing w:line="313" w:lineRule="exact"/>
        <w:ind w:left="136" w:right="0"/>
        <w:jc w:val="left"/>
        <w:rPr>
          <w:rFonts w:ascii="宋体" w:hAnsi="宋体" w:cs="宋体" w:eastAsia="宋体" w:hint="default"/>
        </w:rPr>
      </w:pPr>
      <w:r>
        <w:rPr/>
        <w:t>其他说明</w:t>
      </w:r>
      <w:r>
        <w:rPr>
          <w:rFonts w:ascii="宋体" w:hAnsi="宋体" w:cs="宋体" w:eastAsia="宋体" w:hint="default"/>
        </w:rPr>
        <w:t> </w:t>
      </w:r>
    </w:p>
    <w:p>
      <w:pPr>
        <w:pStyle w:val="Heading3"/>
        <w:spacing w:line="313" w:lineRule="exact"/>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313" w:lineRule="exact"/>
        <w:jc w:val="left"/>
        <w:rPr>
          <w:rFonts w:ascii="宋体" w:hAnsi="宋体" w:cs="宋体" w:eastAsia="宋体" w:hint="default"/>
        </w:rPr>
        <w:sectPr>
          <w:footerReference w:type="default" r:id="rId49"/>
          <w:pgSz w:w="11910" w:h="16840"/>
          <w:pgMar w:footer="1195" w:header="882" w:top="1120" w:bottom="1380" w:left="1140" w:right="1680"/>
        </w:sectPr>
      </w:pPr>
    </w:p>
    <w:p>
      <w:pPr>
        <w:spacing w:line="240" w:lineRule="auto" w:before="10"/>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headerReference w:type="default" r:id="rId50"/>
          <w:footerReference w:type="default" r:id="rId51"/>
          <w:pgSz w:w="16840" w:h="11910" w:orient="landscape"/>
          <w:pgMar w:header="882" w:footer="1195" w:top="1120" w:bottom="1380" w:left="1380" w:right="1220"/>
          <w:pgNumType w:start="111"/>
        </w:sectPr>
      </w:pPr>
    </w:p>
    <w:p>
      <w:pPr>
        <w:pStyle w:val="Heading5"/>
        <w:spacing w:line="290" w:lineRule="auto" w:before="36"/>
        <w:ind w:left="144" w:right="0"/>
        <w:jc w:val="left"/>
        <w:rPr>
          <w:rFonts w:ascii="宋体" w:hAnsi="宋体" w:cs="宋体" w:eastAsia="宋体" w:hint="default"/>
          <w:b w:val="0"/>
          <w:bCs w:val="0"/>
        </w:rPr>
      </w:pPr>
      <w:r>
        <w:rPr>
          <w:rFonts w:ascii="宋体" w:hAnsi="宋体" w:cs="宋体" w:eastAsia="宋体" w:hint="default"/>
        </w:rPr>
        <w:t>5</w:t>
      </w:r>
      <w:r>
        <w:rPr/>
        <w:t>、</w:t>
      </w:r>
      <w:r>
        <w:rPr>
          <w:spacing w:val="-4"/>
        </w:rPr>
        <w:t> </w:t>
      </w:r>
      <w:r>
        <w:rPr/>
        <w:t>应收账款</w:t>
      </w:r>
      <w:r>
        <w:rPr>
          <w:rFonts w:ascii="宋体" w:hAnsi="宋体" w:cs="宋体" w:eastAsia="宋体" w:hint="default"/>
          <w:w w:val="99"/>
        </w:rPr>
        <w:t> </w:t>
      </w: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left="14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8"/>
          <w:szCs w:val="28"/>
        </w:rPr>
      </w:pPr>
    </w:p>
    <w:p>
      <w:pPr>
        <w:pStyle w:val="Heading3"/>
        <w:spacing w:line="240" w:lineRule="auto"/>
        <w:ind w:left="144"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80" w:right="1220"/>
          <w:cols w:num="2" w:equalWidth="0">
            <w:col w:w="2185" w:space="9049"/>
            <w:col w:w="3006"/>
          </w:cols>
        </w:sectPr>
      </w:pPr>
    </w:p>
    <w:p>
      <w:pPr>
        <w:spacing w:line="240" w:lineRule="auto" w:before="12"/>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6846"/>
        <w:gridCol w:w="7091"/>
      </w:tblGrid>
      <w:tr>
        <w:trPr>
          <w:trHeight w:val="322" w:hRule="exact"/>
        </w:trPr>
        <w:tc>
          <w:tcPr>
            <w:tcW w:w="6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056"/>
              <w:jc w:val="right"/>
              <w:rPr>
                <w:rFonts w:ascii="宋体" w:hAnsi="宋体" w:cs="宋体" w:eastAsia="宋体" w:hint="default"/>
                <w:sz w:val="24"/>
                <w:szCs w:val="24"/>
              </w:rPr>
            </w:pPr>
            <w:r>
              <w:rPr>
                <w:rFonts w:ascii="宋体" w:hAnsi="宋体" w:cs="宋体" w:eastAsia="宋体" w:hint="default"/>
                <w:sz w:val="24"/>
                <w:szCs w:val="24"/>
              </w:rPr>
              <w:t>账龄</w:t>
            </w:r>
            <w:r>
              <w:rPr>
                <w:rFonts w:ascii="宋体" w:hAnsi="宋体" w:cs="宋体" w:eastAsia="宋体" w:hint="default"/>
                <w:sz w:val="24"/>
                <w:szCs w:val="24"/>
              </w:rPr>
              <w:t> </w:t>
            </w:r>
          </w:p>
        </w:tc>
        <w:tc>
          <w:tcPr>
            <w:tcW w:w="70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5" w:right="0"/>
              <w:jc w:val="center"/>
              <w:rPr>
                <w:rFonts w:ascii="宋体" w:hAnsi="宋体" w:cs="宋体" w:eastAsia="宋体" w:hint="default"/>
                <w:sz w:val="24"/>
                <w:szCs w:val="24"/>
              </w:rPr>
            </w:pPr>
            <w:r>
              <w:rPr>
                <w:rFonts w:ascii="宋体" w:hAnsi="宋体" w:cs="宋体" w:eastAsia="宋体" w:hint="default"/>
                <w:sz w:val="24"/>
                <w:szCs w:val="24"/>
              </w:rPr>
              <w:t>期末账面余额</w:t>
            </w:r>
            <w:r>
              <w:rPr>
                <w:rFonts w:ascii="宋体" w:hAnsi="宋体" w:cs="宋体" w:eastAsia="宋体" w:hint="default"/>
                <w:sz w:val="24"/>
                <w:szCs w:val="24"/>
              </w:rPr>
              <w:t> </w:t>
            </w:r>
          </w:p>
        </w:tc>
      </w:tr>
      <w:tr>
        <w:trPr>
          <w:trHeight w:val="322" w:hRule="exact"/>
        </w:trPr>
        <w:tc>
          <w:tcPr>
            <w:tcW w:w="139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r>
              <w:rPr>
                <w:rFonts w:ascii="宋体" w:hAnsi="宋体" w:cs="宋体" w:eastAsia="宋体" w:hint="default"/>
                <w:color w:val="FF0000"/>
                <w:sz w:val="24"/>
                <w:szCs w:val="24"/>
              </w:rPr>
              <w:t> </w:t>
            </w:r>
            <w:r>
              <w:rPr>
                <w:rFonts w:ascii="宋体" w:hAnsi="宋体" w:cs="宋体" w:eastAsia="宋体" w:hint="default"/>
                <w:sz w:val="24"/>
                <w:szCs w:val="24"/>
              </w:rPr>
            </w:r>
          </w:p>
        </w:tc>
      </w:tr>
      <w:tr>
        <w:trPr>
          <w:trHeight w:val="281" w:hRule="exact"/>
        </w:trPr>
        <w:tc>
          <w:tcPr>
            <w:tcW w:w="139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年以内分项</w:t>
            </w:r>
          </w:p>
        </w:tc>
      </w:tr>
      <w:tr>
        <w:trPr>
          <w:trHeight w:val="283" w:hRule="exact"/>
        </w:trPr>
        <w:tc>
          <w:tcPr>
            <w:tcW w:w="684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709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Times New Roman" w:hAnsi="Times New Roman" w:cs="Times New Roman" w:eastAsia="Times New Roman" w:hint="default"/>
                <w:sz w:val="20"/>
                <w:szCs w:val="20"/>
              </w:rPr>
            </w:pPr>
            <w:r>
              <w:rPr>
                <w:rFonts w:ascii="Times New Roman"/>
                <w:spacing w:val="-1"/>
                <w:sz w:val="20"/>
              </w:rPr>
              <w:t>3,156,685,309.29</w:t>
            </w:r>
          </w:p>
        </w:tc>
      </w:tr>
      <w:tr>
        <w:trPr>
          <w:trHeight w:val="284" w:hRule="exact"/>
        </w:trPr>
        <w:tc>
          <w:tcPr>
            <w:tcW w:w="684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709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3"/>
              <w:jc w:val="right"/>
              <w:rPr>
                <w:rFonts w:ascii="Times New Roman" w:hAnsi="Times New Roman" w:cs="Times New Roman" w:eastAsia="Times New Roman" w:hint="default"/>
                <w:sz w:val="20"/>
                <w:szCs w:val="20"/>
              </w:rPr>
            </w:pPr>
            <w:r>
              <w:rPr>
                <w:rFonts w:ascii="Times New Roman"/>
                <w:spacing w:val="-1"/>
                <w:sz w:val="20"/>
              </w:rPr>
              <w:t>3,156,685,309.29</w:t>
            </w:r>
          </w:p>
        </w:tc>
      </w:tr>
      <w:tr>
        <w:trPr>
          <w:trHeight w:val="281" w:hRule="exact"/>
        </w:trPr>
        <w:tc>
          <w:tcPr>
            <w:tcW w:w="684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70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2"/>
              <w:jc w:val="right"/>
              <w:rPr>
                <w:rFonts w:ascii="Times New Roman" w:hAnsi="Times New Roman" w:cs="Times New Roman" w:eastAsia="Times New Roman" w:hint="default"/>
                <w:sz w:val="20"/>
                <w:szCs w:val="20"/>
              </w:rPr>
            </w:pPr>
            <w:r>
              <w:rPr>
                <w:rFonts w:ascii="Times New Roman"/>
                <w:w w:val="95"/>
                <w:sz w:val="20"/>
              </w:rPr>
              <w:t>615,682,572.66</w:t>
            </w:r>
            <w:r>
              <w:rPr>
                <w:rFonts w:ascii="Times New Roman"/>
                <w:sz w:val="20"/>
              </w:rPr>
            </w:r>
          </w:p>
        </w:tc>
      </w:tr>
      <w:tr>
        <w:trPr>
          <w:trHeight w:val="283" w:hRule="exact"/>
        </w:trPr>
        <w:tc>
          <w:tcPr>
            <w:tcW w:w="684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70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2"/>
              <w:jc w:val="right"/>
              <w:rPr>
                <w:rFonts w:ascii="Times New Roman" w:hAnsi="Times New Roman" w:cs="Times New Roman" w:eastAsia="Times New Roman" w:hint="default"/>
                <w:sz w:val="20"/>
                <w:szCs w:val="20"/>
              </w:rPr>
            </w:pPr>
            <w:r>
              <w:rPr>
                <w:rFonts w:ascii="Times New Roman"/>
                <w:w w:val="95"/>
                <w:sz w:val="20"/>
              </w:rPr>
              <w:t>264,146,079.58</w:t>
            </w:r>
            <w:r>
              <w:rPr>
                <w:rFonts w:ascii="Times New Roman"/>
                <w:sz w:val="20"/>
              </w:rPr>
            </w:r>
          </w:p>
        </w:tc>
      </w:tr>
      <w:tr>
        <w:trPr>
          <w:trHeight w:val="283" w:hRule="exact"/>
        </w:trPr>
        <w:tc>
          <w:tcPr>
            <w:tcW w:w="684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70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684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70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2"/>
              <w:jc w:val="right"/>
              <w:rPr>
                <w:rFonts w:ascii="Times New Roman" w:hAnsi="Times New Roman" w:cs="Times New Roman" w:eastAsia="Times New Roman" w:hint="default"/>
                <w:sz w:val="20"/>
                <w:szCs w:val="20"/>
              </w:rPr>
            </w:pPr>
            <w:r>
              <w:rPr>
                <w:rFonts w:ascii="Times New Roman"/>
                <w:w w:val="95"/>
                <w:sz w:val="20"/>
              </w:rPr>
              <w:t>204,276,771.73</w:t>
            </w:r>
            <w:r>
              <w:rPr>
                <w:rFonts w:ascii="Times New Roman"/>
                <w:sz w:val="20"/>
              </w:rPr>
            </w:r>
          </w:p>
        </w:tc>
      </w:tr>
      <w:tr>
        <w:trPr>
          <w:trHeight w:val="283" w:hRule="exact"/>
        </w:trPr>
        <w:tc>
          <w:tcPr>
            <w:tcW w:w="684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70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2"/>
              <w:jc w:val="right"/>
              <w:rPr>
                <w:rFonts w:ascii="Times New Roman" w:hAnsi="Times New Roman" w:cs="Times New Roman" w:eastAsia="Times New Roman" w:hint="default"/>
                <w:sz w:val="20"/>
                <w:szCs w:val="20"/>
              </w:rPr>
            </w:pPr>
            <w:r>
              <w:rPr>
                <w:rFonts w:ascii="Times New Roman"/>
                <w:w w:val="95"/>
                <w:sz w:val="20"/>
              </w:rPr>
              <w:t>56,363,983.10</w:t>
            </w:r>
            <w:r>
              <w:rPr>
                <w:rFonts w:ascii="Times New Roman"/>
                <w:sz w:val="20"/>
              </w:rPr>
            </w:r>
          </w:p>
        </w:tc>
      </w:tr>
      <w:tr>
        <w:trPr>
          <w:trHeight w:val="281" w:hRule="exact"/>
        </w:trPr>
        <w:tc>
          <w:tcPr>
            <w:tcW w:w="684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70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2"/>
              <w:jc w:val="right"/>
              <w:rPr>
                <w:rFonts w:ascii="Times New Roman" w:hAnsi="Times New Roman" w:cs="Times New Roman" w:eastAsia="Times New Roman" w:hint="default"/>
                <w:sz w:val="20"/>
                <w:szCs w:val="20"/>
              </w:rPr>
            </w:pPr>
            <w:r>
              <w:rPr>
                <w:rFonts w:ascii="Times New Roman"/>
                <w:w w:val="95"/>
                <w:sz w:val="20"/>
              </w:rPr>
              <w:t>96,695,368.26</w:t>
            </w:r>
            <w:r>
              <w:rPr>
                <w:rFonts w:ascii="Times New Roman"/>
                <w:sz w:val="20"/>
              </w:rPr>
            </w:r>
          </w:p>
        </w:tc>
      </w:tr>
      <w:tr>
        <w:trPr>
          <w:trHeight w:val="324" w:hRule="exact"/>
        </w:trPr>
        <w:tc>
          <w:tcPr>
            <w:tcW w:w="68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3056"/>
              <w:jc w:val="righ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709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Times New Roman" w:hAnsi="Times New Roman" w:cs="Times New Roman" w:eastAsia="Times New Roman" w:hint="default"/>
                <w:sz w:val="20"/>
                <w:szCs w:val="20"/>
              </w:rPr>
            </w:pPr>
            <w:r>
              <w:rPr>
                <w:rFonts w:ascii="Times New Roman"/>
                <w:spacing w:val="-1"/>
                <w:sz w:val="20"/>
              </w:rPr>
              <w:t>4,393,850,084.62</w:t>
            </w:r>
          </w:p>
        </w:tc>
      </w:tr>
    </w:tbl>
    <w:p>
      <w:pPr>
        <w:spacing w:after="0" w:line="226" w:lineRule="exact"/>
        <w:jc w:val="right"/>
        <w:rPr>
          <w:rFonts w:ascii="Times New Roman" w:hAnsi="Times New Roman" w:cs="Times New Roman" w:eastAsia="Times New Roman" w:hint="default"/>
          <w:sz w:val="20"/>
          <w:szCs w:val="20"/>
        </w:rPr>
        <w:sectPr>
          <w:type w:val="continuous"/>
          <w:pgSz w:w="16840" w:h="11910" w:orient="landscape"/>
          <w:pgMar w:top="1120" w:bottom="1380" w:left="1380" w:right="1220"/>
        </w:sectPr>
      </w:pPr>
    </w:p>
    <w:p>
      <w:pPr>
        <w:pStyle w:val="Heading3"/>
        <w:spacing w:line="274" w:lineRule="exact"/>
        <w:ind w:left="144" w:right="0"/>
        <w:jc w:val="left"/>
        <w:rPr>
          <w:rFonts w:ascii="宋体" w:hAnsi="宋体" w:cs="宋体" w:eastAsia="宋体" w:hint="default"/>
        </w:rPr>
      </w:pPr>
      <w:r>
        <w:rPr>
          <w:rFonts w:ascii="宋体"/>
        </w:rPr>
        <w:t> </w:t>
      </w:r>
    </w:p>
    <w:p>
      <w:pPr>
        <w:pStyle w:val="Heading5"/>
        <w:spacing w:line="240" w:lineRule="auto" w:before="62"/>
        <w:ind w:left="144" w:right="0"/>
        <w:jc w:val="left"/>
        <w:rPr>
          <w:rFonts w:ascii="宋体" w:hAnsi="宋体" w:cs="宋体" w:eastAsia="宋体" w:hint="default"/>
          <w:b w:val="0"/>
          <w:bCs w:val="0"/>
        </w:rPr>
      </w:pPr>
      <w:r>
        <w:rPr>
          <w:rFonts w:ascii="宋体" w:hAnsi="宋体" w:cs="宋体" w:eastAsia="宋体" w:hint="default"/>
        </w:rPr>
        <w:t>(2).</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14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tabs>
          <w:tab w:pos="1195" w:val="left" w:leader="none"/>
        </w:tabs>
        <w:spacing w:line="240" w:lineRule="auto"/>
        <w:ind w:left="144"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1380" w:right="1220"/>
          <w:cols w:num="2" w:equalWidth="0">
            <w:col w:w="2996" w:space="8463"/>
            <w:col w:w="2781"/>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966"/>
        <w:gridCol w:w="1322"/>
        <w:gridCol w:w="831"/>
        <w:gridCol w:w="1260"/>
        <w:gridCol w:w="1097"/>
        <w:gridCol w:w="1323"/>
        <w:gridCol w:w="1373"/>
        <w:gridCol w:w="1114"/>
        <w:gridCol w:w="1189"/>
        <w:gridCol w:w="1142"/>
        <w:gridCol w:w="1320"/>
      </w:tblGrid>
      <w:tr>
        <w:trPr>
          <w:trHeight w:val="322" w:hRule="exact"/>
        </w:trPr>
        <w:tc>
          <w:tcPr>
            <w:tcW w:w="196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33"/>
                <w:szCs w:val="33"/>
              </w:rPr>
            </w:pPr>
          </w:p>
          <w:p>
            <w:pPr>
              <w:pStyle w:val="TableParagraph"/>
              <w:spacing w:line="240" w:lineRule="auto"/>
              <w:ind w:left="737" w:right="0"/>
              <w:jc w:val="left"/>
              <w:rPr>
                <w:rFonts w:ascii="宋体" w:hAnsi="宋体" w:cs="宋体" w:eastAsia="宋体" w:hint="default"/>
                <w:sz w:val="24"/>
                <w:szCs w:val="24"/>
              </w:rPr>
            </w:pPr>
            <w:r>
              <w:rPr>
                <w:rFonts w:ascii="宋体" w:hAnsi="宋体" w:cs="宋体" w:eastAsia="宋体" w:hint="default"/>
                <w:sz w:val="24"/>
                <w:szCs w:val="24"/>
              </w:rPr>
              <w:t>类别</w:t>
            </w:r>
            <w:r>
              <w:rPr>
                <w:rFonts w:ascii="宋体" w:hAnsi="宋体" w:cs="宋体" w:eastAsia="宋体" w:hint="default"/>
                <w:sz w:val="24"/>
                <w:szCs w:val="24"/>
              </w:rPr>
              <w:t> </w:t>
            </w:r>
          </w:p>
        </w:tc>
        <w:tc>
          <w:tcPr>
            <w:tcW w:w="5833"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0" w:right="0"/>
              <w:jc w:val="center"/>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6137"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2" w:right="0"/>
              <w:jc w:val="center"/>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r>
      <w:tr>
        <w:trPr>
          <w:trHeight w:val="322" w:hRule="exact"/>
        </w:trPr>
        <w:tc>
          <w:tcPr>
            <w:tcW w:w="1966" w:type="dxa"/>
            <w:vMerge/>
            <w:tcBorders>
              <w:left w:val="single" w:sz="4" w:space="0" w:color="000000"/>
              <w:right w:val="single" w:sz="4" w:space="0" w:color="000000"/>
            </w:tcBorders>
          </w:tcPr>
          <w:p>
            <w:pP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92" w:right="0"/>
              <w:jc w:val="left"/>
              <w:rPr>
                <w:rFonts w:ascii="宋体" w:hAnsi="宋体" w:cs="宋体" w:eastAsia="宋体" w:hint="default"/>
                <w:sz w:val="24"/>
                <w:szCs w:val="24"/>
              </w:rPr>
            </w:pPr>
            <w:r>
              <w:rPr>
                <w:rFonts w:ascii="宋体" w:hAnsi="宋体" w:cs="宋体" w:eastAsia="宋体" w:hint="default"/>
                <w:sz w:val="24"/>
                <w:szCs w:val="24"/>
              </w:rPr>
              <w:t>账面余额</w:t>
            </w:r>
            <w:r>
              <w:rPr>
                <w:rFonts w:ascii="宋体" w:hAnsi="宋体" w:cs="宋体" w:eastAsia="宋体" w:hint="default"/>
                <w:sz w:val="24"/>
                <w:szCs w:val="24"/>
              </w:rPr>
              <w:t> </w:t>
            </w:r>
          </w:p>
        </w:tc>
        <w:tc>
          <w:tcPr>
            <w:tcW w:w="2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96" w:right="0"/>
              <w:jc w:val="left"/>
              <w:rPr>
                <w:rFonts w:ascii="宋体" w:hAnsi="宋体" w:cs="宋体" w:eastAsia="宋体" w:hint="default"/>
                <w:sz w:val="24"/>
                <w:szCs w:val="24"/>
              </w:rPr>
            </w:pPr>
            <w:r>
              <w:rPr>
                <w:rFonts w:ascii="宋体" w:hAnsi="宋体" w:cs="宋体" w:eastAsia="宋体" w:hint="default"/>
                <w:sz w:val="24"/>
                <w:szCs w:val="24"/>
              </w:rPr>
              <w:t>坏账准备</w:t>
            </w:r>
            <w:r>
              <w:rPr>
                <w:rFonts w:ascii="宋体" w:hAnsi="宋体" w:cs="宋体" w:eastAsia="宋体" w:hint="default"/>
                <w:sz w:val="24"/>
                <w:szCs w:val="24"/>
              </w:rPr>
              <w:t> </w:t>
            </w:r>
          </w:p>
        </w:tc>
        <w:tc>
          <w:tcPr>
            <w:tcW w:w="1323" w:type="dxa"/>
            <w:vMerge w:val="restart"/>
            <w:tcBorders>
              <w:top w:val="single" w:sz="4" w:space="0" w:color="000000"/>
              <w:left w:val="single" w:sz="4" w:space="0" w:color="000000"/>
              <w:right w:val="single" w:sz="4" w:space="0" w:color="000000"/>
            </w:tcBorders>
          </w:tcPr>
          <w:p>
            <w:pPr>
              <w:pStyle w:val="TableParagraph"/>
              <w:spacing w:line="310" w:lineRule="exact" w:before="153"/>
              <w:ind w:left="417" w:right="293"/>
              <w:jc w:val="left"/>
              <w:rPr>
                <w:rFonts w:ascii="宋体" w:hAnsi="宋体" w:cs="宋体" w:eastAsia="宋体" w:hint="default"/>
                <w:sz w:val="24"/>
                <w:szCs w:val="24"/>
              </w:rPr>
            </w:pPr>
            <w:r>
              <w:rPr>
                <w:rFonts w:ascii="宋体" w:hAnsi="宋体" w:cs="宋体" w:eastAsia="宋体" w:hint="default"/>
                <w:sz w:val="24"/>
                <w:szCs w:val="24"/>
              </w:rPr>
              <w:t>账面</w:t>
            </w:r>
            <w:r>
              <w:rPr>
                <w:rFonts w:ascii="宋体" w:hAnsi="宋体" w:cs="宋体" w:eastAsia="宋体" w:hint="default"/>
                <w:sz w:val="24"/>
                <w:szCs w:val="24"/>
              </w:rPr>
              <w:t> </w:t>
            </w:r>
            <w:r>
              <w:rPr>
                <w:rFonts w:ascii="宋体" w:hAnsi="宋体" w:cs="宋体" w:eastAsia="宋体" w:hint="default"/>
                <w:sz w:val="24"/>
                <w:szCs w:val="24"/>
              </w:rPr>
              <w:t>价值</w:t>
            </w:r>
            <w:r>
              <w:rPr>
                <w:rFonts w:ascii="宋体" w:hAnsi="宋体" w:cs="宋体" w:eastAsia="宋体" w:hint="default"/>
                <w:sz w:val="24"/>
                <w:szCs w:val="24"/>
              </w:rPr>
              <w:t> </w:t>
            </w:r>
          </w:p>
        </w:tc>
        <w:tc>
          <w:tcPr>
            <w:tcW w:w="2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60" w:right="0"/>
              <w:jc w:val="left"/>
              <w:rPr>
                <w:rFonts w:ascii="宋体" w:hAnsi="宋体" w:cs="宋体" w:eastAsia="宋体" w:hint="default"/>
                <w:sz w:val="24"/>
                <w:szCs w:val="24"/>
              </w:rPr>
            </w:pPr>
            <w:r>
              <w:rPr>
                <w:rFonts w:ascii="宋体" w:hAnsi="宋体" w:cs="宋体" w:eastAsia="宋体" w:hint="default"/>
                <w:sz w:val="24"/>
                <w:szCs w:val="24"/>
              </w:rPr>
              <w:t>账面余额</w:t>
            </w:r>
            <w:r>
              <w:rPr>
                <w:rFonts w:ascii="宋体" w:hAnsi="宋体" w:cs="宋体" w:eastAsia="宋体" w:hint="default"/>
                <w:sz w:val="24"/>
                <w:szCs w:val="24"/>
              </w:rPr>
              <w:t> </w:t>
            </w:r>
          </w:p>
        </w:tc>
        <w:tc>
          <w:tcPr>
            <w:tcW w:w="23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79" w:right="0"/>
              <w:jc w:val="left"/>
              <w:rPr>
                <w:rFonts w:ascii="宋体" w:hAnsi="宋体" w:cs="宋体" w:eastAsia="宋体" w:hint="default"/>
                <w:sz w:val="24"/>
                <w:szCs w:val="24"/>
              </w:rPr>
            </w:pPr>
            <w:r>
              <w:rPr>
                <w:rFonts w:ascii="宋体" w:hAnsi="宋体" w:cs="宋体" w:eastAsia="宋体" w:hint="default"/>
                <w:sz w:val="24"/>
                <w:szCs w:val="24"/>
              </w:rPr>
              <w:t>坏账准备</w:t>
            </w:r>
            <w:r>
              <w:rPr>
                <w:rFonts w:ascii="宋体" w:hAnsi="宋体" w:cs="宋体" w:eastAsia="宋体" w:hint="default"/>
                <w:sz w:val="24"/>
                <w:szCs w:val="24"/>
              </w:rPr>
              <w:t> </w:t>
            </w:r>
          </w:p>
        </w:tc>
        <w:tc>
          <w:tcPr>
            <w:tcW w:w="1320" w:type="dxa"/>
            <w:vMerge w:val="restart"/>
            <w:tcBorders>
              <w:top w:val="single" w:sz="4" w:space="0" w:color="000000"/>
              <w:left w:val="single" w:sz="4" w:space="0" w:color="000000"/>
              <w:right w:val="single" w:sz="4" w:space="0" w:color="000000"/>
            </w:tcBorders>
          </w:tcPr>
          <w:p>
            <w:pPr>
              <w:pStyle w:val="TableParagraph"/>
              <w:spacing w:line="310" w:lineRule="exact" w:before="153"/>
              <w:ind w:left="415" w:right="293"/>
              <w:jc w:val="left"/>
              <w:rPr>
                <w:rFonts w:ascii="宋体" w:hAnsi="宋体" w:cs="宋体" w:eastAsia="宋体" w:hint="default"/>
                <w:sz w:val="24"/>
                <w:szCs w:val="24"/>
              </w:rPr>
            </w:pPr>
            <w:r>
              <w:rPr>
                <w:rFonts w:ascii="宋体" w:hAnsi="宋体" w:cs="宋体" w:eastAsia="宋体" w:hint="default"/>
                <w:sz w:val="24"/>
                <w:szCs w:val="24"/>
              </w:rPr>
              <w:t>账面</w:t>
            </w:r>
            <w:r>
              <w:rPr>
                <w:rFonts w:ascii="宋体" w:hAnsi="宋体" w:cs="宋体" w:eastAsia="宋体" w:hint="default"/>
                <w:sz w:val="24"/>
                <w:szCs w:val="24"/>
              </w:rPr>
              <w:t> </w:t>
            </w:r>
            <w:r>
              <w:rPr>
                <w:rFonts w:ascii="宋体" w:hAnsi="宋体" w:cs="宋体" w:eastAsia="宋体" w:hint="default"/>
                <w:sz w:val="24"/>
                <w:szCs w:val="24"/>
              </w:rPr>
              <w:t>价值</w:t>
            </w:r>
            <w:r>
              <w:rPr>
                <w:rFonts w:ascii="宋体" w:hAnsi="宋体" w:cs="宋体" w:eastAsia="宋体" w:hint="default"/>
                <w:sz w:val="24"/>
                <w:szCs w:val="24"/>
              </w:rPr>
              <w:t> </w:t>
            </w:r>
          </w:p>
        </w:tc>
      </w:tr>
      <w:tr>
        <w:trPr>
          <w:trHeight w:val="631" w:hRule="exact"/>
        </w:trPr>
        <w:tc>
          <w:tcPr>
            <w:tcW w:w="1966" w:type="dxa"/>
            <w:vMerge/>
            <w:tcBorders>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15" w:right="0"/>
              <w:jc w:val="left"/>
              <w:rPr>
                <w:rFonts w:ascii="宋体" w:hAnsi="宋体" w:cs="宋体" w:eastAsia="宋体" w:hint="default"/>
                <w:sz w:val="24"/>
                <w:szCs w:val="24"/>
              </w:rPr>
            </w:pPr>
            <w:r>
              <w:rPr>
                <w:rFonts w:ascii="宋体" w:hAnsi="宋体" w:cs="宋体" w:eastAsia="宋体" w:hint="default"/>
                <w:sz w:val="24"/>
                <w:szCs w:val="24"/>
              </w:rPr>
              <w:t>金额</w:t>
            </w:r>
            <w:r>
              <w:rPr>
                <w:rFonts w:ascii="宋体" w:hAnsi="宋体" w:cs="宋体" w:eastAsia="宋体" w:hint="default"/>
                <w:sz w:val="24"/>
                <w:szCs w:val="24"/>
              </w:rPr>
              <w:t> </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30" w:right="0" w:hanging="60"/>
              <w:jc w:val="left"/>
              <w:rPr>
                <w:rFonts w:ascii="宋体" w:hAnsi="宋体" w:cs="宋体" w:eastAsia="宋体" w:hint="default"/>
                <w:sz w:val="24"/>
                <w:szCs w:val="24"/>
              </w:rPr>
            </w:pPr>
            <w:r>
              <w:rPr>
                <w:rFonts w:ascii="宋体" w:hAnsi="宋体" w:cs="宋体" w:eastAsia="宋体" w:hint="default"/>
                <w:sz w:val="24"/>
                <w:szCs w:val="24"/>
              </w:rPr>
              <w:t>比例</w:t>
            </w:r>
          </w:p>
          <w:p>
            <w:pPr>
              <w:pStyle w:val="TableParagraph"/>
              <w:spacing w:line="312" w:lineRule="exact"/>
              <w:ind w:left="230" w:right="0"/>
              <w:jc w:val="left"/>
              <w:rPr>
                <w:rFonts w:ascii="宋体" w:hAnsi="宋体" w:cs="宋体" w:eastAsia="宋体" w:hint="default"/>
                <w:sz w:val="24"/>
                <w:szCs w:val="24"/>
              </w:rPr>
            </w:pPr>
            <w:r>
              <w:rPr>
                <w:rFonts w:ascii="宋体"/>
                <w:sz w:val="2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22" w:right="0"/>
              <w:jc w:val="center"/>
              <w:rPr>
                <w:rFonts w:ascii="宋体" w:hAnsi="宋体" w:cs="宋体" w:eastAsia="宋体" w:hint="default"/>
                <w:sz w:val="24"/>
                <w:szCs w:val="24"/>
              </w:rPr>
            </w:pPr>
            <w:r>
              <w:rPr>
                <w:rFonts w:ascii="宋体" w:hAnsi="宋体" w:cs="宋体" w:eastAsia="宋体" w:hint="default"/>
                <w:sz w:val="24"/>
                <w:szCs w:val="24"/>
              </w:rPr>
              <w:t>金额</w:t>
            </w:r>
            <w:r>
              <w:rPr>
                <w:rFonts w:ascii="宋体" w:hAnsi="宋体" w:cs="宋体" w:eastAsia="宋体" w:hint="default"/>
                <w:sz w:val="24"/>
                <w:szCs w:val="24"/>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4"/>
                <w:szCs w:val="24"/>
              </w:rPr>
            </w:pPr>
            <w:r>
              <w:rPr>
                <w:rFonts w:ascii="宋体" w:hAnsi="宋体" w:cs="宋体" w:eastAsia="宋体" w:hint="default"/>
                <w:sz w:val="24"/>
                <w:szCs w:val="24"/>
              </w:rPr>
              <w:t>计提比例</w:t>
            </w:r>
          </w:p>
          <w:p>
            <w:pPr>
              <w:pStyle w:val="TableParagraph"/>
              <w:spacing w:line="312" w:lineRule="exact"/>
              <w:ind w:left="122" w:right="0"/>
              <w:jc w:val="center"/>
              <w:rPr>
                <w:rFonts w:ascii="宋体" w:hAnsi="宋体" w:cs="宋体" w:eastAsia="宋体" w:hint="default"/>
                <w:sz w:val="24"/>
                <w:szCs w:val="24"/>
              </w:rPr>
            </w:pPr>
            <w:r>
              <w:rPr>
                <w:rFonts w:ascii="宋体"/>
                <w:sz w:val="24"/>
              </w:rPr>
              <w:t>(%) </w:t>
            </w:r>
          </w:p>
        </w:tc>
        <w:tc>
          <w:tcPr>
            <w:tcW w:w="1323" w:type="dxa"/>
            <w:vMerge/>
            <w:tcBorders>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43" w:right="0"/>
              <w:jc w:val="left"/>
              <w:rPr>
                <w:rFonts w:ascii="宋体" w:hAnsi="宋体" w:cs="宋体" w:eastAsia="宋体" w:hint="default"/>
                <w:sz w:val="24"/>
                <w:szCs w:val="24"/>
              </w:rPr>
            </w:pPr>
            <w:r>
              <w:rPr>
                <w:rFonts w:ascii="宋体" w:hAnsi="宋体" w:cs="宋体" w:eastAsia="宋体" w:hint="default"/>
                <w:sz w:val="24"/>
                <w:szCs w:val="24"/>
              </w:rPr>
              <w:t>金额</w:t>
            </w:r>
            <w:r>
              <w:rPr>
                <w:rFonts w:ascii="宋体" w:hAnsi="宋体" w:cs="宋体" w:eastAsia="宋体" w:hint="default"/>
                <w:sz w:val="24"/>
                <w:szCs w:val="24"/>
              </w:rPr>
              <w:t>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32" w:right="0"/>
              <w:jc w:val="left"/>
              <w:rPr>
                <w:rFonts w:ascii="宋体" w:hAnsi="宋体" w:cs="宋体" w:eastAsia="宋体" w:hint="default"/>
                <w:sz w:val="24"/>
                <w:szCs w:val="24"/>
              </w:rPr>
            </w:pPr>
            <w:r>
              <w:rPr>
                <w:rFonts w:ascii="宋体" w:hAnsi="宋体" w:cs="宋体" w:eastAsia="宋体" w:hint="default"/>
                <w:sz w:val="24"/>
                <w:szCs w:val="24"/>
              </w:rPr>
              <w:t>比例</w:t>
            </w:r>
            <w:r>
              <w:rPr>
                <w:rFonts w:ascii="宋体" w:hAnsi="宋体" w:cs="宋体" w:eastAsia="宋体" w:hint="default"/>
                <w:sz w:val="24"/>
                <w:szCs w:val="24"/>
              </w:rPr>
              <w:t>(%) </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48" w:right="0"/>
              <w:jc w:val="left"/>
              <w:rPr>
                <w:rFonts w:ascii="宋体" w:hAnsi="宋体" w:cs="宋体" w:eastAsia="宋体" w:hint="default"/>
                <w:sz w:val="24"/>
                <w:szCs w:val="24"/>
              </w:rPr>
            </w:pPr>
            <w:r>
              <w:rPr>
                <w:rFonts w:ascii="宋体" w:hAnsi="宋体" w:cs="宋体" w:eastAsia="宋体" w:hint="default"/>
                <w:sz w:val="24"/>
                <w:szCs w:val="24"/>
              </w:rPr>
              <w:t>金额</w:t>
            </w:r>
            <w:r>
              <w:rPr>
                <w:rFonts w:ascii="宋体" w:hAnsi="宋体" w:cs="宋体" w:eastAsia="宋体" w:hint="default"/>
                <w:sz w:val="24"/>
                <w:szCs w:val="24"/>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4"/>
                <w:szCs w:val="24"/>
              </w:rPr>
            </w:pPr>
            <w:r>
              <w:rPr>
                <w:rFonts w:ascii="宋体" w:hAnsi="宋体" w:cs="宋体" w:eastAsia="宋体" w:hint="default"/>
                <w:sz w:val="24"/>
                <w:szCs w:val="24"/>
              </w:rPr>
              <w:t>计提比例</w:t>
            </w:r>
          </w:p>
          <w:p>
            <w:pPr>
              <w:pStyle w:val="TableParagraph"/>
              <w:spacing w:line="312" w:lineRule="exact"/>
              <w:ind w:left="120" w:right="0"/>
              <w:jc w:val="center"/>
              <w:rPr>
                <w:rFonts w:ascii="宋体" w:hAnsi="宋体" w:cs="宋体" w:eastAsia="宋体" w:hint="default"/>
                <w:sz w:val="24"/>
                <w:szCs w:val="24"/>
              </w:rPr>
            </w:pPr>
            <w:r>
              <w:rPr>
                <w:rFonts w:ascii="宋体"/>
                <w:sz w:val="24"/>
              </w:rPr>
              <w:t>(%) </w:t>
            </w:r>
          </w:p>
        </w:tc>
        <w:tc>
          <w:tcPr>
            <w:tcW w:w="1320" w:type="dxa"/>
            <w:vMerge/>
            <w:tcBorders>
              <w:left w:val="single" w:sz="4" w:space="0" w:color="000000"/>
              <w:bottom w:val="single" w:sz="4" w:space="0" w:color="000000"/>
              <w:right w:val="single" w:sz="4" w:space="0" w:color="000000"/>
            </w:tcBorders>
          </w:tcPr>
          <w:p>
            <w:pPr/>
          </w:p>
        </w:tc>
      </w:tr>
      <w:tr>
        <w:trPr>
          <w:trHeight w:val="283" w:hRule="exact"/>
        </w:trPr>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按单项计提坏账准备</w:t>
            </w:r>
          </w:p>
        </w:tc>
        <w:tc>
          <w:tcPr>
            <w:tcW w:w="1322"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18"/>
                <w:szCs w:val="18"/>
              </w:rPr>
            </w:pPr>
            <w:r>
              <w:rPr>
                <w:rFonts w:ascii="Times New Roman"/>
                <w:spacing w:val="-1"/>
                <w:sz w:val="18"/>
              </w:rPr>
              <w:t>540,000.00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7" w:right="0"/>
              <w:jc w:val="center"/>
              <w:rPr>
                <w:rFonts w:ascii="Times New Roman" w:hAnsi="Times New Roman" w:cs="Times New Roman" w:eastAsia="Times New Roman" w:hint="default"/>
                <w:sz w:val="18"/>
                <w:szCs w:val="18"/>
              </w:rPr>
            </w:pPr>
            <w:r>
              <w:rPr>
                <w:rFonts w:ascii="Times New Roman"/>
                <w:sz w:val="18"/>
              </w:rPr>
              <w:t>0.01</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Times New Roman" w:hAnsi="Times New Roman" w:cs="Times New Roman" w:eastAsia="Times New Roman" w:hint="default"/>
                <w:sz w:val="18"/>
                <w:szCs w:val="18"/>
              </w:rPr>
            </w:pPr>
            <w:r>
              <w:rPr>
                <w:rFonts w:ascii="Times New Roman"/>
                <w:spacing w:val="-1"/>
                <w:sz w:val="18"/>
              </w:rPr>
              <w:t>540,000.00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Times New Roman" w:hAnsi="Times New Roman" w:cs="Times New Roman" w:eastAsia="Times New Roman" w:hint="default"/>
                <w:sz w:val="18"/>
                <w:szCs w:val="18"/>
              </w:rPr>
            </w:pPr>
            <w:r>
              <w:rPr>
                <w:rFonts w:ascii="Times New Roman"/>
                <w:spacing w:val="-1"/>
                <w:sz w:val="18"/>
              </w:rPr>
              <w:t>100.00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1" w:hRule="exact"/>
        </w:trPr>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6" w:right="0"/>
              <w:jc w:val="left"/>
              <w:rPr>
                <w:rFonts w:ascii="Times New Roman" w:hAnsi="Times New Roman" w:cs="Times New Roman" w:eastAsia="Times New Roman" w:hint="default"/>
                <w:sz w:val="18"/>
                <w:szCs w:val="18"/>
              </w:rPr>
            </w:pPr>
            <w:r>
              <w:rPr>
                <w:rFonts w:ascii="Times New Roman"/>
                <w:sz w:val="18"/>
              </w:rPr>
              <w:t>4,393,850,084.62</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3"/>
              <w:jc w:val="right"/>
              <w:rPr>
                <w:rFonts w:ascii="Times New Roman" w:hAnsi="Times New Roman" w:cs="Times New Roman" w:eastAsia="Times New Roman" w:hint="default"/>
                <w:sz w:val="18"/>
                <w:szCs w:val="18"/>
              </w:rPr>
            </w:pPr>
            <w:r>
              <w:rPr>
                <w:rFonts w:ascii="Times New Roman"/>
                <w:spacing w:val="-1"/>
                <w:sz w:val="18"/>
              </w:rPr>
              <w:t>100.00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71" w:right="0"/>
              <w:jc w:val="center"/>
              <w:rPr>
                <w:rFonts w:ascii="Times New Roman" w:hAnsi="Times New Roman" w:cs="Times New Roman" w:eastAsia="Times New Roman" w:hint="default"/>
                <w:sz w:val="18"/>
                <w:szCs w:val="18"/>
              </w:rPr>
            </w:pPr>
            <w:r>
              <w:rPr>
                <w:rFonts w:ascii="Times New Roman"/>
                <w:sz w:val="18"/>
              </w:rPr>
              <w:t>448,464,923.65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Times New Roman" w:hAnsi="Times New Roman" w:cs="Times New Roman" w:eastAsia="Times New Roman" w:hint="default"/>
                <w:sz w:val="18"/>
                <w:szCs w:val="18"/>
              </w:rPr>
            </w:pPr>
            <w:r>
              <w:rPr>
                <w:rFonts w:ascii="Times New Roman"/>
                <w:sz w:val="18"/>
              </w:rPr>
              <w:t>10.21</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 w:right="0"/>
              <w:jc w:val="center"/>
              <w:rPr>
                <w:rFonts w:ascii="Times New Roman" w:hAnsi="Times New Roman" w:cs="Times New Roman" w:eastAsia="Times New Roman" w:hint="default"/>
                <w:sz w:val="18"/>
                <w:szCs w:val="18"/>
              </w:rPr>
            </w:pPr>
            <w:r>
              <w:rPr>
                <w:rFonts w:ascii="Times New Roman"/>
                <w:sz w:val="18"/>
              </w:rPr>
              <w:t>3,945,385,160.97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Times New Roman" w:hAnsi="Times New Roman" w:cs="Times New Roman" w:eastAsia="Times New Roman" w:hint="default"/>
                <w:sz w:val="18"/>
                <w:szCs w:val="18"/>
              </w:rPr>
            </w:pPr>
            <w:r>
              <w:rPr>
                <w:rFonts w:ascii="Times New Roman"/>
                <w:spacing w:val="-1"/>
                <w:sz w:val="18"/>
              </w:rPr>
              <w:t>5,671,813,151.24</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12" w:right="0"/>
              <w:jc w:val="left"/>
              <w:rPr>
                <w:rFonts w:ascii="Times New Roman" w:hAnsi="Times New Roman" w:cs="Times New Roman" w:eastAsia="Times New Roman" w:hint="default"/>
                <w:sz w:val="18"/>
                <w:szCs w:val="18"/>
              </w:rPr>
            </w:pPr>
            <w:r>
              <w:rPr>
                <w:rFonts w:ascii="Times New Roman"/>
                <w:sz w:val="18"/>
              </w:rPr>
              <w:t>99.99</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5"/>
              <w:jc w:val="right"/>
              <w:rPr>
                <w:rFonts w:ascii="Times New Roman" w:hAnsi="Times New Roman" w:cs="Times New Roman" w:eastAsia="Times New Roman" w:hint="default"/>
                <w:sz w:val="18"/>
                <w:szCs w:val="18"/>
              </w:rPr>
            </w:pPr>
            <w:r>
              <w:rPr>
                <w:rFonts w:ascii="Times New Roman"/>
                <w:spacing w:val="-1"/>
                <w:sz w:val="18"/>
              </w:rPr>
              <w:t>487,892,650.69</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3"/>
              <w:jc w:val="right"/>
              <w:rPr>
                <w:rFonts w:ascii="Times New Roman" w:hAnsi="Times New Roman" w:cs="Times New Roman" w:eastAsia="Times New Roman" w:hint="default"/>
                <w:sz w:val="18"/>
                <w:szCs w:val="18"/>
              </w:rPr>
            </w:pPr>
            <w:r>
              <w:rPr>
                <w:rFonts w:ascii="Times New Roman"/>
                <w:spacing w:val="-1"/>
                <w:sz w:val="18"/>
              </w:rPr>
              <w:t>8.60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Times New Roman" w:hAnsi="Times New Roman" w:cs="Times New Roman" w:eastAsia="Times New Roman" w:hint="default"/>
                <w:sz w:val="18"/>
                <w:szCs w:val="18"/>
              </w:rPr>
            </w:pPr>
            <w:r>
              <w:rPr>
                <w:rFonts w:ascii="Times New Roman"/>
                <w:spacing w:val="-1"/>
                <w:sz w:val="18"/>
              </w:rPr>
              <w:t>5,183,920,500.55</w:t>
            </w:r>
          </w:p>
        </w:tc>
      </w:tr>
      <w:tr>
        <w:trPr>
          <w:trHeight w:val="245" w:hRule="exact"/>
        </w:trPr>
        <w:tc>
          <w:tcPr>
            <w:tcW w:w="1393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hAnsi="宋体" w:cs="宋体" w:eastAsia="宋体" w:hint="default"/>
                <w:sz w:val="18"/>
                <w:szCs w:val="18"/>
              </w:rPr>
              <w:t>其中：</w:t>
            </w:r>
          </w:p>
        </w:tc>
      </w:tr>
      <w:tr>
        <w:trPr>
          <w:trHeight w:val="322" w:hRule="exact"/>
        </w:trPr>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信用风险组合</w:t>
            </w:r>
            <w:r>
              <w:rPr>
                <w:rFonts w:ascii="宋体" w:hAnsi="宋体" w:cs="宋体" w:eastAsia="宋体" w:hint="default"/>
                <w:color w:val="808080"/>
                <w:sz w:val="24"/>
                <w:szCs w:val="24"/>
              </w:rPr>
              <w:t> </w:t>
            </w:r>
            <w:r>
              <w:rPr>
                <w:rFonts w:ascii="宋体" w:hAnsi="宋体" w:cs="宋体" w:eastAsia="宋体" w:hint="default"/>
                <w:sz w:val="24"/>
                <w:szCs w:val="24"/>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6" w:right="0"/>
              <w:jc w:val="left"/>
              <w:rPr>
                <w:rFonts w:ascii="Times New Roman" w:hAnsi="Times New Roman" w:cs="Times New Roman" w:eastAsia="Times New Roman" w:hint="default"/>
                <w:sz w:val="18"/>
                <w:szCs w:val="18"/>
              </w:rPr>
            </w:pPr>
            <w:r>
              <w:rPr>
                <w:rFonts w:ascii="Times New Roman"/>
                <w:sz w:val="18"/>
              </w:rPr>
              <w:t>4,393,850,084.62</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pacing w:val="-1"/>
                <w:sz w:val="18"/>
              </w:rPr>
              <w:t>100.00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1" w:right="0"/>
              <w:jc w:val="center"/>
              <w:rPr>
                <w:rFonts w:ascii="Times New Roman" w:hAnsi="Times New Roman" w:cs="Times New Roman" w:eastAsia="Times New Roman" w:hint="default"/>
                <w:sz w:val="18"/>
                <w:szCs w:val="18"/>
              </w:rPr>
            </w:pPr>
            <w:r>
              <w:rPr>
                <w:rFonts w:ascii="Times New Roman"/>
                <w:sz w:val="18"/>
              </w:rPr>
              <w:t>448,464,923.65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10.21</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 w:right="0"/>
              <w:jc w:val="center"/>
              <w:rPr>
                <w:rFonts w:ascii="Times New Roman" w:hAnsi="Times New Roman" w:cs="Times New Roman" w:eastAsia="Times New Roman" w:hint="default"/>
                <w:sz w:val="18"/>
                <w:szCs w:val="18"/>
              </w:rPr>
            </w:pPr>
            <w:r>
              <w:rPr>
                <w:rFonts w:ascii="Times New Roman"/>
                <w:sz w:val="18"/>
              </w:rPr>
              <w:t>3,945,385,160.97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5,671,813,151.24</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12" w:right="0"/>
              <w:jc w:val="left"/>
              <w:rPr>
                <w:rFonts w:ascii="Times New Roman" w:hAnsi="Times New Roman" w:cs="Times New Roman" w:eastAsia="Times New Roman" w:hint="default"/>
                <w:sz w:val="18"/>
                <w:szCs w:val="18"/>
              </w:rPr>
            </w:pPr>
            <w:r>
              <w:rPr>
                <w:rFonts w:ascii="Times New Roman"/>
                <w:sz w:val="18"/>
              </w:rPr>
              <w:t>99.99</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pacing w:val="-1"/>
                <w:sz w:val="18"/>
              </w:rPr>
              <w:t>487,892,650.69</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pacing w:val="-1"/>
                <w:sz w:val="18"/>
              </w:rPr>
              <w:t>8.60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5,183,920,500.55</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120" w:bottom="1380" w:left="1380" w:right="1220"/>
        </w:sectPr>
      </w:pPr>
    </w:p>
    <w:p>
      <w:pPr>
        <w:spacing w:line="240" w:lineRule="auto" w:before="7"/>
        <w:rPr>
          <w:rFonts w:ascii="宋体" w:hAnsi="宋体" w:cs="宋体" w:eastAsia="宋体" w:hint="default"/>
          <w:sz w:val="11"/>
          <w:szCs w:val="11"/>
        </w:rPr>
      </w:pPr>
    </w:p>
    <w:tbl>
      <w:tblPr>
        <w:tblW w:w="0" w:type="auto"/>
        <w:jc w:val="left"/>
        <w:tblInd w:w="187" w:type="dxa"/>
        <w:tblLayout w:type="fixed"/>
        <w:tblCellMar>
          <w:top w:w="0" w:type="dxa"/>
          <w:left w:w="0" w:type="dxa"/>
          <w:bottom w:w="0" w:type="dxa"/>
          <w:right w:w="0" w:type="dxa"/>
        </w:tblCellMar>
        <w:tblLook w:val="01E0"/>
      </w:tblPr>
      <w:tblGrid>
        <w:gridCol w:w="1966"/>
        <w:gridCol w:w="1322"/>
        <w:gridCol w:w="831"/>
        <w:gridCol w:w="1260"/>
        <w:gridCol w:w="1097"/>
        <w:gridCol w:w="1323"/>
        <w:gridCol w:w="1373"/>
        <w:gridCol w:w="1114"/>
        <w:gridCol w:w="1189"/>
        <w:gridCol w:w="1142"/>
        <w:gridCol w:w="1320"/>
      </w:tblGrid>
      <w:tr>
        <w:trPr>
          <w:trHeight w:val="322" w:hRule="exact"/>
        </w:trPr>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7"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6" w:right="0"/>
              <w:jc w:val="left"/>
              <w:rPr>
                <w:rFonts w:ascii="Times New Roman" w:hAnsi="Times New Roman" w:cs="Times New Roman" w:eastAsia="Times New Roman" w:hint="default"/>
                <w:sz w:val="18"/>
                <w:szCs w:val="18"/>
              </w:rPr>
            </w:pPr>
            <w:r>
              <w:rPr>
                <w:rFonts w:ascii="Times New Roman"/>
                <w:sz w:val="18"/>
              </w:rPr>
              <w:t>4,393,850,084.62</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87" w:right="0"/>
              <w:jc w:val="left"/>
              <w:rPr>
                <w:rFonts w:ascii="Times New Roman" w:hAnsi="Times New Roman" w:cs="Times New Roman" w:eastAsia="Times New Roman" w:hint="default"/>
                <w:sz w:val="18"/>
                <w:szCs w:val="18"/>
              </w:rPr>
            </w:pPr>
            <w:r>
              <w:rPr>
                <w:rFonts w:ascii="Times New Roman"/>
                <w:sz w:val="18"/>
              </w:rPr>
              <w:t>100.00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98" w:right="0"/>
              <w:jc w:val="left"/>
              <w:rPr>
                <w:rFonts w:ascii="Times New Roman" w:hAnsi="Times New Roman" w:cs="Times New Roman" w:eastAsia="Times New Roman" w:hint="default"/>
                <w:sz w:val="18"/>
                <w:szCs w:val="18"/>
              </w:rPr>
            </w:pPr>
            <w:r>
              <w:rPr>
                <w:rFonts w:ascii="Times New Roman"/>
                <w:sz w:val="18"/>
              </w:rPr>
              <w:t>448,464,923.65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40" w:right="0"/>
              <w:jc w:val="left"/>
              <w:rPr>
                <w:rFonts w:ascii="Times New Roman" w:hAnsi="Times New Roman" w:cs="Times New Roman" w:eastAsia="Times New Roman" w:hint="default"/>
                <w:sz w:val="18"/>
                <w:szCs w:val="18"/>
              </w:rPr>
            </w:pPr>
            <w:r>
              <w:rPr>
                <w:rFonts w:ascii="Times New Roman"/>
                <w:sz w:val="18"/>
              </w:rPr>
              <w:t>10.21</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8" w:right="0"/>
              <w:jc w:val="left"/>
              <w:rPr>
                <w:rFonts w:ascii="Times New Roman" w:hAnsi="Times New Roman" w:cs="Times New Roman" w:eastAsia="Times New Roman" w:hint="default"/>
                <w:sz w:val="18"/>
                <w:szCs w:val="18"/>
              </w:rPr>
            </w:pPr>
            <w:r>
              <w:rPr>
                <w:rFonts w:ascii="Times New Roman"/>
                <w:sz w:val="18"/>
              </w:rPr>
              <w:t>3,945,385,160.97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9" w:right="0"/>
              <w:jc w:val="left"/>
              <w:rPr>
                <w:rFonts w:ascii="Times New Roman" w:hAnsi="Times New Roman" w:cs="Times New Roman" w:eastAsia="Times New Roman" w:hint="default"/>
                <w:sz w:val="18"/>
                <w:szCs w:val="18"/>
              </w:rPr>
            </w:pPr>
            <w:r>
              <w:rPr>
                <w:rFonts w:ascii="Times New Roman"/>
                <w:sz w:val="18"/>
              </w:rPr>
              <w:t>5,672,353,151.24</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83" w:right="0"/>
              <w:jc w:val="left"/>
              <w:rPr>
                <w:rFonts w:ascii="Times New Roman" w:hAnsi="Times New Roman" w:cs="Times New Roman" w:eastAsia="Times New Roman" w:hint="default"/>
                <w:sz w:val="18"/>
                <w:szCs w:val="18"/>
              </w:rPr>
            </w:pPr>
            <w:r>
              <w:rPr>
                <w:rFonts w:ascii="Times New Roman"/>
                <w:sz w:val="18"/>
              </w:rPr>
              <w:t>100.00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6" w:right="0"/>
              <w:jc w:val="left"/>
              <w:rPr>
                <w:rFonts w:ascii="Times New Roman" w:hAnsi="Times New Roman" w:cs="Times New Roman" w:eastAsia="Times New Roman" w:hint="default"/>
                <w:sz w:val="18"/>
                <w:szCs w:val="18"/>
              </w:rPr>
            </w:pPr>
            <w:r>
              <w:rPr>
                <w:rFonts w:ascii="Times New Roman"/>
                <w:sz w:val="18"/>
              </w:rPr>
              <w:t>488,432,650.69</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pacing w:val="-1"/>
                <w:sz w:val="18"/>
              </w:rPr>
              <w:t>8.61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6" w:right="0"/>
              <w:jc w:val="left"/>
              <w:rPr>
                <w:rFonts w:ascii="Times New Roman" w:hAnsi="Times New Roman" w:cs="Times New Roman" w:eastAsia="Times New Roman" w:hint="default"/>
                <w:sz w:val="18"/>
                <w:szCs w:val="18"/>
              </w:rPr>
            </w:pPr>
            <w:r>
              <w:rPr>
                <w:rFonts w:ascii="Times New Roman"/>
                <w:sz w:val="18"/>
              </w:rPr>
              <w:t>5,183,920,500.55</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82" w:footer="1195" w:top="1120" w:bottom="1380" w:left="1300" w:right="1220"/>
        </w:sectPr>
      </w:pPr>
    </w:p>
    <w:p>
      <w:pPr>
        <w:pStyle w:val="Heading3"/>
        <w:spacing w:line="272" w:lineRule="exact"/>
        <w:ind w:left="224" w:right="0"/>
        <w:jc w:val="left"/>
        <w:rPr>
          <w:rFonts w:ascii="宋体" w:hAnsi="宋体" w:cs="宋体" w:eastAsia="宋体" w:hint="default"/>
        </w:rPr>
      </w:pPr>
      <w:r>
        <w:rPr>
          <w:rFonts w:ascii="宋体"/>
        </w:rPr>
        <w:t> </w:t>
      </w:r>
    </w:p>
    <w:p>
      <w:pPr>
        <w:pStyle w:val="Heading3"/>
        <w:spacing w:line="311" w:lineRule="exact"/>
        <w:ind w:left="224" w:right="0"/>
        <w:jc w:val="left"/>
        <w:rPr>
          <w:rFonts w:ascii="宋体" w:hAnsi="宋体" w:cs="宋体" w:eastAsia="宋体" w:hint="default"/>
        </w:rPr>
      </w:pPr>
      <w:r>
        <w:rPr/>
        <w:t>按单项计提坏账准备：</w:t>
      </w:r>
      <w:r>
        <w:rPr>
          <w:rFonts w:ascii="宋体" w:hAnsi="宋体" w:cs="宋体" w:eastAsia="宋体" w:hint="default"/>
        </w:rPr>
        <w:t> </w:t>
      </w:r>
    </w:p>
    <w:p>
      <w:pPr>
        <w:pStyle w:val="Heading3"/>
        <w:spacing w:line="312" w:lineRule="exact"/>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0" w:lineRule="exact" w:before="31"/>
        <w:ind w:left="224" w:right="0"/>
        <w:jc w:val="left"/>
        <w:rPr>
          <w:rFonts w:ascii="宋体" w:hAnsi="宋体" w:cs="宋体" w:eastAsia="宋体" w:hint="default"/>
        </w:rPr>
      </w:pPr>
      <w:r>
        <w:rPr>
          <w:rFonts w:ascii="宋体" w:hAnsi="宋体" w:cs="宋体" w:eastAsia="宋体" w:hint="default"/>
        </w:rPr>
        <w:t>  </w:t>
      </w:r>
      <w:r>
        <w:rPr/>
        <w:t>按组合计提坏账准备：</w:t>
      </w:r>
      <w:r>
        <w:rPr>
          <w:rFonts w:ascii="宋体" w:hAnsi="宋体" w:cs="宋体" w:eastAsia="宋体" w:hint="default"/>
        </w:rPr>
        <w:t> </w:t>
      </w:r>
    </w:p>
    <w:p>
      <w:pPr>
        <w:pStyle w:val="Heading3"/>
        <w:spacing w:line="312" w:lineRule="exact"/>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t>组合计提项目：信用风险组合</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19"/>
          <w:szCs w:val="19"/>
        </w:rPr>
      </w:pPr>
    </w:p>
    <w:p>
      <w:pPr>
        <w:pStyle w:val="Heading3"/>
        <w:spacing w:line="240" w:lineRule="auto"/>
        <w:ind w:left="224"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00" w:right="1220"/>
          <w:cols w:num="2" w:equalWidth="0">
            <w:col w:w="3465" w:space="7666"/>
            <w:col w:w="3189"/>
          </w:cols>
        </w:sectPr>
      </w:pPr>
    </w:p>
    <w:p>
      <w:pPr>
        <w:spacing w:line="240" w:lineRule="auto" w:before="10"/>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264"/>
        <w:gridCol w:w="3596"/>
        <w:gridCol w:w="3660"/>
        <w:gridCol w:w="3569"/>
      </w:tblGrid>
      <w:tr>
        <w:trPr>
          <w:trHeight w:val="322" w:hRule="exact"/>
        </w:trPr>
        <w:tc>
          <w:tcPr>
            <w:tcW w:w="3264" w:type="dxa"/>
            <w:vMerge w:val="restart"/>
            <w:tcBorders>
              <w:top w:val="single" w:sz="4" w:space="0" w:color="000000"/>
              <w:left w:val="single" w:sz="4" w:space="0" w:color="000000"/>
              <w:right w:val="single" w:sz="4" w:space="0" w:color="000000"/>
            </w:tcBorders>
          </w:tcPr>
          <w:p>
            <w:pPr>
              <w:pStyle w:val="TableParagraph"/>
              <w:spacing w:line="240" w:lineRule="auto" w:before="120"/>
              <w:ind w:left="120" w:right="0"/>
              <w:jc w:val="center"/>
              <w:rPr>
                <w:rFonts w:ascii="宋体" w:hAnsi="宋体" w:cs="宋体" w:eastAsia="宋体" w:hint="default"/>
                <w:sz w:val="24"/>
                <w:szCs w:val="24"/>
              </w:rPr>
            </w:pPr>
            <w:r>
              <w:rPr>
                <w:rFonts w:ascii="宋体" w:hAnsi="宋体" w:cs="宋体" w:eastAsia="宋体" w:hint="default"/>
                <w:sz w:val="24"/>
                <w:szCs w:val="24"/>
              </w:rPr>
              <w:t>名称</w:t>
            </w:r>
            <w:r>
              <w:rPr>
                <w:rFonts w:ascii="宋体" w:hAnsi="宋体" w:cs="宋体" w:eastAsia="宋体" w:hint="default"/>
                <w:sz w:val="24"/>
                <w:szCs w:val="24"/>
              </w:rPr>
              <w:t> </w:t>
            </w:r>
          </w:p>
        </w:tc>
        <w:tc>
          <w:tcPr>
            <w:tcW w:w="108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0" w:right="0"/>
              <w:jc w:val="center"/>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r>
      <w:tr>
        <w:trPr>
          <w:trHeight w:val="322" w:hRule="exact"/>
        </w:trPr>
        <w:tc>
          <w:tcPr>
            <w:tcW w:w="3264" w:type="dxa"/>
            <w:vMerge/>
            <w:tcBorders>
              <w:left w:val="single" w:sz="4" w:space="0" w:color="000000"/>
              <w:bottom w:val="single" w:sz="4" w:space="0" w:color="000000"/>
              <w:right w:val="single" w:sz="4" w:space="0" w:color="000000"/>
            </w:tcBorders>
          </w:tcPr>
          <w:p>
            <w:pP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313" w:right="0"/>
              <w:jc w:val="left"/>
              <w:rPr>
                <w:rFonts w:ascii="宋体" w:hAnsi="宋体" w:cs="宋体" w:eastAsia="宋体" w:hint="default"/>
                <w:sz w:val="24"/>
                <w:szCs w:val="24"/>
              </w:rPr>
            </w:pPr>
            <w:r>
              <w:rPr>
                <w:rFonts w:ascii="宋体" w:hAnsi="宋体" w:cs="宋体" w:eastAsia="宋体" w:hint="default"/>
                <w:sz w:val="24"/>
                <w:szCs w:val="24"/>
              </w:rPr>
              <w:t>应收账款</w:t>
            </w:r>
            <w:r>
              <w:rPr>
                <w:rFonts w:ascii="宋体" w:hAnsi="宋体" w:cs="宋体" w:eastAsia="宋体" w:hint="default"/>
                <w:sz w:val="24"/>
                <w:szCs w:val="24"/>
              </w:rPr>
              <w:t> </w:t>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sz w:val="24"/>
                <w:szCs w:val="24"/>
              </w:rPr>
              <w:t>坏账准备</w:t>
            </w:r>
            <w:r>
              <w:rPr>
                <w:rFonts w:ascii="宋体" w:hAnsi="宋体" w:cs="宋体" w:eastAsia="宋体" w:hint="default"/>
                <w:sz w:val="24"/>
                <w:szCs w:val="24"/>
              </w:rPr>
              <w:t> </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98" w:right="0"/>
              <w:jc w:val="left"/>
              <w:rPr>
                <w:rFonts w:ascii="宋体" w:hAnsi="宋体" w:cs="宋体" w:eastAsia="宋体" w:hint="default"/>
                <w:sz w:val="24"/>
                <w:szCs w:val="24"/>
              </w:rPr>
            </w:pPr>
            <w:r>
              <w:rPr>
                <w:rFonts w:ascii="宋体" w:hAnsi="宋体" w:cs="宋体" w:eastAsia="宋体" w:hint="default"/>
                <w:sz w:val="24"/>
                <w:szCs w:val="24"/>
              </w:rPr>
              <w:t>计提比例（</w:t>
            </w: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 </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spacing w:val="-1"/>
                <w:sz w:val="20"/>
              </w:rPr>
              <w:t>3,156,685,309.29</w:t>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91,501,965.14</w:t>
            </w:r>
            <w:r>
              <w:rPr>
                <w:rFonts w:ascii="Times New Roman"/>
                <w:sz w:val="20"/>
              </w:rPr>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sz w:val="20"/>
              </w:rPr>
              <w:t>2.9</w:t>
            </w:r>
          </w:p>
        </w:tc>
      </w:tr>
      <w:tr>
        <w:trPr>
          <w:trHeight w:val="281"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615,682,572.66</w:t>
            </w:r>
            <w:r>
              <w:rPr>
                <w:rFonts w:ascii="Times New Roman"/>
                <w:sz w:val="20"/>
              </w:rPr>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65,878,000.43</w:t>
            </w:r>
            <w:r>
              <w:rPr>
                <w:rFonts w:ascii="Times New Roman"/>
                <w:sz w:val="20"/>
              </w:rPr>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sz w:val="20"/>
              </w:rPr>
              <w:t>10.7</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264,146,079.58</w:t>
            </w:r>
            <w:r>
              <w:rPr>
                <w:rFonts w:ascii="Times New Roman"/>
                <w:sz w:val="20"/>
              </w:rPr>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59,505,190.86</w:t>
            </w:r>
            <w:r>
              <w:rPr>
                <w:rFonts w:ascii="Times New Roman"/>
                <w:sz w:val="20"/>
              </w:rPr>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sz w:val="20"/>
              </w:rPr>
              <w:t>22.53</w:t>
            </w:r>
          </w:p>
        </w:tc>
      </w:tr>
      <w:tr>
        <w:trPr>
          <w:trHeight w:val="281"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204,276,771.73</w:t>
            </w:r>
            <w:r>
              <w:rPr>
                <w:rFonts w:ascii="Times New Roman"/>
                <w:sz w:val="20"/>
              </w:rPr>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89,793,212.47</w:t>
            </w:r>
            <w:r>
              <w:rPr>
                <w:rFonts w:ascii="Times New Roman"/>
                <w:sz w:val="20"/>
              </w:rPr>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sz w:val="20"/>
              </w:rPr>
              <w:t>43.96</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Times New Roman" w:hAnsi="Times New Roman" w:cs="Times New Roman" w:eastAsia="Times New Roman" w:hint="default"/>
                <w:sz w:val="20"/>
                <w:szCs w:val="20"/>
              </w:rPr>
            </w:pPr>
            <w:r>
              <w:rPr>
                <w:rFonts w:ascii="Times New Roman"/>
                <w:w w:val="95"/>
                <w:sz w:val="20"/>
              </w:rPr>
              <w:t>56,363,983.10</w:t>
            </w:r>
            <w:r>
              <w:rPr>
                <w:rFonts w:ascii="Times New Roman"/>
                <w:sz w:val="20"/>
              </w:rPr>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Times New Roman" w:hAnsi="Times New Roman" w:cs="Times New Roman" w:eastAsia="Times New Roman" w:hint="default"/>
                <w:sz w:val="20"/>
                <w:szCs w:val="20"/>
              </w:rPr>
            </w:pPr>
            <w:r>
              <w:rPr>
                <w:rFonts w:ascii="Times New Roman"/>
                <w:w w:val="95"/>
                <w:sz w:val="20"/>
              </w:rPr>
              <w:t>45,091,186.49</w:t>
            </w:r>
            <w:r>
              <w:rPr>
                <w:rFonts w:ascii="Times New Roman"/>
                <w:sz w:val="20"/>
              </w:rPr>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98"/>
              <w:jc w:val="right"/>
              <w:rPr>
                <w:rFonts w:ascii="Times New Roman" w:hAnsi="Times New Roman" w:cs="Times New Roman" w:eastAsia="Times New Roman" w:hint="default"/>
                <w:sz w:val="20"/>
                <w:szCs w:val="20"/>
              </w:rPr>
            </w:pPr>
            <w:r>
              <w:rPr>
                <w:rFonts w:ascii="Times New Roman"/>
                <w:sz w:val="20"/>
              </w:rPr>
              <w:t>80</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96,695,368.26</w:t>
            </w:r>
            <w:r>
              <w:rPr>
                <w:rFonts w:ascii="Times New Roman"/>
                <w:sz w:val="20"/>
              </w:rPr>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96,695,368.26</w:t>
            </w:r>
            <w:r>
              <w:rPr>
                <w:rFonts w:ascii="Times New Roman"/>
                <w:sz w:val="20"/>
              </w:rPr>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8"/>
              <w:jc w:val="right"/>
              <w:rPr>
                <w:rFonts w:ascii="Times New Roman" w:hAnsi="Times New Roman" w:cs="Times New Roman" w:eastAsia="Times New Roman" w:hint="default"/>
                <w:sz w:val="20"/>
                <w:szCs w:val="20"/>
              </w:rPr>
            </w:pPr>
            <w:r>
              <w:rPr>
                <w:rFonts w:ascii="Times New Roman"/>
                <w:sz w:val="20"/>
              </w:rPr>
              <w:t>100</w:t>
            </w:r>
          </w:p>
        </w:tc>
      </w:tr>
      <w:tr>
        <w:trPr>
          <w:trHeight w:val="322"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0"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2"/>
              <w:jc w:val="right"/>
              <w:rPr>
                <w:rFonts w:ascii="Times New Roman" w:hAnsi="Times New Roman" w:cs="Times New Roman" w:eastAsia="Times New Roman" w:hint="default"/>
                <w:sz w:val="20"/>
                <w:szCs w:val="20"/>
              </w:rPr>
            </w:pPr>
            <w:r>
              <w:rPr>
                <w:rFonts w:ascii="Times New Roman"/>
                <w:spacing w:val="-1"/>
                <w:sz w:val="20"/>
              </w:rPr>
              <w:t>4,393,850,084.62</w:t>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2"/>
              <w:jc w:val="right"/>
              <w:rPr>
                <w:rFonts w:ascii="Times New Roman" w:hAnsi="Times New Roman" w:cs="Times New Roman" w:eastAsia="Times New Roman" w:hint="default"/>
                <w:sz w:val="20"/>
                <w:szCs w:val="20"/>
              </w:rPr>
            </w:pPr>
            <w:r>
              <w:rPr>
                <w:rFonts w:ascii="Times New Roman"/>
                <w:w w:val="95"/>
                <w:sz w:val="20"/>
              </w:rPr>
              <w:t>448,464,923.65</w:t>
            </w:r>
            <w:r>
              <w:rPr>
                <w:rFonts w:ascii="Times New Roman"/>
                <w:sz w:val="20"/>
              </w:rPr>
            </w:r>
          </w:p>
        </w:tc>
        <w:tc>
          <w:tcPr>
            <w:tcW w:w="356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3"/>
          <w:szCs w:val="13"/>
        </w:rPr>
      </w:pPr>
    </w:p>
    <w:p>
      <w:pPr>
        <w:pStyle w:val="Heading3"/>
        <w:spacing w:line="313" w:lineRule="exact" w:before="26"/>
        <w:ind w:left="224" w:right="0"/>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Heading3"/>
        <w:spacing w:line="312" w:lineRule="exact"/>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0" w:lineRule="exact" w:before="31"/>
        <w:ind w:left="224" w:right="0"/>
        <w:jc w:val="left"/>
        <w:rPr>
          <w:rFonts w:ascii="宋体" w:hAnsi="宋体" w:cs="宋体" w:eastAsia="宋体" w:hint="default"/>
        </w:rPr>
      </w:pPr>
      <w:r>
        <w:rPr>
          <w:rFonts w:ascii="宋体" w:hAnsi="宋体" w:cs="宋体" w:eastAsia="宋体" w:hint="default"/>
        </w:rPr>
        <w:t>  </w:t>
      </w:r>
      <w:r>
        <w:rPr/>
        <w:t>如按预期信用损失一般模型计提坏账准备，请参照其他应收款披露</w:t>
      </w:r>
      <w:r>
        <w:rPr>
          <w:spacing w:val="1"/>
        </w:rPr>
        <w:t>：</w:t>
      </w:r>
      <w:r>
        <w:rPr>
          <w:rFonts w:ascii="宋体" w:hAnsi="宋体" w:cs="宋体" w:eastAsia="宋体" w:hint="default"/>
        </w:rPr>
        <w:t> </w:t>
      </w:r>
    </w:p>
    <w:p>
      <w:pPr>
        <w:pStyle w:val="Heading3"/>
        <w:spacing w:line="284" w:lineRule="exact"/>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84" w:lineRule="exact"/>
        <w:jc w:val="left"/>
        <w:rPr>
          <w:rFonts w:ascii="宋体" w:hAnsi="宋体" w:cs="宋体" w:eastAsia="宋体" w:hint="default"/>
        </w:rPr>
        <w:sectPr>
          <w:type w:val="continuous"/>
          <w:pgSz w:w="16840" w:h="11910" w:orient="landscape"/>
          <w:pgMar w:top="1120" w:bottom="1380" w:left="1300" w:right="1220"/>
        </w:sectPr>
      </w:pPr>
    </w:p>
    <w:p>
      <w:pPr>
        <w:spacing w:line="240" w:lineRule="auto" w:before="10"/>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6840" w:h="11910" w:orient="landscape"/>
          <w:pgMar w:header="882" w:footer="1195" w:top="1120" w:bottom="1380" w:left="1280" w:right="1200"/>
        </w:sectPr>
      </w:pPr>
    </w:p>
    <w:p>
      <w:pPr>
        <w:pStyle w:val="Heading5"/>
        <w:spacing w:line="240" w:lineRule="auto" w:before="36"/>
        <w:ind w:left="244" w:right="0"/>
        <w:jc w:val="left"/>
        <w:rPr>
          <w:rFonts w:ascii="宋体" w:hAnsi="宋体" w:cs="宋体" w:eastAsia="宋体" w:hint="default"/>
          <w:b w:val="0"/>
          <w:bCs w:val="0"/>
        </w:rPr>
      </w:pPr>
      <w:r>
        <w:rPr>
          <w:rFonts w:ascii="宋体" w:hAnsi="宋体" w:cs="宋体" w:eastAsia="宋体" w:hint="default"/>
        </w:rPr>
        <w:t>(3).</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24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95" w:val="left" w:leader="none"/>
        </w:tabs>
        <w:spacing w:line="240" w:lineRule="auto" w:before="156"/>
        <w:ind w:left="244"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1280" w:right="1200"/>
          <w:cols w:num="2" w:equalWidth="0">
            <w:col w:w="2285" w:space="9278"/>
            <w:col w:w="2797"/>
          </w:cols>
        </w:sectPr>
      </w:pPr>
    </w:p>
    <w:p>
      <w:pPr>
        <w:spacing w:line="240" w:lineRule="auto" w:before="4"/>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2146"/>
        <w:gridCol w:w="2161"/>
        <w:gridCol w:w="2256"/>
        <w:gridCol w:w="1364"/>
        <w:gridCol w:w="2002"/>
        <w:gridCol w:w="2302"/>
        <w:gridCol w:w="1872"/>
      </w:tblGrid>
      <w:tr>
        <w:trPr>
          <w:trHeight w:val="283" w:hRule="exact"/>
        </w:trPr>
        <w:tc>
          <w:tcPr>
            <w:tcW w:w="2146"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center"/>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2161" w:type="dxa"/>
            <w:vMerge w:val="restart"/>
            <w:tcBorders>
              <w:top w:val="single" w:sz="4" w:space="0" w:color="000000"/>
              <w:left w:val="single" w:sz="4" w:space="0" w:color="000000"/>
              <w:right w:val="single" w:sz="4" w:space="0" w:color="000000"/>
            </w:tcBorders>
          </w:tcPr>
          <w:p>
            <w:pPr>
              <w:pStyle w:val="TableParagraph"/>
              <w:spacing w:line="240" w:lineRule="auto" w:before="107"/>
              <w:ind w:left="65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792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872" w:type="dxa"/>
            <w:vMerge w:val="restart"/>
            <w:tcBorders>
              <w:top w:val="single" w:sz="4" w:space="0" w:color="000000"/>
              <w:left w:val="single" w:sz="4" w:space="0" w:color="000000"/>
              <w:right w:val="single" w:sz="4" w:space="0" w:color="000000"/>
            </w:tcBorders>
          </w:tcPr>
          <w:p>
            <w:pPr>
              <w:pStyle w:val="TableParagraph"/>
              <w:spacing w:line="240" w:lineRule="auto" w:before="107"/>
              <w:ind w:left="51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146" w:type="dxa"/>
            <w:vMerge/>
            <w:tcBorders>
              <w:left w:val="single" w:sz="4" w:space="0" w:color="000000"/>
              <w:bottom w:val="single" w:sz="4" w:space="0" w:color="000000"/>
              <w:right w:val="single" w:sz="4" w:space="0" w:color="000000"/>
            </w:tcBorders>
          </w:tcPr>
          <w:p>
            <w:pPr/>
          </w:p>
        </w:tc>
        <w:tc>
          <w:tcPr>
            <w:tcW w:w="2161" w:type="dxa"/>
            <w:vMerge/>
            <w:tcBorders>
              <w:left w:val="single" w:sz="4" w:space="0" w:color="000000"/>
              <w:bottom w:val="single" w:sz="4" w:space="0" w:color="000000"/>
              <w:right w:val="single" w:sz="4" w:space="0" w:color="000000"/>
            </w:tcBorders>
          </w:tcPr>
          <w:p>
            <w:pP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hAnsi="宋体" w:cs="宋体" w:eastAsia="宋体" w:hint="default"/>
                <w:sz w:val="21"/>
                <w:szCs w:val="21"/>
              </w:rPr>
              <w:t>收回或转回</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hAnsi="宋体" w:cs="宋体" w:eastAsia="宋体" w:hint="default"/>
                <w:sz w:val="21"/>
                <w:szCs w:val="21"/>
              </w:rPr>
              <w:t>转销或核销</w:t>
            </w:r>
            <w:r>
              <w:rPr>
                <w:rFonts w:ascii="宋体" w:hAnsi="宋体" w:cs="宋体" w:eastAsia="宋体" w:hint="default"/>
                <w:sz w:val="21"/>
                <w:szCs w:val="21"/>
              </w:rPr>
              <w:t> </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4"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872" w:type="dxa"/>
            <w:vMerge/>
            <w:tcBorders>
              <w:left w:val="single" w:sz="4" w:space="0" w:color="000000"/>
              <w:bottom w:val="single" w:sz="4" w:space="0" w:color="000000"/>
              <w:right w:val="single" w:sz="4" w:space="0" w:color="000000"/>
            </w:tcBorders>
          </w:tcPr>
          <w:p>
            <w:pPr/>
          </w:p>
        </w:tc>
      </w:tr>
      <w:tr>
        <w:trPr>
          <w:trHeight w:val="826" w:hRule="exact"/>
        </w:trPr>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按信用风险特征组合</w:t>
            </w:r>
          </w:p>
          <w:p>
            <w:pPr>
              <w:pStyle w:val="TableParagraph"/>
              <w:spacing w:line="240" w:lineRule="auto"/>
              <w:ind w:left="107" w:right="132"/>
              <w:jc w:val="left"/>
              <w:rPr>
                <w:rFonts w:ascii="宋体" w:hAnsi="宋体" w:cs="宋体" w:eastAsia="宋体" w:hint="default"/>
                <w:sz w:val="21"/>
                <w:szCs w:val="21"/>
              </w:rPr>
            </w:pPr>
            <w:r>
              <w:rPr>
                <w:rFonts w:ascii="宋体" w:hAnsi="宋体" w:cs="宋体" w:eastAsia="宋体" w:hint="default"/>
                <w:sz w:val="21"/>
                <w:szCs w:val="21"/>
              </w:rPr>
              <w:t>计提坏账准备的应收</w:t>
            </w:r>
            <w:r>
              <w:rPr>
                <w:rFonts w:ascii="宋体" w:hAnsi="宋体" w:cs="宋体" w:eastAsia="宋体" w:hint="default"/>
                <w:w w:val="100"/>
                <w:sz w:val="21"/>
                <w:szCs w:val="21"/>
              </w:rPr>
              <w:t> </w:t>
            </w:r>
            <w:r>
              <w:rPr>
                <w:rFonts w:ascii="宋体" w:hAnsi="宋体" w:cs="宋体" w:eastAsia="宋体" w:hint="default"/>
                <w:sz w:val="21"/>
                <w:szCs w:val="21"/>
              </w:rPr>
              <w:t>账款</w:t>
            </w:r>
            <w:r>
              <w:rPr>
                <w:rFonts w:ascii="宋体" w:hAnsi="宋体" w:cs="宋体" w:eastAsia="宋体" w:hint="default"/>
                <w:sz w:val="21"/>
                <w:szCs w:val="21"/>
              </w:rPr>
              <w:t> </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488,432,650.69</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-1,694,622.82</w:t>
            </w:r>
          </w:p>
        </w:tc>
        <w:tc>
          <w:tcPr>
            <w:tcW w:w="136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-59,922.00</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-38,213,182.22</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448,464,923.65</w:t>
            </w:r>
          </w:p>
        </w:tc>
      </w:tr>
      <w:tr>
        <w:trPr>
          <w:trHeight w:val="284" w:hRule="exact"/>
        </w:trPr>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488,432,650.69</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-1,694,622.82</w:t>
            </w:r>
          </w:p>
        </w:tc>
        <w:tc>
          <w:tcPr>
            <w:tcW w:w="1364"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-59,922.00</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-38,213,182.22</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448,464,923.65</w:t>
            </w:r>
          </w:p>
        </w:tc>
      </w:tr>
    </w:tbl>
    <w:p>
      <w:pPr>
        <w:spacing w:line="240" w:lineRule="auto" w:before="3"/>
        <w:rPr>
          <w:rFonts w:ascii="宋体" w:hAnsi="宋体" w:cs="宋体" w:eastAsia="宋体" w:hint="default"/>
          <w:sz w:val="14"/>
          <w:szCs w:val="14"/>
        </w:rPr>
      </w:pPr>
    </w:p>
    <w:p>
      <w:pPr>
        <w:pStyle w:val="BodyText"/>
        <w:spacing w:line="270" w:lineRule="exact" w:before="36"/>
        <w:ind w:left="244" w:right="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Heading3"/>
        <w:spacing w:line="308" w:lineRule="exact"/>
        <w:ind w:left="24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244" w:right="0"/>
        <w:jc w:val="left"/>
        <w:rPr>
          <w:rFonts w:ascii="宋体" w:hAnsi="宋体" w:cs="宋体" w:eastAsia="宋体" w:hint="default"/>
        </w:rPr>
      </w:pPr>
      <w:r>
        <w:rPr>
          <w:rFonts w:ascii="宋体"/>
        </w:rPr>
        <w:t> </w:t>
      </w:r>
    </w:p>
    <w:p>
      <w:pPr>
        <w:pStyle w:val="Heading5"/>
        <w:spacing w:line="240" w:lineRule="auto"/>
        <w:ind w:left="244" w:right="0"/>
        <w:jc w:val="left"/>
        <w:rPr>
          <w:rFonts w:ascii="宋体" w:hAnsi="宋体" w:cs="宋体" w:eastAsia="宋体" w:hint="default"/>
          <w:b w:val="0"/>
          <w:bCs w:val="0"/>
        </w:rPr>
      </w:pPr>
      <w:r>
        <w:rPr>
          <w:rFonts w:ascii="宋体" w:hAnsi="宋体" w:cs="宋体" w:eastAsia="宋体" w:hint="default"/>
        </w:rPr>
        <w:t>(4).</w:t>
      </w:r>
      <w:r>
        <w:rPr/>
        <w:t>本期实际核销的应收账款情况</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left="24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244" w:right="0"/>
        <w:jc w:val="left"/>
        <w:rPr>
          <w:rFonts w:ascii="宋体" w:hAnsi="宋体" w:cs="宋体" w:eastAsia="宋体" w:hint="default"/>
        </w:rPr>
      </w:pPr>
      <w:r>
        <w:rPr>
          <w:rFonts w:ascii="宋体"/>
        </w:rPr>
        <w:t> </w:t>
      </w:r>
    </w:p>
    <w:p>
      <w:pPr>
        <w:pStyle w:val="Heading5"/>
        <w:spacing w:line="240" w:lineRule="auto"/>
        <w:ind w:left="244" w:right="0"/>
        <w:jc w:val="left"/>
        <w:rPr>
          <w:rFonts w:ascii="宋体" w:hAnsi="宋体" w:cs="宋体" w:eastAsia="宋体" w:hint="default"/>
          <w:b w:val="0"/>
          <w:bCs w:val="0"/>
        </w:rPr>
      </w:pPr>
      <w:r>
        <w:rPr>
          <w:rFonts w:ascii="宋体" w:hAnsi="宋体" w:cs="宋体" w:eastAsia="宋体" w:hint="default"/>
        </w:rPr>
        <w:t>(5).</w:t>
      </w:r>
      <w:r>
        <w:rPr/>
        <w:t>按欠款方归集的期末余额前五名的应收账款情况</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left="244"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244" w:right="0"/>
        <w:jc w:val="left"/>
        <w:rPr>
          <w:rFonts w:ascii="宋体" w:hAnsi="宋体" w:cs="宋体" w:eastAsia="宋体" w:hint="default"/>
        </w:rPr>
      </w:pPr>
      <w:r>
        <w:rPr>
          <w:rFonts w:ascii="宋体"/>
        </w:rPr>
        <w:t> </w:t>
      </w:r>
    </w:p>
    <w:p>
      <w:pPr>
        <w:spacing w:line="240" w:lineRule="auto" w:before="10"/>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5396"/>
        <w:gridCol w:w="2760"/>
        <w:gridCol w:w="2758"/>
        <w:gridCol w:w="3190"/>
      </w:tblGrid>
      <w:tr>
        <w:trPr>
          <w:trHeight w:val="362" w:hRule="exact"/>
        </w:trPr>
        <w:tc>
          <w:tcPr>
            <w:tcW w:w="539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
              <w:ind w:left="124" w:right="0"/>
              <w:jc w:val="center"/>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27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left="95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right="58"/>
              <w:jc w:val="right"/>
              <w:rPr>
                <w:rFonts w:ascii="宋体" w:hAnsi="宋体" w:cs="宋体" w:eastAsia="宋体" w:hint="default"/>
                <w:sz w:val="21"/>
                <w:szCs w:val="21"/>
              </w:rPr>
            </w:pPr>
            <w:r>
              <w:rPr>
                <w:rFonts w:ascii="宋体" w:hAnsi="宋体" w:cs="宋体" w:eastAsia="宋体" w:hint="default"/>
                <w:spacing w:val="-2"/>
                <w:sz w:val="21"/>
                <w:szCs w:val="21"/>
              </w:rPr>
              <w:t>占应收账款总额的比例</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319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
              <w:ind w:left="962" w:right="0"/>
              <w:jc w:val="left"/>
              <w:rPr>
                <w:rFonts w:ascii="宋体" w:hAnsi="宋体" w:cs="宋体" w:eastAsia="宋体" w:hint="default"/>
                <w:sz w:val="21"/>
                <w:szCs w:val="21"/>
              </w:rPr>
            </w:pPr>
            <w:r>
              <w:rPr>
                <w:rFonts w:ascii="宋体" w:hAnsi="宋体" w:cs="宋体" w:eastAsia="宋体" w:hint="default"/>
                <w:sz w:val="21"/>
                <w:szCs w:val="21"/>
              </w:rPr>
              <w:t>坏账准备余额</w:t>
            </w:r>
            <w:r>
              <w:rPr>
                <w:rFonts w:ascii="宋体" w:hAnsi="宋体" w:cs="宋体" w:eastAsia="宋体" w:hint="default"/>
                <w:sz w:val="21"/>
                <w:szCs w:val="21"/>
              </w:rPr>
              <w:t> </w:t>
            </w:r>
          </w:p>
        </w:tc>
      </w:tr>
      <w:tr>
        <w:trPr>
          <w:trHeight w:val="348" w:hRule="exact"/>
        </w:trPr>
        <w:tc>
          <w:tcPr>
            <w:tcW w:w="5396"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科优电力（常州）有限公司</w:t>
            </w:r>
            <w:r>
              <w:rPr>
                <w:rFonts w:ascii="宋体" w:hAnsi="宋体" w:cs="宋体" w:eastAsia="宋体" w:hint="default"/>
                <w:sz w:val="21"/>
                <w:szCs w:val="21"/>
              </w:rPr>
              <w:t> </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137,202,454.11</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3.12</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6,613,158.29</w:t>
            </w:r>
          </w:p>
        </w:tc>
      </w:tr>
      <w:tr>
        <w:trPr>
          <w:trHeight w:val="350" w:hRule="exact"/>
        </w:trPr>
        <w:tc>
          <w:tcPr>
            <w:tcW w:w="53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上海电力设计院物资有限公司</w:t>
            </w:r>
            <w:r>
              <w:rPr>
                <w:rFonts w:ascii="宋体" w:hAnsi="宋体" w:cs="宋体" w:eastAsia="宋体" w:hint="default"/>
                <w:sz w:val="21"/>
                <w:szCs w:val="21"/>
              </w:rPr>
              <w:t> </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134,762,267.00</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z w:val="21"/>
              </w:rPr>
              <w:t>3.07</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12,609,659.92</w:t>
            </w:r>
          </w:p>
        </w:tc>
      </w:tr>
      <w:tr>
        <w:trPr>
          <w:trHeight w:val="350" w:hRule="exact"/>
        </w:trPr>
        <w:tc>
          <w:tcPr>
            <w:tcW w:w="5396"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飞尔特能源</w:t>
            </w:r>
            <w:r>
              <w:rPr>
                <w:rFonts w:ascii="宋体" w:hAnsi="宋体" w:cs="宋体" w:eastAsia="宋体" w:hint="default"/>
                <w:sz w:val="21"/>
                <w:szCs w:val="21"/>
              </w:rPr>
              <w:t>(</w:t>
            </w:r>
            <w:r>
              <w:rPr>
                <w:rFonts w:ascii="宋体" w:hAnsi="宋体" w:cs="宋体" w:eastAsia="宋体" w:hint="default"/>
                <w:sz w:val="21"/>
                <w:szCs w:val="21"/>
              </w:rPr>
              <w:t>东莞</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108,027,275.05</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z w:val="21"/>
              </w:rPr>
              <w:t>2.46</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4,585,618.29</w:t>
            </w:r>
          </w:p>
        </w:tc>
      </w:tr>
      <w:tr>
        <w:trPr>
          <w:trHeight w:val="350" w:hRule="exact"/>
        </w:trPr>
        <w:tc>
          <w:tcPr>
            <w:tcW w:w="5396"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扬州市奥克发电设备有限公司</w:t>
            </w:r>
            <w:r>
              <w:rPr>
                <w:rFonts w:ascii="宋体" w:hAnsi="宋体" w:cs="宋体" w:eastAsia="宋体" w:hint="default"/>
                <w:sz w:val="21"/>
                <w:szCs w:val="21"/>
              </w:rPr>
              <w:t> </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92,180,969.30</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z w:val="21"/>
              </w:rPr>
              <w:t>2.10</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3,930,508.12</w:t>
            </w:r>
          </w:p>
        </w:tc>
      </w:tr>
      <w:tr>
        <w:trPr>
          <w:trHeight w:val="351" w:hRule="exact"/>
        </w:trPr>
        <w:tc>
          <w:tcPr>
            <w:tcW w:w="539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上海格蒂电力科技有限公司</w:t>
            </w:r>
            <w:r>
              <w:rPr>
                <w:rFonts w:ascii="宋体" w:hAnsi="宋体" w:cs="宋体" w:eastAsia="宋体" w:hint="default"/>
                <w:sz w:val="21"/>
                <w:szCs w:val="21"/>
              </w:rPr>
              <w:t> </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78,229,100.00</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z w:val="21"/>
              </w:rPr>
              <w:t>1.78</w:t>
            </w:r>
          </w:p>
        </w:tc>
        <w:tc>
          <w:tcPr>
            <w:tcW w:w="3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1,564,582.00</w:t>
            </w:r>
          </w:p>
        </w:tc>
      </w:tr>
      <w:tr>
        <w:trPr>
          <w:trHeight w:val="360" w:hRule="exact"/>
        </w:trPr>
        <w:tc>
          <w:tcPr>
            <w:tcW w:w="5396" w:type="dxa"/>
            <w:tcBorders>
              <w:top w:val="single" w:sz="4" w:space="0" w:color="000000"/>
              <w:left w:val="nil" w:sz="6" w:space="0" w:color="auto"/>
              <w:bottom w:val="single" w:sz="12" w:space="0" w:color="000000"/>
              <w:right w:val="single" w:sz="4" w:space="0" w:color="000000"/>
            </w:tcBorders>
          </w:tcPr>
          <w:p>
            <w:pPr>
              <w:pStyle w:val="TableParagraph"/>
              <w:spacing w:line="274" w:lineRule="exact"/>
              <w:ind w:left="12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7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550,402,065.46</w:t>
            </w:r>
          </w:p>
        </w:tc>
        <w:tc>
          <w:tcPr>
            <w:tcW w:w="27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12.53</w:t>
            </w:r>
          </w:p>
        </w:tc>
        <w:tc>
          <w:tcPr>
            <w:tcW w:w="319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29,303,526.62</w:t>
            </w:r>
          </w:p>
        </w:tc>
      </w:tr>
    </w:tbl>
    <w:p>
      <w:pPr>
        <w:pStyle w:val="Heading3"/>
        <w:spacing w:line="274" w:lineRule="exact"/>
        <w:ind w:left="244" w:right="0"/>
        <w:jc w:val="left"/>
        <w:rPr>
          <w:rFonts w:ascii="宋体" w:hAnsi="宋体" w:cs="宋体" w:eastAsia="宋体" w:hint="default"/>
        </w:rPr>
      </w:pPr>
      <w:r>
        <w:rPr>
          <w:rFonts w:ascii="宋体"/>
        </w:rPr>
        <w:t> </w:t>
      </w:r>
    </w:p>
    <w:p>
      <w:pPr>
        <w:spacing w:after="0" w:line="274" w:lineRule="exact"/>
        <w:jc w:val="left"/>
        <w:rPr>
          <w:rFonts w:ascii="宋体" w:hAnsi="宋体" w:cs="宋体" w:eastAsia="宋体" w:hint="default"/>
        </w:rPr>
        <w:sectPr>
          <w:type w:val="continuous"/>
          <w:pgSz w:w="16840" w:h="11910" w:orient="landscape"/>
          <w:pgMar w:top="1120" w:bottom="1380" w:left="1280" w:right="1200"/>
        </w:sectPr>
      </w:pPr>
    </w:p>
    <w:p>
      <w:pPr>
        <w:pStyle w:val="Heading5"/>
        <w:spacing w:line="240" w:lineRule="auto" w:before="117"/>
        <w:ind w:left="244" w:right="0"/>
        <w:jc w:val="left"/>
        <w:rPr>
          <w:rFonts w:ascii="宋体" w:hAnsi="宋体" w:cs="宋体" w:eastAsia="宋体" w:hint="default"/>
          <w:b w:val="0"/>
          <w:bCs w:val="0"/>
        </w:rPr>
      </w:pPr>
      <w:r>
        <w:rPr>
          <w:rFonts w:ascii="宋体" w:hAnsi="宋体" w:cs="宋体" w:eastAsia="宋体" w:hint="default"/>
        </w:rPr>
        <w:t>(6).</w:t>
      </w:r>
      <w:r>
        <w:rPr/>
        <w:t>因金融资产转移而终止确认的应收账款</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left="244"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244" w:right="0"/>
        <w:jc w:val="left"/>
        <w:rPr>
          <w:rFonts w:ascii="宋体" w:hAnsi="宋体" w:cs="宋体" w:eastAsia="宋体" w:hint="default"/>
        </w:rPr>
      </w:pPr>
      <w:r>
        <w:rPr>
          <w:rFonts w:ascii="宋体"/>
        </w:rPr>
        <w:t> </w:t>
      </w: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538"/>
        <w:gridCol w:w="3521"/>
        <w:gridCol w:w="3524"/>
        <w:gridCol w:w="3521"/>
      </w:tblGrid>
      <w:tr>
        <w:trPr>
          <w:trHeight w:val="360" w:hRule="exact"/>
        </w:trPr>
        <w:tc>
          <w:tcPr>
            <w:tcW w:w="353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0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52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946" w:right="0"/>
              <w:jc w:val="left"/>
              <w:rPr>
                <w:rFonts w:ascii="宋体" w:hAnsi="宋体" w:cs="宋体" w:eastAsia="宋体" w:hint="default"/>
                <w:sz w:val="18"/>
                <w:szCs w:val="18"/>
              </w:rPr>
            </w:pPr>
            <w:r>
              <w:rPr>
                <w:rFonts w:ascii="宋体" w:hAnsi="宋体" w:cs="宋体" w:eastAsia="宋体" w:hint="default"/>
                <w:sz w:val="18"/>
                <w:szCs w:val="18"/>
              </w:rPr>
              <w:t>金融资产转移的方式</w:t>
            </w:r>
            <w:r>
              <w:rPr>
                <w:rFonts w:ascii="宋体" w:hAnsi="宋体" w:cs="宋体" w:eastAsia="宋体" w:hint="default"/>
                <w:sz w:val="18"/>
                <w:szCs w:val="18"/>
              </w:rPr>
              <w:t> </w:t>
            </w:r>
          </w:p>
        </w:tc>
        <w:tc>
          <w:tcPr>
            <w:tcW w:w="35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1219" w:right="0"/>
              <w:jc w:val="left"/>
              <w:rPr>
                <w:rFonts w:ascii="宋体" w:hAnsi="宋体" w:cs="宋体" w:eastAsia="宋体" w:hint="default"/>
                <w:sz w:val="18"/>
                <w:szCs w:val="18"/>
              </w:rPr>
            </w:pPr>
            <w:r>
              <w:rPr>
                <w:rFonts w:ascii="宋体" w:hAnsi="宋体" w:cs="宋体" w:eastAsia="宋体" w:hint="default"/>
                <w:sz w:val="18"/>
                <w:szCs w:val="18"/>
              </w:rPr>
              <w:t>终止确认金额</w:t>
            </w:r>
            <w:r>
              <w:rPr>
                <w:rFonts w:ascii="宋体" w:hAnsi="宋体" w:cs="宋体" w:eastAsia="宋体" w:hint="default"/>
                <w:sz w:val="18"/>
                <w:szCs w:val="18"/>
              </w:rPr>
              <w:t> </w:t>
            </w:r>
          </w:p>
        </w:tc>
        <w:tc>
          <w:tcPr>
            <w:tcW w:w="352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586"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r>
              <w:rPr>
                <w:rFonts w:ascii="宋体" w:hAnsi="宋体" w:cs="宋体" w:eastAsia="宋体" w:hint="default"/>
                <w:sz w:val="18"/>
                <w:szCs w:val="18"/>
              </w:rPr>
              <w:t> </w:t>
            </w:r>
          </w:p>
        </w:tc>
      </w:tr>
      <w:tr>
        <w:trPr>
          <w:trHeight w:val="710" w:hRule="exact"/>
        </w:trPr>
        <w:tc>
          <w:tcPr>
            <w:tcW w:w="35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7" w:right="0"/>
              <w:jc w:val="center"/>
              <w:rPr>
                <w:rFonts w:ascii="宋体" w:hAnsi="宋体" w:cs="宋体" w:eastAsia="宋体" w:hint="default"/>
                <w:sz w:val="18"/>
                <w:szCs w:val="18"/>
              </w:rPr>
            </w:pPr>
            <w:r>
              <w:rPr>
                <w:rFonts w:ascii="宋体" w:hAnsi="宋体" w:cs="宋体" w:eastAsia="宋体" w:hint="default"/>
                <w:sz w:val="18"/>
                <w:szCs w:val="18"/>
              </w:rPr>
              <w:t>ABS</w:t>
            </w:r>
            <w:r>
              <w:rPr>
                <w:rFonts w:ascii="宋体" w:hAnsi="宋体" w:cs="宋体" w:eastAsia="宋体" w:hint="default"/>
                <w:spacing w:val="-48"/>
                <w:sz w:val="18"/>
                <w:szCs w:val="18"/>
              </w:rPr>
              <w:t> </w:t>
            </w:r>
            <w:r>
              <w:rPr>
                <w:rFonts w:ascii="宋体" w:hAnsi="宋体" w:cs="宋体" w:eastAsia="宋体" w:hint="default"/>
                <w:sz w:val="18"/>
                <w:szCs w:val="18"/>
              </w:rPr>
              <w:t>业务</w:t>
            </w:r>
            <w:r>
              <w:rPr>
                <w:rFonts w:ascii="宋体" w:hAnsi="宋体" w:cs="宋体" w:eastAsia="宋体" w:hint="default"/>
                <w:sz w:val="18"/>
                <w:szCs w:val="18"/>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将金融资产转移给对方，但保留收取金融</w:t>
            </w:r>
          </w:p>
          <w:p>
            <w:pPr>
              <w:pStyle w:val="TableParagraph"/>
              <w:spacing w:line="232" w:lineRule="exact" w:before="23"/>
              <w:ind w:left="103" w:right="166"/>
              <w:jc w:val="left"/>
              <w:rPr>
                <w:rFonts w:ascii="宋体" w:hAnsi="宋体" w:cs="宋体" w:eastAsia="宋体" w:hint="default"/>
                <w:sz w:val="18"/>
                <w:szCs w:val="18"/>
              </w:rPr>
            </w:pPr>
            <w:r>
              <w:rPr>
                <w:rFonts w:ascii="宋体" w:hAnsi="宋体" w:cs="宋体" w:eastAsia="宋体" w:hint="default"/>
                <w:sz w:val="18"/>
                <w:szCs w:val="18"/>
              </w:rPr>
              <w:t>资产现金流量的权利，并承担将收取的现 金流量支付给最终收款方的义务</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spacing w:val="-1"/>
                <w:sz w:val="20"/>
              </w:rPr>
              <w:t>2,386,900,671.20</w:t>
            </w:r>
          </w:p>
        </w:tc>
        <w:tc>
          <w:tcPr>
            <w:tcW w:w="35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5"/>
                <w:sz w:val="20"/>
              </w:rPr>
              <w:t>-92,937,789.98</w:t>
            </w:r>
            <w:r>
              <w:rPr>
                <w:rFonts w:ascii="Times New Roman"/>
                <w:sz w:val="20"/>
              </w:rPr>
            </w:r>
          </w:p>
        </w:tc>
      </w:tr>
      <w:tr>
        <w:trPr>
          <w:trHeight w:val="360" w:hRule="exact"/>
        </w:trPr>
        <w:tc>
          <w:tcPr>
            <w:tcW w:w="353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09"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521" w:type="dxa"/>
            <w:tcBorders>
              <w:top w:val="single" w:sz="4" w:space="0" w:color="000000"/>
              <w:left w:val="single" w:sz="4" w:space="0" w:color="000000"/>
              <w:bottom w:val="single" w:sz="12" w:space="0" w:color="000000"/>
              <w:right w:val="single" w:sz="4" w:space="0" w:color="000000"/>
            </w:tcBorders>
          </w:tcPr>
          <w:p>
            <w:pPr/>
          </w:p>
        </w:tc>
        <w:tc>
          <w:tcPr>
            <w:tcW w:w="35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20"/>
                <w:szCs w:val="20"/>
              </w:rPr>
            </w:pPr>
            <w:r>
              <w:rPr>
                <w:rFonts w:ascii="Times New Roman"/>
                <w:spacing w:val="-1"/>
                <w:sz w:val="20"/>
              </w:rPr>
              <w:t>2,386,900,671.20</w:t>
            </w:r>
          </w:p>
        </w:tc>
        <w:tc>
          <w:tcPr>
            <w:tcW w:w="352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-92,937,789.98</w:t>
            </w:r>
            <w:r>
              <w:rPr>
                <w:rFonts w:ascii="Times New Roman"/>
                <w:sz w:val="20"/>
              </w:rPr>
            </w:r>
          </w:p>
        </w:tc>
      </w:tr>
    </w:tbl>
    <w:p>
      <w:pPr>
        <w:pStyle w:val="Heading3"/>
        <w:spacing w:line="274" w:lineRule="exact"/>
        <w:ind w:left="244" w:right="0"/>
        <w:jc w:val="left"/>
        <w:rPr>
          <w:rFonts w:ascii="宋体" w:hAnsi="宋体" w:cs="宋体" w:eastAsia="宋体" w:hint="default"/>
        </w:rPr>
      </w:pPr>
      <w:r>
        <w:rPr>
          <w:rFonts w:ascii="宋体"/>
        </w:rPr>
        <w:t> </w:t>
      </w:r>
    </w:p>
    <w:p>
      <w:pPr>
        <w:pStyle w:val="Heading5"/>
        <w:spacing w:line="240" w:lineRule="auto"/>
        <w:ind w:left="244" w:right="0"/>
        <w:jc w:val="left"/>
        <w:rPr>
          <w:rFonts w:ascii="宋体" w:hAnsi="宋体" w:cs="宋体" w:eastAsia="宋体" w:hint="default"/>
          <w:b w:val="0"/>
          <w:bCs w:val="0"/>
        </w:rPr>
      </w:pPr>
      <w:r>
        <w:rPr>
          <w:rFonts w:ascii="宋体" w:hAnsi="宋体" w:cs="宋体" w:eastAsia="宋体" w:hint="default"/>
        </w:rPr>
        <w:t>(7).</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244"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6840" w:h="11910" w:orient="landscape"/>
          <w:pgMar w:header="882" w:footer="1195" w:top="1120" w:bottom="1380" w:left="1280" w:right="1120"/>
        </w:sectPr>
      </w:pPr>
    </w:p>
    <w:p>
      <w:pPr>
        <w:pStyle w:val="BodyText"/>
        <w:spacing w:line="270" w:lineRule="exact" w:before="36"/>
        <w:ind w:left="244" w:right="0"/>
        <w:jc w:val="left"/>
        <w:rPr>
          <w:rFonts w:ascii="宋体" w:hAnsi="宋体" w:cs="宋体" w:eastAsia="宋体" w:hint="default"/>
        </w:rPr>
      </w:pPr>
      <w:r>
        <w:rPr/>
        <w:t>其他说明：</w:t>
      </w:r>
      <w:r>
        <w:rPr>
          <w:rFonts w:ascii="宋体" w:hAnsi="宋体" w:cs="宋体" w:eastAsia="宋体" w:hint="default"/>
        </w:rPr>
        <w:t> </w:t>
      </w:r>
    </w:p>
    <w:p>
      <w:pPr>
        <w:pStyle w:val="Heading3"/>
        <w:spacing w:line="308" w:lineRule="exact"/>
        <w:ind w:left="244"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244" w:right="0"/>
        <w:jc w:val="left"/>
        <w:rPr>
          <w:rFonts w:ascii="宋体" w:hAnsi="宋体" w:cs="宋体" w:eastAsia="宋体" w:hint="default"/>
        </w:rPr>
      </w:pPr>
      <w:r>
        <w:rPr>
          <w:rFonts w:ascii="宋体"/>
        </w:rPr>
        <w:t> </w:t>
      </w:r>
    </w:p>
    <w:p>
      <w:pPr>
        <w:pStyle w:val="Heading5"/>
        <w:spacing w:line="240" w:lineRule="auto"/>
        <w:ind w:left="244" w:right="0"/>
        <w:jc w:val="left"/>
        <w:rPr>
          <w:b w:val="0"/>
          <w:bCs w:val="0"/>
        </w:rPr>
      </w:pPr>
      <w:r>
        <w:rPr>
          <w:rFonts w:ascii="宋体" w:hAnsi="宋体" w:cs="宋体" w:eastAsia="宋体" w:hint="default"/>
        </w:rPr>
        <w:t>6</w:t>
      </w:r>
      <w:r>
        <w:rPr/>
        <w:t>、</w:t>
      </w:r>
      <w:r>
        <w:rPr>
          <w:spacing w:val="-1"/>
        </w:rPr>
        <w:t> </w:t>
      </w:r>
      <w:r>
        <w:rPr/>
        <w:t>应收款项融资</w:t>
      </w:r>
      <w:r>
        <w:rPr>
          <w:b w:val="0"/>
          <w:bCs w:val="0"/>
        </w:rPr>
      </w:r>
    </w:p>
    <w:p>
      <w:pPr>
        <w:pStyle w:val="Heading3"/>
        <w:spacing w:line="240" w:lineRule="auto" w:before="50"/>
        <w:ind w:left="24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8"/>
          <w:szCs w:val="28"/>
        </w:rPr>
      </w:pPr>
    </w:p>
    <w:p>
      <w:pPr>
        <w:pStyle w:val="BodyText"/>
        <w:spacing w:line="240" w:lineRule="auto"/>
        <w:ind w:left="244" w:right="0"/>
        <w:jc w:val="left"/>
        <w:rPr>
          <w:rFonts w:ascii="宋体" w:hAnsi="宋体" w:cs="宋体" w:eastAsia="宋体" w:hint="default"/>
        </w:rPr>
      </w:pPr>
      <w:r>
        <w:rPr>
          <w:rFonts w:ascii="宋体" w:hAnsi="宋体" w:cs="宋体" w:eastAsia="宋体" w:hint="default"/>
          <w:sz w:val="24"/>
          <w:szCs w:val="24"/>
        </w:rPr>
        <w:t>  </w:t>
      </w: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280" w:right="1120"/>
          <w:cols w:num="2" w:equalWidth="0">
            <w:col w:w="2405" w:space="9016"/>
            <w:col w:w="3019"/>
          </w:cols>
        </w:sectPr>
      </w:pPr>
    </w:p>
    <w:p>
      <w:pPr>
        <w:spacing w:line="240" w:lineRule="auto" w:before="4"/>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5053"/>
        <w:gridCol w:w="4512"/>
        <w:gridCol w:w="4525"/>
      </w:tblGrid>
      <w:tr>
        <w:trPr>
          <w:trHeight w:val="286" w:hRule="exact"/>
        </w:trPr>
        <w:tc>
          <w:tcPr>
            <w:tcW w:w="5053"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2201"/>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4512"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4525"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8" w:hRule="exact"/>
        </w:trPr>
        <w:tc>
          <w:tcPr>
            <w:tcW w:w="505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45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218,884,909.95</w:t>
            </w:r>
          </w:p>
        </w:tc>
        <w:tc>
          <w:tcPr>
            <w:tcW w:w="4525"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180,812,637.63</w:t>
            </w:r>
          </w:p>
        </w:tc>
      </w:tr>
      <w:tr>
        <w:trPr>
          <w:trHeight w:val="286" w:hRule="exact"/>
        </w:trPr>
        <w:tc>
          <w:tcPr>
            <w:tcW w:w="5053"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right="2201"/>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4512" w:type="dxa"/>
            <w:tcBorders>
              <w:top w:val="single" w:sz="6" w:space="0" w:color="000000"/>
              <w:left w:val="single" w:sz="6" w:space="0" w:color="000000"/>
              <w:bottom w:val="single" w:sz="4"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218,884,909.95</w:t>
            </w:r>
          </w:p>
        </w:tc>
        <w:tc>
          <w:tcPr>
            <w:tcW w:w="4525" w:type="dxa"/>
            <w:tcBorders>
              <w:top w:val="single" w:sz="6" w:space="0" w:color="000000"/>
              <w:left w:val="single" w:sz="6"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180,812,637.63</w:t>
            </w:r>
          </w:p>
        </w:tc>
      </w:tr>
    </w:tbl>
    <w:p>
      <w:pPr>
        <w:spacing w:line="240" w:lineRule="auto" w:before="13"/>
        <w:rPr>
          <w:rFonts w:ascii="宋体" w:hAnsi="宋体" w:cs="宋体" w:eastAsia="宋体" w:hint="default"/>
          <w:sz w:val="12"/>
          <w:szCs w:val="12"/>
        </w:rPr>
      </w:pPr>
    </w:p>
    <w:p>
      <w:pPr>
        <w:pStyle w:val="BodyText"/>
        <w:spacing w:line="274" w:lineRule="exact" w:before="36"/>
        <w:ind w:left="244" w:right="0"/>
        <w:jc w:val="left"/>
        <w:rPr>
          <w:rFonts w:ascii="宋体" w:hAnsi="宋体" w:cs="宋体" w:eastAsia="宋体" w:hint="default"/>
        </w:rPr>
      </w:pPr>
      <w:r>
        <w:rPr/>
        <w:t>应收款项融资本期增减变动及公允价值变动情况：</w:t>
      </w:r>
      <w:r>
        <w:rPr>
          <w:rFonts w:ascii="宋体" w:hAnsi="宋体" w:cs="宋体" w:eastAsia="宋体" w:hint="default"/>
        </w:rPr>
        <w:t> </w:t>
      </w:r>
    </w:p>
    <w:p>
      <w:pPr>
        <w:pStyle w:val="BodyText"/>
        <w:spacing w:line="272" w:lineRule="exact"/>
        <w:ind w:left="24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44" w:right="0"/>
        <w:jc w:val="left"/>
        <w:rPr>
          <w:rFonts w:ascii="宋体" w:hAnsi="宋体" w:cs="宋体" w:eastAsia="宋体" w:hint="default"/>
        </w:rPr>
      </w:pPr>
      <w:r>
        <w:rPr>
          <w:rFonts w:ascii="宋体" w:hAnsi="宋体" w:cs="宋体" w:eastAsia="宋体" w:hint="default"/>
          <w:w w:val="100"/>
        </w:rPr>
        <w:t>  </w:t>
      </w:r>
      <w:r>
        <w:rPr>
          <w:w w:val="100"/>
        </w:rPr>
        <w:t>如按</w:t>
      </w:r>
      <w:r>
        <w:rPr>
          <w:spacing w:val="-3"/>
          <w:w w:val="100"/>
        </w:rPr>
        <w:t>预</w:t>
      </w:r>
      <w:r>
        <w:rPr>
          <w:w w:val="100"/>
        </w:rPr>
        <w:t>期</w:t>
      </w:r>
      <w:r>
        <w:rPr>
          <w:spacing w:val="-3"/>
          <w:w w:val="100"/>
        </w:rPr>
        <w:t>信</w:t>
      </w:r>
      <w:r>
        <w:rPr>
          <w:w w:val="100"/>
        </w:rPr>
        <w:t>用</w:t>
      </w:r>
      <w:r>
        <w:rPr>
          <w:spacing w:val="-3"/>
          <w:w w:val="100"/>
        </w:rPr>
        <w:t>损</w:t>
      </w:r>
      <w:r>
        <w:rPr>
          <w:w w:val="100"/>
        </w:rPr>
        <w:t>失</w:t>
      </w:r>
      <w:r>
        <w:rPr>
          <w:spacing w:val="-3"/>
          <w:w w:val="100"/>
        </w:rPr>
        <w:t>一</w:t>
      </w:r>
      <w:r>
        <w:rPr>
          <w:w w:val="100"/>
        </w:rPr>
        <w:t>般</w:t>
      </w:r>
      <w:r>
        <w:rPr>
          <w:spacing w:val="-3"/>
          <w:w w:val="100"/>
        </w:rPr>
        <w:t>模</w:t>
      </w:r>
      <w:r>
        <w:rPr>
          <w:w w:val="100"/>
        </w:rPr>
        <w:t>型计</w:t>
      </w:r>
      <w:r>
        <w:rPr>
          <w:spacing w:val="-3"/>
          <w:w w:val="100"/>
        </w:rPr>
        <w:t>提</w:t>
      </w:r>
      <w:r>
        <w:rPr>
          <w:w w:val="100"/>
        </w:rPr>
        <w:t>坏</w:t>
      </w:r>
      <w:r>
        <w:rPr>
          <w:spacing w:val="-3"/>
          <w:w w:val="100"/>
        </w:rPr>
        <w:t>账</w:t>
      </w:r>
      <w:r>
        <w:rPr>
          <w:w w:val="100"/>
        </w:rPr>
        <w:t>准</w:t>
      </w:r>
      <w:r>
        <w:rPr>
          <w:spacing w:val="-3"/>
          <w:w w:val="100"/>
        </w:rPr>
        <w:t>备</w:t>
      </w:r>
      <w:r>
        <w:rPr>
          <w:w w:val="100"/>
        </w:rPr>
        <w:t>，</w:t>
      </w:r>
      <w:r>
        <w:rPr>
          <w:spacing w:val="-3"/>
          <w:w w:val="100"/>
        </w:rPr>
        <w:t>请</w:t>
      </w:r>
      <w:r>
        <w:rPr>
          <w:w w:val="100"/>
        </w:rPr>
        <w:t>参</w:t>
      </w:r>
      <w:r>
        <w:rPr>
          <w:spacing w:val="-3"/>
          <w:w w:val="100"/>
        </w:rPr>
        <w:t>照</w:t>
      </w:r>
      <w:r>
        <w:rPr>
          <w:w w:val="100"/>
        </w:rPr>
        <w:t>其他</w:t>
      </w:r>
      <w:r>
        <w:rPr>
          <w:spacing w:val="-3"/>
          <w:w w:val="100"/>
        </w:rPr>
        <w:t>应</w:t>
      </w:r>
      <w:r>
        <w:rPr>
          <w:w w:val="100"/>
        </w:rPr>
        <w:t>收</w:t>
      </w:r>
      <w:r>
        <w:rPr>
          <w:spacing w:val="-3"/>
          <w:w w:val="100"/>
        </w:rPr>
        <w:t>款</w:t>
      </w:r>
      <w:r>
        <w:rPr>
          <w:w w:val="100"/>
        </w:rPr>
        <w:t>披</w:t>
      </w:r>
      <w:r>
        <w:rPr>
          <w:spacing w:val="-3"/>
          <w:w w:val="100"/>
        </w:rPr>
        <w:t>露：</w:t>
      </w:r>
      <w:r>
        <w:rPr>
          <w:rFonts w:ascii="宋体" w:hAnsi="宋体" w:cs="宋体" w:eastAsia="宋体" w:hint="default"/>
          <w:w w:val="100"/>
        </w:rPr>
        <w:t> </w:t>
      </w:r>
    </w:p>
    <w:p>
      <w:pPr>
        <w:pStyle w:val="Heading3"/>
        <w:spacing w:line="305" w:lineRule="exact"/>
        <w:ind w:left="24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3"/>
        <w:rPr>
          <w:rFonts w:ascii="宋体" w:hAnsi="宋体" w:cs="宋体" w:eastAsia="宋体" w:hint="default"/>
          <w:sz w:val="21"/>
          <w:szCs w:val="21"/>
        </w:rPr>
      </w:pPr>
    </w:p>
    <w:tbl>
      <w:tblPr>
        <w:tblW w:w="0" w:type="auto"/>
        <w:jc w:val="left"/>
        <w:tblInd w:w="107" w:type="dxa"/>
        <w:tblLayout w:type="fixed"/>
        <w:tblCellMar>
          <w:top w:w="0" w:type="dxa"/>
          <w:left w:w="0" w:type="dxa"/>
          <w:bottom w:w="0" w:type="dxa"/>
          <w:right w:w="0" w:type="dxa"/>
        </w:tblCellMar>
        <w:tblLook w:val="01E0"/>
      </w:tblPr>
      <w:tblGrid>
        <w:gridCol w:w="3396"/>
        <w:gridCol w:w="5499"/>
        <w:gridCol w:w="5208"/>
      </w:tblGrid>
      <w:tr>
        <w:trPr>
          <w:trHeight w:val="372" w:hRule="exact"/>
        </w:trPr>
        <w:tc>
          <w:tcPr>
            <w:tcW w:w="3396" w:type="dxa"/>
            <w:tcBorders>
              <w:top w:val="single" w:sz="12" w:space="0" w:color="000000"/>
              <w:left w:val="nil" w:sz="6" w:space="0" w:color="auto"/>
              <w:bottom w:val="single" w:sz="12" w:space="0" w:color="000000"/>
              <w:right w:val="single" w:sz="4" w:space="0" w:color="000000"/>
            </w:tcBorders>
          </w:tcPr>
          <w:p>
            <w:pPr>
              <w:pStyle w:val="TableParagraph"/>
              <w:spacing w:line="208" w:lineRule="exact"/>
              <w:ind w:left="107"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5499" w:type="dxa"/>
            <w:tcBorders>
              <w:top w:val="single" w:sz="12" w:space="0" w:color="000000"/>
              <w:left w:val="single" w:sz="4" w:space="0" w:color="000000"/>
              <w:bottom w:val="single" w:sz="12" w:space="0" w:color="000000"/>
              <w:right w:val="single" w:sz="4"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5208" w:type="dxa"/>
            <w:tcBorders>
              <w:top w:val="single" w:sz="12" w:space="0" w:color="000000"/>
              <w:left w:val="single" w:sz="4" w:space="0" w:color="000000"/>
              <w:bottom w:val="single" w:sz="12" w:space="0" w:color="000000"/>
              <w:right w:val="nil" w:sz="6" w:space="0" w:color="auto"/>
            </w:tcBorders>
          </w:tcPr>
          <w:p>
            <w:pPr>
              <w:pStyle w:val="TableParagraph"/>
              <w:spacing w:line="208" w:lineRule="exact"/>
              <w:ind w:left="86"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bl>
    <w:p>
      <w:pPr>
        <w:spacing w:after="0" w:line="208" w:lineRule="exact"/>
        <w:jc w:val="center"/>
        <w:rPr>
          <w:rFonts w:ascii="宋体" w:hAnsi="宋体" w:cs="宋体" w:eastAsia="宋体" w:hint="default"/>
          <w:sz w:val="18"/>
          <w:szCs w:val="18"/>
        </w:rPr>
        <w:sectPr>
          <w:type w:val="continuous"/>
          <w:pgSz w:w="16840" w:h="11910" w:orient="landscape"/>
          <w:pgMar w:top="1120" w:bottom="1380" w:left="1280" w:right="1120"/>
        </w:sectPr>
      </w:pPr>
    </w:p>
    <w:p>
      <w:pPr>
        <w:spacing w:line="240" w:lineRule="auto" w:before="7"/>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3396"/>
        <w:gridCol w:w="5499"/>
        <w:gridCol w:w="5208"/>
      </w:tblGrid>
      <w:tr>
        <w:trPr>
          <w:trHeight w:val="360" w:hRule="exact"/>
        </w:trPr>
        <w:tc>
          <w:tcPr>
            <w:tcW w:w="3396" w:type="dxa"/>
            <w:tcBorders>
              <w:top w:val="single" w:sz="12" w:space="0" w:color="000000"/>
              <w:left w:val="nil" w:sz="6" w:space="0" w:color="auto"/>
              <w:bottom w:val="single" w:sz="4" w:space="0" w:color="000000"/>
              <w:right w:val="single" w:sz="4" w:space="0" w:color="000000"/>
            </w:tcBorders>
          </w:tcPr>
          <w:p>
            <w:pPr>
              <w:pStyle w:val="TableParagraph"/>
              <w:spacing w:line="205" w:lineRule="exact"/>
              <w:ind w:right="1415"/>
              <w:jc w:val="righ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5499"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5208" w:type="dxa"/>
            <w:tcBorders>
              <w:top w:val="single" w:sz="12" w:space="0" w:color="000000"/>
              <w:left w:val="single" w:sz="4" w:space="0" w:color="000000"/>
              <w:bottom w:val="single" w:sz="4" w:space="0" w:color="000000"/>
              <w:right w:val="nil" w:sz="6" w:space="0" w:color="auto"/>
            </w:tcBorders>
          </w:tcPr>
          <w:p>
            <w:pPr>
              <w:pStyle w:val="TableParagraph"/>
              <w:spacing w:line="205" w:lineRule="exact"/>
              <w:ind w:left="86"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350" w:hRule="exact"/>
        </w:trPr>
        <w:tc>
          <w:tcPr>
            <w:tcW w:w="33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应收票据</w:t>
            </w:r>
            <w:r>
              <w:rPr>
                <w:rFonts w:ascii="宋体" w:hAnsi="宋体" w:cs="宋体" w:eastAsia="宋体" w:hint="default"/>
                <w:sz w:val="18"/>
                <w:szCs w:val="18"/>
              </w:rPr>
              <w:t> </w:t>
            </w:r>
          </w:p>
        </w:tc>
        <w:tc>
          <w:tcPr>
            <w:tcW w:w="5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0"/>
                <w:szCs w:val="20"/>
              </w:rPr>
            </w:pPr>
            <w:r>
              <w:rPr>
                <w:rFonts w:ascii="Times New Roman"/>
                <w:w w:val="95"/>
                <w:sz w:val="20"/>
              </w:rPr>
              <w:t>224,613,189.41</w:t>
            </w:r>
            <w:r>
              <w:rPr>
                <w:rFonts w:ascii="Times New Roman"/>
                <w:sz w:val="20"/>
              </w:rPr>
            </w:r>
          </w:p>
        </w:tc>
        <w:tc>
          <w:tcPr>
            <w:tcW w:w="5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182,658,189.25</w:t>
            </w:r>
            <w:r>
              <w:rPr>
                <w:rFonts w:ascii="Times New Roman"/>
                <w:sz w:val="20"/>
              </w:rPr>
            </w:r>
          </w:p>
        </w:tc>
      </w:tr>
      <w:tr>
        <w:trPr>
          <w:trHeight w:val="350" w:hRule="exact"/>
        </w:trPr>
        <w:tc>
          <w:tcPr>
            <w:tcW w:w="33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应收票据坏账准备</w:t>
            </w:r>
            <w:r>
              <w:rPr>
                <w:rFonts w:ascii="宋体" w:hAnsi="宋体" w:cs="宋体" w:eastAsia="宋体" w:hint="default"/>
                <w:sz w:val="18"/>
                <w:szCs w:val="18"/>
              </w:rPr>
              <w:t> </w:t>
            </w:r>
          </w:p>
        </w:tc>
        <w:tc>
          <w:tcPr>
            <w:tcW w:w="5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0"/>
                <w:szCs w:val="20"/>
              </w:rPr>
            </w:pPr>
            <w:r>
              <w:rPr>
                <w:rFonts w:ascii="Times New Roman"/>
                <w:w w:val="95"/>
                <w:sz w:val="20"/>
              </w:rPr>
              <w:t>5,728,279.46</w:t>
            </w:r>
            <w:r>
              <w:rPr>
                <w:rFonts w:ascii="Times New Roman"/>
                <w:sz w:val="20"/>
              </w:rPr>
            </w:r>
          </w:p>
        </w:tc>
        <w:tc>
          <w:tcPr>
            <w:tcW w:w="5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1,845,551.62</w:t>
            </w:r>
            <w:r>
              <w:rPr>
                <w:rFonts w:ascii="Times New Roman"/>
                <w:sz w:val="20"/>
              </w:rPr>
            </w:r>
          </w:p>
        </w:tc>
      </w:tr>
      <w:tr>
        <w:trPr>
          <w:trHeight w:val="360" w:hRule="exact"/>
        </w:trPr>
        <w:tc>
          <w:tcPr>
            <w:tcW w:w="3396" w:type="dxa"/>
            <w:tcBorders>
              <w:top w:val="single" w:sz="4" w:space="0" w:color="000000"/>
              <w:left w:val="nil" w:sz="6" w:space="0" w:color="auto"/>
              <w:bottom w:val="single" w:sz="12" w:space="0" w:color="000000"/>
              <w:right w:val="single" w:sz="4" w:space="0" w:color="000000"/>
            </w:tcBorders>
          </w:tcPr>
          <w:p>
            <w:pPr>
              <w:pStyle w:val="TableParagraph"/>
              <w:spacing w:line="205" w:lineRule="exact"/>
              <w:ind w:right="1415"/>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54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0"/>
                <w:szCs w:val="20"/>
              </w:rPr>
            </w:pPr>
            <w:r>
              <w:rPr>
                <w:rFonts w:ascii="Times New Roman"/>
                <w:w w:val="95"/>
                <w:sz w:val="20"/>
              </w:rPr>
              <w:t>218,884,909.95</w:t>
            </w:r>
            <w:r>
              <w:rPr>
                <w:rFonts w:ascii="Times New Roman"/>
                <w:sz w:val="20"/>
              </w:rPr>
            </w:r>
          </w:p>
        </w:tc>
        <w:tc>
          <w:tcPr>
            <w:tcW w:w="520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180,812,637.63</w:t>
            </w:r>
            <w:r>
              <w:rPr>
                <w:rFonts w:ascii="Times New Roman"/>
                <w:sz w:val="20"/>
              </w:rPr>
            </w:r>
          </w:p>
        </w:tc>
      </w:tr>
    </w:tbl>
    <w:p>
      <w:pPr>
        <w:spacing w:line="240" w:lineRule="auto" w:before="13"/>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6840" w:h="11910" w:orient="landscape"/>
          <w:pgMar w:header="882" w:footer="1195" w:top="1120" w:bottom="1380" w:left="1280" w:right="1200"/>
        </w:sectPr>
      </w:pPr>
    </w:p>
    <w:p>
      <w:pPr>
        <w:pStyle w:val="BodyText"/>
        <w:spacing w:line="271" w:lineRule="exact" w:before="36"/>
        <w:ind w:left="244" w:right="0"/>
        <w:jc w:val="left"/>
        <w:rPr>
          <w:rFonts w:ascii="宋体" w:hAnsi="宋体" w:cs="宋体" w:eastAsia="宋体" w:hint="default"/>
        </w:rPr>
      </w:pPr>
      <w:r>
        <w:rPr/>
        <w:t>其他说明：</w:t>
      </w:r>
      <w:r>
        <w:rPr>
          <w:rFonts w:ascii="宋体" w:hAnsi="宋体" w:cs="宋体" w:eastAsia="宋体" w:hint="default"/>
        </w:rPr>
        <w:t> </w:t>
      </w:r>
    </w:p>
    <w:p>
      <w:pPr>
        <w:pStyle w:val="Heading3"/>
        <w:spacing w:line="309" w:lineRule="exact"/>
        <w:ind w:left="24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244" w:right="0"/>
        <w:jc w:val="left"/>
        <w:rPr>
          <w:rFonts w:ascii="宋体" w:hAnsi="宋体" w:cs="宋体" w:eastAsia="宋体" w:hint="default"/>
        </w:rPr>
      </w:pPr>
      <w:r>
        <w:rPr>
          <w:rFonts w:ascii="宋体"/>
        </w:rPr>
        <w:t> </w:t>
      </w:r>
    </w:p>
    <w:p>
      <w:pPr>
        <w:pStyle w:val="Heading5"/>
        <w:spacing w:line="290" w:lineRule="auto" w:before="62"/>
        <w:ind w:left="244" w:right="0"/>
        <w:jc w:val="left"/>
        <w:rPr>
          <w:rFonts w:ascii="宋体" w:hAnsi="宋体" w:cs="宋体" w:eastAsia="宋体" w:hint="default"/>
          <w:b w:val="0"/>
          <w:bCs w:val="0"/>
        </w:rPr>
      </w:pPr>
      <w:r>
        <w:rPr>
          <w:rFonts w:ascii="宋体" w:hAnsi="宋体" w:cs="宋体" w:eastAsia="宋体" w:hint="default"/>
        </w:rPr>
        <w:t>7</w:t>
      </w:r>
      <w:r>
        <w:rPr/>
        <w:t>、</w:t>
      </w:r>
      <w:r>
        <w:rPr>
          <w:spacing w:val="-3"/>
        </w:rPr>
        <w:t> </w:t>
      </w:r>
      <w:r>
        <w:rPr/>
        <w:t>预付款项</w:t>
      </w:r>
      <w:r>
        <w:rPr>
          <w:w w:val="100"/>
        </w:rPr>
        <w:t> </w:t>
      </w:r>
      <w:r>
        <w:rPr>
          <w:rFonts w:ascii="宋体" w:hAnsi="宋体" w:cs="宋体" w:eastAsia="宋体" w:hint="default"/>
        </w:rPr>
        <w:t>(1).</w:t>
      </w:r>
      <w:r>
        <w:rPr/>
        <w:t>预付款项按账龄列示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
        <w:ind w:left="244"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9"/>
          <w:szCs w:val="29"/>
        </w:rPr>
      </w:pPr>
    </w:p>
    <w:p>
      <w:pPr>
        <w:pStyle w:val="Heading3"/>
        <w:spacing w:line="240" w:lineRule="auto"/>
        <w:ind w:left="244"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6840" w:h="11910" w:orient="landscape"/>
          <w:pgMar w:top="1120" w:bottom="1380" w:left="1280" w:right="1200"/>
          <w:cols w:num="2" w:equalWidth="0">
            <w:col w:w="2676" w:space="8558"/>
            <w:col w:w="3126"/>
          </w:cols>
        </w:sectPr>
      </w:pPr>
    </w:p>
    <w:p>
      <w:pPr>
        <w:spacing w:line="240" w:lineRule="auto" w:before="12"/>
        <w:rPr>
          <w:rFonts w:ascii="宋体" w:hAnsi="宋体" w:cs="宋体" w:eastAsia="宋体" w:hint="default"/>
          <w:b/>
          <w:bCs/>
          <w:sz w:val="2"/>
          <w:szCs w:val="2"/>
        </w:rPr>
      </w:pPr>
    </w:p>
    <w:tbl>
      <w:tblPr>
        <w:tblW w:w="0" w:type="auto"/>
        <w:jc w:val="left"/>
        <w:tblInd w:w="126" w:type="dxa"/>
        <w:tblLayout w:type="fixed"/>
        <w:tblCellMar>
          <w:top w:w="0" w:type="dxa"/>
          <w:left w:w="0" w:type="dxa"/>
          <w:bottom w:w="0" w:type="dxa"/>
          <w:right w:w="0" w:type="dxa"/>
        </w:tblCellMar>
        <w:tblLook w:val="01E0"/>
      </w:tblPr>
      <w:tblGrid>
        <w:gridCol w:w="2158"/>
        <w:gridCol w:w="2998"/>
        <w:gridCol w:w="2974"/>
        <w:gridCol w:w="2974"/>
        <w:gridCol w:w="2998"/>
      </w:tblGrid>
      <w:tr>
        <w:trPr>
          <w:trHeight w:val="319" w:hRule="exact"/>
        </w:trPr>
        <w:tc>
          <w:tcPr>
            <w:tcW w:w="2158" w:type="dxa"/>
            <w:vMerge w:val="restart"/>
            <w:tcBorders>
              <w:top w:val="single" w:sz="4" w:space="0" w:color="000000"/>
              <w:left w:val="single" w:sz="4" w:space="0" w:color="000000"/>
              <w:right w:val="single" w:sz="4" w:space="0" w:color="000000"/>
            </w:tcBorders>
          </w:tcPr>
          <w:p>
            <w:pPr>
              <w:pStyle w:val="TableParagraph"/>
              <w:spacing w:line="240" w:lineRule="auto" w:before="120"/>
              <w:ind w:left="113" w:right="0"/>
              <w:jc w:val="center"/>
              <w:rPr>
                <w:rFonts w:ascii="宋体" w:hAnsi="宋体" w:cs="宋体" w:eastAsia="宋体" w:hint="default"/>
                <w:sz w:val="24"/>
                <w:szCs w:val="24"/>
              </w:rPr>
            </w:pPr>
            <w:r>
              <w:rPr>
                <w:rFonts w:ascii="宋体" w:hAnsi="宋体" w:cs="宋体" w:eastAsia="宋体" w:hint="default"/>
                <w:sz w:val="24"/>
                <w:szCs w:val="24"/>
              </w:rPr>
              <w:t>账龄</w:t>
            </w:r>
            <w:r>
              <w:rPr>
                <w:rFonts w:ascii="宋体" w:hAnsi="宋体" w:cs="宋体" w:eastAsia="宋体" w:hint="default"/>
                <w:sz w:val="24"/>
                <w:szCs w:val="24"/>
              </w:rPr>
              <w:t> </w:t>
            </w:r>
          </w:p>
        </w:tc>
        <w:tc>
          <w:tcPr>
            <w:tcW w:w="59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0" w:right="0"/>
              <w:jc w:val="center"/>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59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5" w:right="0"/>
              <w:jc w:val="center"/>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r>
      <w:tr>
        <w:trPr>
          <w:trHeight w:val="322" w:hRule="exact"/>
        </w:trPr>
        <w:tc>
          <w:tcPr>
            <w:tcW w:w="2158" w:type="dxa"/>
            <w:vMerge/>
            <w:tcBorders>
              <w:left w:val="single" w:sz="4" w:space="0" w:color="000000"/>
              <w:bottom w:val="single" w:sz="4" w:space="0" w:color="000000"/>
              <w:right w:val="single" w:sz="4" w:space="0" w:color="000000"/>
            </w:tcBorders>
          </w:tcPr>
          <w:p>
            <w:pP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7" w:right="0"/>
              <w:jc w:val="center"/>
              <w:rPr>
                <w:rFonts w:ascii="宋体" w:hAnsi="宋体" w:cs="宋体" w:eastAsia="宋体" w:hint="default"/>
                <w:sz w:val="24"/>
                <w:szCs w:val="24"/>
              </w:rPr>
            </w:pPr>
            <w:r>
              <w:rPr>
                <w:rFonts w:ascii="宋体" w:hAnsi="宋体" w:cs="宋体" w:eastAsia="宋体" w:hint="default"/>
                <w:sz w:val="24"/>
                <w:szCs w:val="24"/>
              </w:rPr>
              <w:t>金额</w:t>
            </w:r>
            <w:r>
              <w:rPr>
                <w:rFonts w:ascii="宋体" w:hAnsi="宋体" w:cs="宋体" w:eastAsia="宋体" w:hint="default"/>
                <w:sz w:val="24"/>
                <w:szCs w:val="24"/>
              </w:rPr>
              <w:t> </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8" w:right="0"/>
              <w:jc w:val="left"/>
              <w:rPr>
                <w:rFonts w:ascii="宋体" w:hAnsi="宋体" w:cs="宋体" w:eastAsia="宋体" w:hint="default"/>
                <w:sz w:val="24"/>
                <w:szCs w:val="24"/>
              </w:rPr>
            </w:pPr>
            <w:r>
              <w:rPr>
                <w:rFonts w:ascii="宋体" w:hAnsi="宋体" w:cs="宋体" w:eastAsia="宋体" w:hint="default"/>
                <w:sz w:val="24"/>
                <w:szCs w:val="24"/>
              </w:rPr>
              <w:t>比例</w:t>
            </w:r>
            <w:r>
              <w:rPr>
                <w:rFonts w:ascii="宋体" w:hAnsi="宋体" w:cs="宋体" w:eastAsia="宋体" w:hint="default"/>
                <w:sz w:val="24"/>
                <w:szCs w:val="24"/>
              </w:rPr>
              <w:t>(%) </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6" w:right="0"/>
              <w:jc w:val="center"/>
              <w:rPr>
                <w:rFonts w:ascii="宋体" w:hAnsi="宋体" w:cs="宋体" w:eastAsia="宋体" w:hint="default"/>
                <w:sz w:val="24"/>
                <w:szCs w:val="24"/>
              </w:rPr>
            </w:pPr>
            <w:r>
              <w:rPr>
                <w:rFonts w:ascii="宋体" w:hAnsi="宋体" w:cs="宋体" w:eastAsia="宋体" w:hint="default"/>
                <w:sz w:val="24"/>
                <w:szCs w:val="24"/>
              </w:rPr>
              <w:t>金额</w:t>
            </w:r>
            <w:r>
              <w:rPr>
                <w:rFonts w:ascii="宋体" w:hAnsi="宋体" w:cs="宋体" w:eastAsia="宋体" w:hint="default"/>
                <w:sz w:val="24"/>
                <w:szCs w:val="24"/>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70" w:right="0"/>
              <w:jc w:val="left"/>
              <w:rPr>
                <w:rFonts w:ascii="宋体" w:hAnsi="宋体" w:cs="宋体" w:eastAsia="宋体" w:hint="default"/>
                <w:sz w:val="24"/>
                <w:szCs w:val="24"/>
              </w:rPr>
            </w:pPr>
            <w:r>
              <w:rPr>
                <w:rFonts w:ascii="宋体" w:hAnsi="宋体" w:cs="宋体" w:eastAsia="宋体" w:hint="default"/>
                <w:sz w:val="24"/>
                <w:szCs w:val="24"/>
              </w:rPr>
              <w:t>比例</w:t>
            </w:r>
            <w:r>
              <w:rPr>
                <w:rFonts w:ascii="宋体" w:hAnsi="宋体" w:cs="宋体" w:eastAsia="宋体" w:hint="default"/>
                <w:sz w:val="24"/>
                <w:szCs w:val="24"/>
              </w:rPr>
              <w:t>(%) </w:t>
            </w:r>
          </w:p>
        </w:tc>
      </w:tr>
      <w:tr>
        <w:trPr>
          <w:trHeight w:val="322"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7"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r>
              <w:rPr>
                <w:rFonts w:ascii="宋体" w:hAnsi="宋体" w:cs="宋体" w:eastAsia="宋体" w:hint="default"/>
                <w:sz w:val="24"/>
                <w:szCs w:val="24"/>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10"/>
              <w:jc w:val="right"/>
              <w:rPr>
                <w:rFonts w:ascii="Times New Roman" w:hAnsi="Times New Roman" w:cs="Times New Roman" w:eastAsia="Times New Roman" w:hint="default"/>
                <w:sz w:val="24"/>
                <w:szCs w:val="24"/>
              </w:rPr>
            </w:pPr>
            <w:r>
              <w:rPr>
                <w:rFonts w:ascii="Times New Roman"/>
                <w:sz w:val="24"/>
              </w:rPr>
              <w:t>248,778,469.66</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10"/>
              <w:jc w:val="right"/>
              <w:rPr>
                <w:rFonts w:ascii="Times New Roman" w:hAnsi="Times New Roman" w:cs="Times New Roman" w:eastAsia="Times New Roman" w:hint="default"/>
                <w:sz w:val="24"/>
                <w:szCs w:val="24"/>
              </w:rPr>
            </w:pPr>
            <w:r>
              <w:rPr>
                <w:rFonts w:ascii="Times New Roman"/>
                <w:sz w:val="24"/>
              </w:rPr>
              <w:t>51.29</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11"/>
              <w:jc w:val="right"/>
              <w:rPr>
                <w:rFonts w:ascii="Times New Roman" w:hAnsi="Times New Roman" w:cs="Times New Roman" w:eastAsia="Times New Roman" w:hint="default"/>
                <w:sz w:val="24"/>
                <w:szCs w:val="24"/>
              </w:rPr>
            </w:pPr>
            <w:r>
              <w:rPr>
                <w:rFonts w:ascii="Times New Roman"/>
                <w:sz w:val="24"/>
              </w:rPr>
              <w:t>493,594,684.51</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10"/>
              <w:jc w:val="right"/>
              <w:rPr>
                <w:rFonts w:ascii="Times New Roman" w:hAnsi="Times New Roman" w:cs="Times New Roman" w:eastAsia="Times New Roman" w:hint="default"/>
                <w:sz w:val="24"/>
                <w:szCs w:val="24"/>
              </w:rPr>
            </w:pPr>
            <w:r>
              <w:rPr>
                <w:rFonts w:ascii="Times New Roman"/>
                <w:sz w:val="24"/>
              </w:rPr>
              <w:t>85.54</w:t>
            </w:r>
          </w:p>
        </w:tc>
      </w:tr>
      <w:tr>
        <w:trPr>
          <w:trHeight w:val="322"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10"/>
              <w:jc w:val="right"/>
              <w:rPr>
                <w:rFonts w:ascii="Times New Roman" w:hAnsi="Times New Roman" w:cs="Times New Roman" w:eastAsia="Times New Roman" w:hint="default"/>
                <w:sz w:val="24"/>
                <w:szCs w:val="24"/>
              </w:rPr>
            </w:pPr>
            <w:r>
              <w:rPr>
                <w:rFonts w:ascii="Times New Roman"/>
                <w:sz w:val="24"/>
              </w:rPr>
              <w:t>188,825,363.44</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10"/>
              <w:jc w:val="right"/>
              <w:rPr>
                <w:rFonts w:ascii="Times New Roman" w:hAnsi="Times New Roman" w:cs="Times New Roman" w:eastAsia="Times New Roman" w:hint="default"/>
                <w:sz w:val="24"/>
                <w:szCs w:val="24"/>
              </w:rPr>
            </w:pPr>
            <w:r>
              <w:rPr>
                <w:rFonts w:ascii="Times New Roman"/>
                <w:sz w:val="24"/>
              </w:rPr>
              <w:t>38.93</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11"/>
              <w:jc w:val="right"/>
              <w:rPr>
                <w:rFonts w:ascii="Times New Roman" w:hAnsi="Times New Roman" w:cs="Times New Roman" w:eastAsia="Times New Roman" w:hint="default"/>
                <w:sz w:val="24"/>
                <w:szCs w:val="24"/>
              </w:rPr>
            </w:pPr>
            <w:r>
              <w:rPr>
                <w:rFonts w:ascii="Times New Roman"/>
                <w:sz w:val="24"/>
              </w:rPr>
              <w:t>65,129,678.16</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10"/>
              <w:jc w:val="right"/>
              <w:rPr>
                <w:rFonts w:ascii="Times New Roman" w:hAnsi="Times New Roman" w:cs="Times New Roman" w:eastAsia="Times New Roman" w:hint="default"/>
                <w:sz w:val="24"/>
                <w:szCs w:val="24"/>
              </w:rPr>
            </w:pPr>
            <w:r>
              <w:rPr>
                <w:rFonts w:ascii="Times New Roman"/>
                <w:sz w:val="24"/>
              </w:rPr>
              <w:t>11.29</w:t>
            </w:r>
          </w:p>
        </w:tc>
      </w:tr>
      <w:tr>
        <w:trPr>
          <w:trHeight w:val="322"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0"/>
              <w:jc w:val="right"/>
              <w:rPr>
                <w:rFonts w:ascii="宋体" w:hAnsi="宋体" w:cs="宋体" w:eastAsia="宋体" w:hint="default"/>
                <w:sz w:val="24"/>
                <w:szCs w:val="24"/>
              </w:rPr>
            </w:pPr>
            <w:r>
              <w:rPr>
                <w:rFonts w:ascii="宋体"/>
                <w:sz w:val="24"/>
              </w:rPr>
              <w:t>47,445,774.97</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0"/>
              <w:jc w:val="right"/>
              <w:rPr>
                <w:rFonts w:ascii="宋体" w:hAnsi="宋体" w:cs="宋体" w:eastAsia="宋体" w:hint="default"/>
                <w:sz w:val="24"/>
                <w:szCs w:val="24"/>
              </w:rPr>
            </w:pPr>
            <w:r>
              <w:rPr>
                <w:rFonts w:ascii="宋体"/>
                <w:sz w:val="24"/>
              </w:rPr>
              <w:t>9.78</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11"/>
              <w:jc w:val="right"/>
              <w:rPr>
                <w:rFonts w:ascii="Times New Roman" w:hAnsi="Times New Roman" w:cs="Times New Roman" w:eastAsia="Times New Roman" w:hint="default"/>
                <w:sz w:val="24"/>
                <w:szCs w:val="24"/>
              </w:rPr>
            </w:pPr>
            <w:r>
              <w:rPr>
                <w:rFonts w:ascii="Times New Roman"/>
                <w:sz w:val="24"/>
              </w:rPr>
              <w:t>18,287,027.34</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10"/>
              <w:jc w:val="right"/>
              <w:rPr>
                <w:rFonts w:ascii="Times New Roman" w:hAnsi="Times New Roman" w:cs="Times New Roman" w:eastAsia="Times New Roman" w:hint="default"/>
                <w:sz w:val="24"/>
                <w:szCs w:val="24"/>
              </w:rPr>
            </w:pPr>
            <w:r>
              <w:rPr>
                <w:rFonts w:ascii="Times New Roman"/>
                <w:sz w:val="24"/>
              </w:rPr>
              <w:t>3.17</w:t>
            </w:r>
          </w:p>
        </w:tc>
      </w:tr>
      <w:tr>
        <w:trPr>
          <w:trHeight w:val="322"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年以上</w:t>
            </w:r>
            <w:r>
              <w:rPr>
                <w:rFonts w:ascii="宋体" w:hAnsi="宋体" w:cs="宋体" w:eastAsia="宋体" w:hint="default"/>
                <w:sz w:val="24"/>
                <w:szCs w:val="24"/>
              </w:rPr>
              <w:t> </w:t>
            </w:r>
          </w:p>
        </w:tc>
        <w:tc>
          <w:tcPr>
            <w:tcW w:w="2998" w:type="dxa"/>
            <w:tcBorders>
              <w:top w:val="single" w:sz="4" w:space="0" w:color="000000"/>
              <w:left w:val="single" w:sz="4" w:space="0" w:color="000000"/>
              <w:bottom w:val="single" w:sz="4" w:space="0" w:color="000000"/>
              <w:right w:val="single" w:sz="4" w:space="0" w:color="000000"/>
            </w:tcBorders>
          </w:tcPr>
          <w:p>
            <w:pPr/>
          </w:p>
        </w:tc>
        <w:tc>
          <w:tcPr>
            <w:tcW w:w="2974" w:type="dxa"/>
            <w:tcBorders>
              <w:top w:val="single" w:sz="4" w:space="0" w:color="000000"/>
              <w:left w:val="single" w:sz="4" w:space="0" w:color="000000"/>
              <w:bottom w:val="single" w:sz="4" w:space="0" w:color="000000"/>
              <w:right w:val="single" w:sz="4" w:space="0" w:color="000000"/>
            </w:tcBorders>
          </w:tcPr>
          <w:p>
            <w:pPr/>
          </w:p>
        </w:tc>
        <w:tc>
          <w:tcPr>
            <w:tcW w:w="2974" w:type="dxa"/>
            <w:tcBorders>
              <w:top w:val="single" w:sz="4" w:space="0" w:color="000000"/>
              <w:left w:val="single" w:sz="4" w:space="0" w:color="000000"/>
              <w:bottom w:val="single" w:sz="4" w:space="0" w:color="000000"/>
              <w:right w:val="single" w:sz="4" w:space="0" w:color="000000"/>
            </w:tcBorders>
          </w:tcPr>
          <w:p>
            <w:pPr/>
          </w:p>
        </w:tc>
        <w:tc>
          <w:tcPr>
            <w:tcW w:w="299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3"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10"/>
              <w:jc w:val="right"/>
              <w:rPr>
                <w:rFonts w:ascii="Times New Roman" w:hAnsi="Times New Roman" w:cs="Times New Roman" w:eastAsia="Times New Roman" w:hint="default"/>
                <w:sz w:val="24"/>
                <w:szCs w:val="24"/>
              </w:rPr>
            </w:pPr>
            <w:r>
              <w:rPr>
                <w:rFonts w:ascii="Times New Roman"/>
                <w:sz w:val="24"/>
              </w:rPr>
              <w:t>485,049,608.07</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10"/>
              <w:jc w:val="right"/>
              <w:rPr>
                <w:rFonts w:ascii="Times New Roman" w:hAnsi="Times New Roman" w:cs="Times New Roman" w:eastAsia="Times New Roman" w:hint="default"/>
                <w:sz w:val="24"/>
                <w:szCs w:val="24"/>
              </w:rPr>
            </w:pPr>
            <w:r>
              <w:rPr>
                <w:rFonts w:ascii="Times New Roman"/>
                <w:sz w:val="24"/>
              </w:rPr>
              <w:t>100</w:t>
            </w:r>
          </w:p>
        </w:tc>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11"/>
              <w:jc w:val="right"/>
              <w:rPr>
                <w:rFonts w:ascii="Times New Roman" w:hAnsi="Times New Roman" w:cs="Times New Roman" w:eastAsia="Times New Roman" w:hint="default"/>
                <w:sz w:val="24"/>
                <w:szCs w:val="24"/>
              </w:rPr>
            </w:pPr>
            <w:r>
              <w:rPr>
                <w:rFonts w:ascii="Times New Roman"/>
                <w:sz w:val="24"/>
              </w:rPr>
              <w:t>577,011,390.01</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10"/>
              <w:jc w:val="right"/>
              <w:rPr>
                <w:rFonts w:ascii="Times New Roman" w:hAnsi="Times New Roman" w:cs="Times New Roman" w:eastAsia="Times New Roman" w:hint="default"/>
                <w:sz w:val="24"/>
                <w:szCs w:val="24"/>
              </w:rPr>
            </w:pPr>
            <w:r>
              <w:rPr>
                <w:rFonts w:ascii="Times New Roman"/>
                <w:sz w:val="24"/>
              </w:rPr>
              <w:t>100</w:t>
            </w:r>
          </w:p>
        </w:tc>
      </w:tr>
    </w:tbl>
    <w:p>
      <w:pPr>
        <w:pStyle w:val="Heading3"/>
        <w:spacing w:line="272" w:lineRule="exact"/>
        <w:ind w:left="244" w:right="0"/>
        <w:jc w:val="left"/>
        <w:rPr>
          <w:rFonts w:ascii="宋体" w:hAnsi="宋体" w:cs="宋体" w:eastAsia="宋体" w:hint="default"/>
        </w:rPr>
      </w:pPr>
      <w:r>
        <w:rPr>
          <w:rFonts w:ascii="宋体"/>
        </w:rPr>
        <w:t> </w:t>
      </w:r>
    </w:p>
    <w:p>
      <w:pPr>
        <w:pStyle w:val="Heading4"/>
        <w:spacing w:line="285" w:lineRule="exact"/>
        <w:ind w:left="244" w:right="0"/>
        <w:jc w:val="left"/>
        <w:rPr>
          <w:rFonts w:ascii="宋体" w:hAnsi="宋体" w:cs="宋体" w:eastAsia="宋体" w:hint="default"/>
        </w:rPr>
      </w:pPr>
      <w:r>
        <w:rPr/>
        <w:t>账龄超过</w:t>
      </w:r>
      <w:r>
        <w:rPr>
          <w:spacing w:val="-60"/>
        </w:rPr>
        <w:t> </w:t>
      </w:r>
      <w:r>
        <w:rPr>
          <w:rFonts w:ascii="宋体" w:hAnsi="宋体" w:cs="宋体" w:eastAsia="宋体" w:hint="default"/>
        </w:rPr>
        <w:t>1</w:t>
      </w:r>
      <w:r>
        <w:rPr>
          <w:rFonts w:ascii="宋体" w:hAnsi="宋体" w:cs="宋体" w:eastAsia="宋体" w:hint="default"/>
          <w:spacing w:val="-58"/>
        </w:rPr>
        <w:t> </w:t>
      </w:r>
      <w:r>
        <w:rPr/>
        <w:t>年且金额重要的预付款项未及时结算原因的说明：</w:t>
      </w:r>
      <w:r>
        <w:rPr>
          <w:rFonts w:ascii="宋体" w:hAnsi="宋体" w:cs="宋体" w:eastAsia="宋体" w:hint="default"/>
        </w:rPr>
        <w:t> </w:t>
      </w:r>
    </w:p>
    <w:p>
      <w:pPr>
        <w:pStyle w:val="Heading3"/>
        <w:spacing w:line="312" w:lineRule="exact"/>
        <w:ind w:left="244" w:right="0"/>
        <w:jc w:val="left"/>
        <w:rPr>
          <w:rFonts w:ascii="宋体" w:hAnsi="宋体" w:cs="宋体" w:eastAsia="宋体" w:hint="default"/>
        </w:rPr>
      </w:pPr>
      <w:r>
        <w:rPr>
          <w:rFonts w:ascii="宋体"/>
        </w:rPr>
        <w:t> </w:t>
      </w: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789"/>
        <w:gridCol w:w="4868"/>
        <w:gridCol w:w="2688"/>
        <w:gridCol w:w="1616"/>
        <w:gridCol w:w="2143"/>
      </w:tblGrid>
      <w:tr>
        <w:trPr>
          <w:trHeight w:val="360" w:hRule="exact"/>
        </w:trPr>
        <w:tc>
          <w:tcPr>
            <w:tcW w:w="278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
              <w:ind w:left="982" w:right="0"/>
              <w:jc w:val="left"/>
              <w:rPr>
                <w:rFonts w:ascii="宋体" w:hAnsi="宋体" w:cs="宋体" w:eastAsia="宋体" w:hint="default"/>
                <w:sz w:val="21"/>
                <w:szCs w:val="21"/>
              </w:rPr>
            </w:pPr>
            <w:r>
              <w:rPr>
                <w:rFonts w:ascii="宋体" w:hAnsi="宋体" w:cs="宋体" w:eastAsia="宋体" w:hint="default"/>
                <w:sz w:val="21"/>
                <w:szCs w:val="21"/>
              </w:rPr>
              <w:t>债权单位</w:t>
            </w:r>
            <w:r>
              <w:rPr>
                <w:rFonts w:ascii="宋体" w:hAnsi="宋体" w:cs="宋体" w:eastAsia="宋体" w:hint="default"/>
                <w:sz w:val="21"/>
                <w:szCs w:val="21"/>
              </w:rPr>
              <w:t> </w:t>
            </w:r>
          </w:p>
        </w:tc>
        <w:tc>
          <w:tcPr>
            <w:tcW w:w="48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left="105" w:right="0"/>
              <w:jc w:val="center"/>
              <w:rPr>
                <w:rFonts w:ascii="宋体" w:hAnsi="宋体" w:cs="宋体" w:eastAsia="宋体" w:hint="default"/>
                <w:sz w:val="21"/>
                <w:szCs w:val="21"/>
              </w:rPr>
            </w:pPr>
            <w:r>
              <w:rPr>
                <w:rFonts w:ascii="宋体" w:hAnsi="宋体" w:cs="宋体" w:eastAsia="宋体" w:hint="default"/>
                <w:sz w:val="21"/>
                <w:szCs w:val="21"/>
              </w:rPr>
              <w:t>债务单位</w:t>
            </w:r>
            <w:r>
              <w:rPr>
                <w:rFonts w:ascii="宋体" w:hAnsi="宋体" w:cs="宋体" w:eastAsia="宋体" w:hint="default"/>
                <w:sz w:val="21"/>
                <w:szCs w:val="21"/>
              </w:rPr>
              <w:t> </w:t>
            </w:r>
          </w:p>
        </w:tc>
        <w:tc>
          <w:tcPr>
            <w:tcW w:w="26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left="91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6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left="82"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214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
              <w:ind w:left="542" w:right="0"/>
              <w:jc w:val="left"/>
              <w:rPr>
                <w:rFonts w:ascii="宋体" w:hAnsi="宋体" w:cs="宋体" w:eastAsia="宋体" w:hint="default"/>
                <w:sz w:val="21"/>
                <w:szCs w:val="21"/>
              </w:rPr>
            </w:pPr>
            <w:r>
              <w:rPr>
                <w:rFonts w:ascii="宋体" w:hAnsi="宋体" w:cs="宋体" w:eastAsia="宋体" w:hint="default"/>
                <w:sz w:val="21"/>
                <w:szCs w:val="21"/>
              </w:rPr>
              <w:t>未结算原因</w:t>
            </w:r>
            <w:r>
              <w:rPr>
                <w:rFonts w:ascii="宋体" w:hAnsi="宋体" w:cs="宋体" w:eastAsia="宋体" w:hint="default"/>
                <w:sz w:val="21"/>
                <w:szCs w:val="21"/>
              </w:rPr>
              <w:t> </w:t>
            </w:r>
          </w:p>
        </w:tc>
      </w:tr>
      <w:tr>
        <w:trPr>
          <w:trHeight w:val="555" w:hRule="exact"/>
        </w:trPr>
        <w:tc>
          <w:tcPr>
            <w:tcW w:w="2789"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龙岩市海德馨汽车有限公</w:t>
            </w:r>
          </w:p>
          <w:p>
            <w:pPr>
              <w:pStyle w:val="TableParagraph"/>
              <w:spacing w:line="275"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4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山东中诚安源电力科技有限公司</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5"/>
              <w:jc w:val="right"/>
              <w:rPr>
                <w:rFonts w:ascii="Times New Roman" w:hAnsi="Times New Roman" w:cs="Times New Roman" w:eastAsia="Times New Roman" w:hint="default"/>
                <w:sz w:val="20"/>
                <w:szCs w:val="20"/>
              </w:rPr>
            </w:pPr>
            <w:r>
              <w:rPr>
                <w:rFonts w:ascii="Times New Roman"/>
                <w:w w:val="95"/>
                <w:sz w:val="20"/>
              </w:rPr>
              <w:t>30,477,569.00</w:t>
            </w:r>
            <w:r>
              <w:rPr>
                <w:rFonts w:ascii="Times New Roman"/>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left="492" w:right="0"/>
              <w:jc w:val="left"/>
              <w:rPr>
                <w:rFonts w:ascii="宋体" w:hAnsi="宋体" w:cs="宋体" w:eastAsia="宋体" w:hint="default"/>
                <w:sz w:val="21"/>
                <w:szCs w:val="21"/>
              </w:rPr>
            </w:pPr>
            <w:r>
              <w:rPr>
                <w:rFonts w:ascii="宋体" w:hAnsi="宋体" w:cs="宋体" w:eastAsia="宋体" w:hint="default"/>
                <w:sz w:val="21"/>
                <w:szCs w:val="21"/>
              </w:rPr>
              <w:t>项目待结算</w:t>
            </w:r>
            <w:r>
              <w:rPr>
                <w:rFonts w:ascii="宋体" w:hAnsi="宋体" w:cs="宋体" w:eastAsia="宋体" w:hint="default"/>
                <w:sz w:val="21"/>
                <w:szCs w:val="21"/>
              </w:rPr>
              <w:t> </w:t>
            </w:r>
          </w:p>
        </w:tc>
      </w:tr>
      <w:tr>
        <w:trPr>
          <w:trHeight w:val="566" w:hRule="exact"/>
        </w:trPr>
        <w:tc>
          <w:tcPr>
            <w:tcW w:w="2789" w:type="dxa"/>
            <w:tcBorders>
              <w:top w:val="single" w:sz="4" w:space="0" w:color="000000"/>
              <w:left w:val="nil" w:sz="6" w:space="0" w:color="auto"/>
              <w:bottom w:val="single" w:sz="12"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上海红生系统工程有限公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48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上海珺卓实业有限公司</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1"/>
              <w:ind w:right="205"/>
              <w:jc w:val="right"/>
              <w:rPr>
                <w:rFonts w:ascii="Times New Roman" w:hAnsi="Times New Roman" w:cs="Times New Roman" w:eastAsia="Times New Roman" w:hint="default"/>
                <w:sz w:val="20"/>
                <w:szCs w:val="20"/>
              </w:rPr>
            </w:pPr>
            <w:r>
              <w:rPr>
                <w:rFonts w:ascii="Times New Roman"/>
                <w:w w:val="95"/>
                <w:sz w:val="20"/>
              </w:rPr>
              <w:t>11,807,400.00</w:t>
            </w:r>
            <w:r>
              <w:rPr>
                <w:rFonts w:ascii="Times New Roman"/>
                <w:sz w:val="20"/>
              </w:rPr>
            </w:r>
          </w:p>
        </w:tc>
        <w:tc>
          <w:tcPr>
            <w:tcW w:w="16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2"/>
              <w:ind w:left="492" w:right="0"/>
              <w:jc w:val="left"/>
              <w:rPr>
                <w:rFonts w:ascii="宋体" w:hAnsi="宋体" w:cs="宋体" w:eastAsia="宋体" w:hint="default"/>
                <w:sz w:val="21"/>
                <w:szCs w:val="21"/>
              </w:rPr>
            </w:pPr>
            <w:r>
              <w:rPr>
                <w:rFonts w:ascii="宋体" w:hAnsi="宋体" w:cs="宋体" w:eastAsia="宋体" w:hint="default"/>
                <w:sz w:val="21"/>
                <w:szCs w:val="21"/>
              </w:rPr>
              <w:t>项目待结算</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type w:val="continuous"/>
          <w:pgSz w:w="16840" w:h="11910" w:orient="landscape"/>
          <w:pgMar w:top="1120" w:bottom="1380" w:left="1280" w:right="1200"/>
        </w:sectPr>
      </w:pPr>
    </w:p>
    <w:p>
      <w:pPr>
        <w:spacing w:line="240" w:lineRule="auto" w:before="7"/>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2789"/>
        <w:gridCol w:w="4868"/>
        <w:gridCol w:w="2688"/>
        <w:gridCol w:w="1616"/>
        <w:gridCol w:w="2143"/>
      </w:tblGrid>
      <w:tr>
        <w:trPr>
          <w:trHeight w:val="360" w:hRule="exact"/>
        </w:trPr>
        <w:tc>
          <w:tcPr>
            <w:tcW w:w="2789" w:type="dxa"/>
            <w:tcBorders>
              <w:top w:val="single" w:sz="12" w:space="0" w:color="000000"/>
              <w:left w:val="nil" w:sz="6" w:space="0" w:color="auto"/>
              <w:bottom w:val="single" w:sz="4" w:space="0" w:color="000000"/>
              <w:right w:val="single" w:sz="4" w:space="0" w:color="000000"/>
            </w:tcBorders>
          </w:tcPr>
          <w:p>
            <w:pPr>
              <w:pStyle w:val="TableParagraph"/>
              <w:spacing w:line="274" w:lineRule="exact"/>
              <w:ind w:left="982" w:right="0"/>
              <w:jc w:val="left"/>
              <w:rPr>
                <w:rFonts w:ascii="宋体" w:hAnsi="宋体" w:cs="宋体" w:eastAsia="宋体" w:hint="default"/>
                <w:sz w:val="21"/>
                <w:szCs w:val="21"/>
              </w:rPr>
            </w:pPr>
            <w:r>
              <w:rPr>
                <w:rFonts w:ascii="宋体" w:hAnsi="宋体" w:cs="宋体" w:eastAsia="宋体" w:hint="default"/>
                <w:sz w:val="21"/>
                <w:szCs w:val="21"/>
              </w:rPr>
              <w:t>债权单位</w:t>
            </w:r>
            <w:r>
              <w:rPr>
                <w:rFonts w:ascii="宋体" w:hAnsi="宋体" w:cs="宋体" w:eastAsia="宋体" w:hint="default"/>
                <w:sz w:val="21"/>
                <w:szCs w:val="21"/>
              </w:rPr>
              <w:t> </w:t>
            </w:r>
          </w:p>
        </w:tc>
        <w:tc>
          <w:tcPr>
            <w:tcW w:w="4868"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债务单位</w:t>
            </w:r>
            <w:r>
              <w:rPr>
                <w:rFonts w:ascii="宋体" w:hAnsi="宋体" w:cs="宋体" w:eastAsia="宋体" w:hint="default"/>
                <w:sz w:val="21"/>
                <w:szCs w:val="21"/>
              </w:rPr>
              <w:t> </w:t>
            </w:r>
          </w:p>
        </w:tc>
        <w:tc>
          <w:tcPr>
            <w:tcW w:w="2688"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left="91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616"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right="497"/>
              <w:jc w:val="right"/>
              <w:rPr>
                <w:rFonts w:ascii="宋体" w:hAnsi="宋体" w:cs="宋体" w:eastAsia="宋体" w:hint="default"/>
                <w:sz w:val="21"/>
                <w:szCs w:val="21"/>
              </w:rPr>
            </w:pPr>
            <w:r>
              <w:rPr>
                <w:rFonts w:ascii="宋体" w:hAnsi="宋体" w:cs="宋体" w:eastAsia="宋体" w:hint="default"/>
                <w:spacing w:val="-2"/>
                <w:sz w:val="21"/>
                <w:szCs w:val="21"/>
              </w:rPr>
              <w:t>账龄</w:t>
            </w:r>
            <w:r>
              <w:rPr>
                <w:rFonts w:ascii="宋体" w:hAnsi="宋体" w:cs="宋体" w:eastAsia="宋体" w:hint="default"/>
                <w:sz w:val="21"/>
                <w:szCs w:val="21"/>
              </w:rPr>
              <w:t> </w:t>
            </w:r>
          </w:p>
        </w:tc>
        <w:tc>
          <w:tcPr>
            <w:tcW w:w="2143" w:type="dxa"/>
            <w:tcBorders>
              <w:top w:val="single" w:sz="12" w:space="0" w:color="000000"/>
              <w:left w:val="single" w:sz="4" w:space="0" w:color="000000"/>
              <w:bottom w:val="single" w:sz="4" w:space="0" w:color="000000"/>
              <w:right w:val="nil" w:sz="6" w:space="0" w:color="auto"/>
            </w:tcBorders>
          </w:tcPr>
          <w:p>
            <w:pPr>
              <w:pStyle w:val="TableParagraph"/>
              <w:spacing w:line="274" w:lineRule="exact"/>
              <w:ind w:right="437"/>
              <w:jc w:val="right"/>
              <w:rPr>
                <w:rFonts w:ascii="宋体" w:hAnsi="宋体" w:cs="宋体" w:eastAsia="宋体" w:hint="default"/>
                <w:sz w:val="21"/>
                <w:szCs w:val="21"/>
              </w:rPr>
            </w:pPr>
            <w:r>
              <w:rPr>
                <w:rFonts w:ascii="宋体" w:hAnsi="宋体" w:cs="宋体" w:eastAsia="宋体" w:hint="default"/>
                <w:spacing w:val="-2"/>
                <w:sz w:val="21"/>
                <w:szCs w:val="21"/>
              </w:rPr>
              <w:t>未结算原因</w:t>
            </w:r>
            <w:r>
              <w:rPr>
                <w:rFonts w:ascii="宋体" w:hAnsi="宋体" w:cs="宋体" w:eastAsia="宋体" w:hint="default"/>
                <w:sz w:val="21"/>
                <w:szCs w:val="21"/>
              </w:rPr>
              <w:t> </w:t>
            </w:r>
          </w:p>
        </w:tc>
      </w:tr>
      <w:tr>
        <w:trPr>
          <w:trHeight w:val="350" w:hRule="exact"/>
        </w:trPr>
        <w:tc>
          <w:tcPr>
            <w:tcW w:w="2789"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8"/>
                <w:sz w:val="21"/>
                <w:szCs w:val="21"/>
              </w:rPr>
              <w:t>泰豪科技（亚洲）有限公司</w:t>
            </w:r>
            <w:r>
              <w:rPr>
                <w:rFonts w:ascii="宋体" w:hAnsi="宋体" w:cs="宋体" w:eastAsia="宋体" w:hint="default"/>
                <w:sz w:val="21"/>
                <w:szCs w:val="21"/>
              </w:rPr>
              <w:t> </w:t>
            </w:r>
          </w:p>
        </w:tc>
        <w:tc>
          <w:tcPr>
            <w:tcW w:w="48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信昌机器工程有限公司</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5"/>
              <w:jc w:val="right"/>
              <w:rPr>
                <w:rFonts w:ascii="Times New Roman" w:hAnsi="Times New Roman" w:cs="Times New Roman" w:eastAsia="Times New Roman" w:hint="default"/>
                <w:sz w:val="20"/>
                <w:szCs w:val="20"/>
              </w:rPr>
            </w:pPr>
            <w:r>
              <w:rPr>
                <w:rFonts w:ascii="Times New Roman"/>
                <w:w w:val="95"/>
                <w:sz w:val="20"/>
              </w:rPr>
              <w:t>9,070,455.24</w:t>
            </w:r>
            <w:r>
              <w:rPr>
                <w:rFonts w:ascii="Times New Roman"/>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56"/>
              <w:jc w:val="righ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487"/>
              <w:jc w:val="right"/>
              <w:rPr>
                <w:rFonts w:ascii="宋体" w:hAnsi="宋体" w:cs="宋体" w:eastAsia="宋体" w:hint="default"/>
                <w:sz w:val="21"/>
                <w:szCs w:val="21"/>
              </w:rPr>
            </w:pPr>
            <w:r>
              <w:rPr>
                <w:rFonts w:ascii="宋体" w:hAnsi="宋体" w:cs="宋体" w:eastAsia="宋体" w:hint="default"/>
                <w:spacing w:val="-2"/>
                <w:sz w:val="21"/>
                <w:szCs w:val="21"/>
              </w:rPr>
              <w:t>项目待结算</w:t>
            </w:r>
            <w:r>
              <w:rPr>
                <w:rFonts w:ascii="宋体" w:hAnsi="宋体" w:cs="宋体" w:eastAsia="宋体" w:hint="default"/>
                <w:sz w:val="21"/>
                <w:szCs w:val="21"/>
              </w:rPr>
              <w:t> </w:t>
            </w:r>
          </w:p>
        </w:tc>
      </w:tr>
      <w:tr>
        <w:trPr>
          <w:trHeight w:val="350" w:hRule="exact"/>
        </w:trPr>
        <w:tc>
          <w:tcPr>
            <w:tcW w:w="2789"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pacing w:val="-8"/>
                <w:sz w:val="21"/>
                <w:szCs w:val="21"/>
              </w:rPr>
              <w:t>泰豪科技（亚洲）有限公司</w:t>
            </w:r>
            <w:r>
              <w:rPr>
                <w:rFonts w:ascii="宋体" w:hAnsi="宋体" w:cs="宋体" w:eastAsia="宋体" w:hint="default"/>
                <w:sz w:val="21"/>
                <w:szCs w:val="21"/>
              </w:rPr>
              <w:t> </w:t>
            </w:r>
          </w:p>
        </w:tc>
        <w:tc>
          <w:tcPr>
            <w:tcW w:w="48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sz w:val="21"/>
              </w:rPr>
              <w:t>ShunFuangE&amp;MEngineeringLtd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5"/>
              <w:jc w:val="right"/>
              <w:rPr>
                <w:rFonts w:ascii="Times New Roman" w:hAnsi="Times New Roman" w:cs="Times New Roman" w:eastAsia="Times New Roman" w:hint="default"/>
                <w:sz w:val="20"/>
                <w:szCs w:val="20"/>
              </w:rPr>
            </w:pPr>
            <w:r>
              <w:rPr>
                <w:rFonts w:ascii="Times New Roman"/>
                <w:w w:val="95"/>
                <w:sz w:val="20"/>
              </w:rPr>
              <w:t>8,763,804.67</w:t>
            </w:r>
            <w:r>
              <w:rPr>
                <w:rFonts w:ascii="Times New Roman"/>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56"/>
              <w:jc w:val="righ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487"/>
              <w:jc w:val="right"/>
              <w:rPr>
                <w:rFonts w:ascii="宋体" w:hAnsi="宋体" w:cs="宋体" w:eastAsia="宋体" w:hint="default"/>
                <w:sz w:val="21"/>
                <w:szCs w:val="21"/>
              </w:rPr>
            </w:pPr>
            <w:r>
              <w:rPr>
                <w:rFonts w:ascii="宋体" w:hAnsi="宋体" w:cs="宋体" w:eastAsia="宋体" w:hint="default"/>
                <w:spacing w:val="-2"/>
                <w:sz w:val="21"/>
                <w:szCs w:val="21"/>
              </w:rPr>
              <w:t>项目待结算</w:t>
            </w:r>
            <w:r>
              <w:rPr>
                <w:rFonts w:ascii="宋体" w:hAnsi="宋体" w:cs="宋体" w:eastAsia="宋体" w:hint="default"/>
                <w:sz w:val="21"/>
                <w:szCs w:val="21"/>
              </w:rPr>
              <w:t> </w:t>
            </w:r>
          </w:p>
        </w:tc>
      </w:tr>
      <w:tr>
        <w:trPr>
          <w:trHeight w:val="348" w:hRule="exact"/>
        </w:trPr>
        <w:tc>
          <w:tcPr>
            <w:tcW w:w="2789"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泰豪电源技术有限公司</w:t>
            </w:r>
            <w:r>
              <w:rPr>
                <w:rFonts w:ascii="宋体" w:hAnsi="宋体" w:cs="宋体" w:eastAsia="宋体" w:hint="default"/>
                <w:sz w:val="21"/>
                <w:szCs w:val="21"/>
              </w:rPr>
              <w:t> </w:t>
            </w:r>
          </w:p>
        </w:tc>
        <w:tc>
          <w:tcPr>
            <w:tcW w:w="48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新乡法斯特动力设备有限公司</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5"/>
              <w:jc w:val="right"/>
              <w:rPr>
                <w:rFonts w:ascii="Times New Roman" w:hAnsi="Times New Roman" w:cs="Times New Roman" w:eastAsia="Times New Roman" w:hint="default"/>
                <w:sz w:val="20"/>
                <w:szCs w:val="20"/>
              </w:rPr>
            </w:pPr>
            <w:r>
              <w:rPr>
                <w:rFonts w:ascii="Times New Roman"/>
                <w:w w:val="95"/>
                <w:sz w:val="20"/>
              </w:rPr>
              <w:t>8,667,809.72</w:t>
            </w:r>
            <w:r>
              <w:rPr>
                <w:rFonts w:ascii="Times New Roman"/>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56"/>
              <w:jc w:val="righ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487"/>
              <w:jc w:val="right"/>
              <w:rPr>
                <w:rFonts w:ascii="宋体" w:hAnsi="宋体" w:cs="宋体" w:eastAsia="宋体" w:hint="default"/>
                <w:sz w:val="21"/>
                <w:szCs w:val="21"/>
              </w:rPr>
            </w:pPr>
            <w:r>
              <w:rPr>
                <w:rFonts w:ascii="宋体" w:hAnsi="宋体" w:cs="宋体" w:eastAsia="宋体" w:hint="default"/>
                <w:spacing w:val="-2"/>
                <w:sz w:val="21"/>
                <w:szCs w:val="21"/>
              </w:rPr>
              <w:t>项目待结算</w:t>
            </w:r>
            <w:r>
              <w:rPr>
                <w:rFonts w:ascii="宋体" w:hAnsi="宋体" w:cs="宋体" w:eastAsia="宋体" w:hint="default"/>
                <w:sz w:val="21"/>
                <w:szCs w:val="21"/>
              </w:rPr>
              <w:t> </w:t>
            </w:r>
          </w:p>
        </w:tc>
      </w:tr>
      <w:tr>
        <w:trPr>
          <w:trHeight w:val="362" w:hRule="exact"/>
        </w:trPr>
        <w:tc>
          <w:tcPr>
            <w:tcW w:w="278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
              <w:ind w:left="12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8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w w:val="100"/>
                <w:sz w:val="21"/>
              </w:rPr>
              <w:t> </w:t>
            </w:r>
          </w:p>
        </w:tc>
        <w:tc>
          <w:tcPr>
            <w:tcW w:w="26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0"/>
                <w:szCs w:val="20"/>
              </w:rPr>
            </w:pPr>
            <w:r>
              <w:rPr>
                <w:rFonts w:ascii="Times New Roman"/>
                <w:w w:val="95"/>
                <w:sz w:val="20"/>
              </w:rPr>
              <w:t>68,787,038.63</w:t>
            </w:r>
            <w:r>
              <w:rPr>
                <w:rFonts w:ascii="Times New Roman"/>
                <w:sz w:val="20"/>
              </w:rPr>
            </w:r>
          </w:p>
        </w:tc>
        <w:tc>
          <w:tcPr>
            <w:tcW w:w="16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left="105" w:right="0"/>
              <w:jc w:val="left"/>
              <w:rPr>
                <w:rFonts w:ascii="宋体" w:hAnsi="宋体" w:cs="宋体" w:eastAsia="宋体" w:hint="default"/>
                <w:sz w:val="21"/>
                <w:szCs w:val="21"/>
              </w:rPr>
            </w:pPr>
            <w:r>
              <w:rPr>
                <w:rFonts w:ascii="宋体"/>
                <w:w w:val="100"/>
                <w:sz w:val="21"/>
              </w:rPr>
              <w:t> </w:t>
            </w:r>
          </w:p>
        </w:tc>
        <w:tc>
          <w:tcPr>
            <w:tcW w:w="214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
              <w:ind w:left="105" w:right="0"/>
              <w:jc w:val="left"/>
              <w:rPr>
                <w:rFonts w:ascii="宋体" w:hAnsi="宋体" w:cs="宋体" w:eastAsia="宋体" w:hint="default"/>
                <w:sz w:val="21"/>
                <w:szCs w:val="21"/>
              </w:rPr>
            </w:pPr>
            <w:r>
              <w:rPr>
                <w:rFonts w:ascii="宋体"/>
                <w:w w:val="100"/>
                <w:sz w:val="21"/>
              </w:rPr>
              <w:t> </w:t>
            </w:r>
          </w:p>
        </w:tc>
      </w:tr>
    </w:tbl>
    <w:p>
      <w:pPr>
        <w:pStyle w:val="Heading3"/>
        <w:spacing w:line="272" w:lineRule="exact"/>
        <w:ind w:left="244" w:right="0"/>
        <w:jc w:val="left"/>
        <w:rPr>
          <w:rFonts w:ascii="宋体" w:hAnsi="宋体" w:cs="宋体" w:eastAsia="宋体" w:hint="default"/>
        </w:rPr>
      </w:pPr>
      <w:r>
        <w:rPr>
          <w:rFonts w:ascii="宋体"/>
        </w:rPr>
        <w:t> </w:t>
      </w:r>
    </w:p>
    <w:p>
      <w:pPr>
        <w:pStyle w:val="Heading3"/>
        <w:spacing w:line="312" w:lineRule="exact"/>
        <w:ind w:left="244" w:right="0"/>
        <w:jc w:val="left"/>
        <w:rPr>
          <w:rFonts w:ascii="宋体" w:hAnsi="宋体" w:cs="宋体" w:eastAsia="宋体" w:hint="default"/>
        </w:rPr>
      </w:pPr>
      <w:r>
        <w:rPr>
          <w:rFonts w:ascii="宋体"/>
        </w:rPr>
        <w:t> </w:t>
      </w:r>
    </w:p>
    <w:p>
      <w:pPr>
        <w:pStyle w:val="Heading5"/>
        <w:spacing w:line="240" w:lineRule="auto"/>
        <w:ind w:left="244" w:right="0"/>
        <w:jc w:val="left"/>
        <w:rPr>
          <w:rFonts w:ascii="宋体" w:hAnsi="宋体" w:cs="宋体" w:eastAsia="宋体" w:hint="default"/>
          <w:b w:val="0"/>
          <w:bCs w:val="0"/>
        </w:rPr>
      </w:pPr>
      <w:r>
        <w:rPr>
          <w:rFonts w:ascii="宋体" w:hAnsi="宋体" w:cs="宋体" w:eastAsia="宋体" w:hint="default"/>
        </w:rPr>
        <w:t>(2).</w:t>
      </w:r>
      <w:r>
        <w:rPr/>
        <w:t>按预付对象归集的期末余额前五名的预付款情况</w:t>
      </w:r>
      <w:r>
        <w:rPr>
          <w:rFonts w:ascii="宋体" w:hAnsi="宋体" w:cs="宋体" w:eastAsia="宋体" w:hint="default"/>
          <w:w w:val="99"/>
        </w:rPr>
        <w:t> </w:t>
      </w:r>
      <w:r>
        <w:rPr>
          <w:rFonts w:ascii="宋体" w:hAnsi="宋体" w:cs="宋体" w:eastAsia="宋体" w:hint="default"/>
          <w:b w:val="0"/>
          <w:bCs w:val="0"/>
        </w:rPr>
      </w:r>
    </w:p>
    <w:p>
      <w:pPr>
        <w:pStyle w:val="Heading3"/>
        <w:spacing w:line="312" w:lineRule="exact" w:before="52"/>
        <w:ind w:left="244"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2" w:lineRule="exact"/>
        <w:ind w:left="244" w:right="0"/>
        <w:jc w:val="left"/>
        <w:rPr>
          <w:rFonts w:ascii="宋体" w:hAnsi="宋体" w:cs="宋体" w:eastAsia="宋体" w:hint="default"/>
        </w:rPr>
      </w:pPr>
      <w:r>
        <w:rPr>
          <w:rFonts w:ascii="宋体"/>
        </w:rPr>
        <w:t> </w:t>
      </w: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6601"/>
        <w:gridCol w:w="3591"/>
        <w:gridCol w:w="3912"/>
      </w:tblGrid>
      <w:tr>
        <w:trPr>
          <w:trHeight w:val="360" w:hRule="exact"/>
        </w:trPr>
        <w:tc>
          <w:tcPr>
            <w:tcW w:w="6601" w:type="dxa"/>
            <w:tcBorders>
              <w:top w:val="single" w:sz="12" w:space="0" w:color="000000"/>
              <w:left w:val="nil" w:sz="6" w:space="0" w:color="auto"/>
              <w:bottom w:val="single" w:sz="4" w:space="0" w:color="000000"/>
              <w:right w:val="single" w:sz="4" w:space="0" w:color="000000"/>
            </w:tcBorders>
          </w:tcPr>
          <w:p>
            <w:pPr>
              <w:pStyle w:val="TableParagraph"/>
              <w:spacing w:line="274" w:lineRule="exact"/>
              <w:ind w:left="124" w:right="0"/>
              <w:jc w:val="center"/>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3591" w:type="dxa"/>
            <w:tcBorders>
              <w:top w:val="single" w:sz="12" w:space="0" w:color="000000"/>
              <w:left w:val="single" w:sz="4" w:space="0" w:color="000000"/>
              <w:bottom w:val="single" w:sz="4" w:space="0" w:color="000000"/>
              <w:right w:val="single" w:sz="4" w:space="0" w:color="000000"/>
            </w:tcBorders>
          </w:tcPr>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912" w:type="dxa"/>
            <w:tcBorders>
              <w:top w:val="single" w:sz="12" w:space="0" w:color="000000"/>
              <w:left w:val="single" w:sz="4" w:space="0" w:color="000000"/>
              <w:bottom w:val="single" w:sz="4" w:space="0" w:color="000000"/>
              <w:right w:val="nil" w:sz="6" w:space="0" w:color="auto"/>
            </w:tcBorders>
          </w:tcPr>
          <w:p>
            <w:pPr>
              <w:pStyle w:val="TableParagraph"/>
              <w:spacing w:line="274" w:lineRule="exact"/>
              <w:ind w:left="744" w:right="0"/>
              <w:jc w:val="left"/>
              <w:rPr>
                <w:rFonts w:ascii="宋体" w:hAnsi="宋体" w:cs="宋体" w:eastAsia="宋体" w:hint="default"/>
                <w:sz w:val="21"/>
                <w:szCs w:val="21"/>
              </w:rPr>
            </w:pPr>
            <w:r>
              <w:rPr>
                <w:rFonts w:ascii="宋体" w:hAnsi="宋体" w:cs="宋体" w:eastAsia="宋体" w:hint="default"/>
                <w:sz w:val="21"/>
                <w:szCs w:val="21"/>
              </w:rPr>
              <w:t>占预付款项总额的比例</w:t>
            </w:r>
            <w:r>
              <w:rPr>
                <w:rFonts w:ascii="宋体" w:hAnsi="宋体" w:cs="宋体" w:eastAsia="宋体" w:hint="default"/>
                <w:sz w:val="21"/>
                <w:szCs w:val="21"/>
              </w:rPr>
              <w:t>(%) </w:t>
            </w:r>
          </w:p>
        </w:tc>
      </w:tr>
      <w:tr>
        <w:trPr>
          <w:trHeight w:val="350" w:hRule="exact"/>
        </w:trPr>
        <w:tc>
          <w:tcPr>
            <w:tcW w:w="6601"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山东中诚安源电力科技有限公司</w:t>
            </w:r>
            <w:r>
              <w:rPr>
                <w:rFonts w:ascii="宋体" w:hAnsi="宋体" w:cs="宋体" w:eastAsia="宋体" w:hint="default"/>
                <w:sz w:val="21"/>
                <w:szCs w:val="21"/>
              </w:rPr>
              <w:t> </w:t>
            </w:r>
          </w:p>
        </w:tc>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0"/>
                <w:szCs w:val="20"/>
              </w:rPr>
            </w:pPr>
            <w:r>
              <w:rPr>
                <w:rFonts w:ascii="Times New Roman"/>
                <w:w w:val="95"/>
                <w:sz w:val="20"/>
              </w:rPr>
              <w:t>35,477,569.00</w:t>
            </w:r>
            <w:r>
              <w:rPr>
                <w:rFonts w:ascii="Times New Roman"/>
                <w:sz w:val="20"/>
              </w:rPr>
            </w:r>
          </w:p>
        </w:tc>
        <w:tc>
          <w:tcPr>
            <w:tcW w:w="3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2"/>
              <w:jc w:val="right"/>
              <w:rPr>
                <w:rFonts w:ascii="Times New Roman" w:hAnsi="Times New Roman" w:cs="Times New Roman" w:eastAsia="Times New Roman" w:hint="default"/>
                <w:sz w:val="20"/>
                <w:szCs w:val="20"/>
              </w:rPr>
            </w:pPr>
            <w:r>
              <w:rPr>
                <w:rFonts w:ascii="Times New Roman"/>
                <w:sz w:val="20"/>
              </w:rPr>
              <w:t>7.31</w:t>
            </w:r>
          </w:p>
        </w:tc>
      </w:tr>
      <w:tr>
        <w:trPr>
          <w:trHeight w:val="350" w:hRule="exact"/>
        </w:trPr>
        <w:tc>
          <w:tcPr>
            <w:tcW w:w="6601"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上海瀚讯信息技术股份有限公司</w:t>
            </w:r>
            <w:r>
              <w:rPr>
                <w:rFonts w:ascii="宋体" w:hAnsi="宋体" w:cs="宋体" w:eastAsia="宋体" w:hint="default"/>
                <w:sz w:val="21"/>
                <w:szCs w:val="21"/>
              </w:rPr>
              <w:t> </w:t>
            </w:r>
          </w:p>
        </w:tc>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0"/>
                <w:szCs w:val="20"/>
              </w:rPr>
            </w:pPr>
            <w:r>
              <w:rPr>
                <w:rFonts w:ascii="Times New Roman"/>
                <w:w w:val="95"/>
                <w:sz w:val="20"/>
              </w:rPr>
              <w:t>29,316,000.00</w:t>
            </w:r>
            <w:r>
              <w:rPr>
                <w:rFonts w:ascii="Times New Roman"/>
                <w:sz w:val="20"/>
              </w:rPr>
            </w:r>
          </w:p>
        </w:tc>
        <w:tc>
          <w:tcPr>
            <w:tcW w:w="3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2"/>
              <w:jc w:val="right"/>
              <w:rPr>
                <w:rFonts w:ascii="Times New Roman" w:hAnsi="Times New Roman" w:cs="Times New Roman" w:eastAsia="Times New Roman" w:hint="default"/>
                <w:sz w:val="20"/>
                <w:szCs w:val="20"/>
              </w:rPr>
            </w:pPr>
            <w:r>
              <w:rPr>
                <w:rFonts w:ascii="Times New Roman"/>
                <w:sz w:val="20"/>
              </w:rPr>
              <w:t>6.04</w:t>
            </w:r>
          </w:p>
        </w:tc>
      </w:tr>
      <w:tr>
        <w:trPr>
          <w:trHeight w:val="350" w:hRule="exact"/>
        </w:trPr>
        <w:tc>
          <w:tcPr>
            <w:tcW w:w="6601"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深圳前海高维数据科技发展有限公司</w:t>
            </w:r>
            <w:r>
              <w:rPr>
                <w:rFonts w:ascii="宋体" w:hAnsi="宋体" w:cs="宋体" w:eastAsia="宋体" w:hint="default"/>
                <w:sz w:val="21"/>
                <w:szCs w:val="21"/>
              </w:rPr>
              <w:t> </w:t>
            </w:r>
          </w:p>
        </w:tc>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0"/>
                <w:szCs w:val="20"/>
              </w:rPr>
            </w:pPr>
            <w:r>
              <w:rPr>
                <w:rFonts w:ascii="Times New Roman"/>
                <w:w w:val="95"/>
                <w:sz w:val="20"/>
              </w:rPr>
              <w:t>22,096,186.42</w:t>
            </w:r>
            <w:r>
              <w:rPr>
                <w:rFonts w:ascii="Times New Roman"/>
                <w:sz w:val="20"/>
              </w:rPr>
            </w:r>
          </w:p>
        </w:tc>
        <w:tc>
          <w:tcPr>
            <w:tcW w:w="3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2"/>
              <w:jc w:val="right"/>
              <w:rPr>
                <w:rFonts w:ascii="Times New Roman" w:hAnsi="Times New Roman" w:cs="Times New Roman" w:eastAsia="Times New Roman" w:hint="default"/>
                <w:sz w:val="20"/>
                <w:szCs w:val="20"/>
              </w:rPr>
            </w:pPr>
            <w:r>
              <w:rPr>
                <w:rFonts w:ascii="Times New Roman"/>
                <w:sz w:val="20"/>
              </w:rPr>
              <w:t>4.56</w:t>
            </w:r>
          </w:p>
        </w:tc>
      </w:tr>
      <w:tr>
        <w:trPr>
          <w:trHeight w:val="348" w:hRule="exact"/>
        </w:trPr>
        <w:tc>
          <w:tcPr>
            <w:tcW w:w="6601"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福州多盟动力设备有限公司</w:t>
            </w:r>
            <w:r>
              <w:rPr>
                <w:rFonts w:ascii="宋体" w:hAnsi="宋体" w:cs="宋体" w:eastAsia="宋体" w:hint="default"/>
                <w:sz w:val="21"/>
                <w:szCs w:val="21"/>
              </w:rPr>
              <w:t> </w:t>
            </w:r>
          </w:p>
        </w:tc>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0"/>
                <w:szCs w:val="20"/>
              </w:rPr>
            </w:pPr>
            <w:r>
              <w:rPr>
                <w:rFonts w:ascii="Times New Roman"/>
                <w:w w:val="95"/>
                <w:sz w:val="20"/>
              </w:rPr>
              <w:t>23,088,052.60</w:t>
            </w:r>
            <w:r>
              <w:rPr>
                <w:rFonts w:ascii="Times New Roman"/>
                <w:sz w:val="20"/>
              </w:rPr>
            </w:r>
          </w:p>
        </w:tc>
        <w:tc>
          <w:tcPr>
            <w:tcW w:w="3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2"/>
              <w:jc w:val="right"/>
              <w:rPr>
                <w:rFonts w:ascii="Times New Roman" w:hAnsi="Times New Roman" w:cs="Times New Roman" w:eastAsia="Times New Roman" w:hint="default"/>
                <w:sz w:val="20"/>
                <w:szCs w:val="20"/>
              </w:rPr>
            </w:pPr>
            <w:r>
              <w:rPr>
                <w:rFonts w:ascii="Times New Roman"/>
                <w:sz w:val="20"/>
              </w:rPr>
              <w:t>4.76</w:t>
            </w:r>
          </w:p>
        </w:tc>
      </w:tr>
      <w:tr>
        <w:trPr>
          <w:trHeight w:val="350" w:hRule="exact"/>
        </w:trPr>
        <w:tc>
          <w:tcPr>
            <w:tcW w:w="6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上海兆安合同能源管理中心</w:t>
            </w:r>
            <w:r>
              <w:rPr>
                <w:rFonts w:ascii="宋体" w:hAnsi="宋体" w:cs="宋体" w:eastAsia="宋体" w:hint="default"/>
                <w:sz w:val="21"/>
                <w:szCs w:val="21"/>
              </w:rPr>
              <w:t> </w:t>
            </w:r>
          </w:p>
        </w:tc>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0"/>
                <w:szCs w:val="20"/>
              </w:rPr>
            </w:pPr>
            <w:r>
              <w:rPr>
                <w:rFonts w:ascii="Times New Roman"/>
                <w:w w:val="95"/>
                <w:sz w:val="20"/>
              </w:rPr>
              <w:t>15,265,118.87</w:t>
            </w:r>
            <w:r>
              <w:rPr>
                <w:rFonts w:ascii="Times New Roman"/>
                <w:sz w:val="20"/>
              </w:rPr>
            </w:r>
          </w:p>
        </w:tc>
        <w:tc>
          <w:tcPr>
            <w:tcW w:w="3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2"/>
              <w:jc w:val="right"/>
              <w:rPr>
                <w:rFonts w:ascii="Times New Roman" w:hAnsi="Times New Roman" w:cs="Times New Roman" w:eastAsia="Times New Roman" w:hint="default"/>
                <w:sz w:val="20"/>
                <w:szCs w:val="20"/>
              </w:rPr>
            </w:pPr>
            <w:r>
              <w:rPr>
                <w:rFonts w:ascii="Times New Roman"/>
                <w:sz w:val="20"/>
              </w:rPr>
              <w:t>3.15</w:t>
            </w:r>
          </w:p>
        </w:tc>
      </w:tr>
      <w:tr>
        <w:trPr>
          <w:trHeight w:val="362" w:hRule="exact"/>
        </w:trPr>
        <w:tc>
          <w:tcPr>
            <w:tcW w:w="6601" w:type="dxa"/>
            <w:tcBorders>
              <w:top w:val="single" w:sz="4" w:space="0" w:color="000000"/>
              <w:left w:val="nil" w:sz="6" w:space="0" w:color="auto"/>
              <w:bottom w:val="single" w:sz="12" w:space="0" w:color="000000"/>
              <w:right w:val="single" w:sz="4" w:space="0" w:color="000000"/>
            </w:tcBorders>
          </w:tcPr>
          <w:p>
            <w:pPr>
              <w:pStyle w:val="TableParagraph"/>
              <w:spacing w:line="274" w:lineRule="exact"/>
              <w:ind w:left="12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5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0"/>
                <w:szCs w:val="20"/>
              </w:rPr>
            </w:pPr>
            <w:r>
              <w:rPr>
                <w:rFonts w:ascii="Times New Roman"/>
                <w:w w:val="95"/>
                <w:sz w:val="20"/>
              </w:rPr>
              <w:t>125,242,926.89</w:t>
            </w:r>
            <w:r>
              <w:rPr>
                <w:rFonts w:ascii="Times New Roman"/>
                <w:sz w:val="20"/>
              </w:rPr>
            </w:r>
          </w:p>
        </w:tc>
        <w:tc>
          <w:tcPr>
            <w:tcW w:w="391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20"/>
                <w:szCs w:val="20"/>
              </w:rPr>
            </w:pPr>
            <w:r>
              <w:rPr>
                <w:rFonts w:ascii="Times New Roman"/>
                <w:sz w:val="20"/>
              </w:rPr>
              <w:t>25.82</w:t>
            </w:r>
          </w:p>
        </w:tc>
      </w:tr>
    </w:tbl>
    <w:p>
      <w:pPr>
        <w:pStyle w:val="Heading3"/>
        <w:spacing w:line="272" w:lineRule="exact"/>
        <w:ind w:left="244" w:right="0"/>
        <w:jc w:val="left"/>
        <w:rPr>
          <w:rFonts w:ascii="宋体" w:hAnsi="宋体" w:cs="宋体" w:eastAsia="宋体" w:hint="default"/>
        </w:rPr>
      </w:pPr>
      <w:r>
        <w:rPr>
          <w:rFonts w:ascii="宋体"/>
        </w:rPr>
        <w:t> </w:t>
      </w:r>
    </w:p>
    <w:p>
      <w:pPr>
        <w:pStyle w:val="Heading3"/>
        <w:spacing w:line="311" w:lineRule="exact"/>
        <w:ind w:left="244" w:right="0"/>
        <w:jc w:val="left"/>
        <w:rPr>
          <w:rFonts w:ascii="宋体" w:hAnsi="宋体" w:cs="宋体" w:eastAsia="宋体" w:hint="default"/>
        </w:rPr>
      </w:pPr>
      <w:r>
        <w:rPr/>
        <w:t>其他说明</w:t>
      </w:r>
      <w:r>
        <w:rPr>
          <w:rFonts w:ascii="宋体" w:hAnsi="宋体" w:cs="宋体" w:eastAsia="宋体" w:hint="default"/>
        </w:rPr>
        <w:t> </w:t>
      </w:r>
    </w:p>
    <w:p>
      <w:pPr>
        <w:pStyle w:val="Heading3"/>
        <w:spacing w:line="312" w:lineRule="exact"/>
        <w:ind w:left="244"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244" w:right="0"/>
        <w:jc w:val="left"/>
        <w:rPr>
          <w:rFonts w:ascii="宋体" w:hAnsi="宋体" w:cs="宋体" w:eastAsia="宋体" w:hint="default"/>
        </w:rPr>
      </w:pPr>
      <w:r>
        <w:rPr>
          <w:rFonts w:ascii="宋体"/>
        </w:rPr>
        <w:t> </w:t>
      </w:r>
    </w:p>
    <w:p>
      <w:pPr>
        <w:pStyle w:val="Heading5"/>
        <w:spacing w:line="292" w:lineRule="auto" w:before="61"/>
        <w:ind w:left="244" w:right="12619"/>
        <w:jc w:val="left"/>
        <w:rPr>
          <w:rFonts w:ascii="宋体" w:hAnsi="宋体" w:cs="宋体" w:eastAsia="宋体" w:hint="default"/>
          <w:b w:val="0"/>
          <w:bCs w:val="0"/>
        </w:rPr>
      </w:pPr>
      <w:r>
        <w:rPr>
          <w:rFonts w:ascii="宋体" w:hAnsi="宋体" w:cs="宋体" w:eastAsia="宋体" w:hint="default"/>
        </w:rPr>
        <w:t>8</w:t>
      </w:r>
      <w:r>
        <w:rPr/>
        <w:t>、</w:t>
      </w:r>
      <w:r>
        <w:rPr>
          <w:spacing w:val="-2"/>
        </w:rPr>
        <w:t> </w:t>
      </w:r>
      <w:r>
        <w:rPr/>
        <w:t>其他应收款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4"/>
        <w:ind w:left="24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6840" w:h="11910" w:orient="landscape"/>
          <w:pgMar w:header="882" w:footer="1195" w:top="1120" w:bottom="1380" w:left="1280" w:right="1200"/>
        </w:sectPr>
      </w:pPr>
    </w:p>
    <w:p>
      <w:pPr>
        <w:spacing w:line="240" w:lineRule="auto" w:before="9"/>
        <w:rPr>
          <w:rFonts w:ascii="宋体" w:hAnsi="宋体" w:cs="宋体" w:eastAsia="宋体" w:hint="default"/>
          <w:sz w:val="18"/>
          <w:szCs w:val="18"/>
        </w:rPr>
      </w:pPr>
    </w:p>
    <w:p>
      <w:pPr>
        <w:pStyle w:val="BodyText"/>
        <w:spacing w:line="240" w:lineRule="auto" w:before="36"/>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19"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981"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976"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r>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应收利息</w:t>
            </w:r>
            <w:r>
              <w:rPr>
                <w:rFonts w:ascii="宋体" w:hAnsi="宋体" w:cs="宋体" w:eastAsia="宋体" w:hint="default"/>
                <w:sz w:val="24"/>
                <w:szCs w:val="24"/>
              </w:rPr>
              <w:t> </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应收股利</w:t>
            </w:r>
            <w:r>
              <w:rPr>
                <w:rFonts w:ascii="宋体" w:hAnsi="宋体" w:cs="宋体" w:eastAsia="宋体" w:hint="default"/>
                <w:sz w:val="24"/>
                <w:szCs w:val="24"/>
              </w:rPr>
              <w:t> </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其他应收款</w:t>
            </w:r>
            <w:r>
              <w:rPr>
                <w:rFonts w:ascii="宋体" w:hAnsi="宋体" w:cs="宋体" w:eastAsia="宋体" w:hint="default"/>
                <w:sz w:val="24"/>
                <w:szCs w:val="24"/>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14"/>
              <w:jc w:val="right"/>
              <w:rPr>
                <w:rFonts w:ascii="Times New Roman" w:hAnsi="Times New Roman" w:cs="Times New Roman" w:eastAsia="Times New Roman" w:hint="default"/>
                <w:sz w:val="20"/>
                <w:szCs w:val="20"/>
              </w:rPr>
            </w:pPr>
            <w:r>
              <w:rPr>
                <w:rFonts w:ascii="Times New Roman"/>
                <w:w w:val="95"/>
                <w:sz w:val="20"/>
              </w:rPr>
              <w:t>313,164,158.49</w:t>
            </w:r>
            <w:r>
              <w:rPr>
                <w:rFonts w:ascii="Times New Roman"/>
                <w:sz w:val="20"/>
              </w:rPr>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14"/>
              <w:jc w:val="right"/>
              <w:rPr>
                <w:rFonts w:ascii="Times New Roman" w:hAnsi="Times New Roman" w:cs="Times New Roman" w:eastAsia="Times New Roman" w:hint="default"/>
                <w:sz w:val="20"/>
                <w:szCs w:val="20"/>
              </w:rPr>
            </w:pPr>
            <w:r>
              <w:rPr>
                <w:rFonts w:ascii="Times New Roman"/>
                <w:w w:val="95"/>
                <w:sz w:val="20"/>
              </w:rPr>
              <w:t>367,152,185.40</w:t>
            </w:r>
            <w:r>
              <w:rPr>
                <w:rFonts w:ascii="Times New Roman"/>
                <w:sz w:val="20"/>
              </w:rPr>
            </w:r>
          </w:p>
        </w:tc>
      </w:tr>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9"/>
              <w:jc w:val="right"/>
              <w:rPr>
                <w:rFonts w:ascii="Times New Roman" w:hAnsi="Times New Roman" w:cs="Times New Roman" w:eastAsia="Times New Roman" w:hint="default"/>
                <w:sz w:val="20"/>
                <w:szCs w:val="20"/>
              </w:rPr>
            </w:pPr>
            <w:r>
              <w:rPr>
                <w:rFonts w:ascii="Times New Roman"/>
                <w:w w:val="95"/>
                <w:sz w:val="20"/>
              </w:rPr>
              <w:t>313,164,158.49</w:t>
            </w:r>
            <w:r>
              <w:rPr>
                <w:rFonts w:ascii="Times New Roman"/>
                <w:sz w:val="20"/>
              </w:rPr>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9"/>
              <w:jc w:val="right"/>
              <w:rPr>
                <w:rFonts w:ascii="Times New Roman" w:hAnsi="Times New Roman" w:cs="Times New Roman" w:eastAsia="Times New Roman" w:hint="default"/>
                <w:sz w:val="20"/>
                <w:szCs w:val="20"/>
              </w:rPr>
            </w:pPr>
            <w:r>
              <w:rPr>
                <w:rFonts w:ascii="Times New Roman"/>
                <w:w w:val="95"/>
                <w:sz w:val="20"/>
              </w:rPr>
              <w:t>367,152,185.40</w:t>
            </w:r>
            <w:r>
              <w:rPr>
                <w:rFonts w:ascii="Times New Roman"/>
                <w:sz w:val="20"/>
              </w:rPr>
            </w:r>
          </w:p>
        </w:tc>
      </w:tr>
    </w:tbl>
    <w:p>
      <w:pPr>
        <w:spacing w:after="0" w:line="223" w:lineRule="exact"/>
        <w:jc w:val="right"/>
        <w:rPr>
          <w:rFonts w:ascii="Times New Roman" w:hAnsi="Times New Roman" w:cs="Times New Roman" w:eastAsia="Times New Roman" w:hint="default"/>
          <w:sz w:val="20"/>
          <w:szCs w:val="20"/>
        </w:rPr>
        <w:sectPr>
          <w:headerReference w:type="default" r:id="rId52"/>
          <w:footerReference w:type="default" r:id="rId53"/>
          <w:pgSz w:w="11910" w:h="16840"/>
          <w:pgMar w:header="882" w:footer="1195" w:top="1120" w:bottom="1380" w:left="1040" w:right="1560"/>
          <w:pgNumType w:start="117"/>
        </w:sectPr>
      </w:pPr>
    </w:p>
    <w:p>
      <w:pPr>
        <w:pStyle w:val="Heading3"/>
        <w:spacing w:line="273" w:lineRule="exact"/>
        <w:ind w:left="236" w:right="0"/>
        <w:jc w:val="left"/>
        <w:rPr>
          <w:rFonts w:ascii="宋体" w:hAnsi="宋体" w:cs="宋体" w:eastAsia="宋体" w:hint="default"/>
        </w:rPr>
      </w:pPr>
      <w:r>
        <w:rPr>
          <w:rFonts w:ascii="宋体"/>
        </w:rPr>
        <w:t> </w:t>
      </w:r>
    </w:p>
    <w:p>
      <w:pPr>
        <w:pStyle w:val="Heading3"/>
        <w:spacing w:line="311" w:lineRule="exact"/>
        <w:ind w:left="236" w:right="0"/>
        <w:jc w:val="left"/>
        <w:rPr>
          <w:rFonts w:ascii="宋体" w:hAnsi="宋体" w:cs="宋体" w:eastAsia="宋体" w:hint="default"/>
        </w:rPr>
      </w:pPr>
      <w:r>
        <w:rPr/>
        <w:t>其他说明：</w:t>
      </w:r>
      <w:r>
        <w:rPr>
          <w:rFonts w:ascii="宋体" w:hAnsi="宋体" w:cs="宋体" w:eastAsia="宋体" w:hint="default"/>
        </w:rPr>
        <w:t> </w:t>
      </w:r>
    </w:p>
    <w:p>
      <w:pPr>
        <w:pStyle w:val="Heading3"/>
        <w:spacing w:line="311" w:lineRule="exact"/>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236" w:right="0"/>
        <w:jc w:val="left"/>
        <w:rPr>
          <w:rFonts w:ascii="宋体" w:hAnsi="宋体" w:cs="宋体" w:eastAsia="宋体" w:hint="default"/>
        </w:rPr>
      </w:pPr>
      <w:r>
        <w:rPr>
          <w:rFonts w:ascii="宋体"/>
        </w:rPr>
        <w:t> </w:t>
      </w:r>
    </w:p>
    <w:p>
      <w:pPr>
        <w:pStyle w:val="Heading5"/>
        <w:spacing w:line="290" w:lineRule="auto"/>
        <w:ind w:left="236" w:right="1399"/>
        <w:jc w:val="left"/>
        <w:rPr>
          <w:rFonts w:ascii="宋体" w:hAnsi="宋体" w:cs="宋体" w:eastAsia="宋体" w:hint="default"/>
          <w:b w:val="0"/>
          <w:bCs w:val="0"/>
        </w:rPr>
      </w:pPr>
      <w:r>
        <w:rPr/>
        <w:t>应收利息</w:t>
      </w:r>
      <w:r>
        <w:rPr>
          <w:rFonts w:ascii="宋体" w:hAnsi="宋体" w:cs="宋体" w:eastAsia="宋体" w:hint="default"/>
          <w:w w:val="99"/>
        </w:rPr>
        <w:t> </w:t>
      </w: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9"/>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40" w:lineRule="auto" w:before="61"/>
        <w:ind w:left="236" w:right="0"/>
        <w:jc w:val="left"/>
        <w:rPr>
          <w:rFonts w:ascii="宋体" w:hAnsi="宋体" w:cs="宋体" w:eastAsia="宋体" w:hint="default"/>
          <w:b w:val="0"/>
          <w:bCs w:val="0"/>
        </w:rPr>
      </w:pPr>
      <w:r>
        <w:rPr>
          <w:rFonts w:ascii="宋体" w:hAnsi="宋体" w:cs="宋体" w:eastAsia="宋体" w:hint="default"/>
        </w:rPr>
        <w:t>(2).</w:t>
      </w:r>
      <w:r>
        <w:rPr/>
        <w:t>重要逾期利息</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40" w:lineRule="auto" w:before="61"/>
        <w:ind w:left="236" w:right="0"/>
        <w:jc w:val="left"/>
        <w:rPr>
          <w:rFonts w:ascii="宋体" w:hAnsi="宋体" w:cs="宋体" w:eastAsia="宋体" w:hint="default"/>
          <w:b w:val="0"/>
          <w:bCs w:val="0"/>
        </w:rPr>
      </w:pPr>
      <w:r>
        <w:rPr>
          <w:rFonts w:ascii="宋体" w:hAnsi="宋体" w:cs="宋体" w:eastAsia="宋体" w:hint="default"/>
        </w:rPr>
        <w:t>(3).</w:t>
      </w:r>
      <w:r>
        <w:rPr/>
        <w:t>重要逾期利息</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40" w:lineRule="auto"/>
        <w:ind w:left="236" w:right="0"/>
        <w:jc w:val="left"/>
        <w:rPr>
          <w:rFonts w:ascii="宋体" w:hAnsi="宋体" w:cs="宋体" w:eastAsia="宋体" w:hint="default"/>
          <w:b w:val="0"/>
          <w:bCs w:val="0"/>
        </w:rPr>
      </w:pPr>
      <w:r>
        <w:rPr>
          <w:rFonts w:ascii="宋体" w:hAnsi="宋体" w:cs="宋体" w:eastAsia="宋体" w:hint="default"/>
        </w:rPr>
        <w:t>(4).</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0" w:lineRule="exact" w:before="31"/>
        <w:ind w:left="236" w:right="0"/>
        <w:jc w:val="left"/>
        <w:rPr>
          <w:rFonts w:ascii="宋体" w:hAnsi="宋体" w:cs="宋体" w:eastAsia="宋体" w:hint="default"/>
        </w:rPr>
      </w:pPr>
      <w:r>
        <w:rPr>
          <w:rFonts w:ascii="宋体" w:hAnsi="宋体" w:cs="宋体" w:eastAsia="宋体" w:hint="default"/>
        </w:rPr>
        <w:t>  </w:t>
      </w:r>
      <w:r>
        <w:rPr/>
        <w:t>其他说明：</w:t>
      </w:r>
      <w:r>
        <w:rPr>
          <w:rFonts w:ascii="宋体" w:hAnsi="宋体" w:cs="宋体" w:eastAsia="宋体" w:hint="default"/>
        </w:rPr>
        <w:t> </w:t>
      </w:r>
    </w:p>
    <w:p>
      <w:pPr>
        <w:pStyle w:val="Heading3"/>
        <w:spacing w:line="283" w:lineRule="exact"/>
        <w:ind w:left="2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236" w:right="0"/>
        <w:jc w:val="left"/>
        <w:rPr>
          <w:rFonts w:ascii="宋体" w:hAnsi="宋体" w:cs="宋体" w:eastAsia="宋体" w:hint="default"/>
        </w:rPr>
      </w:pPr>
      <w:r>
        <w:rPr>
          <w:rFonts w:ascii="宋体"/>
        </w:rPr>
        <w:t> </w:t>
      </w:r>
    </w:p>
    <w:p>
      <w:pPr>
        <w:pStyle w:val="Heading5"/>
        <w:spacing w:line="290" w:lineRule="auto"/>
        <w:ind w:left="236" w:right="1399"/>
        <w:jc w:val="left"/>
        <w:rPr>
          <w:rFonts w:ascii="宋体" w:hAnsi="宋体" w:cs="宋体" w:eastAsia="宋体" w:hint="default"/>
          <w:b w:val="0"/>
          <w:bCs w:val="0"/>
        </w:rPr>
      </w:pPr>
      <w:r>
        <w:rPr/>
        <w:t>应收股利</w:t>
      </w:r>
      <w:r>
        <w:rPr>
          <w:rFonts w:ascii="宋体" w:hAnsi="宋体" w:cs="宋体" w:eastAsia="宋体" w:hint="default"/>
          <w:w w:val="99"/>
        </w:rPr>
        <w:t> </w:t>
      </w:r>
      <w:r>
        <w:rPr>
          <w:rFonts w:ascii="宋体" w:hAnsi="宋体" w:cs="宋体" w:eastAsia="宋体" w:hint="default"/>
        </w:rPr>
        <w:t>(5).</w:t>
      </w:r>
      <w:r>
        <w:rPr/>
        <w:t>应收股利</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40" w:lineRule="auto" w:before="61"/>
        <w:ind w:left="236" w:right="0"/>
        <w:jc w:val="left"/>
        <w:rPr>
          <w:rFonts w:ascii="宋体" w:hAnsi="宋体" w:cs="宋体" w:eastAsia="宋体" w:hint="default"/>
          <w:b w:val="0"/>
          <w:bCs w:val="0"/>
        </w:rPr>
      </w:pPr>
      <w:r>
        <w:rPr>
          <w:rFonts w:ascii="宋体" w:hAnsi="宋体" w:cs="宋体" w:eastAsia="宋体" w:hint="default"/>
        </w:rPr>
        <w:t>(6).</w:t>
      </w:r>
      <w:r>
        <w:rPr/>
        <w:t>重要的账龄超过</w:t>
      </w:r>
      <w:r>
        <w:rPr>
          <w:spacing w:val="-52"/>
        </w:rPr>
        <w:t> </w:t>
      </w:r>
      <w:r>
        <w:rPr>
          <w:rFonts w:ascii="宋体" w:hAnsi="宋体" w:cs="宋体" w:eastAsia="宋体" w:hint="default"/>
        </w:rPr>
        <w:t>1</w:t>
      </w:r>
      <w:r>
        <w:rPr>
          <w:rFonts w:ascii="宋体" w:hAnsi="宋体" w:cs="宋体" w:eastAsia="宋体" w:hint="default"/>
          <w:spacing w:val="-52"/>
        </w:rPr>
        <w:t> </w:t>
      </w:r>
      <w:r>
        <w:rPr/>
        <w:t>年的应收股利</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40" w:lineRule="auto" w:before="61"/>
        <w:ind w:left="236" w:right="0"/>
        <w:jc w:val="left"/>
        <w:rPr>
          <w:rFonts w:ascii="宋体" w:hAnsi="宋体" w:cs="宋体" w:eastAsia="宋体" w:hint="default"/>
          <w:b w:val="0"/>
          <w:bCs w:val="0"/>
        </w:rPr>
      </w:pPr>
      <w:r>
        <w:rPr>
          <w:rFonts w:ascii="宋体" w:hAnsi="宋体" w:cs="宋体" w:eastAsia="宋体" w:hint="default"/>
        </w:rPr>
        <w:t>(7).</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2"/>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0" w:lineRule="exact" w:before="31"/>
        <w:ind w:left="236" w:right="0"/>
        <w:jc w:val="left"/>
        <w:rPr>
          <w:rFonts w:ascii="宋体" w:hAnsi="宋体" w:cs="宋体" w:eastAsia="宋体" w:hint="default"/>
        </w:rPr>
      </w:pPr>
      <w:r>
        <w:rPr>
          <w:rFonts w:ascii="宋体" w:hAnsi="宋体" w:cs="宋体" w:eastAsia="宋体" w:hint="default"/>
        </w:rPr>
        <w:t>  </w:t>
      </w:r>
      <w:r>
        <w:rPr/>
        <w:t>其他说明：</w:t>
      </w:r>
      <w:r>
        <w:rPr>
          <w:rFonts w:ascii="宋体" w:hAnsi="宋体" w:cs="宋体" w:eastAsia="宋体" w:hint="default"/>
        </w:rPr>
        <w:t> </w:t>
      </w:r>
    </w:p>
    <w:p>
      <w:pPr>
        <w:pStyle w:val="Heading3"/>
        <w:spacing w:line="283" w:lineRule="exact"/>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236" w:right="0"/>
        <w:jc w:val="left"/>
        <w:rPr>
          <w:rFonts w:ascii="宋体" w:hAnsi="宋体" w:cs="宋体" w:eastAsia="宋体" w:hint="default"/>
        </w:rPr>
      </w:pPr>
      <w:r>
        <w:rPr>
          <w:rFonts w:ascii="宋体"/>
          <w:color w:val="FF0000"/>
        </w:rPr>
        <w:t> </w:t>
      </w:r>
      <w:r>
        <w:rPr>
          <w:rFonts w:ascii="宋体"/>
        </w:rPr>
      </w:r>
    </w:p>
    <w:p>
      <w:pPr>
        <w:pStyle w:val="Heading5"/>
        <w:spacing w:line="290" w:lineRule="auto" w:before="61"/>
        <w:ind w:left="236" w:right="1399"/>
        <w:jc w:val="left"/>
        <w:rPr>
          <w:rFonts w:ascii="宋体" w:hAnsi="宋体" w:cs="宋体" w:eastAsia="宋体" w:hint="default"/>
          <w:b w:val="0"/>
          <w:bCs w:val="0"/>
        </w:rPr>
      </w:pPr>
      <w:r>
        <w:rPr/>
        <w:t>其他应收款</w:t>
      </w:r>
      <w:r>
        <w:rPr>
          <w:rFonts w:ascii="宋体" w:hAnsi="宋体" w:cs="宋体" w:eastAsia="宋体" w:hint="default"/>
          <w:w w:val="99"/>
        </w:rPr>
        <w:t> </w:t>
      </w:r>
      <w:r>
        <w:rPr>
          <w:rFonts w:ascii="宋体" w:hAnsi="宋体" w:cs="宋体" w:eastAsia="宋体" w:hint="default"/>
        </w:rPr>
        <w:t>(8).</w:t>
      </w:r>
      <w:r>
        <w:rPr/>
        <w:t>按账龄披露</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726" w:space="2797"/>
            <w:col w:w="2787"/>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590"/>
        <w:gridCol w:w="4472"/>
      </w:tblGrid>
      <w:tr>
        <w:trPr>
          <w:trHeight w:val="322"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9" w:right="0"/>
              <w:jc w:val="center"/>
              <w:rPr>
                <w:rFonts w:ascii="宋体" w:hAnsi="宋体" w:cs="宋体" w:eastAsia="宋体" w:hint="default"/>
                <w:sz w:val="24"/>
                <w:szCs w:val="24"/>
              </w:rPr>
            </w:pPr>
            <w:r>
              <w:rPr>
                <w:rFonts w:ascii="宋体" w:hAnsi="宋体" w:cs="宋体" w:eastAsia="宋体" w:hint="default"/>
                <w:sz w:val="24"/>
                <w:szCs w:val="24"/>
              </w:rPr>
              <w:t>账龄</w:t>
            </w:r>
            <w:r>
              <w:rPr>
                <w:rFonts w:ascii="宋体" w:hAnsi="宋体" w:cs="宋体" w:eastAsia="宋体" w:hint="default"/>
                <w:sz w:val="24"/>
                <w:szCs w:val="24"/>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509" w:right="0"/>
              <w:jc w:val="left"/>
              <w:rPr>
                <w:rFonts w:ascii="宋体" w:hAnsi="宋体" w:cs="宋体" w:eastAsia="宋体" w:hint="default"/>
                <w:sz w:val="24"/>
                <w:szCs w:val="24"/>
              </w:rPr>
            </w:pPr>
            <w:r>
              <w:rPr>
                <w:rFonts w:ascii="宋体" w:hAnsi="宋体" w:cs="宋体" w:eastAsia="宋体" w:hint="default"/>
                <w:sz w:val="24"/>
                <w:szCs w:val="24"/>
              </w:rPr>
              <w:t>期末账面余额</w:t>
            </w:r>
            <w:r>
              <w:rPr>
                <w:rFonts w:ascii="宋体" w:hAnsi="宋体" w:cs="宋体" w:eastAsia="宋体" w:hint="default"/>
                <w:sz w:val="24"/>
                <w:szCs w:val="24"/>
              </w:rPr>
              <w:t> </w:t>
            </w:r>
          </w:p>
        </w:tc>
      </w:tr>
      <w:tr>
        <w:trPr>
          <w:trHeight w:val="322"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年以内</w:t>
            </w:r>
            <w:r>
              <w:rPr>
                <w:rFonts w:ascii="宋体" w:hAnsi="宋体" w:cs="宋体" w:eastAsia="宋体" w:hint="default"/>
                <w:color w:val="FF0000"/>
                <w:sz w:val="24"/>
                <w:szCs w:val="24"/>
              </w:rPr>
              <w:t> </w:t>
            </w:r>
            <w:r>
              <w:rPr>
                <w:rFonts w:ascii="宋体" w:hAnsi="宋体" w:cs="宋体" w:eastAsia="宋体" w:hint="default"/>
                <w:sz w:val="24"/>
                <w:szCs w:val="24"/>
              </w:rPr>
            </w:r>
          </w:p>
        </w:tc>
      </w:tr>
      <w:tr>
        <w:trPr>
          <w:trHeight w:val="283"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年以内分项</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9"/>
              <w:jc w:val="right"/>
              <w:rPr>
                <w:rFonts w:ascii="Times New Roman" w:hAnsi="Times New Roman" w:cs="Times New Roman" w:eastAsia="Times New Roman" w:hint="default"/>
                <w:sz w:val="20"/>
                <w:szCs w:val="20"/>
              </w:rPr>
            </w:pPr>
            <w:r>
              <w:rPr>
                <w:rFonts w:ascii="Times New Roman"/>
                <w:w w:val="95"/>
                <w:sz w:val="20"/>
              </w:rPr>
              <w:t>178,935,715.83</w:t>
            </w:r>
            <w:r>
              <w:rPr>
                <w:rFonts w:ascii="Times New Roman"/>
                <w:sz w:val="20"/>
              </w:rPr>
            </w:r>
          </w:p>
        </w:tc>
      </w:tr>
    </w:tbl>
    <w:p>
      <w:pPr>
        <w:spacing w:after="0" w:line="223" w:lineRule="exact"/>
        <w:jc w:val="right"/>
        <w:rPr>
          <w:rFonts w:ascii="Times New Roman" w:hAnsi="Times New Roman" w:cs="Times New Roman" w:eastAsia="Times New Roman" w:hint="default"/>
          <w:sz w:val="20"/>
          <w:szCs w:val="20"/>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4590"/>
        <w:gridCol w:w="4472"/>
      </w:tblGrid>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9"/>
              <w:jc w:val="right"/>
              <w:rPr>
                <w:rFonts w:ascii="Times New Roman" w:hAnsi="Times New Roman" w:cs="Times New Roman" w:eastAsia="Times New Roman" w:hint="default"/>
                <w:sz w:val="20"/>
                <w:szCs w:val="20"/>
              </w:rPr>
            </w:pPr>
            <w:r>
              <w:rPr>
                <w:rFonts w:ascii="Times New Roman"/>
                <w:w w:val="95"/>
                <w:sz w:val="20"/>
              </w:rPr>
              <w:t>178,935,715.83</w:t>
            </w:r>
            <w:r>
              <w:rPr>
                <w:rFonts w:ascii="Times New Roman"/>
                <w:sz w:val="20"/>
              </w:rPr>
            </w:r>
          </w:p>
        </w:tc>
      </w:tr>
      <w:tr>
        <w:trPr>
          <w:trHeight w:val="281"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9"/>
              <w:jc w:val="right"/>
              <w:rPr>
                <w:rFonts w:ascii="Times New Roman" w:hAnsi="Times New Roman" w:cs="Times New Roman" w:eastAsia="Times New Roman" w:hint="default"/>
                <w:sz w:val="20"/>
                <w:szCs w:val="20"/>
              </w:rPr>
            </w:pPr>
            <w:r>
              <w:rPr>
                <w:rFonts w:ascii="Times New Roman"/>
                <w:w w:val="95"/>
                <w:sz w:val="20"/>
              </w:rPr>
              <w:t>153,653,320.64</w:t>
            </w:r>
            <w:r>
              <w:rPr>
                <w:rFonts w:ascii="Times New Roman"/>
                <w:sz w:val="20"/>
              </w:rPr>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9"/>
              <w:jc w:val="right"/>
              <w:rPr>
                <w:rFonts w:ascii="Times New Roman" w:hAnsi="Times New Roman" w:cs="Times New Roman" w:eastAsia="Times New Roman" w:hint="default"/>
                <w:sz w:val="20"/>
                <w:szCs w:val="20"/>
              </w:rPr>
            </w:pPr>
            <w:r>
              <w:rPr>
                <w:rFonts w:ascii="Times New Roman"/>
                <w:w w:val="95"/>
                <w:sz w:val="20"/>
              </w:rPr>
              <w:t>40,573,372.70</w:t>
            </w:r>
            <w:r>
              <w:rPr>
                <w:rFonts w:ascii="Times New Roman"/>
                <w:sz w:val="20"/>
              </w:rPr>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447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9"/>
              <w:jc w:val="right"/>
              <w:rPr>
                <w:rFonts w:ascii="Times New Roman" w:hAnsi="Times New Roman" w:cs="Times New Roman" w:eastAsia="Times New Roman" w:hint="default"/>
                <w:sz w:val="20"/>
                <w:szCs w:val="20"/>
              </w:rPr>
            </w:pPr>
            <w:r>
              <w:rPr>
                <w:rFonts w:ascii="Times New Roman"/>
                <w:w w:val="95"/>
                <w:sz w:val="20"/>
              </w:rPr>
              <w:t>87,720,460.06</w:t>
            </w:r>
            <w:r>
              <w:rPr>
                <w:rFonts w:ascii="Times New Roman"/>
                <w:sz w:val="20"/>
              </w:rPr>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9"/>
              <w:jc w:val="right"/>
              <w:rPr>
                <w:rFonts w:ascii="Times New Roman" w:hAnsi="Times New Roman" w:cs="Times New Roman" w:eastAsia="Times New Roman" w:hint="default"/>
                <w:sz w:val="20"/>
                <w:szCs w:val="20"/>
              </w:rPr>
            </w:pPr>
            <w:r>
              <w:rPr>
                <w:rFonts w:ascii="Times New Roman"/>
                <w:w w:val="95"/>
                <w:sz w:val="20"/>
              </w:rPr>
              <w:t>32,801,217.49</w:t>
            </w:r>
            <w:r>
              <w:rPr>
                <w:rFonts w:ascii="Times New Roman"/>
                <w:sz w:val="20"/>
              </w:rPr>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9"/>
              <w:jc w:val="right"/>
              <w:rPr>
                <w:rFonts w:ascii="Times New Roman" w:hAnsi="Times New Roman" w:cs="Times New Roman" w:eastAsia="Times New Roman" w:hint="default"/>
                <w:sz w:val="20"/>
                <w:szCs w:val="20"/>
              </w:rPr>
            </w:pPr>
            <w:r>
              <w:rPr>
                <w:rFonts w:ascii="Times New Roman"/>
                <w:w w:val="95"/>
                <w:sz w:val="20"/>
              </w:rPr>
              <w:t>45,319,861.04</w:t>
            </w:r>
            <w:r>
              <w:rPr>
                <w:rFonts w:ascii="Times New Roman"/>
                <w:sz w:val="20"/>
              </w:rPr>
            </w:r>
          </w:p>
        </w:tc>
      </w:tr>
      <w:tr>
        <w:trPr>
          <w:trHeight w:val="322"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9"/>
              <w:jc w:val="right"/>
              <w:rPr>
                <w:rFonts w:ascii="Times New Roman" w:hAnsi="Times New Roman" w:cs="Times New Roman" w:eastAsia="Times New Roman" w:hint="default"/>
                <w:sz w:val="20"/>
                <w:szCs w:val="20"/>
              </w:rPr>
            </w:pPr>
            <w:r>
              <w:rPr>
                <w:rFonts w:ascii="Times New Roman"/>
                <w:w w:val="95"/>
                <w:sz w:val="20"/>
              </w:rPr>
              <w:t>539,003,947.76</w:t>
            </w:r>
            <w:r>
              <w:rPr>
                <w:rFonts w:ascii="Times New Roman"/>
                <w:sz w:val="20"/>
              </w:rPr>
            </w:r>
          </w:p>
        </w:tc>
      </w:tr>
    </w:tbl>
    <w:p>
      <w:pPr>
        <w:spacing w:after="0" w:line="223" w:lineRule="exact"/>
        <w:jc w:val="right"/>
        <w:rPr>
          <w:rFonts w:ascii="Times New Roman" w:hAnsi="Times New Roman" w:cs="Times New Roman" w:eastAsia="Times New Roman" w:hint="default"/>
          <w:sz w:val="20"/>
          <w:szCs w:val="20"/>
        </w:rPr>
        <w:sectPr>
          <w:pgSz w:w="11910" w:h="16840"/>
          <w:pgMar w:header="882" w:footer="1195" w:top="1120" w:bottom="1380" w:left="1040" w:right="1560"/>
        </w:sectPr>
      </w:pPr>
    </w:p>
    <w:p>
      <w:pPr>
        <w:pStyle w:val="Heading3"/>
        <w:spacing w:line="272" w:lineRule="exact"/>
        <w:ind w:left="236" w:right="0"/>
        <w:jc w:val="left"/>
        <w:rPr>
          <w:rFonts w:ascii="宋体" w:hAnsi="宋体" w:cs="宋体" w:eastAsia="宋体" w:hint="default"/>
        </w:rPr>
      </w:pPr>
      <w:r>
        <w:rPr>
          <w:rFonts w:ascii="宋体"/>
        </w:rPr>
        <w:t> </w:t>
      </w:r>
    </w:p>
    <w:p>
      <w:pPr>
        <w:pStyle w:val="Heading3"/>
        <w:spacing w:line="312" w:lineRule="exact"/>
        <w:ind w:left="236" w:right="0"/>
        <w:jc w:val="left"/>
        <w:rPr>
          <w:rFonts w:ascii="宋体" w:hAnsi="宋体" w:cs="宋体" w:eastAsia="宋体" w:hint="default"/>
        </w:rPr>
      </w:pPr>
      <w:r>
        <w:rPr>
          <w:rFonts w:ascii="宋体"/>
        </w:rPr>
        <w:t> </w:t>
      </w:r>
    </w:p>
    <w:p>
      <w:pPr>
        <w:pStyle w:val="Heading5"/>
        <w:spacing w:line="240" w:lineRule="auto"/>
        <w:ind w:left="236" w:right="0"/>
        <w:jc w:val="left"/>
        <w:rPr>
          <w:rFonts w:ascii="宋体" w:hAnsi="宋体" w:cs="宋体" w:eastAsia="宋体" w:hint="default"/>
          <w:b w:val="0"/>
          <w:bCs w:val="0"/>
        </w:rPr>
      </w:pPr>
      <w:r>
        <w:rPr>
          <w:rFonts w:ascii="宋体" w:hAnsi="宋体" w:cs="宋体" w:eastAsia="宋体" w:hint="default"/>
        </w:rPr>
        <w:t>(9).</w:t>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6"/>
          <w:szCs w:val="26"/>
        </w:rPr>
      </w:pPr>
    </w:p>
    <w:p>
      <w:pPr>
        <w:pStyle w:val="BodyText"/>
        <w:spacing w:line="240" w:lineRule="auto"/>
        <w:ind w:left="236"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1040" w:right="1560"/>
          <w:cols w:num="2" w:equalWidth="0">
            <w:col w:w="2669" w:space="3853"/>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078"/>
        <w:gridCol w:w="2981"/>
        <w:gridCol w:w="2991"/>
      </w:tblGrid>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4"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应收股权处置款</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65,176,399.43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49,176,389.43</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保证金及押金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130,758,630.96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139,088,288.24</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员工往来及备用金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78,289,000.07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66,350,253.66</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龙岩海德馨代偿款</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8,614,198.94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8,634,198.94</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其他往来</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256,165,718.36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285,574,383.86</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539,003,947.76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548,823,514.13</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40" w:right="1560"/>
        </w:sectPr>
      </w:pPr>
    </w:p>
    <w:p>
      <w:pPr>
        <w:pStyle w:val="Heading3"/>
        <w:spacing w:line="240" w:lineRule="auto" w:before="26"/>
        <w:ind w:left="236" w:right="0"/>
        <w:jc w:val="left"/>
        <w:rPr>
          <w:rFonts w:ascii="宋体" w:hAnsi="宋体" w:cs="宋体" w:eastAsia="宋体" w:hint="default"/>
        </w:rPr>
      </w:pPr>
      <w:r>
        <w:rPr>
          <w:rFonts w:ascii="宋体"/>
        </w:rPr>
        <w:t> </w:t>
      </w:r>
    </w:p>
    <w:p>
      <w:pPr>
        <w:pStyle w:val="Heading5"/>
        <w:tabs>
          <w:tab w:pos="1077" w:val="left" w:leader="none"/>
        </w:tabs>
        <w:spacing w:line="240" w:lineRule="auto" w:before="61"/>
        <w:ind w:left="236" w:right="0"/>
        <w:jc w:val="left"/>
        <w:rPr>
          <w:rFonts w:ascii="宋体" w:hAnsi="宋体" w:cs="宋体" w:eastAsia="宋体" w:hint="default"/>
          <w:b w:val="0"/>
          <w:bCs w:val="0"/>
        </w:rPr>
      </w:pPr>
      <w:r>
        <w:rPr>
          <w:rFonts w:ascii="宋体" w:hAnsi="宋体" w:cs="宋体" w:eastAsia="宋体" w:hint="default"/>
          <w:w w:val="95"/>
        </w:rPr>
        <w:t>(10).</w:t>
        <w:tab/>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3"/>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871" w:space="3532"/>
            <w:col w:w="2907"/>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812"/>
        <w:gridCol w:w="1561"/>
        <w:gridCol w:w="1985"/>
        <w:gridCol w:w="1985"/>
        <w:gridCol w:w="1707"/>
      </w:tblGrid>
      <w:tr>
        <w:trPr>
          <w:trHeight w:val="281" w:hRule="exact"/>
        </w:trPr>
        <w:tc>
          <w:tcPr>
            <w:tcW w:w="181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480"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70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828" w:hRule="exact"/>
        </w:trPr>
        <w:tc>
          <w:tcPr>
            <w:tcW w:w="1812"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9" w:right="99" w:hanging="147"/>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pacing w:val="-64"/>
                <w:sz w:val="21"/>
                <w:szCs w:val="21"/>
              </w:rPr>
              <w:t> </w:t>
            </w:r>
            <w:r>
              <w:rPr>
                <w:rFonts w:ascii="宋体" w:hAnsi="宋体" w:cs="宋体" w:eastAsia="宋体" w:hint="default"/>
                <w:sz w:val="21"/>
                <w:szCs w:val="21"/>
              </w:rPr>
              <w:t>12</w:t>
            </w:r>
            <w:r>
              <w:rPr>
                <w:rFonts w:ascii="宋体" w:hAnsi="宋体" w:cs="宋体" w:eastAsia="宋体" w:hint="default"/>
                <w:spacing w:val="-64"/>
                <w:sz w:val="21"/>
                <w:szCs w:val="21"/>
              </w:rPr>
              <w:t> </w:t>
            </w:r>
            <w:r>
              <w:rPr>
                <w:rFonts w:ascii="宋体" w:hAnsi="宋体" w:cs="宋体" w:eastAsia="宋体" w:hint="default"/>
                <w:sz w:val="21"/>
                <w:szCs w:val="21"/>
              </w:rPr>
              <w:t>个月预</w:t>
            </w:r>
            <w:r>
              <w:rPr>
                <w:rFonts w:ascii="宋体" w:hAnsi="宋体" w:cs="宋体" w:eastAsia="宋体" w:hint="default"/>
                <w:w w:val="100"/>
                <w:sz w:val="21"/>
                <w:szCs w:val="21"/>
              </w:rPr>
              <w:t> </w:t>
            </w:r>
            <w:r>
              <w:rPr>
                <w:rFonts w:ascii="宋体" w:hAnsi="宋体" w:cs="宋体" w:eastAsia="宋体" w:hint="default"/>
                <w:sz w:val="21"/>
                <w:szCs w:val="21"/>
              </w:rPr>
              <w:t>期信用损失</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40" w:lineRule="auto"/>
              <w:ind w:left="619" w:right="197"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未发生信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40" w:lineRule="auto"/>
              <w:ind w:left="619" w:right="197"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已发生信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707" w:type="dxa"/>
            <w:vMerge/>
            <w:tcBorders>
              <w:left w:val="single" w:sz="4" w:space="0" w:color="000000"/>
              <w:bottom w:val="single" w:sz="4" w:space="0" w:color="000000"/>
              <w:right w:val="single" w:sz="4" w:space="0" w:color="000000"/>
            </w:tcBorders>
          </w:tcPr>
          <w:p>
            <w:pP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w w:val="95"/>
                <w:sz w:val="20"/>
              </w:rPr>
              <w:t>1,276,369.21</w:t>
            </w:r>
            <w:r>
              <w:rPr>
                <w:rFonts w:ascii="Times New Roman"/>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w w:val="95"/>
                <w:sz w:val="20"/>
              </w:rPr>
              <w:t>80,235,805.14</w:t>
            </w:r>
            <w:r>
              <w:rPr>
                <w:rFonts w:ascii="Times New Roman"/>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20"/>
                <w:szCs w:val="20"/>
              </w:rPr>
            </w:pPr>
            <w:r>
              <w:rPr>
                <w:rFonts w:ascii="Times New Roman"/>
                <w:w w:val="95"/>
                <w:sz w:val="20"/>
              </w:rPr>
              <w:t>10,270,748.53</w:t>
            </w:r>
            <w:r>
              <w:rPr>
                <w:rFonts w:ascii="Times New Roman"/>
                <w:sz w:val="20"/>
              </w:rPr>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w w:val="95"/>
                <w:sz w:val="20"/>
              </w:rPr>
              <w:t>91,782,922.88</w:t>
            </w:r>
            <w:r>
              <w:rPr>
                <w:rFonts w:ascii="Times New Roman"/>
                <w:sz w:val="20"/>
              </w:rPr>
            </w: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余额在本期</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w w:val="95"/>
                <w:sz w:val="20"/>
              </w:rPr>
              <w:t>7,685,228.86</w:t>
            </w:r>
            <w:r>
              <w:rPr>
                <w:rFonts w:ascii="Times New Roman"/>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w w:val="95"/>
                <w:sz w:val="20"/>
              </w:rPr>
              <w:t>163,715,351.34</w:t>
            </w:r>
            <w:r>
              <w:rPr>
                <w:rFonts w:ascii="Times New Roman"/>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20"/>
                <w:szCs w:val="20"/>
              </w:rPr>
            </w:pPr>
            <w:r>
              <w:rPr>
                <w:rFonts w:ascii="Times New Roman"/>
                <w:w w:val="95"/>
                <w:sz w:val="20"/>
              </w:rPr>
              <w:t>10,270,748.53</w:t>
            </w:r>
            <w:r>
              <w:rPr>
                <w:rFonts w:ascii="Times New Roman"/>
                <w:sz w:val="20"/>
              </w:rPr>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w w:val="95"/>
                <w:sz w:val="20"/>
              </w:rPr>
              <w:t>181,671,328.73</w:t>
            </w:r>
            <w:r>
              <w:rPr>
                <w:rFonts w:ascii="Times New Roman"/>
                <w:sz w:val="20"/>
              </w:rPr>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2,303,562.65</w:t>
            </w:r>
            <w:r>
              <w:rPr>
                <w:rFonts w:ascii="Times New Roman"/>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39,975,937.60</w:t>
            </w:r>
            <w:r>
              <w:rPr>
                <w:rFonts w:ascii="Times New Roman"/>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5,460,000.48</w:t>
            </w:r>
            <w:r>
              <w:rPr>
                <w:rFonts w:ascii="Times New Roman"/>
                <w:sz w:val="20"/>
              </w:rPr>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47,739,500.73</w:t>
            </w:r>
            <w:r>
              <w:rPr>
                <w:rFonts w:ascii="Times New Roman"/>
                <w:sz w:val="20"/>
              </w:rPr>
            </w: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97,636.42</w:t>
            </w:r>
            <w:r>
              <w:rPr>
                <w:rFonts w:ascii="Times New Roman"/>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1,836,854.18</w:t>
            </w:r>
            <w:r>
              <w:rPr>
                <w:rFonts w:ascii="Times New Roman"/>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1,636,549.59</w:t>
            </w:r>
            <w:r>
              <w:rPr>
                <w:rFonts w:ascii="Times New Roman"/>
                <w:sz w:val="20"/>
              </w:rPr>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3,571,040.19</w:t>
            </w:r>
            <w:r>
              <w:rPr>
                <w:rFonts w:ascii="Times New Roman"/>
                <w:sz w:val="20"/>
              </w:rPr>
            </w: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日余额</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w w:val="95"/>
                <w:sz w:val="20"/>
              </w:rPr>
              <w:t>9,891,155.09</w:t>
            </w:r>
            <w:r>
              <w:rPr>
                <w:rFonts w:ascii="Times New Roman"/>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w w:val="95"/>
                <w:sz w:val="20"/>
              </w:rPr>
              <w:t>201,854,434.76</w:t>
            </w:r>
            <w:r>
              <w:rPr>
                <w:rFonts w:ascii="Times New Roman"/>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20"/>
                <w:szCs w:val="20"/>
              </w:rPr>
            </w:pPr>
            <w:r>
              <w:rPr>
                <w:rFonts w:ascii="Times New Roman"/>
                <w:w w:val="95"/>
                <w:sz w:val="20"/>
              </w:rPr>
              <w:t>14,094,199.42</w:t>
            </w:r>
            <w:r>
              <w:rPr>
                <w:rFonts w:ascii="Times New Roman"/>
                <w:sz w:val="20"/>
              </w:rPr>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w w:val="95"/>
                <w:sz w:val="20"/>
              </w:rPr>
              <w:t>225,839,789.27</w:t>
            </w:r>
            <w:r>
              <w:rPr>
                <w:rFonts w:ascii="Times New Roman"/>
                <w:sz w:val="20"/>
              </w:rPr>
            </w:r>
          </w:p>
        </w:tc>
      </w:tr>
    </w:tbl>
    <w:p>
      <w:pPr>
        <w:spacing w:line="240" w:lineRule="auto" w:before="11"/>
        <w:rPr>
          <w:rFonts w:ascii="宋体" w:hAnsi="宋体" w:cs="宋体" w:eastAsia="宋体" w:hint="default"/>
          <w:sz w:val="29"/>
          <w:szCs w:val="29"/>
        </w:rPr>
      </w:pPr>
    </w:p>
    <w:p>
      <w:pPr>
        <w:pStyle w:val="BodyText"/>
        <w:spacing w:line="240" w:lineRule="auto" w:before="36"/>
        <w:ind w:left="236" w:right="0"/>
        <w:jc w:val="left"/>
        <w:rPr>
          <w:rFonts w:ascii="宋体" w:hAnsi="宋体" w:cs="宋体" w:eastAsia="宋体" w:hint="default"/>
        </w:rPr>
      </w:pPr>
      <w:r>
        <w:rPr/>
        <w:t>注：本账户中本期其他变动为合并范围变更转出的坏账准备</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70" w:lineRule="exact" w:before="36"/>
        <w:ind w:left="256" w:right="0"/>
        <w:jc w:val="left"/>
      </w:pPr>
      <w:r>
        <w:rPr/>
        <w:t>对本期发生损失准备变动的其他应收款账面余额显著变动的情况说明：</w:t>
      </w:r>
    </w:p>
    <w:p>
      <w:pPr>
        <w:pStyle w:val="Heading3"/>
        <w:spacing w:line="309" w:lineRule="exact"/>
        <w:ind w:left="25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191"/>
        <w:ind w:left="256" w:right="0"/>
        <w:jc w:val="left"/>
        <w:rPr>
          <w:rFonts w:ascii="宋体" w:hAnsi="宋体" w:cs="宋体" w:eastAsia="宋体" w:hint="default"/>
        </w:rPr>
      </w:pPr>
      <w:r>
        <w:rPr/>
        <w:t>第三阶段计提坏账准备的其他应收款情况</w:t>
      </w:r>
      <w:r>
        <w:rPr>
          <w:rFonts w:ascii="宋体" w:hAnsi="宋体" w:cs="宋体" w:eastAsia="宋体" w:hint="default"/>
        </w:rPr>
        <w:t> </w:t>
      </w:r>
    </w:p>
    <w:p>
      <w:pPr>
        <w:spacing w:line="240" w:lineRule="auto" w:before="7"/>
        <w:rPr>
          <w:rFonts w:ascii="宋体" w:hAnsi="宋体" w:cs="宋体" w:eastAsia="宋体" w:hint="default"/>
          <w:sz w:val="11"/>
          <w:szCs w:val="11"/>
        </w:rPr>
      </w:pPr>
    </w:p>
    <w:tbl>
      <w:tblPr>
        <w:tblW w:w="0" w:type="auto"/>
        <w:jc w:val="left"/>
        <w:tblInd w:w="120" w:type="dxa"/>
        <w:tblLayout w:type="fixed"/>
        <w:tblCellMar>
          <w:top w:w="0" w:type="dxa"/>
          <w:left w:w="0" w:type="dxa"/>
          <w:bottom w:w="0" w:type="dxa"/>
          <w:right w:w="0" w:type="dxa"/>
        </w:tblCellMar>
        <w:tblLook w:val="01E0"/>
      </w:tblPr>
      <w:tblGrid>
        <w:gridCol w:w="3404"/>
        <w:gridCol w:w="1553"/>
        <w:gridCol w:w="1496"/>
        <w:gridCol w:w="1493"/>
        <w:gridCol w:w="1118"/>
      </w:tblGrid>
      <w:tr>
        <w:trPr>
          <w:trHeight w:val="362" w:hRule="exact"/>
        </w:trPr>
        <w:tc>
          <w:tcPr>
            <w:tcW w:w="3404" w:type="dxa"/>
            <w:tcBorders>
              <w:top w:val="single" w:sz="12" w:space="0" w:color="000000"/>
              <w:left w:val="nil" w:sz="6" w:space="0" w:color="auto"/>
              <w:bottom w:val="single" w:sz="4" w:space="0" w:color="000000"/>
              <w:right w:val="single" w:sz="4" w:space="0" w:color="000000"/>
            </w:tcBorders>
          </w:tcPr>
          <w:p>
            <w:pPr>
              <w:pStyle w:val="TableParagraph"/>
              <w:spacing w:line="243" w:lineRule="exact"/>
              <w:ind w:left="1183" w:right="0"/>
              <w:jc w:val="left"/>
              <w:rPr>
                <w:rFonts w:ascii="宋体" w:hAnsi="宋体" w:cs="宋体" w:eastAsia="宋体" w:hint="default"/>
                <w:sz w:val="21"/>
                <w:szCs w:val="21"/>
              </w:rPr>
            </w:pPr>
            <w:r>
              <w:rPr>
                <w:rFonts w:ascii="宋体" w:hAnsi="宋体" w:cs="宋体" w:eastAsia="宋体" w:hint="default"/>
                <w:sz w:val="21"/>
                <w:szCs w:val="21"/>
              </w:rPr>
              <w:t>债务人名称</w:t>
            </w:r>
            <w:r>
              <w:rPr>
                <w:rFonts w:ascii="宋体" w:hAnsi="宋体" w:cs="宋体" w:eastAsia="宋体" w:hint="default"/>
                <w:sz w:val="21"/>
                <w:szCs w:val="21"/>
              </w:rPr>
              <w:t> </w:t>
            </w:r>
          </w:p>
        </w:tc>
        <w:tc>
          <w:tcPr>
            <w:tcW w:w="1553" w:type="dxa"/>
            <w:tcBorders>
              <w:top w:val="single" w:sz="12" w:space="0" w:color="000000"/>
              <w:left w:val="single" w:sz="4" w:space="0" w:color="000000"/>
              <w:bottom w:val="single" w:sz="4" w:space="0" w:color="000000"/>
              <w:right w:val="single" w:sz="4" w:space="0" w:color="000000"/>
            </w:tcBorders>
          </w:tcPr>
          <w:p>
            <w:pPr>
              <w:pStyle w:val="TableParagraph"/>
              <w:spacing w:line="243" w:lineRule="exact"/>
              <w:ind w:left="350"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496" w:type="dxa"/>
            <w:tcBorders>
              <w:top w:val="single" w:sz="12" w:space="0" w:color="000000"/>
              <w:left w:val="single" w:sz="4" w:space="0" w:color="000000"/>
              <w:bottom w:val="single" w:sz="4" w:space="0" w:color="000000"/>
              <w:right w:val="single" w:sz="4" w:space="0" w:color="000000"/>
            </w:tcBorders>
          </w:tcPr>
          <w:p>
            <w:pPr>
              <w:pStyle w:val="TableParagraph"/>
              <w:spacing w:line="243" w:lineRule="exact"/>
              <w:ind w:left="319" w:right="0"/>
              <w:jc w:val="left"/>
              <w:rPr>
                <w:rFonts w:ascii="宋体" w:hAnsi="宋体" w:cs="宋体" w:eastAsia="宋体" w:hint="default"/>
                <w:sz w:val="21"/>
                <w:szCs w:val="21"/>
              </w:rPr>
            </w:pPr>
            <w:r>
              <w:rPr>
                <w:rFonts w:ascii="宋体" w:hAnsi="宋体" w:cs="宋体" w:eastAsia="宋体" w:hint="default"/>
                <w:sz w:val="21"/>
                <w:szCs w:val="21"/>
              </w:rPr>
              <w:t>坏账金额</w:t>
            </w:r>
            <w:r>
              <w:rPr>
                <w:rFonts w:ascii="宋体" w:hAnsi="宋体" w:cs="宋体" w:eastAsia="宋体" w:hint="default"/>
                <w:sz w:val="21"/>
                <w:szCs w:val="21"/>
              </w:rPr>
              <w:t> </w:t>
            </w:r>
          </w:p>
        </w:tc>
        <w:tc>
          <w:tcPr>
            <w:tcW w:w="1493" w:type="dxa"/>
            <w:tcBorders>
              <w:top w:val="single" w:sz="12" w:space="0" w:color="000000"/>
              <w:left w:val="single" w:sz="4" w:space="0" w:color="000000"/>
              <w:bottom w:val="single" w:sz="4" w:space="0" w:color="000000"/>
              <w:right w:val="single" w:sz="4" w:space="0" w:color="000000"/>
            </w:tcBorders>
          </w:tcPr>
          <w:p>
            <w:pPr>
              <w:pStyle w:val="TableParagraph"/>
              <w:spacing w:line="243" w:lineRule="exact"/>
              <w:ind w:left="160"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 </w:t>
            </w:r>
          </w:p>
        </w:tc>
        <w:tc>
          <w:tcPr>
            <w:tcW w:w="1118" w:type="dxa"/>
            <w:tcBorders>
              <w:top w:val="single" w:sz="12" w:space="0" w:color="000000"/>
              <w:left w:val="single" w:sz="4" w:space="0" w:color="000000"/>
              <w:bottom w:val="single" w:sz="4" w:space="0" w:color="000000"/>
              <w:right w:val="nil" w:sz="6" w:space="0" w:color="auto"/>
            </w:tcBorders>
          </w:tcPr>
          <w:p>
            <w:pPr>
              <w:pStyle w:val="TableParagraph"/>
              <w:spacing w:line="243" w:lineRule="exact"/>
              <w:ind w:left="95" w:right="0"/>
              <w:jc w:val="center"/>
              <w:rPr>
                <w:rFonts w:ascii="宋体" w:hAnsi="宋体" w:cs="宋体" w:eastAsia="宋体" w:hint="default"/>
                <w:sz w:val="21"/>
                <w:szCs w:val="21"/>
              </w:rPr>
            </w:pPr>
            <w:r>
              <w:rPr>
                <w:rFonts w:ascii="宋体" w:hAnsi="宋体" w:cs="宋体" w:eastAsia="宋体" w:hint="default"/>
                <w:sz w:val="21"/>
                <w:szCs w:val="21"/>
              </w:rPr>
              <w:t>计提理由</w:t>
            </w:r>
            <w:r>
              <w:rPr>
                <w:rFonts w:ascii="宋体" w:hAnsi="宋体" w:cs="宋体" w:eastAsia="宋体" w:hint="default"/>
                <w:sz w:val="21"/>
                <w:szCs w:val="21"/>
              </w:rPr>
              <w:t> </w:t>
            </w:r>
          </w:p>
        </w:tc>
      </w:tr>
      <w:tr>
        <w:trPr>
          <w:trHeight w:val="348" w:hRule="exact"/>
        </w:trPr>
        <w:tc>
          <w:tcPr>
            <w:tcW w:w="3404"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龙岩市建隆金属材料有限公司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8,614,198.94</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8,614,198.94</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
              <w:jc w:val="center"/>
              <w:rPr>
                <w:rFonts w:ascii="Times New Roman" w:hAnsi="Times New Roman" w:cs="Times New Roman" w:eastAsia="Times New Roman" w:hint="default"/>
                <w:sz w:val="21"/>
                <w:szCs w:val="21"/>
              </w:rPr>
            </w:pPr>
            <w:r>
              <w:rPr>
                <w:rFonts w:ascii="Times New Roman"/>
                <w:sz w:val="21"/>
              </w:rPr>
              <w:t>100</w:t>
            </w:r>
          </w:p>
        </w:tc>
        <w:tc>
          <w:tcPr>
            <w:tcW w:w="1118"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见注释</w:t>
            </w:r>
          </w:p>
        </w:tc>
      </w:tr>
      <w:tr>
        <w:trPr>
          <w:trHeight w:val="350" w:hRule="exact"/>
        </w:trPr>
        <w:tc>
          <w:tcPr>
            <w:tcW w:w="34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伟柏电力系统</w:t>
            </w:r>
            <w:r>
              <w:rPr>
                <w:rFonts w:ascii="Arial" w:hAnsi="Arial" w:cs="Arial" w:eastAsia="Arial" w:hint="default"/>
                <w:sz w:val="21"/>
                <w:szCs w:val="21"/>
              </w:rPr>
              <w:t>(</w:t>
            </w:r>
            <w:r>
              <w:rPr>
                <w:rFonts w:ascii="宋体" w:hAnsi="宋体" w:cs="宋体" w:eastAsia="宋体" w:hint="default"/>
                <w:sz w:val="21"/>
                <w:szCs w:val="21"/>
              </w:rPr>
              <w:t>中国</w:t>
            </w:r>
            <w:r>
              <w:rPr>
                <w:rFonts w:ascii="Arial" w:hAnsi="Arial" w:cs="Arial" w:eastAsia="Arial" w:hint="default"/>
                <w:sz w:val="21"/>
                <w:szCs w:val="21"/>
              </w:rPr>
              <w:t>)</w:t>
            </w:r>
            <w:r>
              <w:rPr>
                <w:rFonts w:ascii="宋体" w:hAnsi="宋体" w:cs="宋体" w:eastAsia="宋体" w:hint="default"/>
                <w:sz w:val="21"/>
                <w:szCs w:val="21"/>
              </w:rPr>
              <w:t>有限公司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1,271,528.20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1,271,528.20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center"/>
              <w:rPr>
                <w:rFonts w:ascii="Times New Roman" w:hAnsi="Times New Roman" w:cs="Times New Roman" w:eastAsia="Times New Roman" w:hint="default"/>
                <w:sz w:val="21"/>
                <w:szCs w:val="21"/>
              </w:rPr>
            </w:pPr>
            <w:r>
              <w:rPr>
                <w:rFonts w:ascii="Times New Roman"/>
                <w:sz w:val="21"/>
              </w:rPr>
              <w:t>100</w:t>
            </w:r>
          </w:p>
        </w:tc>
        <w:tc>
          <w:tcPr>
            <w:tcW w:w="11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5"/>
              <w:jc w:val="center"/>
              <w:rPr>
                <w:rFonts w:ascii="宋体" w:hAnsi="宋体" w:cs="宋体" w:eastAsia="宋体" w:hint="default"/>
                <w:sz w:val="21"/>
                <w:szCs w:val="21"/>
              </w:rPr>
            </w:pPr>
            <w:r>
              <w:rPr>
                <w:rFonts w:ascii="宋体" w:hAnsi="宋体" w:cs="宋体" w:eastAsia="宋体" w:hint="default"/>
                <w:sz w:val="21"/>
                <w:szCs w:val="21"/>
              </w:rPr>
              <w:t>无法收回</w:t>
            </w:r>
          </w:p>
        </w:tc>
      </w:tr>
      <w:tr>
        <w:trPr>
          <w:trHeight w:val="350" w:hRule="exact"/>
        </w:trPr>
        <w:tc>
          <w:tcPr>
            <w:tcW w:w="34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其他单位</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4,208,472.28</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4,208,472.28</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center"/>
              <w:rPr>
                <w:rFonts w:ascii="Times New Roman" w:hAnsi="Times New Roman" w:cs="Times New Roman" w:eastAsia="Times New Roman" w:hint="default"/>
                <w:sz w:val="21"/>
                <w:szCs w:val="21"/>
              </w:rPr>
            </w:pPr>
            <w:r>
              <w:rPr>
                <w:rFonts w:ascii="Times New Roman"/>
                <w:sz w:val="21"/>
              </w:rPr>
              <w:t>100</w:t>
            </w:r>
          </w:p>
        </w:tc>
        <w:tc>
          <w:tcPr>
            <w:tcW w:w="11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5"/>
              <w:jc w:val="center"/>
              <w:rPr>
                <w:rFonts w:ascii="宋体" w:hAnsi="宋体" w:cs="宋体" w:eastAsia="宋体" w:hint="default"/>
                <w:sz w:val="21"/>
                <w:szCs w:val="21"/>
              </w:rPr>
            </w:pPr>
            <w:r>
              <w:rPr>
                <w:rFonts w:ascii="宋体" w:hAnsi="宋体" w:cs="宋体" w:eastAsia="宋体" w:hint="default"/>
                <w:sz w:val="21"/>
                <w:szCs w:val="21"/>
              </w:rPr>
              <w:t>无法收回</w:t>
            </w:r>
          </w:p>
        </w:tc>
      </w:tr>
      <w:tr>
        <w:trPr>
          <w:trHeight w:val="360" w:hRule="exact"/>
        </w:trPr>
        <w:tc>
          <w:tcPr>
            <w:tcW w:w="3404" w:type="dxa"/>
            <w:tcBorders>
              <w:top w:val="single" w:sz="4" w:space="0" w:color="000000"/>
              <w:left w:val="nil" w:sz="6" w:space="0" w:color="auto"/>
              <w:bottom w:val="single" w:sz="12"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15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14,094,199.42</w:t>
            </w:r>
          </w:p>
        </w:tc>
        <w:tc>
          <w:tcPr>
            <w:tcW w:w="14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14,094,199.42</w:t>
            </w:r>
          </w:p>
        </w:tc>
        <w:tc>
          <w:tcPr>
            <w:tcW w:w="1493" w:type="dxa"/>
            <w:tcBorders>
              <w:top w:val="single" w:sz="4" w:space="0" w:color="000000"/>
              <w:left w:val="single" w:sz="4" w:space="0" w:color="000000"/>
              <w:bottom w:val="single" w:sz="12" w:space="0" w:color="000000"/>
              <w:right w:val="single" w:sz="4" w:space="0" w:color="000000"/>
            </w:tcBorders>
          </w:tcPr>
          <w:p>
            <w:pPr>
              <w:pStyle w:val="TableParagraph"/>
              <w:spacing w:line="235" w:lineRule="exact"/>
              <w:ind w:left="43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118" w:type="dxa"/>
            <w:tcBorders>
              <w:top w:val="single" w:sz="4" w:space="0" w:color="000000"/>
              <w:left w:val="single" w:sz="4" w:space="0" w:color="000000"/>
              <w:bottom w:val="single" w:sz="12" w:space="0" w:color="000000"/>
              <w:right w:val="nil" w:sz="6" w:space="0" w:color="auto"/>
            </w:tcBorders>
          </w:tcPr>
          <w:p>
            <w:pPr>
              <w:pStyle w:val="TableParagraph"/>
              <w:spacing w:line="237" w:lineRule="exact"/>
              <w:ind w:right="2"/>
              <w:jc w:val="center"/>
              <w:rPr>
                <w:rFonts w:ascii="Arial" w:hAnsi="Arial" w:cs="Arial" w:eastAsia="Arial" w:hint="default"/>
                <w:sz w:val="21"/>
                <w:szCs w:val="21"/>
              </w:rPr>
            </w:pPr>
            <w:r>
              <w:rPr>
                <w:rFonts w:ascii="Arial" w:hAnsi="Arial" w:cs="Arial" w:eastAsia="Arial" w:hint="default"/>
                <w:w w:val="90"/>
                <w:sz w:val="21"/>
                <w:szCs w:val="21"/>
              </w:rPr>
              <w:t>——</w:t>
            </w:r>
            <w:r>
              <w:rPr>
                <w:rFonts w:ascii="Arial" w:hAnsi="Arial" w:cs="Arial" w:eastAsia="Arial" w:hint="default"/>
                <w:sz w:val="21"/>
                <w:szCs w:val="21"/>
              </w:rPr>
            </w:r>
          </w:p>
        </w:tc>
      </w:tr>
    </w:tbl>
    <w:p>
      <w:pPr>
        <w:spacing w:line="240" w:lineRule="auto" w:before="7"/>
        <w:rPr>
          <w:rFonts w:ascii="宋体" w:hAnsi="宋体" w:cs="宋体" w:eastAsia="宋体" w:hint="default"/>
          <w:sz w:val="15"/>
          <w:szCs w:val="15"/>
        </w:rPr>
      </w:pPr>
    </w:p>
    <w:p>
      <w:pPr>
        <w:pStyle w:val="BodyText"/>
        <w:spacing w:line="240" w:lineRule="auto" w:before="36"/>
        <w:ind w:left="677" w:right="0"/>
        <w:jc w:val="left"/>
      </w:pPr>
      <w:r>
        <w:rPr/>
        <w:t>注：控股子公司龙岩市海德馨汽车有限公司为债务人龙岩市建隆金属材料有限公司银行贷款</w:t>
      </w:r>
    </w:p>
    <w:p>
      <w:pPr>
        <w:pStyle w:val="BodyText"/>
        <w:spacing w:line="271" w:lineRule="exact"/>
        <w:ind w:left="256" w:right="0"/>
        <w:jc w:val="left"/>
      </w:pPr>
      <w:r>
        <w:rPr>
          <w:spacing w:val="-6"/>
        </w:rPr>
        <w:t>提供连带责任担保，于</w:t>
      </w:r>
      <w:r>
        <w:rPr>
          <w:spacing w:val="-49"/>
        </w:rPr>
        <w:t> </w:t>
      </w:r>
      <w:r>
        <w:rPr>
          <w:rFonts w:ascii="宋体" w:hAnsi="宋体" w:cs="宋体" w:eastAsia="宋体" w:hint="default"/>
        </w:rPr>
        <w:t>2012</w:t>
      </w:r>
      <w:r>
        <w:rPr>
          <w:rFonts w:ascii="宋体" w:hAnsi="宋体" w:cs="宋体" w:eastAsia="宋体" w:hint="default"/>
          <w:spacing w:val="-49"/>
        </w:rPr>
        <w:t> </w:t>
      </w:r>
      <w:r>
        <w:rPr/>
        <w:t>年</w:t>
      </w:r>
      <w:r>
        <w:rPr>
          <w:spacing w:val="-47"/>
        </w:rPr>
        <w:t> </w:t>
      </w:r>
      <w:r>
        <w:rPr>
          <w:rFonts w:ascii="宋体" w:hAnsi="宋体" w:cs="宋体" w:eastAsia="宋体" w:hint="default"/>
        </w:rPr>
        <w:t>5</w:t>
      </w:r>
      <w:r>
        <w:rPr>
          <w:rFonts w:ascii="宋体" w:hAnsi="宋体" w:cs="宋体" w:eastAsia="宋体" w:hint="default"/>
          <w:spacing w:val="-51"/>
        </w:rPr>
        <w:t> </w:t>
      </w:r>
      <w:r>
        <w:rPr/>
        <w:t>月履行代偿义务归还银行到期贷款</w:t>
      </w:r>
      <w:r>
        <w:rPr>
          <w:spacing w:val="-49"/>
        </w:rPr>
        <w:t> </w:t>
      </w:r>
      <w:r>
        <w:rPr>
          <w:rFonts w:ascii="宋体" w:hAnsi="宋体" w:cs="宋体" w:eastAsia="宋体" w:hint="default"/>
        </w:rPr>
        <w:t>900</w:t>
      </w:r>
      <w:r>
        <w:rPr>
          <w:rFonts w:ascii="宋体" w:hAnsi="宋体" w:cs="宋体" w:eastAsia="宋体" w:hint="default"/>
          <w:spacing w:val="-51"/>
        </w:rPr>
        <w:t> </w:t>
      </w:r>
      <w:r>
        <w:rPr>
          <w:spacing w:val="-6"/>
        </w:rPr>
        <w:t>万元。履行代偿义务后债</w:t>
      </w:r>
    </w:p>
    <w:p>
      <w:pPr>
        <w:pStyle w:val="BodyText"/>
        <w:spacing w:line="272" w:lineRule="exact"/>
        <w:ind w:left="256" w:right="0"/>
        <w:jc w:val="left"/>
      </w:pPr>
      <w:r>
        <w:rPr/>
        <w:t>务人拒绝还款，</w:t>
      </w:r>
      <w:r>
        <w:rPr>
          <w:rFonts w:ascii="宋体" w:hAnsi="宋体" w:cs="宋体" w:eastAsia="宋体" w:hint="default"/>
        </w:rPr>
        <w:t>2012</w:t>
      </w:r>
      <w:r>
        <w:rPr>
          <w:rFonts w:ascii="宋体" w:hAnsi="宋体" w:cs="宋体" w:eastAsia="宋体" w:hint="default"/>
          <w:spacing w:val="-46"/>
        </w:rPr>
        <w:t> </w:t>
      </w:r>
      <w:r>
        <w:rPr/>
        <w:t>年</w:t>
      </w:r>
      <w:r>
        <w:rPr>
          <w:spacing w:val="-48"/>
        </w:rPr>
        <w:t> </w:t>
      </w:r>
      <w:r>
        <w:rPr>
          <w:rFonts w:ascii="宋体" w:hAnsi="宋体" w:cs="宋体" w:eastAsia="宋体" w:hint="default"/>
        </w:rPr>
        <w:t>12</w:t>
      </w:r>
      <w:r>
        <w:rPr>
          <w:rFonts w:ascii="宋体" w:hAnsi="宋体" w:cs="宋体" w:eastAsia="宋体" w:hint="default"/>
          <w:spacing w:val="-46"/>
        </w:rPr>
        <w:t> </w:t>
      </w:r>
      <w:r>
        <w:rPr/>
        <w:t>月</w:t>
      </w:r>
      <w:r>
        <w:rPr>
          <w:spacing w:val="-45"/>
        </w:rPr>
        <w:t> </w:t>
      </w:r>
      <w:r>
        <w:rPr>
          <w:rFonts w:ascii="宋体" w:hAnsi="宋体" w:cs="宋体" w:eastAsia="宋体" w:hint="default"/>
        </w:rPr>
        <w:t>14</w:t>
      </w:r>
      <w:r>
        <w:rPr>
          <w:rFonts w:ascii="宋体" w:hAnsi="宋体" w:cs="宋体" w:eastAsia="宋体" w:hint="default"/>
          <w:spacing w:val="-46"/>
        </w:rPr>
        <w:t> </w:t>
      </w:r>
      <w:r>
        <w:rPr>
          <w:spacing w:val="-3"/>
        </w:rPr>
        <w:t>日经福建省龙岩市新罗区人民法院民事判决书“（</w:t>
      </w:r>
      <w:r>
        <w:rPr>
          <w:rFonts w:ascii="宋体" w:hAnsi="宋体" w:cs="宋体" w:eastAsia="宋体" w:hint="default"/>
          <w:spacing w:val="-3"/>
        </w:rPr>
        <w:t>2012</w:t>
      </w:r>
      <w:r>
        <w:rPr>
          <w:spacing w:val="-3"/>
        </w:rPr>
        <w:t>）龙新民</w:t>
      </w:r>
    </w:p>
    <w:p>
      <w:pPr>
        <w:pStyle w:val="BodyText"/>
        <w:spacing w:line="240" w:lineRule="auto"/>
        <w:ind w:left="256" w:right="247"/>
        <w:jc w:val="left"/>
        <w:rPr>
          <w:rFonts w:ascii="宋体" w:hAnsi="宋体" w:cs="宋体" w:eastAsia="宋体" w:hint="default"/>
        </w:rPr>
      </w:pPr>
      <w:r>
        <w:rPr/>
        <w:t>初字第</w:t>
      </w:r>
      <w:r>
        <w:rPr>
          <w:spacing w:val="-51"/>
        </w:rPr>
        <w:t> </w:t>
      </w:r>
      <w:r>
        <w:rPr>
          <w:rFonts w:ascii="宋体" w:hAnsi="宋体" w:cs="宋体" w:eastAsia="宋体" w:hint="default"/>
        </w:rPr>
        <w:t>7582</w:t>
      </w:r>
      <w:r>
        <w:rPr>
          <w:rFonts w:ascii="宋体" w:hAnsi="宋体" w:cs="宋体" w:eastAsia="宋体" w:hint="default"/>
          <w:spacing w:val="-51"/>
        </w:rPr>
        <w:t> </w:t>
      </w:r>
      <w:r>
        <w:rPr/>
        <w:t>号”，判决债务人判决生效之日起</w:t>
      </w:r>
      <w:r>
        <w:rPr>
          <w:spacing w:val="-51"/>
        </w:rPr>
        <w:t> </w:t>
      </w:r>
      <w:r>
        <w:rPr>
          <w:rFonts w:ascii="宋体" w:hAnsi="宋体" w:cs="宋体" w:eastAsia="宋体" w:hint="default"/>
        </w:rPr>
        <w:t>10</w:t>
      </w:r>
      <w:r>
        <w:rPr>
          <w:rFonts w:ascii="宋体" w:hAnsi="宋体" w:cs="宋体" w:eastAsia="宋体" w:hint="default"/>
          <w:spacing w:val="-54"/>
        </w:rPr>
        <w:t> </w:t>
      </w:r>
      <w:r>
        <w:rPr/>
        <w:t>日内归还款项，至今未能收回，公司预计款项</w:t>
      </w:r>
      <w:r>
        <w:rPr>
          <w:w w:val="100"/>
        </w:rPr>
        <w:t> </w:t>
      </w:r>
      <w:r>
        <w:rPr/>
        <w:t>无法收回，计提全额坏账准备。</w:t>
      </w:r>
      <w:r>
        <w:rPr>
          <w:rFonts w:ascii="宋体" w:hAnsi="宋体" w:cs="宋体" w:eastAsia="宋体" w:hint="default"/>
        </w:rPr>
        <w:t> </w:t>
      </w:r>
    </w:p>
    <w:p>
      <w:pPr>
        <w:spacing w:line="240" w:lineRule="auto" w:before="3"/>
        <w:rPr>
          <w:rFonts w:ascii="宋体" w:hAnsi="宋体" w:cs="宋体" w:eastAsia="宋体" w:hint="default"/>
          <w:sz w:val="18"/>
          <w:szCs w:val="18"/>
        </w:rPr>
      </w:pPr>
    </w:p>
    <w:p>
      <w:pPr>
        <w:pStyle w:val="BodyText"/>
        <w:spacing w:line="270" w:lineRule="exact"/>
        <w:ind w:left="256" w:right="0"/>
        <w:jc w:val="left"/>
        <w:rPr>
          <w:rFonts w:ascii="宋体" w:hAnsi="宋体" w:cs="宋体" w:eastAsia="宋体" w:hint="default"/>
          <w:sz w:val="24"/>
          <w:szCs w:val="24"/>
        </w:rPr>
      </w:pPr>
      <w:r>
        <w:rPr/>
        <w:t>本期坏账准备计提金额以及评估金融工具的信用风险是否显著增加的采用依据：</w:t>
      </w:r>
      <w:r>
        <w:rPr>
          <w:rFonts w:ascii="宋体" w:hAnsi="宋体" w:cs="宋体" w:eastAsia="宋体" w:hint="default"/>
          <w:sz w:val="24"/>
          <w:szCs w:val="24"/>
        </w:rPr>
        <w:t> </w:t>
      </w:r>
    </w:p>
    <w:p>
      <w:pPr>
        <w:pStyle w:val="Heading3"/>
        <w:spacing w:line="308" w:lineRule="exact"/>
        <w:ind w:left="25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256" w:right="0"/>
        <w:jc w:val="left"/>
        <w:rPr>
          <w:rFonts w:ascii="宋体" w:hAnsi="宋体" w:cs="宋体" w:eastAsia="宋体" w:hint="default"/>
        </w:rPr>
      </w:pPr>
      <w:r>
        <w:rPr>
          <w:rFonts w:ascii="宋体"/>
        </w:rPr>
        <w:t> </w:t>
      </w:r>
    </w:p>
    <w:p>
      <w:pPr>
        <w:pStyle w:val="Heading5"/>
        <w:tabs>
          <w:tab w:pos="1097" w:val="left" w:leader="none"/>
        </w:tabs>
        <w:spacing w:line="240" w:lineRule="auto"/>
        <w:ind w:left="256" w:right="0"/>
        <w:jc w:val="left"/>
        <w:rPr>
          <w:rFonts w:ascii="宋体" w:hAnsi="宋体" w:cs="宋体" w:eastAsia="宋体" w:hint="default"/>
          <w:b w:val="0"/>
          <w:bCs w:val="0"/>
        </w:rPr>
      </w:pPr>
      <w:r>
        <w:rPr>
          <w:rFonts w:ascii="宋体" w:hAnsi="宋体" w:cs="宋体" w:eastAsia="宋体" w:hint="default"/>
          <w:w w:val="95"/>
        </w:rPr>
        <w:t>(11).</w:t>
        <w:tab/>
      </w:r>
      <w:r>
        <w:rPr/>
        <w:t>坏账准备的情况</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left="25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256" w:right="0"/>
        <w:jc w:val="left"/>
        <w:rPr>
          <w:rFonts w:ascii="宋体" w:hAnsi="宋体" w:cs="宋体" w:eastAsia="宋体" w:hint="default"/>
        </w:rPr>
      </w:pPr>
      <w:r>
        <w:rPr>
          <w:rFonts w:ascii="宋体"/>
        </w:rPr>
        <w:t> </w:t>
      </w:r>
    </w:p>
    <w:p>
      <w:pPr>
        <w:pStyle w:val="Heading5"/>
        <w:tabs>
          <w:tab w:pos="1097" w:val="left" w:leader="none"/>
        </w:tabs>
        <w:spacing w:line="240" w:lineRule="auto"/>
        <w:ind w:left="256" w:right="0"/>
        <w:jc w:val="left"/>
        <w:rPr>
          <w:rFonts w:ascii="宋体" w:hAnsi="宋体" w:cs="宋体" w:eastAsia="宋体" w:hint="default"/>
          <w:b w:val="0"/>
          <w:bCs w:val="0"/>
        </w:rPr>
      </w:pPr>
      <w:r>
        <w:rPr>
          <w:rFonts w:ascii="宋体" w:hAnsi="宋体" w:cs="宋体" w:eastAsia="宋体" w:hint="default"/>
          <w:w w:val="95"/>
        </w:rPr>
        <w:t>(12).</w:t>
        <w:tab/>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left="25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1" w:lineRule="exact"/>
        <w:ind w:left="256" w:right="0"/>
        <w:jc w:val="left"/>
        <w:rPr>
          <w:rFonts w:ascii="宋体" w:hAnsi="宋体" w:cs="宋体" w:eastAsia="宋体" w:hint="default"/>
        </w:rPr>
      </w:pPr>
      <w:r>
        <w:rPr>
          <w:rFonts w:ascii="宋体"/>
        </w:rPr>
        <w:t> </w:t>
      </w:r>
    </w:p>
    <w:p>
      <w:pPr>
        <w:pStyle w:val="Heading3"/>
        <w:spacing w:line="312" w:lineRule="exact"/>
        <w:ind w:left="256" w:right="0"/>
        <w:jc w:val="left"/>
        <w:rPr>
          <w:rFonts w:ascii="宋体" w:hAnsi="宋体" w:cs="宋体" w:eastAsia="宋体" w:hint="default"/>
        </w:rPr>
      </w:pPr>
      <w:r>
        <w:rPr>
          <w:rFonts w:ascii="宋体"/>
        </w:rPr>
        <w:t> </w:t>
      </w:r>
    </w:p>
    <w:p>
      <w:pPr>
        <w:pStyle w:val="Heading5"/>
        <w:tabs>
          <w:tab w:pos="1097" w:val="left" w:leader="none"/>
        </w:tabs>
        <w:spacing w:line="240" w:lineRule="auto"/>
        <w:ind w:left="256" w:right="0"/>
        <w:jc w:val="left"/>
        <w:rPr>
          <w:rFonts w:ascii="宋体" w:hAnsi="宋体" w:cs="宋体" w:eastAsia="宋体" w:hint="default"/>
          <w:b w:val="0"/>
          <w:bCs w:val="0"/>
        </w:rPr>
      </w:pPr>
      <w:r>
        <w:rPr>
          <w:rFonts w:ascii="宋体" w:hAnsi="宋体" w:cs="宋体" w:eastAsia="宋体" w:hint="default"/>
          <w:w w:val="95"/>
        </w:rPr>
        <w:t>(13).</w:t>
        <w:tab/>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25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1"/>
        <w:ind w:left="0" w:right="14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220" w:type="dxa"/>
        <w:tblLayout w:type="fixed"/>
        <w:tblCellMar>
          <w:top w:w="0" w:type="dxa"/>
          <w:left w:w="0" w:type="dxa"/>
          <w:bottom w:w="0" w:type="dxa"/>
          <w:right w:w="0" w:type="dxa"/>
        </w:tblCellMar>
        <w:tblLook w:val="01E0"/>
      </w:tblPr>
      <w:tblGrid>
        <w:gridCol w:w="1500"/>
        <w:gridCol w:w="1087"/>
        <w:gridCol w:w="1649"/>
        <w:gridCol w:w="1529"/>
        <w:gridCol w:w="1610"/>
        <w:gridCol w:w="1520"/>
      </w:tblGrid>
      <w:tr>
        <w:trPr>
          <w:trHeight w:val="826"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71"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95" w:right="151" w:hanging="315"/>
              <w:jc w:val="left"/>
              <w:rPr>
                <w:rFonts w:ascii="宋体" w:hAnsi="宋体" w:cs="宋体" w:eastAsia="宋体" w:hint="default"/>
                <w:sz w:val="21"/>
                <w:szCs w:val="21"/>
              </w:rPr>
            </w:pPr>
            <w:r>
              <w:rPr>
                <w:rFonts w:ascii="宋体" w:hAnsi="宋体" w:cs="宋体" w:eastAsia="宋体" w:hint="default"/>
                <w:sz w:val="21"/>
                <w:szCs w:val="21"/>
              </w:rPr>
              <w:t>款项的性</w:t>
            </w:r>
            <w:r>
              <w:rPr>
                <w:rFonts w:ascii="宋体" w:hAnsi="宋体" w:cs="宋体" w:eastAsia="宋体" w:hint="default"/>
                <w:w w:val="100"/>
                <w:sz w:val="21"/>
                <w:szCs w:val="21"/>
              </w:rPr>
              <w:t> </w:t>
            </w:r>
            <w:r>
              <w:rPr>
                <w:rFonts w:ascii="宋体" w:hAnsi="宋体" w:cs="宋体" w:eastAsia="宋体" w:hint="default"/>
                <w:sz w:val="21"/>
                <w:szCs w:val="21"/>
              </w:rPr>
              <w:t>质</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11"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2"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40" w:lineRule="auto"/>
              <w:ind w:left="429" w:right="62" w:hanging="368"/>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33" w:right="228"/>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1049"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6" w:right="199"/>
              <w:jc w:val="left"/>
              <w:rPr>
                <w:rFonts w:ascii="宋体" w:hAnsi="宋体" w:cs="宋体" w:eastAsia="宋体" w:hint="default"/>
                <w:sz w:val="21"/>
                <w:szCs w:val="21"/>
              </w:rPr>
            </w:pPr>
            <w:r>
              <w:rPr>
                <w:rFonts w:ascii="宋体" w:hAnsi="宋体" w:cs="宋体" w:eastAsia="宋体" w:hint="default"/>
                <w:sz w:val="21"/>
                <w:szCs w:val="21"/>
              </w:rPr>
              <w:t>江西希望科技</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left="391" w:right="0"/>
              <w:jc w:val="left"/>
              <w:rPr>
                <w:rFonts w:ascii="Times New Roman" w:hAnsi="Times New Roman" w:cs="Times New Roman" w:eastAsia="Times New Roman" w:hint="default"/>
                <w:sz w:val="20"/>
                <w:szCs w:val="20"/>
              </w:rPr>
            </w:pPr>
            <w:r>
              <w:rPr>
                <w:rFonts w:ascii="Times New Roman"/>
                <w:sz w:val="20"/>
              </w:rPr>
              <w:t>69,646,834.72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p>
            <w:pPr>
              <w:pStyle w:val="TableParagraph"/>
              <w:spacing w:line="259" w:lineRule="exact"/>
              <w:ind w:left="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636,700.00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元，</w:t>
            </w:r>
          </w:p>
          <w:p>
            <w:pPr>
              <w:pStyle w:val="TableParagraph"/>
              <w:spacing w:line="259" w:lineRule="exact"/>
              <w:ind w:left="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3-4</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p>
            <w:pPr>
              <w:pStyle w:val="TableParagraph"/>
              <w:spacing w:line="268" w:lineRule="exact"/>
              <w:ind w:left="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69,010,134.72</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元</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right="26"/>
              <w:jc w:val="right"/>
              <w:rPr>
                <w:rFonts w:ascii="Times New Roman" w:hAnsi="Times New Roman" w:cs="Times New Roman" w:eastAsia="Times New Roman" w:hint="default"/>
                <w:sz w:val="20"/>
                <w:szCs w:val="20"/>
              </w:rPr>
            </w:pPr>
            <w:r>
              <w:rPr>
                <w:rFonts w:ascii="Times New Roman"/>
                <w:sz w:val="20"/>
              </w:rPr>
              <w:t>12.92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right="25"/>
              <w:jc w:val="right"/>
              <w:rPr>
                <w:rFonts w:ascii="Times New Roman" w:hAnsi="Times New Roman" w:cs="Times New Roman" w:eastAsia="Times New Roman" w:hint="default"/>
                <w:sz w:val="20"/>
                <w:szCs w:val="20"/>
              </w:rPr>
            </w:pPr>
            <w:r>
              <w:rPr>
                <w:rFonts w:ascii="Times New Roman"/>
                <w:w w:val="95"/>
                <w:sz w:val="20"/>
              </w:rPr>
              <w:t>53,480,600.87</w:t>
            </w:r>
            <w:r>
              <w:rPr>
                <w:rFonts w:ascii="Times New Roman"/>
                <w:sz w:val="20"/>
              </w:rPr>
            </w:r>
          </w:p>
        </w:tc>
      </w:tr>
      <w:tr>
        <w:trPr>
          <w:trHeight w:val="554"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上海赟和实业</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股权收购</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款</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91" w:right="0"/>
              <w:jc w:val="left"/>
              <w:rPr>
                <w:rFonts w:ascii="Times New Roman" w:hAnsi="Times New Roman" w:cs="Times New Roman" w:eastAsia="Times New Roman" w:hint="default"/>
                <w:sz w:val="20"/>
                <w:szCs w:val="20"/>
              </w:rPr>
            </w:pPr>
            <w:r>
              <w:rPr>
                <w:rFonts w:ascii="Times New Roman"/>
                <w:sz w:val="20"/>
              </w:rPr>
              <w:t>49,176,389.43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98"/>
              <w:jc w:val="right"/>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6"/>
              <w:jc w:val="right"/>
              <w:rPr>
                <w:rFonts w:ascii="Times New Roman" w:hAnsi="Times New Roman" w:cs="Times New Roman" w:eastAsia="Times New Roman" w:hint="default"/>
                <w:sz w:val="20"/>
                <w:szCs w:val="20"/>
              </w:rPr>
            </w:pPr>
            <w:r>
              <w:rPr>
                <w:rFonts w:ascii="Times New Roman"/>
                <w:sz w:val="20"/>
              </w:rPr>
              <w:t>9.12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5"/>
              <w:jc w:val="right"/>
              <w:rPr>
                <w:rFonts w:ascii="Times New Roman" w:hAnsi="Times New Roman" w:cs="Times New Roman" w:eastAsia="Times New Roman" w:hint="default"/>
                <w:sz w:val="20"/>
                <w:szCs w:val="20"/>
              </w:rPr>
            </w:pPr>
            <w:r>
              <w:rPr>
                <w:rFonts w:ascii="Times New Roman"/>
                <w:w w:val="95"/>
                <w:sz w:val="20"/>
              </w:rPr>
              <w:t>22,773,585.95</w:t>
            </w:r>
            <w:r>
              <w:rPr>
                <w:rFonts w:ascii="Times New Roman"/>
                <w:sz w:val="20"/>
              </w:rPr>
            </w:r>
          </w:p>
        </w:tc>
      </w:tr>
      <w:tr>
        <w:trPr>
          <w:trHeight w:val="1099"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sz w:val="21"/>
              </w:rPr>
              <w:t>FU</w:t>
            </w:r>
            <w:r>
              <w:rPr>
                <w:rFonts w:ascii="宋体"/>
                <w:spacing w:val="1"/>
                <w:sz w:val="21"/>
              </w:rPr>
              <w:t> </w:t>
            </w:r>
            <w:r>
              <w:rPr>
                <w:rFonts w:ascii="宋体"/>
                <w:sz w:val="21"/>
              </w:rPr>
              <w:t>JIAN   </w:t>
            </w:r>
          </w:p>
          <w:p>
            <w:pPr>
              <w:pStyle w:val="TableParagraph"/>
              <w:spacing w:line="237" w:lineRule="auto" w:before="2"/>
              <w:ind w:left="26" w:right="203"/>
              <w:jc w:val="left"/>
              <w:rPr>
                <w:rFonts w:ascii="宋体" w:hAnsi="宋体" w:cs="宋体" w:eastAsia="宋体" w:hint="default"/>
                <w:sz w:val="21"/>
                <w:szCs w:val="21"/>
              </w:rPr>
            </w:pPr>
            <w:r>
              <w:rPr>
                <w:rFonts w:ascii="宋体"/>
                <w:sz w:val="21"/>
              </w:rPr>
              <w:t>KWISE</w:t>
            </w:r>
            <w:r>
              <w:rPr>
                <w:rFonts w:ascii="宋体"/>
                <w:spacing w:val="-102"/>
                <w:sz w:val="21"/>
              </w:rPr>
              <w:t> </w:t>
            </w:r>
            <w:r>
              <w:rPr>
                <w:rFonts w:ascii="宋体"/>
                <w:sz w:val="21"/>
              </w:rPr>
              <w:t>GENERATOR</w:t>
            </w:r>
            <w:r>
              <w:rPr>
                <w:rFonts w:ascii="宋体"/>
                <w:spacing w:val="-103"/>
                <w:sz w:val="21"/>
              </w:rPr>
              <w:t> </w:t>
            </w:r>
            <w:r>
              <w:rPr>
                <w:rFonts w:ascii="宋体"/>
                <w:sz w:val="21"/>
              </w:rPr>
              <w:t>CO.,LIMITED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往款款</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391" w:right="0"/>
              <w:jc w:val="left"/>
              <w:rPr>
                <w:rFonts w:ascii="Times New Roman" w:hAnsi="Times New Roman" w:cs="Times New Roman" w:eastAsia="Times New Roman" w:hint="default"/>
                <w:sz w:val="20"/>
                <w:szCs w:val="20"/>
              </w:rPr>
            </w:pPr>
            <w:r>
              <w:rPr>
                <w:rFonts w:ascii="Times New Roman"/>
                <w:sz w:val="20"/>
              </w:rPr>
              <w:t>22,502,544.92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26"/>
              <w:jc w:val="right"/>
              <w:rPr>
                <w:rFonts w:ascii="Times New Roman" w:hAnsi="Times New Roman" w:cs="Times New Roman" w:eastAsia="Times New Roman" w:hint="default"/>
                <w:sz w:val="20"/>
                <w:szCs w:val="20"/>
              </w:rPr>
            </w:pPr>
            <w:r>
              <w:rPr>
                <w:rFonts w:ascii="Times New Roman"/>
                <w:sz w:val="20"/>
              </w:rPr>
              <w:t>4.17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25"/>
              <w:jc w:val="right"/>
              <w:rPr>
                <w:rFonts w:ascii="Times New Roman" w:hAnsi="Times New Roman" w:cs="Times New Roman" w:eastAsia="Times New Roman" w:hint="default"/>
                <w:sz w:val="20"/>
                <w:szCs w:val="20"/>
              </w:rPr>
            </w:pPr>
            <w:r>
              <w:rPr>
                <w:rFonts w:ascii="Times New Roman"/>
                <w:w w:val="95"/>
                <w:sz w:val="20"/>
              </w:rPr>
              <w:t>2,250,254.49</w:t>
            </w:r>
            <w:r>
              <w:rPr>
                <w:rFonts w:ascii="Times New Roman"/>
                <w:sz w:val="20"/>
              </w:rPr>
            </w:r>
          </w:p>
        </w:tc>
      </w:tr>
      <w:tr>
        <w:trPr>
          <w:trHeight w:val="554"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贵州大学明德</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学院</w:t>
            </w:r>
            <w:r>
              <w:rPr>
                <w:rFonts w:ascii="宋体" w:hAnsi="宋体" w:cs="宋体" w:eastAsia="宋体" w:hint="default"/>
                <w:sz w:val="21"/>
                <w:szCs w:val="21"/>
              </w:rPr>
              <w:t>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91" w:right="0"/>
              <w:jc w:val="left"/>
              <w:rPr>
                <w:rFonts w:ascii="Times New Roman" w:hAnsi="Times New Roman" w:cs="Times New Roman" w:eastAsia="Times New Roman" w:hint="default"/>
                <w:sz w:val="20"/>
                <w:szCs w:val="20"/>
              </w:rPr>
            </w:pPr>
            <w:r>
              <w:rPr>
                <w:rFonts w:ascii="Times New Roman"/>
                <w:sz w:val="20"/>
              </w:rPr>
              <w:t>20,000,000.00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宋体" w:hAnsi="宋体" w:cs="宋体" w:eastAsia="宋体" w:hint="default"/>
                <w:sz w:val="20"/>
                <w:szCs w:val="20"/>
              </w:rPr>
            </w:pPr>
            <w:r>
              <w:rPr>
                <w:rFonts w:ascii="Times New Roman" w:hAnsi="Times New Roman" w:cs="Times New Roman" w:eastAsia="Times New Roman" w:hint="default"/>
                <w:sz w:val="20"/>
                <w:szCs w:val="20"/>
              </w:rPr>
              <w:t>4-5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6"/>
              <w:jc w:val="right"/>
              <w:rPr>
                <w:rFonts w:ascii="Times New Roman" w:hAnsi="Times New Roman" w:cs="Times New Roman" w:eastAsia="Times New Roman" w:hint="default"/>
                <w:sz w:val="20"/>
                <w:szCs w:val="20"/>
              </w:rPr>
            </w:pPr>
            <w:r>
              <w:rPr>
                <w:rFonts w:ascii="Times New Roman"/>
                <w:sz w:val="20"/>
              </w:rPr>
              <w:t>3.71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5"/>
              <w:jc w:val="right"/>
              <w:rPr>
                <w:rFonts w:ascii="Times New Roman" w:hAnsi="Times New Roman" w:cs="Times New Roman" w:eastAsia="Times New Roman" w:hint="default"/>
                <w:sz w:val="20"/>
                <w:szCs w:val="20"/>
              </w:rPr>
            </w:pPr>
            <w:r>
              <w:rPr>
                <w:rFonts w:ascii="Times New Roman"/>
                <w:w w:val="95"/>
                <w:sz w:val="20"/>
              </w:rPr>
              <w:t>16,506,000.00</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882" w:footer="1195" w:top="1120" w:bottom="1380" w:left="1020" w:right="1540"/>
        </w:sectPr>
      </w:pPr>
    </w:p>
    <w:p>
      <w:pPr>
        <w:spacing w:line="240" w:lineRule="auto" w:before="0"/>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1500"/>
        <w:gridCol w:w="1087"/>
        <w:gridCol w:w="1649"/>
        <w:gridCol w:w="1529"/>
        <w:gridCol w:w="1610"/>
        <w:gridCol w:w="1520"/>
      </w:tblGrid>
      <w:tr>
        <w:trPr>
          <w:trHeight w:val="828"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扬州市奥克发</w:t>
            </w:r>
          </w:p>
          <w:p>
            <w:pPr>
              <w:pStyle w:val="TableParagraph"/>
              <w:spacing w:line="272" w:lineRule="exact" w:before="27"/>
              <w:ind w:left="26" w:right="199"/>
              <w:jc w:val="left"/>
              <w:rPr>
                <w:rFonts w:ascii="宋体" w:hAnsi="宋体" w:cs="宋体" w:eastAsia="宋体" w:hint="default"/>
                <w:sz w:val="21"/>
                <w:szCs w:val="21"/>
              </w:rPr>
            </w:pPr>
            <w:r>
              <w:rPr>
                <w:rFonts w:ascii="宋体" w:hAnsi="宋体" w:cs="宋体" w:eastAsia="宋体" w:hint="default"/>
                <w:sz w:val="21"/>
                <w:szCs w:val="21"/>
              </w:rPr>
              <w:t>电设备有限公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0"/>
                <w:szCs w:val="20"/>
              </w:rPr>
            </w:pPr>
            <w:r>
              <w:rPr>
                <w:rFonts w:ascii="Times New Roman"/>
                <w:w w:val="95"/>
                <w:sz w:val="20"/>
              </w:rPr>
              <w:t>15,000,000.00</w:t>
            </w:r>
            <w:r>
              <w:rPr>
                <w:rFonts w:ascii="Times New Roman"/>
                <w:sz w:val="20"/>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6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年以内</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6"/>
              <w:jc w:val="right"/>
              <w:rPr>
                <w:rFonts w:ascii="Times New Roman" w:hAnsi="Times New Roman" w:cs="Times New Roman" w:eastAsia="Times New Roman" w:hint="default"/>
                <w:sz w:val="20"/>
                <w:szCs w:val="20"/>
              </w:rPr>
            </w:pPr>
            <w:r>
              <w:rPr>
                <w:rFonts w:ascii="Times New Roman"/>
                <w:sz w:val="20"/>
              </w:rPr>
              <w:t>2.78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5"/>
              <w:jc w:val="right"/>
              <w:rPr>
                <w:rFonts w:ascii="Times New Roman" w:hAnsi="Times New Roman" w:cs="Times New Roman" w:eastAsia="Times New Roman" w:hint="default"/>
                <w:sz w:val="20"/>
                <w:szCs w:val="20"/>
              </w:rPr>
            </w:pPr>
            <w:r>
              <w:rPr>
                <w:rFonts w:ascii="Times New Roman"/>
                <w:w w:val="95"/>
                <w:sz w:val="20"/>
              </w:rPr>
              <w:t>2,095,500.00</w:t>
            </w:r>
            <w:r>
              <w:rPr>
                <w:rFonts w:ascii="Times New Roman"/>
                <w:sz w:val="20"/>
              </w:rPr>
            </w:r>
          </w:p>
        </w:tc>
      </w:tr>
      <w:tr>
        <w:trPr>
          <w:trHeight w:val="281"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7"/>
              <w:jc w:val="right"/>
              <w:rPr>
                <w:rFonts w:ascii="Times New Roman" w:hAnsi="Times New Roman" w:cs="Times New Roman" w:eastAsia="Times New Roman" w:hint="default"/>
                <w:sz w:val="20"/>
                <w:szCs w:val="20"/>
              </w:rPr>
            </w:pPr>
            <w:r>
              <w:rPr>
                <w:rFonts w:ascii="Times New Roman"/>
                <w:w w:val="95"/>
                <w:sz w:val="20"/>
              </w:rPr>
              <w:t>176,325,769.07</w:t>
            </w:r>
            <w:r>
              <w:rPr>
                <w:rFonts w:ascii="Times New Roman"/>
                <w:sz w:val="20"/>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693" w:right="0"/>
              <w:jc w:val="left"/>
              <w:rPr>
                <w:rFonts w:ascii="宋体" w:hAnsi="宋体" w:cs="宋体" w:eastAsia="宋体" w:hint="default"/>
                <w:sz w:val="20"/>
                <w:szCs w:val="20"/>
              </w:rPr>
            </w:pPr>
            <w:r>
              <w:rPr>
                <w:rFonts w:ascii="Times New Roman"/>
                <w:sz w:val="20"/>
              </w:rPr>
              <w:t>/</w:t>
            </w:r>
            <w:r>
              <w:rPr>
                <w:rFonts w:ascii="宋体"/>
                <w:sz w:val="20"/>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6"/>
              <w:jc w:val="right"/>
              <w:rPr>
                <w:rFonts w:ascii="Times New Roman" w:hAnsi="Times New Roman" w:cs="Times New Roman" w:eastAsia="Times New Roman" w:hint="default"/>
                <w:sz w:val="20"/>
                <w:szCs w:val="20"/>
              </w:rPr>
            </w:pPr>
            <w:r>
              <w:rPr>
                <w:rFonts w:ascii="Times New Roman"/>
                <w:sz w:val="20"/>
              </w:rPr>
              <w:t>32.7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97,105,941.31</w:t>
            </w:r>
            <w:r>
              <w:rPr>
                <w:rFonts w:ascii="Times New Roman"/>
                <w:sz w:val="20"/>
              </w:rPr>
            </w:r>
          </w:p>
        </w:tc>
      </w:tr>
    </w:tbl>
    <w:p>
      <w:pPr>
        <w:pStyle w:val="Heading3"/>
        <w:spacing w:line="274" w:lineRule="exact"/>
        <w:ind w:left="136" w:right="0"/>
        <w:jc w:val="left"/>
        <w:rPr>
          <w:rFonts w:ascii="宋体" w:hAnsi="宋体" w:cs="宋体" w:eastAsia="宋体" w:hint="default"/>
        </w:rPr>
      </w:pPr>
      <w:r>
        <w:rPr>
          <w:rFonts w:ascii="宋体"/>
        </w:rPr>
        <w:t> </w:t>
      </w:r>
    </w:p>
    <w:p>
      <w:pPr>
        <w:pStyle w:val="Heading5"/>
        <w:tabs>
          <w:tab w:pos="977" w:val="left" w:leader="none"/>
        </w:tabs>
        <w:spacing w:line="240" w:lineRule="auto"/>
        <w:ind w:left="136" w:right="102"/>
        <w:jc w:val="left"/>
        <w:rPr>
          <w:rFonts w:ascii="宋体" w:hAnsi="宋体" w:cs="宋体" w:eastAsia="宋体" w:hint="default"/>
          <w:b w:val="0"/>
          <w:bCs w:val="0"/>
        </w:rPr>
      </w:pPr>
      <w:r>
        <w:rPr>
          <w:rFonts w:ascii="宋体" w:hAnsi="宋体" w:cs="宋体" w:eastAsia="宋体" w:hint="default"/>
          <w:w w:val="95"/>
        </w:rPr>
        <w:t>(14).</w:t>
        <w:tab/>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136" w:right="10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54"/>
          <w:pgSz w:w="11910" w:h="16840"/>
          <w:pgMar w:footer="1651" w:header="882" w:top="1120" w:bottom="1840" w:left="1140" w:right="1580"/>
          <w:pgNumType w:start="120"/>
        </w:sectPr>
      </w:pPr>
    </w:p>
    <w:p>
      <w:pPr>
        <w:pStyle w:val="Heading5"/>
        <w:tabs>
          <w:tab w:pos="977" w:val="left" w:leader="none"/>
        </w:tabs>
        <w:spacing w:line="240" w:lineRule="auto" w:before="36"/>
        <w:ind w:left="136" w:right="0"/>
        <w:jc w:val="left"/>
        <w:rPr>
          <w:rFonts w:ascii="宋体" w:hAnsi="宋体" w:cs="宋体" w:eastAsia="宋体" w:hint="default"/>
          <w:b w:val="0"/>
          <w:bCs w:val="0"/>
        </w:rPr>
      </w:pPr>
      <w:r>
        <w:rPr>
          <w:rFonts w:ascii="宋体" w:hAnsi="宋体" w:cs="宋体" w:eastAsia="宋体" w:hint="default"/>
          <w:w w:val="95"/>
        </w:rPr>
        <w:t>(15).</w:t>
        <w:tab/>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Heading3"/>
        <w:spacing w:line="312" w:lineRule="exact" w:before="52"/>
        <w:ind w:left="1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2" w:lineRule="exact"/>
        <w:ind w:left="136" w:right="0"/>
        <w:jc w:val="left"/>
        <w:rPr>
          <w:rFonts w:ascii="宋体" w:hAnsi="宋体" w:cs="宋体" w:eastAsia="宋体" w:hint="default"/>
        </w:rPr>
      </w:pPr>
      <w:r>
        <w:rPr>
          <w:rFonts w:ascii="宋体"/>
        </w:rPr>
        <w:t> </w:t>
      </w:r>
    </w:p>
    <w:p>
      <w:pPr>
        <w:pStyle w:val="Heading5"/>
        <w:tabs>
          <w:tab w:pos="977" w:val="left" w:leader="none"/>
        </w:tabs>
        <w:spacing w:line="240" w:lineRule="auto"/>
        <w:ind w:left="136" w:right="0"/>
        <w:jc w:val="left"/>
        <w:rPr>
          <w:rFonts w:ascii="宋体" w:hAnsi="宋体" w:cs="宋体" w:eastAsia="宋体" w:hint="default"/>
          <w:b w:val="0"/>
          <w:bCs w:val="0"/>
        </w:rPr>
      </w:pPr>
      <w:r>
        <w:rPr>
          <w:rFonts w:ascii="宋体" w:hAnsi="宋体" w:cs="宋体" w:eastAsia="宋体" w:hint="default"/>
          <w:w w:val="95"/>
        </w:rPr>
        <w:t>(16).</w:t>
        <w:tab/>
      </w:r>
      <w:r>
        <w:rPr/>
        <w:t>转移其他应收款且继续涉入形成的资产、负债的金额</w:t>
      </w:r>
      <w:r>
        <w:rPr>
          <w:rFonts w:ascii="宋体" w:hAnsi="宋体" w:cs="宋体" w:eastAsia="宋体" w:hint="default"/>
          <w:w w:val="99"/>
        </w:rPr>
        <w:t> </w:t>
      </w:r>
      <w:r>
        <w:rPr>
          <w:rFonts w:ascii="宋体" w:hAnsi="宋体" w:cs="宋体" w:eastAsia="宋体" w:hint="default"/>
          <w:b w:val="0"/>
          <w:bCs w:val="0"/>
        </w:rPr>
      </w:r>
    </w:p>
    <w:p>
      <w:pPr>
        <w:pStyle w:val="Heading3"/>
        <w:spacing w:line="312" w:lineRule="exact" w:before="53"/>
        <w:ind w:left="1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2" w:lineRule="exact" w:before="28"/>
        <w:ind w:left="136" w:right="0"/>
        <w:jc w:val="left"/>
        <w:rPr>
          <w:rFonts w:ascii="宋体" w:hAnsi="宋体" w:cs="宋体" w:eastAsia="宋体" w:hint="default"/>
        </w:rPr>
      </w:pPr>
      <w:r>
        <w:rPr>
          <w:rFonts w:ascii="宋体" w:hAnsi="宋体" w:cs="宋体" w:eastAsia="宋体" w:hint="default"/>
        </w:rPr>
        <w:t>  </w:t>
      </w:r>
      <w:r>
        <w:rPr/>
        <w:t>其他说明</w:t>
      </w:r>
      <w:r>
        <w:rPr>
          <w:spacing w:val="-1"/>
        </w:rPr>
        <w:t>：</w:t>
      </w:r>
      <w:r>
        <w:rPr>
          <w:rFonts w:ascii="宋体" w:hAnsi="宋体" w:cs="宋体" w:eastAsia="宋体" w:hint="default"/>
        </w:rPr>
        <w:t> </w:t>
      </w:r>
    </w:p>
    <w:p>
      <w:pPr>
        <w:pStyle w:val="Heading3"/>
        <w:spacing w:line="281" w:lineRule="exact"/>
        <w:ind w:left="1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2" w:lineRule="exact"/>
        <w:ind w:left="136" w:right="0"/>
        <w:jc w:val="left"/>
        <w:rPr>
          <w:rFonts w:ascii="宋体" w:hAnsi="宋体" w:cs="宋体" w:eastAsia="宋体" w:hint="default"/>
        </w:rPr>
      </w:pPr>
      <w:r>
        <w:rPr>
          <w:rFonts w:ascii="宋体"/>
        </w:rPr>
        <w:t> </w:t>
      </w:r>
    </w:p>
    <w:p>
      <w:pPr>
        <w:pStyle w:val="Heading5"/>
        <w:spacing w:line="290" w:lineRule="auto"/>
        <w:ind w:left="136" w:right="3708"/>
        <w:jc w:val="left"/>
        <w:rPr>
          <w:rFonts w:ascii="宋体" w:hAnsi="宋体" w:cs="宋体" w:eastAsia="宋体" w:hint="default"/>
          <w:b w:val="0"/>
          <w:bCs w:val="0"/>
        </w:rPr>
      </w:pPr>
      <w:r>
        <w:rPr>
          <w:rFonts w:ascii="宋体" w:hAnsi="宋体" w:cs="宋体" w:eastAsia="宋体" w:hint="default"/>
        </w:rPr>
        <w:t>9</w:t>
      </w:r>
      <w:r>
        <w:rPr/>
        <w:t>、</w:t>
      </w:r>
      <w:r>
        <w:rPr>
          <w:spacing w:val="-3"/>
        </w:rPr>
        <w:t> </w:t>
      </w:r>
      <w:r>
        <w:rPr/>
        <w:t>存货</w:t>
      </w:r>
      <w:r>
        <w:rPr>
          <w:w w:val="100"/>
        </w:rPr>
        <w:t> </w:t>
      </w:r>
      <w:r>
        <w:rPr>
          <w:rFonts w:ascii="宋体" w:hAnsi="宋体" w:cs="宋体" w:eastAsia="宋体" w:hint="default"/>
        </w:rPr>
        <w:t>(1).</w:t>
      </w:r>
      <w:r>
        <w:rPr/>
        <w:t>存货分类</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580"/>
          <w:cols w:num="2" w:equalWidth="0">
            <w:col w:w="5932" w:space="590"/>
            <w:col w:w="26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956"/>
        <w:gridCol w:w="1536"/>
        <w:gridCol w:w="901"/>
        <w:gridCol w:w="1536"/>
        <w:gridCol w:w="1539"/>
        <w:gridCol w:w="893"/>
        <w:gridCol w:w="1537"/>
      </w:tblGrid>
      <w:tr>
        <w:trPr>
          <w:trHeight w:val="283" w:hRule="exact"/>
        </w:trPr>
        <w:tc>
          <w:tcPr>
            <w:tcW w:w="95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2"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9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9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5" w:hRule="exact"/>
        </w:trPr>
        <w:tc>
          <w:tcPr>
            <w:tcW w:w="956" w:type="dxa"/>
            <w:vMerge/>
            <w:tcBorders>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40"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跌价准</w:t>
            </w:r>
          </w:p>
          <w:p>
            <w:pPr>
              <w:pStyle w:val="TableParagraph"/>
              <w:spacing w:line="273" w:lineRule="exact"/>
              <w:ind w:left="99" w:right="0"/>
              <w:jc w:val="center"/>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40"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41"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7"/>
              <w:jc w:val="center"/>
              <w:rPr>
                <w:rFonts w:ascii="宋体" w:hAnsi="宋体" w:cs="宋体" w:eastAsia="宋体" w:hint="default"/>
                <w:sz w:val="21"/>
                <w:szCs w:val="21"/>
              </w:rPr>
            </w:pPr>
            <w:r>
              <w:rPr>
                <w:rFonts w:ascii="宋体" w:hAnsi="宋体" w:cs="宋体" w:eastAsia="宋体" w:hint="default"/>
                <w:sz w:val="21"/>
                <w:szCs w:val="21"/>
              </w:rPr>
              <w:t>跌价准</w:t>
            </w:r>
          </w:p>
          <w:p>
            <w:pPr>
              <w:pStyle w:val="TableParagraph"/>
              <w:spacing w:line="273" w:lineRule="exact"/>
              <w:ind w:left="95" w:right="0"/>
              <w:jc w:val="center"/>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40"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283"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原材料</w:t>
            </w:r>
            <w:r>
              <w:rPr>
                <w:rFonts w:ascii="宋体" w:hAnsi="宋体" w:cs="宋体" w:eastAsia="宋体" w:hint="default"/>
                <w:sz w:val="21"/>
                <w:szCs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199,282,723.63</w:t>
            </w:r>
          </w:p>
        </w:tc>
        <w:tc>
          <w:tcPr>
            <w:tcW w:w="90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199,282,723.63</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7"/>
              <w:jc w:val="right"/>
              <w:rPr>
                <w:rFonts w:ascii="Times New Roman" w:hAnsi="Times New Roman" w:cs="Times New Roman" w:eastAsia="Times New Roman" w:hint="default"/>
                <w:sz w:val="21"/>
                <w:szCs w:val="21"/>
              </w:rPr>
            </w:pPr>
            <w:r>
              <w:rPr>
                <w:rFonts w:ascii="Times New Roman"/>
                <w:spacing w:val="-1"/>
                <w:sz w:val="21"/>
              </w:rPr>
              <w:t>234,194,494.61</w:t>
            </w:r>
          </w:p>
        </w:tc>
        <w:tc>
          <w:tcPr>
            <w:tcW w:w="893"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234,194,494.61</w:t>
            </w:r>
          </w:p>
        </w:tc>
      </w:tr>
      <w:tr>
        <w:trPr>
          <w:trHeight w:val="281"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在产品</w:t>
            </w:r>
            <w:r>
              <w:rPr>
                <w:rFonts w:ascii="宋体" w:hAnsi="宋体" w:cs="宋体" w:eastAsia="宋体" w:hint="default"/>
                <w:sz w:val="21"/>
                <w:szCs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440,280,665.03</w:t>
            </w:r>
          </w:p>
        </w:tc>
        <w:tc>
          <w:tcPr>
            <w:tcW w:w="90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440,280,665.03</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7"/>
              <w:jc w:val="right"/>
              <w:rPr>
                <w:rFonts w:ascii="Times New Roman" w:hAnsi="Times New Roman" w:cs="Times New Roman" w:eastAsia="Times New Roman" w:hint="default"/>
                <w:sz w:val="21"/>
                <w:szCs w:val="21"/>
              </w:rPr>
            </w:pPr>
            <w:r>
              <w:rPr>
                <w:rFonts w:ascii="Times New Roman"/>
                <w:spacing w:val="-1"/>
                <w:sz w:val="21"/>
              </w:rPr>
              <w:t>417,785,301.71</w:t>
            </w:r>
          </w:p>
        </w:tc>
        <w:tc>
          <w:tcPr>
            <w:tcW w:w="893"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417,785,301.71</w:t>
            </w:r>
          </w:p>
        </w:tc>
      </w:tr>
      <w:tr>
        <w:trPr>
          <w:trHeight w:val="283"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27"/>
              <w:jc w:val="left"/>
              <w:rPr>
                <w:rFonts w:ascii="宋体" w:hAnsi="宋体" w:cs="宋体" w:eastAsia="宋体" w:hint="default"/>
                <w:sz w:val="21"/>
                <w:szCs w:val="21"/>
              </w:rPr>
            </w:pPr>
            <w:r>
              <w:rPr>
                <w:rFonts w:ascii="宋体" w:hAnsi="宋体" w:cs="宋体" w:eastAsia="宋体" w:hint="default"/>
                <w:sz w:val="21"/>
                <w:szCs w:val="21"/>
              </w:rPr>
              <w:t>库存商品</w:t>
            </w:r>
            <w:r>
              <w:rPr>
                <w:rFonts w:ascii="宋体" w:hAnsi="宋体" w:cs="宋体" w:eastAsia="宋体" w:hint="default"/>
                <w:sz w:val="21"/>
                <w:szCs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136,206,832.03</w:t>
            </w:r>
          </w:p>
        </w:tc>
        <w:tc>
          <w:tcPr>
            <w:tcW w:w="90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136,206,832.03</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7"/>
              <w:jc w:val="right"/>
              <w:rPr>
                <w:rFonts w:ascii="Times New Roman" w:hAnsi="Times New Roman" w:cs="Times New Roman" w:eastAsia="Times New Roman" w:hint="default"/>
                <w:sz w:val="21"/>
                <w:szCs w:val="21"/>
              </w:rPr>
            </w:pPr>
            <w:r>
              <w:rPr>
                <w:rFonts w:ascii="Times New Roman"/>
                <w:spacing w:val="-1"/>
                <w:sz w:val="21"/>
              </w:rPr>
              <w:t>246,762,041.28</w:t>
            </w:r>
          </w:p>
        </w:tc>
        <w:tc>
          <w:tcPr>
            <w:tcW w:w="893"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246,762,041.28</w:t>
            </w:r>
          </w:p>
        </w:tc>
      </w:tr>
      <w:tr>
        <w:trPr>
          <w:trHeight w:val="281"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27"/>
              <w:jc w:val="left"/>
              <w:rPr>
                <w:rFonts w:ascii="宋体" w:hAnsi="宋体" w:cs="宋体" w:eastAsia="宋体" w:hint="default"/>
                <w:sz w:val="21"/>
                <w:szCs w:val="21"/>
              </w:rPr>
            </w:pPr>
            <w:r>
              <w:rPr>
                <w:rFonts w:ascii="宋体" w:hAnsi="宋体" w:cs="宋体" w:eastAsia="宋体" w:hint="default"/>
                <w:sz w:val="21"/>
                <w:szCs w:val="21"/>
              </w:rPr>
              <w:t>周转材料</w:t>
            </w:r>
            <w:r>
              <w:rPr>
                <w:rFonts w:ascii="宋体" w:hAnsi="宋体" w:cs="宋体" w:eastAsia="宋体" w:hint="default"/>
                <w:sz w:val="21"/>
                <w:szCs w:val="21"/>
              </w:rPr>
              <w:t> </w:t>
            </w:r>
          </w:p>
        </w:tc>
        <w:tc>
          <w:tcPr>
            <w:tcW w:w="1536"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消耗性生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物资产</w:t>
            </w:r>
            <w:r>
              <w:rPr>
                <w:rFonts w:ascii="宋体" w:hAnsi="宋体" w:cs="宋体" w:eastAsia="宋体" w:hint="default"/>
                <w:sz w:val="21"/>
                <w:szCs w:val="21"/>
              </w:rPr>
              <w:t> </w:t>
            </w:r>
          </w:p>
        </w:tc>
        <w:tc>
          <w:tcPr>
            <w:tcW w:w="1536"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建造合同</w:t>
            </w:r>
          </w:p>
          <w:p>
            <w:pPr>
              <w:pStyle w:val="TableParagraph"/>
              <w:spacing w:line="237" w:lineRule="auto"/>
              <w:ind w:left="26" w:right="75"/>
              <w:jc w:val="both"/>
              <w:rPr>
                <w:rFonts w:ascii="宋体" w:hAnsi="宋体" w:cs="宋体" w:eastAsia="宋体" w:hint="default"/>
                <w:sz w:val="21"/>
                <w:szCs w:val="21"/>
              </w:rPr>
            </w:pPr>
            <w:r>
              <w:rPr>
                <w:rFonts w:ascii="宋体" w:hAnsi="宋体" w:cs="宋体" w:eastAsia="宋体" w:hint="default"/>
                <w:sz w:val="21"/>
                <w:szCs w:val="21"/>
              </w:rPr>
              <w:t>形成的已</w:t>
            </w:r>
            <w:r>
              <w:rPr>
                <w:rFonts w:ascii="宋体" w:hAnsi="宋体" w:cs="宋体" w:eastAsia="宋体" w:hint="default"/>
                <w:w w:val="100"/>
                <w:sz w:val="21"/>
                <w:szCs w:val="21"/>
              </w:rPr>
              <w:t> </w:t>
            </w:r>
            <w:r>
              <w:rPr>
                <w:rFonts w:ascii="宋体" w:hAnsi="宋体" w:cs="宋体" w:eastAsia="宋体" w:hint="default"/>
                <w:sz w:val="21"/>
                <w:szCs w:val="21"/>
              </w:rPr>
              <w:t>完工未结</w:t>
            </w:r>
            <w:r>
              <w:rPr>
                <w:rFonts w:ascii="宋体" w:hAnsi="宋体" w:cs="宋体" w:eastAsia="宋体" w:hint="default"/>
                <w:w w:val="100"/>
                <w:sz w:val="21"/>
                <w:szCs w:val="21"/>
              </w:rPr>
              <w:t> </w:t>
            </w:r>
            <w:r>
              <w:rPr>
                <w:rFonts w:ascii="宋体" w:hAnsi="宋体" w:cs="宋体" w:eastAsia="宋体" w:hint="default"/>
                <w:sz w:val="21"/>
                <w:szCs w:val="21"/>
              </w:rPr>
              <w:t>算资产</w:t>
            </w:r>
            <w:r>
              <w:rPr>
                <w:rFonts w:ascii="宋体" w:hAnsi="宋体" w:cs="宋体" w:eastAsia="宋体" w:hint="default"/>
                <w:sz w:val="21"/>
                <w:szCs w:val="21"/>
              </w:rPr>
              <w:t> </w:t>
            </w:r>
          </w:p>
        </w:tc>
        <w:tc>
          <w:tcPr>
            <w:tcW w:w="1536"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27"/>
              <w:jc w:val="left"/>
              <w:rPr>
                <w:rFonts w:ascii="宋体" w:hAnsi="宋体" w:cs="宋体" w:eastAsia="宋体" w:hint="default"/>
                <w:sz w:val="21"/>
                <w:szCs w:val="21"/>
              </w:rPr>
            </w:pPr>
            <w:r>
              <w:rPr>
                <w:rFonts w:ascii="宋体" w:hAnsi="宋体" w:cs="宋体" w:eastAsia="宋体" w:hint="default"/>
                <w:sz w:val="21"/>
                <w:szCs w:val="21"/>
              </w:rPr>
              <w:t>工程施工</w:t>
            </w:r>
            <w:r>
              <w:rPr>
                <w:rFonts w:ascii="宋体" w:hAnsi="宋体" w:cs="宋体" w:eastAsia="宋体" w:hint="default"/>
                <w:sz w:val="21"/>
                <w:szCs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87,834,309.18</w:t>
            </w:r>
          </w:p>
        </w:tc>
        <w:tc>
          <w:tcPr>
            <w:tcW w:w="90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87,834,309.18</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Times New Roman" w:hAnsi="Times New Roman" w:cs="Times New Roman" w:eastAsia="Times New Roman" w:hint="default"/>
                <w:sz w:val="21"/>
                <w:szCs w:val="21"/>
              </w:rPr>
            </w:pPr>
            <w:r>
              <w:rPr>
                <w:rFonts w:ascii="Times New Roman"/>
                <w:spacing w:val="-1"/>
                <w:sz w:val="21"/>
              </w:rPr>
              <w:t>76,856,091.49</w:t>
            </w:r>
          </w:p>
        </w:tc>
        <w:tc>
          <w:tcPr>
            <w:tcW w:w="893"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
                <w:sz w:val="21"/>
              </w:rPr>
              <w:t>76,856,091.49</w:t>
            </w:r>
          </w:p>
        </w:tc>
      </w:tr>
      <w:tr>
        <w:trPr>
          <w:trHeight w:val="284"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27"/>
              <w:jc w:val="left"/>
              <w:rPr>
                <w:rFonts w:ascii="宋体" w:hAnsi="宋体" w:cs="宋体" w:eastAsia="宋体" w:hint="default"/>
                <w:sz w:val="21"/>
                <w:szCs w:val="21"/>
              </w:rPr>
            </w:pPr>
            <w:r>
              <w:rPr>
                <w:rFonts w:ascii="宋体" w:hAnsi="宋体" w:cs="宋体" w:eastAsia="宋体" w:hint="default"/>
                <w:sz w:val="21"/>
                <w:szCs w:val="21"/>
              </w:rPr>
              <w:t>发出商品</w:t>
            </w:r>
            <w:r>
              <w:rPr>
                <w:rFonts w:ascii="宋体" w:hAnsi="宋体" w:cs="宋体" w:eastAsia="宋体" w:hint="default"/>
                <w:sz w:val="21"/>
                <w:szCs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453,889,589.84</w:t>
            </w:r>
          </w:p>
        </w:tc>
        <w:tc>
          <w:tcPr>
            <w:tcW w:w="90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453,889,589.84</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7"/>
              <w:jc w:val="right"/>
              <w:rPr>
                <w:rFonts w:ascii="Times New Roman" w:hAnsi="Times New Roman" w:cs="Times New Roman" w:eastAsia="Times New Roman" w:hint="default"/>
                <w:sz w:val="21"/>
                <w:szCs w:val="21"/>
              </w:rPr>
            </w:pPr>
            <w:r>
              <w:rPr>
                <w:rFonts w:ascii="Times New Roman"/>
                <w:spacing w:val="-1"/>
                <w:sz w:val="21"/>
              </w:rPr>
              <w:t>176,691,924.60</w:t>
            </w:r>
          </w:p>
        </w:tc>
        <w:tc>
          <w:tcPr>
            <w:tcW w:w="893"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176,691,924.60</w:t>
            </w:r>
          </w:p>
        </w:tc>
      </w:tr>
      <w:tr>
        <w:trPr>
          <w:trHeight w:val="283"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1,317,494,119.71</w:t>
            </w:r>
          </w:p>
        </w:tc>
        <w:tc>
          <w:tcPr>
            <w:tcW w:w="901"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1,317,494,119.71</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7"/>
              <w:jc w:val="right"/>
              <w:rPr>
                <w:rFonts w:ascii="Times New Roman" w:hAnsi="Times New Roman" w:cs="Times New Roman" w:eastAsia="Times New Roman" w:hint="default"/>
                <w:sz w:val="21"/>
                <w:szCs w:val="21"/>
              </w:rPr>
            </w:pPr>
            <w:r>
              <w:rPr>
                <w:rFonts w:ascii="Times New Roman"/>
                <w:spacing w:val="-1"/>
                <w:sz w:val="21"/>
              </w:rPr>
              <w:t>1,152,289,853.69</w:t>
            </w:r>
          </w:p>
        </w:tc>
        <w:tc>
          <w:tcPr>
            <w:tcW w:w="893"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1,152,289,853.69</w:t>
            </w:r>
          </w:p>
        </w:tc>
      </w:tr>
    </w:tbl>
    <w:p>
      <w:pPr>
        <w:spacing w:line="240" w:lineRule="auto" w:before="7"/>
        <w:rPr>
          <w:rFonts w:ascii="宋体" w:hAnsi="宋体" w:cs="宋体" w:eastAsia="宋体" w:hint="default"/>
          <w:sz w:val="17"/>
          <w:szCs w:val="17"/>
        </w:rPr>
      </w:pPr>
    </w:p>
    <w:p>
      <w:pPr>
        <w:pStyle w:val="Heading5"/>
        <w:spacing w:line="240" w:lineRule="auto" w:before="36"/>
        <w:ind w:left="136" w:right="102"/>
        <w:jc w:val="left"/>
        <w:rPr>
          <w:rFonts w:ascii="宋体" w:hAnsi="宋体" w:cs="宋体" w:eastAsia="宋体" w:hint="default"/>
          <w:b w:val="0"/>
          <w:bCs w:val="0"/>
        </w:rPr>
      </w:pPr>
      <w:r>
        <w:rPr>
          <w:rFonts w:ascii="宋体" w:hAnsi="宋体" w:cs="宋体" w:eastAsia="宋体" w:hint="default"/>
        </w:rPr>
        <w:t>(2).</w:t>
      </w:r>
      <w:r>
        <w:rPr/>
        <w:t>存货跌价准备</w:t>
      </w:r>
      <w:r>
        <w:rPr>
          <w:rFonts w:ascii="宋体" w:hAnsi="宋体" w:cs="宋体" w:eastAsia="宋体" w:hint="default"/>
          <w:b w:val="0"/>
          <w:bCs w:val="0"/>
          <w:w w:val="100"/>
        </w:rPr>
        <w:t> </w:t>
      </w:r>
    </w:p>
    <w:p>
      <w:pPr>
        <w:pStyle w:val="Heading3"/>
        <w:spacing w:line="240" w:lineRule="auto" w:before="52"/>
        <w:ind w:left="136" w:right="10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40" w:lineRule="auto"/>
        <w:ind w:left="136" w:right="102"/>
        <w:jc w:val="left"/>
        <w:rPr>
          <w:rFonts w:ascii="宋体" w:hAnsi="宋体" w:cs="宋体" w:eastAsia="宋体" w:hint="default"/>
          <w:b w:val="0"/>
          <w:bCs w:val="0"/>
        </w:rPr>
      </w:pPr>
      <w:r>
        <w:rPr>
          <w:rFonts w:ascii="宋体" w:hAnsi="宋体" w:cs="宋体" w:eastAsia="宋体" w:hint="default"/>
        </w:rPr>
        <w:t>(3).</w:t>
      </w:r>
      <w:r>
        <w:rPr/>
        <w:t>存货期末余额含有借款费用资本化金额的说明</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left="136" w:right="102"/>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136" w:right="0"/>
        <w:jc w:val="left"/>
        <w:rPr>
          <w:rFonts w:ascii="宋体" w:hAnsi="宋体" w:cs="宋体" w:eastAsia="宋体" w:hint="default"/>
        </w:rPr>
      </w:pPr>
      <w:r>
        <w:rPr>
          <w:rFonts w:ascii="宋体"/>
        </w:rPr>
        <w:t> </w:t>
      </w:r>
    </w:p>
    <w:p>
      <w:pPr>
        <w:pStyle w:val="Heading5"/>
        <w:spacing w:line="240" w:lineRule="auto" w:before="61"/>
        <w:ind w:left="136" w:right="102"/>
        <w:jc w:val="left"/>
        <w:rPr>
          <w:rFonts w:ascii="宋体" w:hAnsi="宋体" w:cs="宋体" w:eastAsia="宋体" w:hint="default"/>
          <w:b w:val="0"/>
          <w:bCs w:val="0"/>
        </w:rPr>
      </w:pPr>
      <w:r>
        <w:rPr>
          <w:rFonts w:ascii="宋体" w:hAnsi="宋体" w:cs="宋体" w:eastAsia="宋体" w:hint="default"/>
        </w:rPr>
        <w:t>(4).</w:t>
      </w:r>
      <w:r>
        <w:rPr/>
        <w:t>期末建造合同形成的已完工未结算资产情况</w:t>
      </w:r>
      <w:r>
        <w:rPr>
          <w:rFonts w:ascii="宋体" w:hAnsi="宋体" w:cs="宋体" w:eastAsia="宋体" w:hint="default"/>
          <w:w w:val="99"/>
        </w:rPr>
        <w:t> </w:t>
      </w:r>
      <w:r>
        <w:rPr>
          <w:rFonts w:ascii="宋体" w:hAnsi="宋体" w:cs="宋体" w:eastAsia="宋体" w:hint="default"/>
          <w:b w:val="0"/>
          <w:bCs w:val="0"/>
        </w:rPr>
      </w:r>
    </w:p>
    <w:p>
      <w:pPr>
        <w:spacing w:after="0" w:line="240" w:lineRule="auto"/>
        <w:jc w:val="left"/>
        <w:rPr>
          <w:rFonts w:ascii="宋体" w:hAnsi="宋体" w:cs="宋体" w:eastAsia="宋体" w:hint="default"/>
        </w:rPr>
        <w:sectPr>
          <w:type w:val="continuous"/>
          <w:pgSz w:w="11910" w:h="16840"/>
          <w:pgMar w:top="1120" w:bottom="1380" w:left="1140" w:right="1580"/>
        </w:sectPr>
      </w:pPr>
    </w:p>
    <w:p>
      <w:pPr>
        <w:spacing w:line="240" w:lineRule="auto" w:before="13"/>
        <w:rPr>
          <w:rFonts w:ascii="宋体" w:hAnsi="宋体" w:cs="宋体" w:eastAsia="宋体" w:hint="default"/>
          <w:b/>
          <w:bCs/>
          <w:sz w:val="18"/>
          <w:szCs w:val="18"/>
        </w:rPr>
      </w:pPr>
    </w:p>
    <w:p>
      <w:pPr>
        <w:pStyle w:val="Heading3"/>
        <w:spacing w:line="313" w:lineRule="exact" w:before="26"/>
        <w:ind w:right="0"/>
        <w:jc w:val="left"/>
        <w:rPr>
          <w:rFonts w:ascii="宋体" w:hAnsi="宋体" w:cs="宋体" w:eastAsia="宋体" w:hint="default"/>
        </w:rPr>
      </w:pPr>
      <w:r>
        <w:rPr/>
        <w:t>其他说明</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651" w:top="1120" w:bottom="1840" w:left="1060" w:right="1560"/>
        </w:sectPr>
      </w:pPr>
    </w:p>
    <w:p>
      <w:pPr>
        <w:pStyle w:val="Heading5"/>
        <w:spacing w:line="240" w:lineRule="auto" w:before="36"/>
        <w:ind w:right="0"/>
        <w:jc w:val="left"/>
        <w:rPr>
          <w:b w:val="0"/>
          <w:bCs w:val="0"/>
        </w:rPr>
      </w:pPr>
      <w:r>
        <w:rPr>
          <w:rFonts w:ascii="宋体" w:hAnsi="宋体" w:cs="宋体" w:eastAsia="宋体" w:hint="default"/>
        </w:rPr>
        <w:t>10</w:t>
      </w:r>
      <w:r>
        <w:rPr/>
        <w:t>、</w:t>
      </w:r>
      <w:r>
        <w:rPr>
          <w:spacing w:val="-23"/>
        </w:rPr>
        <w:t> </w:t>
      </w:r>
      <w:r>
        <w:rPr/>
        <w:t>持有待售资产</w:t>
      </w:r>
      <w:r>
        <w:rPr>
          <w:b w:val="0"/>
          <w:bCs w:val="0"/>
        </w:rPr>
      </w:r>
    </w:p>
    <w:p>
      <w:pPr>
        <w:pStyle w:val="Heading3"/>
        <w:spacing w:line="313" w:lineRule="exact"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40" w:lineRule="auto" w:before="61"/>
        <w:ind w:right="0"/>
        <w:jc w:val="left"/>
        <w:rPr>
          <w:b w:val="0"/>
          <w:bCs w:val="0"/>
        </w:rPr>
      </w:pPr>
      <w:r>
        <w:rPr>
          <w:rFonts w:ascii="宋体" w:hAnsi="宋体" w:cs="宋体" w:eastAsia="宋体" w:hint="default"/>
        </w:rPr>
        <w:t>11</w:t>
      </w:r>
      <w:r>
        <w:rPr/>
        <w:t>、</w:t>
      </w:r>
      <w:r>
        <w:rPr>
          <w:spacing w:val="-24"/>
        </w:rPr>
        <w:t> </w:t>
      </w:r>
      <w:r>
        <w:rPr/>
        <w:t>一年内到期的非流动资产</w:t>
      </w:r>
      <w:r>
        <w:rPr>
          <w:b w:val="0"/>
          <w:bCs w:val="0"/>
        </w:rPr>
      </w:r>
    </w:p>
    <w:p>
      <w:pPr>
        <w:pStyle w:val="Heading3"/>
        <w:spacing w:line="240" w:lineRule="auto"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1" w:lineRule="exact" w:before="1"/>
        <w:ind w:left="216" w:right="0"/>
        <w:jc w:val="left"/>
        <w:rPr>
          <w:rFonts w:ascii="宋体" w:hAnsi="宋体" w:cs="宋体" w:eastAsia="宋体" w:hint="default"/>
        </w:rPr>
      </w:pPr>
      <w:r>
        <w:rPr/>
        <w:t>期末重要的债权投资和其他债权投资：</w:t>
      </w:r>
      <w:r>
        <w:rPr>
          <w:rFonts w:ascii="宋体" w:hAnsi="宋体" w:cs="宋体" w:eastAsia="宋体" w:hint="default"/>
        </w:rPr>
        <w:t> </w:t>
      </w:r>
    </w:p>
    <w:p>
      <w:pPr>
        <w:pStyle w:val="Heading3"/>
        <w:spacing w:line="310"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40" w:lineRule="auto"/>
        <w:ind w:right="0"/>
        <w:jc w:val="left"/>
        <w:rPr>
          <w:b w:val="0"/>
          <w:bCs w:val="0"/>
        </w:rPr>
      </w:pPr>
      <w:r>
        <w:rPr>
          <w:rFonts w:ascii="宋体" w:hAnsi="宋体" w:cs="宋体" w:eastAsia="宋体" w:hint="default"/>
        </w:rPr>
        <w:t>12</w:t>
      </w:r>
      <w:r>
        <w:rPr/>
        <w:t>、</w:t>
      </w:r>
      <w:r>
        <w:rPr>
          <w:spacing w:val="-23"/>
        </w:rPr>
        <w:t> </w:t>
      </w:r>
      <w:r>
        <w:rPr/>
        <w:t>其他流动资产</w:t>
      </w:r>
      <w:r>
        <w:rPr>
          <w:b w:val="0"/>
          <w:bCs w:val="0"/>
        </w:rPr>
      </w:r>
    </w:p>
    <w:p>
      <w:pPr>
        <w:pStyle w:val="Heading3"/>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57"/>
        <w:ind w:left="216"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1060" w:right="1560"/>
          <w:cols w:num="2" w:equalWidth="0">
            <w:col w:w="3895" w:space="2627"/>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89"/>
        <w:gridCol w:w="2916"/>
        <w:gridCol w:w="2845"/>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 w:right="0"/>
              <w:jc w:val="left"/>
              <w:rPr>
                <w:rFonts w:ascii="宋体" w:hAnsi="宋体" w:cs="宋体" w:eastAsia="宋体" w:hint="default"/>
                <w:sz w:val="21"/>
                <w:szCs w:val="21"/>
              </w:rPr>
            </w:pPr>
            <w:r>
              <w:rPr>
                <w:rFonts w:ascii="宋体" w:hAnsi="宋体" w:cs="宋体" w:eastAsia="宋体" w:hint="default"/>
                <w:sz w:val="21"/>
                <w:szCs w:val="21"/>
              </w:rPr>
              <w:t>预交所得税</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127,368.08</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1,636,827.06</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 w:right="0"/>
              <w:jc w:val="left"/>
              <w:rPr>
                <w:rFonts w:ascii="宋体" w:hAnsi="宋体" w:cs="宋体" w:eastAsia="宋体" w:hint="default"/>
                <w:sz w:val="21"/>
                <w:szCs w:val="21"/>
              </w:rPr>
            </w:pPr>
            <w:r>
              <w:rPr>
                <w:rFonts w:ascii="宋体" w:hAnsi="宋体" w:cs="宋体" w:eastAsia="宋体" w:hint="default"/>
                <w:sz w:val="21"/>
                <w:szCs w:val="21"/>
              </w:rPr>
              <w:t>待抵扣进项税</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34,350,550.19</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33,921,575.46</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119,108.23</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103,592.45</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34,597,026.50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35,661,994.97</w:t>
            </w:r>
          </w:p>
        </w:tc>
      </w:tr>
    </w:tbl>
    <w:p>
      <w:pPr>
        <w:pStyle w:val="Heading3"/>
        <w:spacing w:line="274" w:lineRule="exact"/>
        <w:ind w:right="0"/>
        <w:jc w:val="left"/>
        <w:rPr>
          <w:rFonts w:ascii="宋体" w:hAnsi="宋体" w:cs="宋体" w:eastAsia="宋体" w:hint="default"/>
        </w:rPr>
      </w:pPr>
      <w:r>
        <w:rPr>
          <w:rFonts w:ascii="宋体"/>
        </w:rPr>
        <w:t> </w:t>
      </w:r>
    </w:p>
    <w:p>
      <w:pPr>
        <w:pStyle w:val="Heading5"/>
        <w:spacing w:line="290" w:lineRule="auto" w:before="61"/>
        <w:ind w:right="7168"/>
        <w:jc w:val="left"/>
        <w:rPr>
          <w:rFonts w:ascii="宋体" w:hAnsi="宋体" w:cs="宋体" w:eastAsia="宋体" w:hint="default"/>
          <w:b w:val="0"/>
          <w:bCs w:val="0"/>
        </w:rPr>
      </w:pPr>
      <w:r>
        <w:rPr>
          <w:rFonts w:ascii="宋体" w:hAnsi="宋体" w:cs="宋体" w:eastAsia="宋体" w:hint="default"/>
        </w:rPr>
        <w:t>13</w:t>
      </w:r>
      <w:r>
        <w:rPr/>
        <w:t>、</w:t>
      </w:r>
      <w:r>
        <w:rPr>
          <w:spacing w:val="-25"/>
        </w:rPr>
        <w:t> </w:t>
      </w:r>
      <w:r>
        <w:rPr/>
        <w:t>债权投资</w:t>
      </w:r>
      <w:r>
        <w:rPr>
          <w:w w:val="100"/>
        </w:rPr>
        <w:t> </w:t>
      </w:r>
      <w:r>
        <w:rPr>
          <w:rFonts w:ascii="宋体" w:hAnsi="宋体" w:cs="宋体" w:eastAsia="宋体" w:hint="default"/>
        </w:rPr>
        <w:t>(1).</w:t>
      </w:r>
      <w:r>
        <w:rPr/>
        <w:t>债权投资情况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(2).</w:t>
      </w:r>
      <w:r>
        <w:rPr/>
        <w:t>期末重要的债权投资</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(3).</w:t>
      </w:r>
      <w:r>
        <w:rPr/>
        <w:t>减值准备计提情况</w:t>
      </w:r>
      <w:r>
        <w:rPr>
          <w:rFonts w:ascii="宋体" w:hAnsi="宋体" w:cs="宋体" w:eastAsia="宋体" w:hint="default"/>
          <w:w w:val="99"/>
        </w:rPr>
        <w:t> </w:t>
      </w:r>
      <w:r>
        <w:rPr>
          <w:rFonts w:ascii="宋体" w:hAnsi="宋体" w:cs="宋体" w:eastAsia="宋体" w:hint="default"/>
          <w:b w:val="0"/>
          <w:bCs w:val="0"/>
        </w:rPr>
      </w:r>
    </w:p>
    <w:p>
      <w:pPr>
        <w:pStyle w:val="Heading3"/>
        <w:spacing w:line="312" w:lineRule="exact"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right="0"/>
        <w:jc w:val="left"/>
        <w:rPr>
          <w:rFonts w:ascii="宋体" w:hAnsi="宋体" w:cs="宋体" w:eastAsia="宋体" w:hint="default"/>
        </w:rPr>
      </w:pPr>
      <w:r>
        <w:rPr>
          <w:rFonts w:ascii="宋体"/>
        </w:rPr>
        <w:t> </w:t>
      </w:r>
    </w:p>
    <w:p>
      <w:pPr>
        <w:pStyle w:val="BodyText"/>
        <w:spacing w:line="270" w:lineRule="exact" w:before="4"/>
        <w:ind w:left="216" w:right="0"/>
        <w:jc w:val="left"/>
      </w:pPr>
      <w:r>
        <w:rPr/>
        <w:t>本期减值准备计提金额以及评估金融工具的信用风险是否显著增加的采用依据</w:t>
      </w:r>
    </w:p>
    <w:p>
      <w:pPr>
        <w:pStyle w:val="Heading3"/>
        <w:spacing w:line="308"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before="29"/>
        <w:ind w:right="0"/>
        <w:jc w:val="left"/>
        <w:rPr>
          <w:rFonts w:ascii="宋体" w:hAnsi="宋体" w:cs="宋体" w:eastAsia="宋体" w:hint="default"/>
        </w:rPr>
      </w:pPr>
      <w:r>
        <w:rPr>
          <w:rFonts w:ascii="宋体" w:hAnsi="宋体" w:cs="宋体" w:eastAsia="宋体" w:hint="default"/>
        </w:rPr>
        <w:t>  </w:t>
      </w:r>
      <w:r>
        <w:rPr/>
        <w:t>其他说明</w:t>
      </w:r>
      <w:r>
        <w:rPr>
          <w:rFonts w:ascii="宋体" w:hAnsi="宋体" w:cs="宋体" w:eastAsia="宋体" w:hint="default"/>
        </w:rPr>
        <w:t> </w:t>
      </w:r>
    </w:p>
    <w:p>
      <w:pPr>
        <w:pStyle w:val="Heading3"/>
        <w:spacing w:line="280"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90" w:lineRule="auto"/>
        <w:ind w:right="5634"/>
        <w:jc w:val="left"/>
        <w:rPr>
          <w:rFonts w:ascii="宋体" w:hAnsi="宋体" w:cs="宋体" w:eastAsia="宋体" w:hint="default"/>
          <w:b w:val="0"/>
          <w:bCs w:val="0"/>
        </w:rPr>
      </w:pPr>
      <w:r>
        <w:rPr>
          <w:rFonts w:ascii="宋体" w:hAnsi="宋体" w:cs="宋体" w:eastAsia="宋体" w:hint="default"/>
        </w:rPr>
        <w:t>14</w:t>
      </w:r>
      <w:r>
        <w:rPr/>
        <w:t>、</w:t>
      </w:r>
      <w:r>
        <w:rPr>
          <w:spacing w:val="-25"/>
        </w:rPr>
        <w:t> </w:t>
      </w:r>
      <w:r>
        <w:rPr/>
        <w:t>其他债权投资</w:t>
      </w:r>
      <w:r>
        <w:rPr>
          <w:w w:val="100"/>
        </w:rPr>
        <w:t> </w:t>
      </w:r>
      <w:r>
        <w:rPr>
          <w:rFonts w:ascii="宋体" w:hAnsi="宋体" w:cs="宋体" w:eastAsia="宋体" w:hint="default"/>
        </w:rPr>
        <w:t>(1).</w:t>
      </w:r>
      <w:r>
        <w:rPr/>
        <w:t>其他债权投资情况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40" w:lineRule="auto" w:before="61"/>
        <w:ind w:right="0"/>
        <w:jc w:val="left"/>
        <w:rPr>
          <w:rFonts w:ascii="宋体" w:hAnsi="宋体" w:cs="宋体" w:eastAsia="宋体" w:hint="default"/>
          <w:b w:val="0"/>
          <w:bCs w:val="0"/>
        </w:rPr>
      </w:pPr>
      <w:r>
        <w:rPr>
          <w:rFonts w:ascii="宋体" w:hAnsi="宋体" w:cs="宋体" w:eastAsia="宋体" w:hint="default"/>
        </w:rPr>
        <w:t>(2).</w:t>
      </w:r>
      <w:r>
        <w:rPr/>
        <w:t>期末重要的其他债权投资</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(3).</w:t>
      </w:r>
      <w:r>
        <w:rPr/>
        <w:t>减值准备计提情况</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BodyText"/>
        <w:spacing w:line="240" w:lineRule="auto" w:before="1"/>
        <w:ind w:left="216" w:right="0"/>
        <w:jc w:val="left"/>
      </w:pPr>
      <w:r>
        <w:rPr/>
        <w:t>本期减值准备计提金额以及评估金融工具的信用风险是否显著增加的采用依据</w:t>
      </w:r>
    </w:p>
    <w:p>
      <w:pPr>
        <w:spacing w:after="0" w:line="240" w:lineRule="auto"/>
        <w:jc w:val="left"/>
        <w:sectPr>
          <w:type w:val="continuous"/>
          <w:pgSz w:w="11910" w:h="16840"/>
          <w:pgMar w:top="1120" w:bottom="1380" w:left="1060" w:right="1560"/>
        </w:sectPr>
      </w:pPr>
    </w:p>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55"/>
          <w:pgSz w:w="11910" w:h="16840"/>
          <w:pgMar w:footer="1195" w:header="882" w:top="1120" w:bottom="1380" w:left="1060" w:right="1560"/>
        </w:sectPr>
      </w:pPr>
    </w:p>
    <w:p>
      <w:pPr>
        <w:pStyle w:val="Heading3"/>
        <w:spacing w:line="313" w:lineRule="exact" w:before="26"/>
        <w:ind w:right="0"/>
        <w:jc w:val="left"/>
        <w:rPr>
          <w:rFonts w:ascii="宋体" w:hAnsi="宋体" w:cs="宋体" w:eastAsia="宋体" w:hint="default"/>
        </w:rPr>
      </w:pPr>
      <w:r>
        <w:rPr/>
        <w:t>其他说明：</w:t>
      </w:r>
      <w:r>
        <w:rPr>
          <w:rFonts w:ascii="宋体" w:hAnsi="宋体" w:cs="宋体" w:eastAsia="宋体" w:hint="default"/>
        </w:rPr>
        <w:t> </w:t>
      </w:r>
    </w:p>
    <w:p>
      <w:pPr>
        <w:spacing w:line="290" w:lineRule="auto" w:before="0"/>
        <w:ind w:left="216" w:right="0" w:firstLine="0"/>
        <w:jc w:val="left"/>
        <w:rPr>
          <w:rFonts w:ascii="宋体" w:hAnsi="宋体" w:cs="宋体" w:eastAsia="宋体" w:hint="default"/>
          <w:sz w:val="21"/>
          <w:szCs w:val="21"/>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1"/>
          <w:szCs w:val="21"/>
        </w:rPr>
        <w:t>15</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长期应收款</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长期应收款情况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258" w:space="4264"/>
            <w:col w:w="2768"/>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764"/>
        <w:gridCol w:w="1313"/>
        <w:gridCol w:w="703"/>
        <w:gridCol w:w="1313"/>
        <w:gridCol w:w="1313"/>
        <w:gridCol w:w="703"/>
        <w:gridCol w:w="1313"/>
        <w:gridCol w:w="626"/>
      </w:tblGrid>
      <w:tr>
        <w:trPr>
          <w:trHeight w:val="286" w:hRule="exact"/>
        </w:trPr>
        <w:tc>
          <w:tcPr>
            <w:tcW w:w="17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67"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29" w:type="dxa"/>
            <w:gridSpan w:val="3"/>
            <w:tcBorders>
              <w:top w:val="single" w:sz="4" w:space="0" w:color="000000"/>
              <w:left w:val="single" w:sz="4" w:space="0" w:color="000000"/>
              <w:bottom w:val="single" w:sz="6"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30" w:type="dxa"/>
            <w:gridSpan w:val="3"/>
            <w:tcBorders>
              <w:top w:val="single" w:sz="4" w:space="0" w:color="000000"/>
              <w:left w:val="single" w:sz="4" w:space="0" w:color="000000"/>
              <w:bottom w:val="single" w:sz="6"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626" w:type="dxa"/>
            <w:vMerge w:val="restart"/>
            <w:tcBorders>
              <w:top w:val="single" w:sz="4" w:space="0" w:color="000000"/>
              <w:left w:val="single" w:sz="4" w:space="0" w:color="000000"/>
              <w:right w:val="single" w:sz="4" w:space="0" w:color="000000"/>
            </w:tcBorders>
          </w:tcPr>
          <w:p>
            <w:pPr>
              <w:pStyle w:val="TableParagraph"/>
              <w:spacing w:line="241" w:lineRule="exact"/>
              <w:ind w:left="201" w:right="0"/>
              <w:jc w:val="both"/>
              <w:rPr>
                <w:rFonts w:ascii="宋体" w:hAnsi="宋体" w:cs="宋体" w:eastAsia="宋体" w:hint="default"/>
                <w:sz w:val="21"/>
                <w:szCs w:val="21"/>
              </w:rPr>
            </w:pPr>
            <w:r>
              <w:rPr>
                <w:rFonts w:ascii="宋体" w:hAnsi="宋体" w:cs="宋体" w:eastAsia="宋体" w:hint="default"/>
                <w:w w:val="100"/>
                <w:sz w:val="21"/>
                <w:szCs w:val="21"/>
              </w:rPr>
              <w:t>折</w:t>
            </w:r>
          </w:p>
          <w:p>
            <w:pPr>
              <w:pStyle w:val="TableParagraph"/>
              <w:spacing w:line="237" w:lineRule="auto"/>
              <w:ind w:left="201" w:right="96"/>
              <w:jc w:val="both"/>
              <w:rPr>
                <w:rFonts w:ascii="宋体" w:hAnsi="宋体" w:cs="宋体" w:eastAsia="宋体" w:hint="default"/>
                <w:sz w:val="21"/>
                <w:szCs w:val="21"/>
              </w:rPr>
            </w:pPr>
            <w:r>
              <w:rPr>
                <w:rFonts w:ascii="宋体" w:hAnsi="宋体" w:cs="宋体" w:eastAsia="宋体" w:hint="default"/>
                <w:sz w:val="21"/>
                <w:szCs w:val="21"/>
              </w:rPr>
              <w:t>现</w:t>
            </w:r>
            <w:r>
              <w:rPr>
                <w:rFonts w:ascii="宋体" w:hAnsi="宋体" w:cs="宋体" w:eastAsia="宋体" w:hint="default"/>
                <w:w w:val="100"/>
                <w:sz w:val="21"/>
                <w:szCs w:val="21"/>
              </w:rPr>
              <w:t> </w:t>
            </w:r>
            <w:r>
              <w:rPr>
                <w:rFonts w:ascii="宋体" w:hAnsi="宋体" w:cs="宋体" w:eastAsia="宋体" w:hint="default"/>
                <w:sz w:val="21"/>
                <w:szCs w:val="21"/>
              </w:rPr>
              <w:t>率</w:t>
            </w:r>
            <w:r>
              <w:rPr>
                <w:rFonts w:ascii="宋体" w:hAnsi="宋体" w:cs="宋体" w:eastAsia="宋体" w:hint="default"/>
                <w:w w:val="100"/>
                <w:sz w:val="21"/>
                <w:szCs w:val="21"/>
              </w:rPr>
              <w:t> </w:t>
            </w:r>
            <w:r>
              <w:rPr>
                <w:rFonts w:ascii="宋体" w:hAnsi="宋体" w:cs="宋体" w:eastAsia="宋体" w:hint="default"/>
                <w:sz w:val="21"/>
                <w:szCs w:val="21"/>
              </w:rPr>
              <w:t>区</w:t>
            </w:r>
            <w:r>
              <w:rPr>
                <w:rFonts w:ascii="宋体" w:hAnsi="宋体" w:cs="宋体" w:eastAsia="宋体" w:hint="default"/>
                <w:w w:val="100"/>
                <w:sz w:val="21"/>
                <w:szCs w:val="21"/>
              </w:rPr>
              <w:t> </w:t>
            </w:r>
            <w:r>
              <w:rPr>
                <w:rFonts w:ascii="宋体" w:hAnsi="宋体" w:cs="宋体" w:eastAsia="宋体" w:hint="default"/>
                <w:sz w:val="21"/>
                <w:szCs w:val="21"/>
              </w:rPr>
              <w:t>间</w:t>
            </w:r>
            <w:r>
              <w:rPr>
                <w:rFonts w:ascii="宋体" w:hAnsi="宋体" w:cs="宋体" w:eastAsia="宋体" w:hint="default"/>
                <w:sz w:val="21"/>
                <w:szCs w:val="21"/>
              </w:rPr>
              <w:t> </w:t>
            </w:r>
          </w:p>
        </w:tc>
      </w:tr>
      <w:tr>
        <w:trPr>
          <w:trHeight w:val="1090" w:hRule="exact"/>
        </w:trPr>
        <w:tc>
          <w:tcPr>
            <w:tcW w:w="1764" w:type="dxa"/>
            <w:vMerge/>
            <w:tcBorders>
              <w:left w:val="single" w:sz="4" w:space="0" w:color="000000"/>
              <w:bottom w:val="single" w:sz="6" w:space="0" w:color="000000"/>
              <w:right w:val="single" w:sz="4" w:space="0" w:color="000000"/>
            </w:tcBorders>
          </w:tcPr>
          <w:p>
            <w:pPr/>
          </w:p>
        </w:tc>
        <w:tc>
          <w:tcPr>
            <w:tcW w:w="1313"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72" w:lineRule="exact"/>
              <w:ind w:left="240" w:right="24" w:hanging="212"/>
              <w:jc w:val="left"/>
              <w:rPr>
                <w:rFonts w:ascii="宋体" w:hAnsi="宋体" w:cs="宋体" w:eastAsia="宋体" w:hint="default"/>
                <w:sz w:val="21"/>
                <w:szCs w:val="21"/>
              </w:rPr>
            </w:pPr>
            <w:r>
              <w:rPr>
                <w:rFonts w:ascii="宋体" w:hAnsi="宋体" w:cs="宋体" w:eastAsia="宋体" w:hint="default"/>
                <w:sz w:val="21"/>
                <w:szCs w:val="21"/>
              </w:rPr>
              <w:t>坏账准</w:t>
            </w:r>
            <w:r>
              <w:rPr>
                <w:rFonts w:ascii="宋体" w:hAnsi="宋体" w:cs="宋体" w:eastAsia="宋体" w:hint="default"/>
                <w:spacing w:val="-102"/>
                <w:sz w:val="21"/>
                <w:szCs w:val="21"/>
              </w:rPr>
              <w:t> </w:t>
            </w:r>
            <w:r>
              <w:rPr>
                <w:rFonts w:ascii="宋体" w:hAnsi="宋体" w:cs="宋体" w:eastAsia="宋体" w:hint="default"/>
                <w:sz w:val="21"/>
                <w:szCs w:val="21"/>
              </w:rPr>
              <w:t>备</w:t>
            </w:r>
            <w:r>
              <w:rPr>
                <w:rFonts w:ascii="宋体" w:hAnsi="宋体" w:cs="宋体" w:eastAsia="宋体" w:hint="default"/>
                <w:sz w:val="21"/>
                <w:szCs w:val="21"/>
              </w:rPr>
              <w:t> </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228"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72" w:lineRule="exact"/>
              <w:ind w:left="237" w:right="26" w:hanging="212"/>
              <w:jc w:val="left"/>
              <w:rPr>
                <w:rFonts w:ascii="宋体" w:hAnsi="宋体" w:cs="宋体" w:eastAsia="宋体" w:hint="default"/>
                <w:sz w:val="21"/>
                <w:szCs w:val="21"/>
              </w:rPr>
            </w:pPr>
            <w:r>
              <w:rPr>
                <w:rFonts w:ascii="宋体" w:hAnsi="宋体" w:cs="宋体" w:eastAsia="宋体" w:hint="default"/>
                <w:sz w:val="21"/>
                <w:szCs w:val="21"/>
              </w:rPr>
              <w:t>坏账准</w:t>
            </w:r>
            <w:r>
              <w:rPr>
                <w:rFonts w:ascii="宋体" w:hAnsi="宋体" w:cs="宋体" w:eastAsia="宋体" w:hint="default"/>
                <w:spacing w:val="-102"/>
                <w:sz w:val="21"/>
                <w:szCs w:val="21"/>
              </w:rPr>
              <w:t> </w:t>
            </w:r>
            <w:r>
              <w:rPr>
                <w:rFonts w:ascii="宋体" w:hAnsi="宋体" w:cs="宋体" w:eastAsia="宋体" w:hint="default"/>
                <w:sz w:val="21"/>
                <w:szCs w:val="21"/>
              </w:rPr>
              <w:t>备</w:t>
            </w:r>
            <w:r>
              <w:rPr>
                <w:rFonts w:ascii="宋体" w:hAnsi="宋体" w:cs="宋体" w:eastAsia="宋体" w:hint="default"/>
                <w:sz w:val="21"/>
                <w:szCs w:val="21"/>
              </w:rPr>
              <w:t> </w:t>
            </w:r>
          </w:p>
        </w:tc>
        <w:tc>
          <w:tcPr>
            <w:tcW w:w="131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626" w:type="dxa"/>
            <w:vMerge/>
            <w:tcBorders>
              <w:left w:val="single" w:sz="4" w:space="0" w:color="000000"/>
              <w:bottom w:val="single" w:sz="6" w:space="0" w:color="000000"/>
              <w:right w:val="single" w:sz="4" w:space="0" w:color="000000"/>
            </w:tcBorders>
          </w:tcPr>
          <w:p>
            <w:pPr/>
          </w:p>
        </w:tc>
      </w:tr>
      <w:tr>
        <w:trPr>
          <w:trHeight w:val="288" w:hRule="exact"/>
        </w:trPr>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融资租赁款</w:t>
            </w:r>
          </w:p>
        </w:tc>
        <w:tc>
          <w:tcPr>
            <w:tcW w:w="1313" w:type="dxa"/>
            <w:tcBorders>
              <w:top w:val="single" w:sz="6" w:space="0" w:color="000000"/>
              <w:left w:val="single" w:sz="6" w:space="0" w:color="000000"/>
              <w:bottom w:val="single" w:sz="6" w:space="0" w:color="000000"/>
              <w:right w:val="single" w:sz="6" w:space="0" w:color="000000"/>
            </w:tcBorders>
          </w:tcPr>
          <w:p>
            <w:pPr/>
          </w:p>
        </w:tc>
        <w:tc>
          <w:tcPr>
            <w:tcW w:w="703"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c>
          <w:tcPr>
            <w:tcW w:w="703"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4" w:space="0" w:color="000000"/>
            </w:tcBorders>
          </w:tcPr>
          <w:p>
            <w:pPr/>
          </w:p>
        </w:tc>
        <w:tc>
          <w:tcPr>
            <w:tcW w:w="626" w:type="dxa"/>
            <w:tcBorders>
              <w:top w:val="single" w:sz="6" w:space="0" w:color="000000"/>
              <w:left w:val="single" w:sz="4" w:space="0" w:color="000000"/>
              <w:bottom w:val="single" w:sz="6" w:space="0" w:color="000000"/>
              <w:right w:val="single" w:sz="6" w:space="0" w:color="000000"/>
            </w:tcBorders>
          </w:tcPr>
          <w:p>
            <w:pPr/>
          </w:p>
        </w:tc>
      </w:tr>
      <w:tr>
        <w:trPr>
          <w:trHeight w:val="560" w:hRule="exact"/>
        </w:trPr>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其中：未实现</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融资收益</w:t>
            </w:r>
            <w:r>
              <w:rPr>
                <w:rFonts w:ascii="宋体" w:hAnsi="宋体" w:cs="宋体" w:eastAsia="宋体" w:hint="default"/>
                <w:sz w:val="21"/>
                <w:szCs w:val="21"/>
              </w:rPr>
              <w:t> </w:t>
            </w:r>
          </w:p>
        </w:tc>
        <w:tc>
          <w:tcPr>
            <w:tcW w:w="1313" w:type="dxa"/>
            <w:tcBorders>
              <w:top w:val="single" w:sz="6" w:space="0" w:color="000000"/>
              <w:left w:val="single" w:sz="6" w:space="0" w:color="000000"/>
              <w:bottom w:val="single" w:sz="6" w:space="0" w:color="000000"/>
              <w:right w:val="single" w:sz="6" w:space="0" w:color="000000"/>
            </w:tcBorders>
          </w:tcPr>
          <w:p>
            <w:pPr/>
          </w:p>
        </w:tc>
        <w:tc>
          <w:tcPr>
            <w:tcW w:w="703"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c>
          <w:tcPr>
            <w:tcW w:w="703"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4" w:space="0" w:color="000000"/>
            </w:tcBorders>
          </w:tcPr>
          <w:p>
            <w:pPr/>
          </w:p>
        </w:tc>
        <w:tc>
          <w:tcPr>
            <w:tcW w:w="626"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分期收款销售商品</w:t>
            </w:r>
          </w:p>
        </w:tc>
        <w:tc>
          <w:tcPr>
            <w:tcW w:w="1313" w:type="dxa"/>
            <w:tcBorders>
              <w:top w:val="single" w:sz="6" w:space="0" w:color="000000"/>
              <w:left w:val="single" w:sz="6" w:space="0" w:color="000000"/>
              <w:bottom w:val="single" w:sz="6" w:space="0" w:color="000000"/>
              <w:right w:val="single" w:sz="6" w:space="0" w:color="000000"/>
            </w:tcBorders>
          </w:tcPr>
          <w:p>
            <w:pPr/>
          </w:p>
        </w:tc>
        <w:tc>
          <w:tcPr>
            <w:tcW w:w="703"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c>
          <w:tcPr>
            <w:tcW w:w="703"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4" w:space="0" w:color="000000"/>
            </w:tcBorders>
          </w:tcPr>
          <w:p>
            <w:pPr/>
          </w:p>
        </w:tc>
        <w:tc>
          <w:tcPr>
            <w:tcW w:w="626" w:type="dxa"/>
            <w:tcBorders>
              <w:top w:val="single" w:sz="6" w:space="0" w:color="000000"/>
              <w:left w:val="single" w:sz="4" w:space="0" w:color="000000"/>
              <w:bottom w:val="single" w:sz="6" w:space="0" w:color="000000"/>
              <w:right w:val="single" w:sz="6" w:space="0" w:color="000000"/>
            </w:tcBorders>
          </w:tcPr>
          <w:p>
            <w:pPr/>
          </w:p>
        </w:tc>
      </w:tr>
      <w:tr>
        <w:trPr>
          <w:trHeight w:val="286" w:hRule="exact"/>
        </w:trPr>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分期收款提供劳务</w:t>
            </w:r>
          </w:p>
        </w:tc>
        <w:tc>
          <w:tcPr>
            <w:tcW w:w="1313" w:type="dxa"/>
            <w:tcBorders>
              <w:top w:val="single" w:sz="6" w:space="0" w:color="000000"/>
              <w:left w:val="single" w:sz="6" w:space="0" w:color="000000"/>
              <w:bottom w:val="single" w:sz="6" w:space="0" w:color="000000"/>
              <w:right w:val="single" w:sz="6" w:space="0" w:color="000000"/>
            </w:tcBorders>
          </w:tcPr>
          <w:p>
            <w:pPr/>
          </w:p>
        </w:tc>
        <w:tc>
          <w:tcPr>
            <w:tcW w:w="703"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
        </w:tc>
        <w:tc>
          <w:tcPr>
            <w:tcW w:w="703"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4" w:space="0" w:color="000000"/>
            </w:tcBorders>
          </w:tcPr>
          <w:p>
            <w:pPr/>
          </w:p>
        </w:tc>
        <w:tc>
          <w:tcPr>
            <w:tcW w:w="626" w:type="dxa"/>
            <w:tcBorders>
              <w:top w:val="single" w:sz="6" w:space="0" w:color="000000"/>
              <w:left w:val="single" w:sz="4" w:space="0" w:color="000000"/>
              <w:bottom w:val="single" w:sz="6" w:space="0" w:color="000000"/>
              <w:right w:val="single" w:sz="6" w:space="0" w:color="000000"/>
            </w:tcBorders>
          </w:tcPr>
          <w:p>
            <w:pPr/>
          </w:p>
        </w:tc>
      </w:tr>
      <w:tr>
        <w:trPr>
          <w:trHeight w:val="562" w:hRule="exact"/>
        </w:trPr>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贵州大学明德学院</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项目代建款</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
              <w:jc w:val="center"/>
              <w:rPr>
                <w:rFonts w:ascii="Times New Roman" w:hAnsi="Times New Roman" w:cs="Times New Roman" w:eastAsia="Times New Roman" w:hint="default"/>
                <w:sz w:val="20"/>
                <w:szCs w:val="20"/>
              </w:rPr>
            </w:pPr>
            <w:r>
              <w:rPr>
                <w:rFonts w:ascii="Times New Roman"/>
                <w:sz w:val="20"/>
              </w:rPr>
              <w:t>180,000,000.00</w:t>
            </w:r>
          </w:p>
        </w:tc>
        <w:tc>
          <w:tcPr>
            <w:tcW w:w="703"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0"/>
              <w:jc w:val="center"/>
              <w:rPr>
                <w:rFonts w:ascii="Times New Roman" w:hAnsi="Times New Roman" w:cs="Times New Roman" w:eastAsia="Times New Roman" w:hint="default"/>
                <w:sz w:val="20"/>
                <w:szCs w:val="20"/>
              </w:rPr>
            </w:pPr>
            <w:r>
              <w:rPr>
                <w:rFonts w:ascii="Times New Roman"/>
                <w:sz w:val="20"/>
              </w:rPr>
              <w:t>180,000,000.00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23"/>
              <w:jc w:val="right"/>
              <w:rPr>
                <w:rFonts w:ascii="Times New Roman" w:hAnsi="Times New Roman" w:cs="Times New Roman" w:eastAsia="Times New Roman" w:hint="default"/>
                <w:sz w:val="20"/>
                <w:szCs w:val="20"/>
              </w:rPr>
            </w:pPr>
            <w:r>
              <w:rPr>
                <w:rFonts w:ascii="Times New Roman"/>
                <w:w w:val="95"/>
                <w:sz w:val="20"/>
              </w:rPr>
              <w:t>180,000,000.00</w:t>
            </w:r>
            <w:r>
              <w:rPr>
                <w:rFonts w:ascii="Times New Roman"/>
                <w:sz w:val="20"/>
              </w:rPr>
            </w:r>
          </w:p>
        </w:tc>
        <w:tc>
          <w:tcPr>
            <w:tcW w:w="703"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0"/>
                <w:szCs w:val="20"/>
              </w:rPr>
            </w:pPr>
            <w:r>
              <w:rPr>
                <w:rFonts w:ascii="Times New Roman"/>
                <w:sz w:val="20"/>
              </w:rPr>
              <w:t>180,000,000.00</w:t>
            </w:r>
          </w:p>
        </w:tc>
        <w:tc>
          <w:tcPr>
            <w:tcW w:w="626" w:type="dxa"/>
            <w:tcBorders>
              <w:top w:val="single" w:sz="6" w:space="0" w:color="000000"/>
              <w:left w:val="single" w:sz="4" w:space="0" w:color="000000"/>
              <w:bottom w:val="single" w:sz="6" w:space="0" w:color="000000"/>
              <w:right w:val="single" w:sz="6" w:space="0" w:color="000000"/>
            </w:tcBorders>
          </w:tcPr>
          <w:p>
            <w:pPr/>
          </w:p>
        </w:tc>
      </w:tr>
      <w:tr>
        <w:trPr>
          <w:trHeight w:val="830" w:hRule="exact"/>
        </w:trPr>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泰豪沈阳电机有限</w:t>
            </w:r>
          </w:p>
          <w:p>
            <w:pPr>
              <w:pStyle w:val="TableParagraph"/>
              <w:spacing w:line="240" w:lineRule="auto"/>
              <w:ind w:left="24" w:right="15"/>
              <w:jc w:val="left"/>
              <w:rPr>
                <w:rFonts w:ascii="宋体" w:hAnsi="宋体" w:cs="宋体" w:eastAsia="宋体" w:hint="default"/>
                <w:sz w:val="21"/>
                <w:szCs w:val="21"/>
              </w:rPr>
            </w:pPr>
            <w:r>
              <w:rPr>
                <w:rFonts w:ascii="宋体" w:hAnsi="宋体" w:cs="宋体" w:eastAsia="宋体" w:hint="default"/>
                <w:sz w:val="21"/>
                <w:szCs w:val="21"/>
              </w:rPr>
              <w:t>公司发电机厂房代</w:t>
            </w:r>
            <w:r>
              <w:rPr>
                <w:rFonts w:ascii="宋体" w:hAnsi="宋体" w:cs="宋体" w:eastAsia="宋体" w:hint="default"/>
                <w:spacing w:val="-80"/>
                <w:sz w:val="21"/>
                <w:szCs w:val="21"/>
              </w:rPr>
              <w:t> </w:t>
            </w:r>
            <w:r>
              <w:rPr>
                <w:rFonts w:ascii="宋体" w:hAnsi="宋体" w:cs="宋体" w:eastAsia="宋体" w:hint="default"/>
                <w:sz w:val="21"/>
                <w:szCs w:val="21"/>
              </w:rPr>
              <w:t>建款</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99" w:right="0"/>
              <w:jc w:val="center"/>
              <w:rPr>
                <w:rFonts w:ascii="Times New Roman" w:hAnsi="Times New Roman" w:cs="Times New Roman" w:eastAsia="Times New Roman" w:hint="default"/>
                <w:sz w:val="20"/>
                <w:szCs w:val="20"/>
              </w:rPr>
            </w:pPr>
            <w:r>
              <w:rPr>
                <w:rFonts w:ascii="Times New Roman"/>
                <w:sz w:val="20"/>
              </w:rPr>
              <w:t>60,000,000.00</w:t>
            </w:r>
          </w:p>
        </w:tc>
        <w:tc>
          <w:tcPr>
            <w:tcW w:w="703"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00" w:right="0"/>
              <w:jc w:val="center"/>
              <w:rPr>
                <w:rFonts w:ascii="Times New Roman" w:hAnsi="Times New Roman" w:cs="Times New Roman" w:eastAsia="Times New Roman" w:hint="default"/>
                <w:sz w:val="20"/>
                <w:szCs w:val="20"/>
              </w:rPr>
            </w:pPr>
            <w:r>
              <w:rPr>
                <w:rFonts w:ascii="Times New Roman"/>
                <w:sz w:val="20"/>
              </w:rPr>
              <w:t>60,000,000.00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0"/>
                <w:szCs w:val="20"/>
              </w:rPr>
            </w:pPr>
            <w:r>
              <w:rPr>
                <w:rFonts w:ascii="Times New Roman"/>
                <w:w w:val="95"/>
                <w:sz w:val="20"/>
              </w:rPr>
              <w:t>60,000,000.00</w:t>
            </w:r>
            <w:r>
              <w:rPr>
                <w:rFonts w:ascii="Times New Roman"/>
                <w:sz w:val="20"/>
              </w:rPr>
            </w:r>
          </w:p>
        </w:tc>
        <w:tc>
          <w:tcPr>
            <w:tcW w:w="703"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97" w:right="0"/>
              <w:jc w:val="center"/>
              <w:rPr>
                <w:rFonts w:ascii="Times New Roman" w:hAnsi="Times New Roman" w:cs="Times New Roman" w:eastAsia="Times New Roman" w:hint="default"/>
                <w:sz w:val="20"/>
                <w:szCs w:val="20"/>
              </w:rPr>
            </w:pPr>
            <w:r>
              <w:rPr>
                <w:rFonts w:ascii="Times New Roman"/>
                <w:sz w:val="20"/>
              </w:rPr>
              <w:t>60,000,000.00</w:t>
            </w:r>
          </w:p>
        </w:tc>
        <w:tc>
          <w:tcPr>
            <w:tcW w:w="626"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6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240,000,000.00</w:t>
            </w:r>
          </w:p>
        </w:tc>
        <w:tc>
          <w:tcPr>
            <w:tcW w:w="703"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0"/>
                <w:szCs w:val="20"/>
              </w:rPr>
            </w:pPr>
            <w:r>
              <w:rPr>
                <w:rFonts w:ascii="Times New Roman"/>
                <w:sz w:val="20"/>
              </w:rPr>
              <w:t>240,000,000.00</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3"/>
              <w:jc w:val="right"/>
              <w:rPr>
                <w:rFonts w:ascii="Times New Roman" w:hAnsi="Times New Roman" w:cs="Times New Roman" w:eastAsia="Times New Roman" w:hint="default"/>
                <w:sz w:val="20"/>
                <w:szCs w:val="20"/>
              </w:rPr>
            </w:pPr>
            <w:r>
              <w:rPr>
                <w:rFonts w:ascii="Times New Roman"/>
                <w:w w:val="95"/>
                <w:sz w:val="20"/>
              </w:rPr>
              <w:t>240,000,000.00</w:t>
            </w:r>
            <w:r>
              <w:rPr>
                <w:rFonts w:ascii="Times New Roman"/>
                <w:sz w:val="20"/>
              </w:rPr>
            </w:r>
          </w:p>
        </w:tc>
        <w:tc>
          <w:tcPr>
            <w:tcW w:w="703"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240,000,000.00</w:t>
            </w:r>
          </w:p>
        </w:tc>
        <w:tc>
          <w:tcPr>
            <w:tcW w:w="62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254" w:right="0"/>
              <w:jc w:val="left"/>
              <w:rPr>
                <w:rFonts w:ascii="宋体" w:hAnsi="宋体" w:cs="宋体" w:eastAsia="宋体" w:hint="default"/>
                <w:sz w:val="21"/>
                <w:szCs w:val="21"/>
              </w:rPr>
            </w:pPr>
            <w:r>
              <w:rPr>
                <w:rFonts w:ascii="宋体"/>
                <w:sz w:val="21"/>
              </w:rPr>
              <w:t>/ </w:t>
            </w:r>
          </w:p>
        </w:tc>
      </w:tr>
    </w:tbl>
    <w:p>
      <w:pPr>
        <w:pStyle w:val="BodyText"/>
        <w:spacing w:line="240" w:lineRule="exact"/>
        <w:ind w:left="637" w:right="0"/>
        <w:jc w:val="left"/>
        <w:rPr>
          <w:rFonts w:ascii="宋体" w:hAnsi="宋体" w:cs="宋体" w:eastAsia="宋体" w:hint="default"/>
        </w:rPr>
      </w:pPr>
      <w:r>
        <w:rPr>
          <w:w w:val="100"/>
        </w:rPr>
        <w:t>注</w:t>
      </w:r>
      <w:r>
        <w:rPr>
          <w:spacing w:val="-53"/>
        </w:rPr>
        <w:t> </w:t>
      </w:r>
      <w:r>
        <w:rPr>
          <w:rFonts w:ascii="宋体" w:hAnsi="宋体" w:cs="宋体" w:eastAsia="宋体" w:hint="default"/>
          <w:spacing w:val="-1"/>
          <w:w w:val="100"/>
        </w:rPr>
        <w:t>1</w:t>
      </w:r>
      <w:r>
        <w:rPr>
          <w:spacing w:val="-3"/>
          <w:w w:val="100"/>
        </w:rPr>
        <w:t>：</w:t>
      </w:r>
      <w:r>
        <w:rPr>
          <w:w w:val="100"/>
        </w:rPr>
        <w:t>贵</w:t>
      </w:r>
      <w:r>
        <w:rPr>
          <w:spacing w:val="-3"/>
          <w:w w:val="100"/>
        </w:rPr>
        <w:t>州</w:t>
      </w:r>
      <w:r>
        <w:rPr>
          <w:w w:val="100"/>
        </w:rPr>
        <w:t>大</w:t>
      </w:r>
      <w:r>
        <w:rPr>
          <w:spacing w:val="-3"/>
          <w:w w:val="100"/>
        </w:rPr>
        <w:t>学</w:t>
      </w:r>
      <w:r>
        <w:rPr>
          <w:w w:val="100"/>
        </w:rPr>
        <w:t>明</w:t>
      </w:r>
      <w:r>
        <w:rPr>
          <w:spacing w:val="-3"/>
          <w:w w:val="100"/>
        </w:rPr>
        <w:t>德</w:t>
      </w:r>
      <w:r>
        <w:rPr>
          <w:w w:val="100"/>
        </w:rPr>
        <w:t>学</w:t>
      </w:r>
      <w:r>
        <w:rPr>
          <w:spacing w:val="-3"/>
          <w:w w:val="100"/>
        </w:rPr>
        <w:t>院</w:t>
      </w:r>
      <w:r>
        <w:rPr>
          <w:w w:val="100"/>
        </w:rPr>
        <w:t>代建</w:t>
      </w:r>
      <w:r>
        <w:rPr>
          <w:spacing w:val="-3"/>
          <w:w w:val="100"/>
        </w:rPr>
        <w:t>款</w:t>
      </w:r>
      <w:r>
        <w:rPr>
          <w:w w:val="100"/>
        </w:rPr>
        <w:t>说</w:t>
      </w:r>
      <w:r>
        <w:rPr>
          <w:spacing w:val="-3"/>
          <w:w w:val="100"/>
        </w:rPr>
        <w:t>明</w:t>
      </w:r>
      <w:r>
        <w:rPr>
          <w:w w:val="100"/>
        </w:rPr>
        <w:t>详</w:t>
      </w:r>
      <w:r>
        <w:rPr>
          <w:spacing w:val="-3"/>
          <w:w w:val="100"/>
        </w:rPr>
        <w:t>见</w:t>
      </w:r>
      <w:r>
        <w:rPr>
          <w:w w:val="100"/>
        </w:rPr>
        <w:t>“</w:t>
      </w:r>
      <w:r>
        <w:rPr>
          <w:spacing w:val="-3"/>
          <w:w w:val="100"/>
        </w:rPr>
        <w:t>附</w:t>
      </w:r>
      <w:r>
        <w:rPr>
          <w:w w:val="100"/>
        </w:rPr>
        <w:t>注</w:t>
      </w:r>
      <w:r>
        <w:rPr>
          <w:spacing w:val="-3"/>
          <w:w w:val="100"/>
        </w:rPr>
        <w:t>十</w:t>
      </w:r>
      <w:r>
        <w:rPr>
          <w:w w:val="100"/>
        </w:rPr>
        <w:t>二、</w:t>
      </w:r>
      <w:r>
        <w:rPr>
          <w:rFonts w:ascii="宋体" w:hAnsi="宋体" w:cs="宋体" w:eastAsia="宋体" w:hint="default"/>
          <w:w w:val="100"/>
        </w:rPr>
        <w:t>5</w:t>
      </w:r>
      <w:r>
        <w:rPr>
          <w:spacing w:val="-108"/>
          <w:w w:val="100"/>
        </w:rPr>
        <w:t>、</w:t>
      </w:r>
      <w:r>
        <w:rPr>
          <w:w w:val="100"/>
        </w:rPr>
        <w:t>（</w:t>
      </w:r>
      <w:r>
        <w:rPr>
          <w:rFonts w:ascii="宋体" w:hAnsi="宋体" w:cs="宋体" w:eastAsia="宋体" w:hint="default"/>
          <w:spacing w:val="-3"/>
          <w:w w:val="100"/>
        </w:rPr>
        <w:t>8</w:t>
      </w:r>
      <w:r>
        <w:rPr>
          <w:w w:val="100"/>
        </w:rPr>
        <w:t>）</w:t>
      </w:r>
      <w:r>
        <w:rPr>
          <w:spacing w:val="-3"/>
          <w:w w:val="100"/>
        </w:rPr>
        <w:t>”</w:t>
      </w:r>
      <w:r>
        <w:rPr>
          <w:w w:val="100"/>
        </w:rPr>
        <w:t>，</w:t>
      </w:r>
      <w:r>
        <w:rPr>
          <w:spacing w:val="-3"/>
          <w:w w:val="100"/>
        </w:rPr>
        <w:t>代</w:t>
      </w:r>
      <w:r>
        <w:rPr>
          <w:w w:val="100"/>
        </w:rPr>
        <w:t>建</w:t>
      </w:r>
      <w:r>
        <w:rPr>
          <w:spacing w:val="-3"/>
          <w:w w:val="100"/>
        </w:rPr>
        <w:t>款项</w:t>
      </w:r>
      <w:r>
        <w:rPr>
          <w:w w:val="100"/>
        </w:rPr>
        <w:t>分三</w:t>
      </w:r>
      <w:r>
        <w:rPr>
          <w:spacing w:val="-3"/>
          <w:w w:val="100"/>
        </w:rPr>
        <w:t>期</w:t>
      </w:r>
      <w:r>
        <w:rPr>
          <w:w w:val="100"/>
        </w:rPr>
        <w:t>收</w:t>
      </w:r>
      <w:r>
        <w:rPr>
          <w:spacing w:val="-3"/>
          <w:w w:val="100"/>
        </w:rPr>
        <w:t>回。</w:t>
      </w:r>
      <w:r>
        <w:rPr>
          <w:rFonts w:ascii="宋体" w:hAnsi="宋体" w:cs="宋体" w:eastAsia="宋体" w:hint="default"/>
          <w:w w:val="100"/>
        </w:rPr>
        <w:t> </w:t>
      </w:r>
    </w:p>
    <w:p>
      <w:pPr>
        <w:pStyle w:val="BodyText"/>
        <w:spacing w:line="272" w:lineRule="exact" w:before="27"/>
        <w:ind w:left="216" w:right="0" w:firstLine="420"/>
        <w:jc w:val="left"/>
      </w:pPr>
      <w:r>
        <w:rPr>
          <w:w w:val="100"/>
        </w:rPr>
        <w:t>注</w:t>
      </w:r>
      <w:r>
        <w:rPr>
          <w:spacing w:val="-53"/>
          <w:w w:val="100"/>
        </w:rPr>
        <w:t> </w:t>
      </w:r>
      <w:r>
        <w:rPr>
          <w:rFonts w:ascii="宋体" w:hAnsi="宋体" w:cs="宋体" w:eastAsia="宋体" w:hint="default"/>
          <w:spacing w:val="-5"/>
          <w:w w:val="100"/>
        </w:rPr>
        <w:t>2</w:t>
      </w:r>
      <w:r>
        <w:rPr>
          <w:spacing w:val="-5"/>
          <w:w w:val="100"/>
        </w:rPr>
        <w:t>：泰豪沈阳电机有限公司发电机厂房代建款说明详见“附注十二、</w:t>
      </w:r>
      <w:r>
        <w:rPr>
          <w:rFonts w:ascii="宋体" w:hAnsi="宋体" w:cs="宋体" w:eastAsia="宋体" w:hint="default"/>
          <w:spacing w:val="-5"/>
          <w:w w:val="100"/>
        </w:rPr>
        <w:t>5</w:t>
      </w:r>
      <w:r>
        <w:rPr>
          <w:spacing w:val="-5"/>
          <w:w w:val="100"/>
        </w:rPr>
        <w:t>、（</w:t>
      </w:r>
      <w:r>
        <w:rPr>
          <w:rFonts w:ascii="宋体" w:hAnsi="宋体" w:cs="宋体" w:eastAsia="宋体" w:hint="default"/>
          <w:spacing w:val="-5"/>
          <w:w w:val="100"/>
        </w:rPr>
        <w:t>8</w:t>
      </w:r>
      <w:r>
        <w:rPr>
          <w:spacing w:val="-5"/>
          <w:w w:val="100"/>
        </w:rPr>
        <w:t>）”，代建款项</w:t>
      </w:r>
      <w:r>
        <w:rPr>
          <w:w w:val="100"/>
        </w:rPr>
        <w:t> </w:t>
      </w:r>
      <w:r>
        <w:rPr/>
        <w:t>分五期收回。</w:t>
      </w:r>
    </w:p>
    <w:p>
      <w:pPr>
        <w:pStyle w:val="Heading5"/>
        <w:spacing w:line="240" w:lineRule="auto" w:before="34"/>
        <w:ind w:right="0"/>
        <w:jc w:val="left"/>
        <w:rPr>
          <w:rFonts w:ascii="宋体" w:hAnsi="宋体" w:cs="宋体" w:eastAsia="宋体" w:hint="default"/>
          <w:b w:val="0"/>
          <w:bCs w:val="0"/>
        </w:rPr>
      </w:pPr>
      <w:r>
        <w:rPr>
          <w:rFonts w:ascii="宋体" w:hAnsi="宋体" w:cs="宋体" w:eastAsia="宋体" w:hint="default"/>
        </w:rPr>
        <w:t>(2).</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BodyText"/>
        <w:spacing w:line="270" w:lineRule="exact" w:before="4"/>
        <w:ind w:left="216" w:right="0"/>
        <w:jc w:val="left"/>
      </w:pPr>
      <w:r>
        <w:rPr/>
        <w:t>本期坏账准备计提金额以及评估金融工具的信用风险是否显著增加的采用依据</w:t>
      </w:r>
    </w:p>
    <w:p>
      <w:pPr>
        <w:pStyle w:val="Heading3"/>
        <w:spacing w:line="308"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40" w:lineRule="auto" w:before="61"/>
        <w:ind w:right="0"/>
        <w:jc w:val="left"/>
        <w:rPr>
          <w:rFonts w:ascii="宋体" w:hAnsi="宋体" w:cs="宋体" w:eastAsia="宋体" w:hint="default"/>
          <w:b w:val="0"/>
          <w:bCs w:val="0"/>
        </w:rPr>
      </w:pPr>
      <w:r>
        <w:rPr>
          <w:rFonts w:ascii="宋体" w:hAnsi="宋体" w:cs="宋体" w:eastAsia="宋体" w:hint="default"/>
        </w:rPr>
        <w:t>(3).</w:t>
      </w:r>
      <w:r>
        <w:rPr/>
        <w:t>因金融资产转移而终止确认的长期应收款</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40" w:lineRule="auto" w:before="61"/>
        <w:ind w:right="0"/>
        <w:jc w:val="left"/>
        <w:rPr>
          <w:rFonts w:ascii="宋体" w:hAnsi="宋体" w:cs="宋体" w:eastAsia="宋体" w:hint="default"/>
          <w:b w:val="0"/>
          <w:bCs w:val="0"/>
        </w:rPr>
      </w:pPr>
      <w:r>
        <w:rPr>
          <w:rFonts w:ascii="宋体" w:hAnsi="宋体" w:cs="宋体" w:eastAsia="宋体" w:hint="default"/>
        </w:rPr>
        <w:t>(4).</w:t>
      </w:r>
      <w:r>
        <w:rPr/>
        <w:t>转移长期应收款且继续涉入形成的资产、负债金额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Heading3"/>
        <w:spacing w:line="312" w:lineRule="exact"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2" w:lineRule="exact" w:before="28"/>
        <w:ind w:right="0"/>
        <w:jc w:val="left"/>
        <w:rPr>
          <w:rFonts w:ascii="宋体" w:hAnsi="宋体" w:cs="宋体" w:eastAsia="宋体" w:hint="default"/>
        </w:rPr>
      </w:pPr>
      <w:r>
        <w:rPr>
          <w:rFonts w:ascii="宋体" w:hAnsi="宋体" w:cs="宋体" w:eastAsia="宋体" w:hint="default"/>
        </w:rPr>
        <w:t>  </w:t>
      </w:r>
      <w:r>
        <w:rPr/>
        <w:t>其他说明</w:t>
      </w:r>
      <w:r>
        <w:rPr>
          <w:rFonts w:ascii="宋体" w:hAnsi="宋体" w:cs="宋体" w:eastAsia="宋体" w:hint="default"/>
        </w:rPr>
        <w:t> </w:t>
      </w:r>
    </w:p>
    <w:p>
      <w:pPr>
        <w:pStyle w:val="Heading3"/>
        <w:spacing w:line="281"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right="0"/>
        <w:jc w:val="left"/>
        <w:rPr>
          <w:rFonts w:ascii="宋体" w:hAnsi="宋体" w:cs="宋体" w:eastAsia="宋体" w:hint="default"/>
        </w:rPr>
      </w:pPr>
      <w:r>
        <w:rPr>
          <w:rFonts w:ascii="宋体"/>
        </w:rPr>
        <w:t> </w:t>
      </w:r>
    </w:p>
    <w:p>
      <w:pPr>
        <w:spacing w:after="0" w:line="312" w:lineRule="exact"/>
        <w:jc w:val="left"/>
        <w:rPr>
          <w:rFonts w:ascii="宋体" w:hAnsi="宋体" w:cs="宋体" w:eastAsia="宋体" w:hint="default"/>
        </w:rPr>
        <w:sectPr>
          <w:type w:val="continuous"/>
          <w:pgSz w:w="11910" w:h="16840"/>
          <w:pgMar w:top="1120" w:bottom="1380" w:left="1060" w:right="1560"/>
        </w:sectPr>
      </w:pPr>
    </w:p>
    <w:p>
      <w:pPr>
        <w:pStyle w:val="Heading5"/>
        <w:spacing w:line="240" w:lineRule="auto" w:before="117"/>
        <w:ind w:left="224" w:right="0"/>
        <w:jc w:val="left"/>
        <w:rPr>
          <w:rFonts w:ascii="宋体" w:hAnsi="宋体" w:cs="宋体" w:eastAsia="宋体" w:hint="default"/>
          <w:b w:val="0"/>
          <w:bCs w:val="0"/>
        </w:rPr>
      </w:pPr>
      <w:r>
        <w:rPr>
          <w:rFonts w:ascii="宋体" w:hAnsi="宋体" w:cs="宋体" w:eastAsia="宋体" w:hint="default"/>
        </w:rPr>
        <w:t>16</w:t>
      </w:r>
      <w:r>
        <w:rPr/>
        <w:t>、</w:t>
      </w:r>
      <w:r>
        <w:rPr>
          <w:spacing w:val="-25"/>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spacing w:line="240" w:lineRule="auto"/>
        <w:ind w:left="224"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56"/>
          <w:footerReference w:type="default" r:id="rId57"/>
          <w:pgSz w:w="16840" w:h="11910" w:orient="landscape"/>
          <w:pgMar w:header="882" w:footer="1195" w:top="1120" w:bottom="1380" w:left="1300" w:right="1220"/>
          <w:pgNumType w:start="123"/>
          <w:cols w:num="2" w:equalWidth="0">
            <w:col w:w="2265" w:space="9298"/>
            <w:col w:w="2757"/>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287"/>
        <w:gridCol w:w="1306"/>
        <w:gridCol w:w="1297"/>
        <w:gridCol w:w="1296"/>
        <w:gridCol w:w="1870"/>
        <w:gridCol w:w="1152"/>
        <w:gridCol w:w="1008"/>
        <w:gridCol w:w="1154"/>
        <w:gridCol w:w="1011"/>
        <w:gridCol w:w="578"/>
        <w:gridCol w:w="1296"/>
        <w:gridCol w:w="835"/>
      </w:tblGrid>
      <w:tr>
        <w:trPr>
          <w:trHeight w:val="283" w:hRule="exact"/>
        </w:trPr>
        <w:tc>
          <w:tcPr>
            <w:tcW w:w="128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sz w:val="21"/>
                <w:szCs w:val="21"/>
              </w:rPr>
              <w:t> </w:t>
            </w:r>
          </w:p>
        </w:tc>
        <w:tc>
          <w:tcPr>
            <w:tcW w:w="130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39" w:right="329"/>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936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本期增减变动</w:t>
            </w:r>
            <w:r>
              <w:rPr>
                <w:rFonts w:ascii="宋体" w:hAnsi="宋体" w:cs="宋体" w:eastAsia="宋体" w:hint="default"/>
                <w:sz w:val="21"/>
                <w:szCs w:val="21"/>
              </w:rPr>
              <w:t> </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32" w:right="326"/>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835" w:type="dxa"/>
            <w:vMerge w:val="restart"/>
            <w:tcBorders>
              <w:top w:val="single" w:sz="4" w:space="0" w:color="000000"/>
              <w:left w:val="single" w:sz="4" w:space="0" w:color="000000"/>
              <w:right w:val="single" w:sz="4" w:space="0" w:color="000000"/>
            </w:tcBorders>
          </w:tcPr>
          <w:p>
            <w:pPr>
              <w:pStyle w:val="TableParagraph"/>
              <w:spacing w:line="272" w:lineRule="exact" w:before="1"/>
              <w:ind w:left="204" w:right="197"/>
              <w:jc w:val="left"/>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p>
            <w:pPr>
              <w:pStyle w:val="TableParagraph"/>
              <w:spacing w:line="272" w:lineRule="exact" w:before="1"/>
              <w:ind w:left="204" w:right="95"/>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828" w:hRule="exact"/>
        </w:trPr>
        <w:tc>
          <w:tcPr>
            <w:tcW w:w="1287" w:type="dxa"/>
            <w:vMerge/>
            <w:tcBorders>
              <w:left w:val="single" w:sz="4" w:space="0" w:color="000000"/>
              <w:bottom w:val="single" w:sz="4" w:space="0" w:color="000000"/>
              <w:right w:val="single" w:sz="4" w:space="0" w:color="000000"/>
            </w:tcBorders>
          </w:tcPr>
          <w:p>
            <w:pPr/>
          </w:p>
        </w:tc>
        <w:tc>
          <w:tcPr>
            <w:tcW w:w="1306" w:type="dxa"/>
            <w:vMerge/>
            <w:tcBorders>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追加投资</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减少投资</w:t>
            </w:r>
            <w:r>
              <w:rPr>
                <w:rFonts w:ascii="宋体" w:hAnsi="宋体" w:cs="宋体" w:eastAsia="宋体" w:hint="default"/>
                <w:sz w:val="21"/>
                <w:szCs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511" w:right="189" w:hanging="317"/>
              <w:jc w:val="left"/>
              <w:rPr>
                <w:rFonts w:ascii="宋体" w:hAnsi="宋体" w:cs="宋体" w:eastAsia="宋体" w:hint="default"/>
                <w:sz w:val="21"/>
                <w:szCs w:val="21"/>
              </w:rPr>
            </w:pPr>
            <w:r>
              <w:rPr>
                <w:rFonts w:ascii="宋体" w:hAnsi="宋体" w:cs="宋体" w:eastAsia="宋体" w:hint="default"/>
                <w:sz w:val="21"/>
                <w:szCs w:val="21"/>
              </w:rPr>
              <w:t>权益法下确认的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投资损益</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51" w:right="43"/>
              <w:jc w:val="left"/>
              <w:rPr>
                <w:rFonts w:ascii="宋体" w:hAnsi="宋体" w:cs="宋体" w:eastAsia="宋体" w:hint="default"/>
                <w:sz w:val="21"/>
                <w:szCs w:val="21"/>
              </w:rPr>
            </w:pPr>
            <w:r>
              <w:rPr>
                <w:rFonts w:ascii="宋体" w:hAnsi="宋体" w:cs="宋体" w:eastAsia="宋体" w:hint="default"/>
                <w:sz w:val="21"/>
                <w:szCs w:val="21"/>
              </w:rPr>
              <w:t>其他综合</w:t>
            </w:r>
            <w:r>
              <w:rPr>
                <w:rFonts w:ascii="宋体" w:hAnsi="宋体" w:cs="宋体" w:eastAsia="宋体" w:hint="default"/>
                <w:w w:val="100"/>
                <w:sz w:val="21"/>
                <w:szCs w:val="21"/>
              </w:rPr>
              <w:t> </w:t>
            </w:r>
            <w:r>
              <w:rPr>
                <w:rFonts w:ascii="宋体" w:hAnsi="宋体" w:cs="宋体" w:eastAsia="宋体" w:hint="default"/>
                <w:sz w:val="21"/>
                <w:szCs w:val="21"/>
              </w:rPr>
              <w:t>收益调整</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82" w:right="77"/>
              <w:jc w:val="left"/>
              <w:rPr>
                <w:rFonts w:ascii="宋体" w:hAnsi="宋体" w:cs="宋体" w:eastAsia="宋体" w:hint="default"/>
                <w:sz w:val="21"/>
                <w:szCs w:val="21"/>
              </w:rPr>
            </w:pPr>
            <w:r>
              <w:rPr>
                <w:rFonts w:ascii="宋体" w:hAnsi="宋体" w:cs="宋体" w:eastAsia="宋体" w:hint="default"/>
                <w:sz w:val="21"/>
                <w:szCs w:val="21"/>
              </w:rPr>
              <w:t>其他权</w:t>
            </w:r>
            <w:r>
              <w:rPr>
                <w:rFonts w:ascii="宋体" w:hAnsi="宋体" w:cs="宋体" w:eastAsia="宋体" w:hint="default"/>
                <w:spacing w:val="-102"/>
                <w:sz w:val="21"/>
                <w:szCs w:val="21"/>
              </w:rPr>
              <w:t> </w:t>
            </w:r>
            <w:r>
              <w:rPr>
                <w:rFonts w:ascii="宋体" w:hAnsi="宋体" w:cs="宋体" w:eastAsia="宋体" w:hint="default"/>
                <w:sz w:val="21"/>
                <w:szCs w:val="21"/>
              </w:rPr>
              <w:t>益变动</w:t>
            </w:r>
            <w:r>
              <w:rPr>
                <w:rFonts w:ascii="宋体" w:hAnsi="宋体" w:cs="宋体" w:eastAsia="宋体" w:hint="default"/>
                <w:sz w:val="21"/>
                <w:szCs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hAnsi="宋体" w:cs="宋体" w:eastAsia="宋体" w:hint="default"/>
                <w:sz w:val="21"/>
                <w:szCs w:val="21"/>
              </w:rPr>
              <w:t>宣告发放</w:t>
            </w:r>
          </w:p>
          <w:p>
            <w:pPr>
              <w:pStyle w:val="TableParagraph"/>
              <w:spacing w:line="272" w:lineRule="exact" w:before="27"/>
              <w:ind w:left="259" w:right="146" w:hanging="106"/>
              <w:jc w:val="left"/>
              <w:rPr>
                <w:rFonts w:ascii="宋体" w:hAnsi="宋体" w:cs="宋体" w:eastAsia="宋体" w:hint="default"/>
                <w:sz w:val="21"/>
                <w:szCs w:val="21"/>
              </w:rPr>
            </w:pPr>
            <w:r>
              <w:rPr>
                <w:rFonts w:ascii="宋体" w:hAnsi="宋体" w:cs="宋体" w:eastAsia="宋体" w:hint="default"/>
                <w:sz w:val="21"/>
                <w:szCs w:val="21"/>
              </w:rPr>
              <w:t>现金股利</w:t>
            </w:r>
            <w:r>
              <w:rPr>
                <w:rFonts w:ascii="宋体" w:hAnsi="宋体" w:cs="宋体" w:eastAsia="宋体" w:hint="default"/>
                <w:w w:val="100"/>
                <w:sz w:val="21"/>
                <w:szCs w:val="21"/>
              </w:rPr>
              <w:t> </w:t>
            </w:r>
            <w:r>
              <w:rPr>
                <w:rFonts w:ascii="宋体" w:hAnsi="宋体" w:cs="宋体" w:eastAsia="宋体" w:hint="default"/>
                <w:sz w:val="21"/>
                <w:szCs w:val="21"/>
              </w:rPr>
              <w:t>或利润</w:t>
            </w:r>
            <w:r>
              <w:rPr>
                <w:rFonts w:ascii="宋体" w:hAnsi="宋体" w:cs="宋体" w:eastAsia="宋体" w:hint="default"/>
                <w:sz w:val="21"/>
                <w:szCs w:val="21"/>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84" w:right="77"/>
              <w:jc w:val="left"/>
              <w:rPr>
                <w:rFonts w:ascii="宋体" w:hAnsi="宋体" w:cs="宋体" w:eastAsia="宋体" w:hint="default"/>
                <w:sz w:val="21"/>
                <w:szCs w:val="21"/>
              </w:rPr>
            </w:pPr>
            <w:r>
              <w:rPr>
                <w:rFonts w:ascii="宋体" w:hAnsi="宋体" w:cs="宋体" w:eastAsia="宋体" w:hint="default"/>
                <w:sz w:val="21"/>
                <w:szCs w:val="21"/>
              </w:rPr>
              <w:t>计提减</w:t>
            </w:r>
            <w:r>
              <w:rPr>
                <w:rFonts w:ascii="宋体" w:hAnsi="宋体" w:cs="宋体" w:eastAsia="宋体" w:hint="default"/>
                <w:spacing w:val="-102"/>
                <w:sz w:val="21"/>
                <w:szCs w:val="21"/>
              </w:rPr>
              <w:t> </w:t>
            </w:r>
            <w:r>
              <w:rPr>
                <w:rFonts w:ascii="宋体" w:hAnsi="宋体" w:cs="宋体" w:eastAsia="宋体" w:hint="default"/>
                <w:sz w:val="21"/>
                <w:szCs w:val="21"/>
              </w:rPr>
              <w:t>值准备</w:t>
            </w:r>
            <w:r>
              <w:rPr>
                <w:rFonts w:ascii="宋体" w:hAnsi="宋体" w:cs="宋体" w:eastAsia="宋体" w:hint="default"/>
                <w:sz w:val="21"/>
                <w:szCs w:val="21"/>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77" w:right="72"/>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sz w:val="21"/>
                <w:szCs w:val="21"/>
              </w:rPr>
              <w:t> </w:t>
            </w:r>
          </w:p>
        </w:tc>
        <w:tc>
          <w:tcPr>
            <w:tcW w:w="1296" w:type="dxa"/>
            <w:vMerge/>
            <w:tcBorders>
              <w:left w:val="single" w:sz="4" w:space="0" w:color="000000"/>
              <w:bottom w:val="single" w:sz="4" w:space="0" w:color="000000"/>
              <w:right w:val="single" w:sz="4" w:space="0" w:color="000000"/>
            </w:tcBorders>
          </w:tcPr>
          <w:p>
            <w:pPr/>
          </w:p>
        </w:tc>
        <w:tc>
          <w:tcPr>
            <w:tcW w:w="835" w:type="dxa"/>
            <w:vMerge/>
            <w:tcBorders>
              <w:left w:val="single" w:sz="4" w:space="0" w:color="000000"/>
              <w:bottom w:val="single" w:sz="4" w:space="0" w:color="000000"/>
              <w:right w:val="single" w:sz="4" w:space="0" w:color="000000"/>
            </w:tcBorders>
          </w:tcPr>
          <w:p>
            <w:pPr/>
          </w:p>
        </w:tc>
      </w:tr>
      <w:tr>
        <w:trPr>
          <w:trHeight w:val="281" w:hRule="exact"/>
        </w:trPr>
        <w:tc>
          <w:tcPr>
            <w:tcW w:w="140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4"/>
                <w:szCs w:val="24"/>
              </w:rPr>
            </w:pPr>
            <w:r>
              <w:rPr>
                <w:rFonts w:ascii="宋体" w:hAnsi="宋体" w:cs="宋体" w:eastAsia="宋体" w:hint="default"/>
                <w:sz w:val="21"/>
                <w:szCs w:val="21"/>
              </w:rPr>
              <w:t>一、合营企业</w:t>
            </w:r>
            <w:r>
              <w:rPr>
                <w:rFonts w:ascii="宋体" w:hAnsi="宋体" w:cs="宋体" w:eastAsia="宋体" w:hint="default"/>
                <w:sz w:val="24"/>
                <w:szCs w:val="24"/>
              </w:rPr>
              <w:t> </w:t>
            </w:r>
          </w:p>
        </w:tc>
      </w:tr>
      <w:tr>
        <w:trPr>
          <w:trHeight w:val="322"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小计</w:t>
            </w:r>
            <w:r>
              <w:rPr>
                <w:rFonts w:ascii="宋体" w:hAnsi="宋体" w:cs="宋体" w:eastAsia="宋体" w:hint="default"/>
                <w:sz w:val="24"/>
                <w:szCs w:val="24"/>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4"/>
                <w:szCs w:val="24"/>
              </w:rPr>
            </w:pPr>
            <w:r>
              <w:rPr>
                <w:rFonts w:ascii="宋体"/>
                <w:sz w:val="24"/>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283" w:hRule="exact"/>
        </w:trPr>
        <w:tc>
          <w:tcPr>
            <w:tcW w:w="140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4"/>
                <w:szCs w:val="24"/>
              </w:rPr>
            </w:pPr>
            <w:r>
              <w:rPr>
                <w:rFonts w:ascii="宋体" w:hAnsi="宋体" w:cs="宋体" w:eastAsia="宋体" w:hint="default"/>
                <w:sz w:val="21"/>
                <w:szCs w:val="21"/>
              </w:rPr>
              <w:t>二、联营企业</w:t>
            </w:r>
            <w:r>
              <w:rPr>
                <w:rFonts w:ascii="宋体" w:hAnsi="宋体" w:cs="宋体" w:eastAsia="宋体" w:hint="default"/>
                <w:sz w:val="24"/>
                <w:szCs w:val="24"/>
              </w:rPr>
              <w:t> </w:t>
            </w:r>
          </w:p>
        </w:tc>
      </w:tr>
      <w:tr>
        <w:trPr>
          <w:trHeight w:val="710"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江西国科军</w:t>
            </w:r>
          </w:p>
          <w:p>
            <w:pPr>
              <w:pStyle w:val="TableParagraph"/>
              <w:spacing w:line="232" w:lineRule="exact" w:before="23"/>
              <w:ind w:left="103" w:right="273"/>
              <w:jc w:val="left"/>
              <w:rPr>
                <w:rFonts w:ascii="宋体" w:hAnsi="宋体" w:cs="宋体" w:eastAsia="宋体" w:hint="default"/>
                <w:sz w:val="24"/>
                <w:szCs w:val="24"/>
              </w:rPr>
            </w:pPr>
            <w:r>
              <w:rPr>
                <w:rFonts w:ascii="宋体" w:hAnsi="宋体" w:cs="宋体" w:eastAsia="宋体" w:hint="default"/>
                <w:sz w:val="18"/>
                <w:szCs w:val="18"/>
              </w:rPr>
              <w:t>工集团股份 有限公司</w:t>
            </w:r>
            <w:r>
              <w:rPr>
                <w:rFonts w:ascii="宋体" w:hAnsi="宋体" w:cs="宋体" w:eastAsia="宋体" w:hint="default"/>
                <w:sz w:val="24"/>
                <w:szCs w:val="24"/>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94" w:right="0"/>
              <w:jc w:val="left"/>
              <w:rPr>
                <w:rFonts w:ascii="Times New Roman" w:hAnsi="Times New Roman" w:cs="Times New Roman" w:eastAsia="Times New Roman" w:hint="default"/>
                <w:sz w:val="16"/>
                <w:szCs w:val="16"/>
              </w:rPr>
            </w:pPr>
            <w:r>
              <w:rPr>
                <w:rFonts w:ascii="Times New Roman"/>
                <w:sz w:val="16"/>
              </w:rPr>
              <w:t>109,662,536.15</w:t>
            </w:r>
          </w:p>
        </w:tc>
        <w:tc>
          <w:tcPr>
            <w:tcW w:w="129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66" w:right="0"/>
              <w:jc w:val="left"/>
              <w:rPr>
                <w:rFonts w:ascii="Times New Roman" w:hAnsi="Times New Roman" w:cs="Times New Roman" w:eastAsia="Times New Roman" w:hint="default"/>
                <w:sz w:val="16"/>
                <w:szCs w:val="16"/>
              </w:rPr>
            </w:pPr>
            <w:r>
              <w:rPr>
                <w:rFonts w:ascii="Times New Roman"/>
                <w:sz w:val="16"/>
              </w:rPr>
              <w:t>59,576,846.04</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12,473,199.02</w:t>
            </w:r>
          </w:p>
        </w:tc>
        <w:tc>
          <w:tcPr>
            <w:tcW w:w="115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01" w:right="0"/>
              <w:jc w:val="left"/>
              <w:rPr>
                <w:rFonts w:ascii="Times New Roman" w:hAnsi="Times New Roman" w:cs="Times New Roman" w:eastAsia="Times New Roman" w:hint="default"/>
                <w:sz w:val="16"/>
                <w:szCs w:val="16"/>
              </w:rPr>
            </w:pPr>
            <w:r>
              <w:rPr>
                <w:rFonts w:ascii="Times New Roman"/>
                <w:sz w:val="16"/>
              </w:rPr>
              <w:t>-66,263.82</w:t>
            </w:r>
          </w:p>
        </w:tc>
        <w:tc>
          <w:tcPr>
            <w:tcW w:w="1154"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64" w:right="0"/>
              <w:jc w:val="left"/>
              <w:rPr>
                <w:rFonts w:ascii="Times New Roman" w:hAnsi="Times New Roman" w:cs="Times New Roman" w:eastAsia="Times New Roman" w:hint="default"/>
                <w:sz w:val="16"/>
                <w:szCs w:val="16"/>
              </w:rPr>
            </w:pPr>
            <w:r>
              <w:rPr>
                <w:rFonts w:ascii="Times New Roman"/>
                <w:sz w:val="16"/>
              </w:rPr>
              <w:t>62,492,625.31</w:t>
            </w:r>
          </w:p>
        </w:tc>
        <w:tc>
          <w:tcPr>
            <w:tcW w:w="83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南昌创业投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资有限公司</w:t>
            </w:r>
            <w:r>
              <w:rPr>
                <w:rFonts w:ascii="宋体" w:hAnsi="宋体" w:cs="宋体" w:eastAsia="宋体" w:hint="default"/>
                <w:sz w:val="18"/>
                <w:szCs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76" w:right="0"/>
              <w:jc w:val="left"/>
              <w:rPr>
                <w:rFonts w:ascii="Times New Roman" w:hAnsi="Times New Roman" w:cs="Times New Roman" w:eastAsia="Times New Roman" w:hint="default"/>
                <w:sz w:val="16"/>
                <w:szCs w:val="16"/>
              </w:rPr>
            </w:pPr>
            <w:r>
              <w:rPr>
                <w:rFonts w:ascii="Times New Roman"/>
                <w:sz w:val="16"/>
              </w:rPr>
              <w:t>64,356,112.99</w:t>
            </w:r>
          </w:p>
        </w:tc>
        <w:tc>
          <w:tcPr>
            <w:tcW w:w="129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6"/>
                <w:szCs w:val="16"/>
              </w:rPr>
            </w:pPr>
            <w:r>
              <w:rPr>
                <w:rFonts w:ascii="Times New Roman"/>
                <w:spacing w:val="-1"/>
                <w:sz w:val="16"/>
              </w:rPr>
              <w:t>-3,051,095.20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22" w:right="0"/>
              <w:jc w:val="left"/>
              <w:rPr>
                <w:rFonts w:ascii="Times New Roman" w:hAnsi="Times New Roman" w:cs="Times New Roman" w:eastAsia="Times New Roman" w:hint="default"/>
                <w:sz w:val="16"/>
                <w:szCs w:val="16"/>
              </w:rPr>
            </w:pPr>
            <w:r>
              <w:rPr>
                <w:rFonts w:ascii="Times New Roman"/>
                <w:sz w:val="16"/>
              </w:rPr>
              <w:t>-431,771.62</w:t>
            </w:r>
          </w:p>
        </w:tc>
        <w:tc>
          <w:tcPr>
            <w:tcW w:w="1154"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64" w:right="0"/>
              <w:jc w:val="left"/>
              <w:rPr>
                <w:rFonts w:ascii="Times New Roman" w:hAnsi="Times New Roman" w:cs="Times New Roman" w:eastAsia="Times New Roman" w:hint="default"/>
                <w:sz w:val="16"/>
                <w:szCs w:val="16"/>
              </w:rPr>
            </w:pPr>
            <w:r>
              <w:rPr>
                <w:rFonts w:ascii="Times New Roman"/>
                <w:sz w:val="16"/>
              </w:rPr>
              <w:t>60,873,246.17</w:t>
            </w:r>
          </w:p>
        </w:tc>
        <w:tc>
          <w:tcPr>
            <w:tcW w:w="83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成都华太航</w:t>
            </w:r>
          </w:p>
          <w:p>
            <w:pPr>
              <w:pStyle w:val="TableParagraph"/>
              <w:spacing w:line="232" w:lineRule="exact" w:before="23"/>
              <w:ind w:left="103" w:right="273"/>
              <w:jc w:val="left"/>
              <w:rPr>
                <w:rFonts w:ascii="宋体" w:hAnsi="宋体" w:cs="宋体" w:eastAsia="宋体" w:hint="default"/>
                <w:sz w:val="18"/>
                <w:szCs w:val="18"/>
              </w:rPr>
            </w:pPr>
            <w:r>
              <w:rPr>
                <w:rFonts w:ascii="宋体" w:hAnsi="宋体" w:cs="宋体" w:eastAsia="宋体" w:hint="default"/>
                <w:sz w:val="18"/>
                <w:szCs w:val="18"/>
              </w:rPr>
              <w:t>空科技股份 有限公司</w:t>
            </w:r>
            <w:r>
              <w:rPr>
                <w:rFonts w:ascii="宋体" w:hAnsi="宋体" w:cs="宋体" w:eastAsia="宋体" w:hint="default"/>
                <w:sz w:val="18"/>
                <w:szCs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76" w:right="0"/>
              <w:jc w:val="left"/>
              <w:rPr>
                <w:rFonts w:ascii="Times New Roman" w:hAnsi="Times New Roman" w:cs="Times New Roman" w:eastAsia="Times New Roman" w:hint="default"/>
                <w:sz w:val="16"/>
                <w:szCs w:val="16"/>
              </w:rPr>
            </w:pPr>
            <w:r>
              <w:rPr>
                <w:rFonts w:ascii="Times New Roman"/>
                <w:sz w:val="16"/>
              </w:rPr>
              <w:t>45,413,517.19</w:t>
            </w:r>
          </w:p>
        </w:tc>
        <w:tc>
          <w:tcPr>
            <w:tcW w:w="129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8,385,132.95</w:t>
            </w:r>
          </w:p>
        </w:tc>
        <w:tc>
          <w:tcPr>
            <w:tcW w:w="115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04" w:right="0"/>
              <w:jc w:val="left"/>
              <w:rPr>
                <w:rFonts w:ascii="Times New Roman" w:hAnsi="Times New Roman" w:cs="Times New Roman" w:eastAsia="Times New Roman" w:hint="default"/>
                <w:sz w:val="16"/>
                <w:szCs w:val="16"/>
              </w:rPr>
            </w:pPr>
            <w:r>
              <w:rPr>
                <w:rFonts w:ascii="Times New Roman"/>
                <w:sz w:val="16"/>
              </w:rPr>
              <w:t>1,684,800.00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64" w:right="0"/>
              <w:jc w:val="left"/>
              <w:rPr>
                <w:rFonts w:ascii="Times New Roman" w:hAnsi="Times New Roman" w:cs="Times New Roman" w:eastAsia="Times New Roman" w:hint="default"/>
                <w:sz w:val="16"/>
                <w:szCs w:val="16"/>
              </w:rPr>
            </w:pPr>
            <w:r>
              <w:rPr>
                <w:rFonts w:ascii="Times New Roman"/>
                <w:sz w:val="16"/>
              </w:rPr>
              <w:t>52,113,850.14</w:t>
            </w:r>
          </w:p>
        </w:tc>
        <w:tc>
          <w:tcPr>
            <w:tcW w:w="835"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3Tech</w:t>
            </w:r>
            <w:r>
              <w:rPr>
                <w:rFonts w:ascii="宋体"/>
                <w:spacing w:val="-4"/>
                <w:sz w:val="18"/>
              </w:rPr>
              <w:t> </w:t>
            </w:r>
            <w:r>
              <w:rPr>
                <w:rFonts w:ascii="宋体"/>
                <w:sz w:val="18"/>
              </w:rPr>
              <w:t>Power </w:t>
            </w:r>
          </w:p>
          <w:p>
            <w:pPr>
              <w:pStyle w:val="TableParagraph"/>
              <w:spacing w:line="232" w:lineRule="exact" w:before="24"/>
              <w:ind w:left="103" w:right="360"/>
              <w:jc w:val="left"/>
              <w:rPr>
                <w:rFonts w:ascii="宋体" w:hAnsi="宋体" w:cs="宋体" w:eastAsia="宋体" w:hint="default"/>
                <w:sz w:val="18"/>
                <w:szCs w:val="18"/>
              </w:rPr>
            </w:pPr>
            <w:r>
              <w:rPr>
                <w:rFonts w:ascii="宋体"/>
                <w:sz w:val="18"/>
              </w:rPr>
              <w:t>Solution Limited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76" w:right="0"/>
              <w:jc w:val="left"/>
              <w:rPr>
                <w:rFonts w:ascii="Times New Roman" w:hAnsi="Times New Roman" w:cs="Times New Roman" w:eastAsia="Times New Roman" w:hint="default"/>
                <w:sz w:val="16"/>
                <w:szCs w:val="16"/>
              </w:rPr>
            </w:pPr>
            <w:r>
              <w:rPr>
                <w:rFonts w:ascii="Times New Roman"/>
                <w:sz w:val="16"/>
              </w:rPr>
              <w:t>42,591,386.30</w:t>
            </w:r>
          </w:p>
        </w:tc>
        <w:tc>
          <w:tcPr>
            <w:tcW w:w="129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6,569,950.86</w:t>
            </w:r>
          </w:p>
        </w:tc>
        <w:tc>
          <w:tcPr>
            <w:tcW w:w="115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64" w:right="0"/>
              <w:jc w:val="left"/>
              <w:rPr>
                <w:rFonts w:ascii="Times New Roman" w:hAnsi="Times New Roman" w:cs="Times New Roman" w:eastAsia="Times New Roman" w:hint="default"/>
                <w:sz w:val="16"/>
                <w:szCs w:val="16"/>
              </w:rPr>
            </w:pPr>
            <w:r>
              <w:rPr>
                <w:rFonts w:ascii="Times New Roman"/>
                <w:sz w:val="16"/>
              </w:rPr>
              <w:t>49,161,337.16</w:t>
            </w:r>
          </w:p>
        </w:tc>
        <w:tc>
          <w:tcPr>
            <w:tcW w:w="83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南昌小蓝创</w:t>
            </w:r>
          </w:p>
          <w:p>
            <w:pPr>
              <w:pStyle w:val="TableParagraph"/>
              <w:spacing w:line="232" w:lineRule="exact" w:before="24"/>
              <w:ind w:left="103" w:right="271"/>
              <w:jc w:val="both"/>
              <w:rPr>
                <w:rFonts w:ascii="宋体" w:hAnsi="宋体" w:cs="宋体" w:eastAsia="宋体" w:hint="default"/>
                <w:sz w:val="18"/>
                <w:szCs w:val="18"/>
              </w:rPr>
            </w:pPr>
            <w:r>
              <w:rPr>
                <w:rFonts w:ascii="宋体" w:hAnsi="宋体" w:cs="宋体" w:eastAsia="宋体" w:hint="default"/>
                <w:sz w:val="18"/>
                <w:szCs w:val="18"/>
              </w:rPr>
              <w:t>新创业基地 管理有限公 司</w:t>
            </w:r>
            <w:r>
              <w:rPr>
                <w:rFonts w:ascii="宋体" w:hAnsi="宋体" w:cs="宋体" w:eastAsia="宋体" w:hint="default"/>
                <w:sz w:val="18"/>
                <w:szCs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355" w:right="0"/>
              <w:jc w:val="left"/>
              <w:rPr>
                <w:rFonts w:ascii="Times New Roman" w:hAnsi="Times New Roman" w:cs="Times New Roman" w:eastAsia="Times New Roman" w:hint="default"/>
                <w:sz w:val="16"/>
                <w:szCs w:val="16"/>
              </w:rPr>
            </w:pPr>
            <w:r>
              <w:rPr>
                <w:rFonts w:ascii="Times New Roman"/>
                <w:sz w:val="16"/>
              </w:rPr>
              <w:t>4,025,370.59</w:t>
            </w:r>
          </w:p>
        </w:tc>
        <w:tc>
          <w:tcPr>
            <w:tcW w:w="129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454,310.44</w:t>
            </w:r>
          </w:p>
        </w:tc>
        <w:tc>
          <w:tcPr>
            <w:tcW w:w="115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343" w:right="0"/>
              <w:jc w:val="left"/>
              <w:rPr>
                <w:rFonts w:ascii="Times New Roman" w:hAnsi="Times New Roman" w:cs="Times New Roman" w:eastAsia="Times New Roman" w:hint="default"/>
                <w:sz w:val="16"/>
                <w:szCs w:val="16"/>
              </w:rPr>
            </w:pPr>
            <w:r>
              <w:rPr>
                <w:rFonts w:ascii="Times New Roman"/>
                <w:sz w:val="16"/>
              </w:rPr>
              <w:t>4,479,681.03</w:t>
            </w:r>
          </w:p>
        </w:tc>
        <w:tc>
          <w:tcPr>
            <w:tcW w:w="835" w:type="dxa"/>
            <w:tcBorders>
              <w:top w:val="single" w:sz="4" w:space="0" w:color="000000"/>
              <w:left w:val="single" w:sz="4" w:space="0" w:color="000000"/>
              <w:bottom w:val="single" w:sz="4" w:space="0" w:color="000000"/>
              <w:right w:val="single" w:sz="4" w:space="0" w:color="000000"/>
            </w:tcBorders>
          </w:tcPr>
          <w:p>
            <w:pPr/>
          </w:p>
        </w:tc>
      </w:tr>
      <w:tr>
        <w:trPr>
          <w:trHeight w:val="708"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重庆园业智</w:t>
            </w:r>
          </w:p>
          <w:p>
            <w:pPr>
              <w:pStyle w:val="TableParagraph"/>
              <w:spacing w:line="232" w:lineRule="exact" w:before="23"/>
              <w:ind w:left="103" w:right="271"/>
              <w:jc w:val="left"/>
              <w:rPr>
                <w:rFonts w:ascii="宋体" w:hAnsi="宋体" w:cs="宋体" w:eastAsia="宋体" w:hint="default"/>
                <w:sz w:val="18"/>
                <w:szCs w:val="18"/>
              </w:rPr>
            </w:pPr>
            <w:r>
              <w:rPr>
                <w:rFonts w:ascii="宋体" w:hAnsi="宋体" w:cs="宋体" w:eastAsia="宋体" w:hint="default"/>
                <w:sz w:val="18"/>
                <w:szCs w:val="18"/>
              </w:rPr>
              <w:t>慧能源有限 公司</w:t>
            </w:r>
            <w:r>
              <w:rPr>
                <w:rFonts w:ascii="宋体" w:hAnsi="宋体" w:cs="宋体" w:eastAsia="宋体" w:hint="default"/>
                <w:sz w:val="18"/>
                <w:szCs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76" w:right="0"/>
              <w:jc w:val="left"/>
              <w:rPr>
                <w:rFonts w:ascii="Times New Roman" w:hAnsi="Times New Roman" w:cs="Times New Roman" w:eastAsia="Times New Roman" w:hint="default"/>
                <w:sz w:val="16"/>
                <w:szCs w:val="16"/>
              </w:rPr>
            </w:pPr>
            <w:r>
              <w:rPr>
                <w:rFonts w:ascii="Times New Roman"/>
                <w:sz w:val="16"/>
              </w:rPr>
              <w:t>13,777,058.45</w:t>
            </w:r>
          </w:p>
        </w:tc>
        <w:tc>
          <w:tcPr>
            <w:tcW w:w="129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89,945.56</w:t>
            </w:r>
          </w:p>
        </w:tc>
        <w:tc>
          <w:tcPr>
            <w:tcW w:w="115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64" w:right="0"/>
              <w:jc w:val="left"/>
              <w:rPr>
                <w:rFonts w:ascii="Times New Roman" w:hAnsi="Times New Roman" w:cs="Times New Roman" w:eastAsia="Times New Roman" w:hint="default"/>
                <w:sz w:val="16"/>
                <w:szCs w:val="16"/>
              </w:rPr>
            </w:pPr>
            <w:r>
              <w:rPr>
                <w:rFonts w:ascii="Times New Roman"/>
                <w:sz w:val="16"/>
              </w:rPr>
              <w:t>13,867,004.01</w:t>
            </w:r>
          </w:p>
        </w:tc>
        <w:tc>
          <w:tcPr>
            <w:tcW w:w="835"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上海朋迈能</w:t>
            </w:r>
          </w:p>
          <w:p>
            <w:pPr>
              <w:pStyle w:val="TableParagraph"/>
              <w:spacing w:line="234" w:lineRule="exact" w:before="21"/>
              <w:ind w:left="103" w:right="273"/>
              <w:jc w:val="left"/>
              <w:rPr>
                <w:rFonts w:ascii="宋体" w:hAnsi="宋体" w:cs="宋体" w:eastAsia="宋体" w:hint="default"/>
                <w:sz w:val="18"/>
                <w:szCs w:val="18"/>
              </w:rPr>
            </w:pPr>
            <w:r>
              <w:rPr>
                <w:rFonts w:ascii="宋体" w:hAnsi="宋体" w:cs="宋体" w:eastAsia="宋体" w:hint="default"/>
                <w:sz w:val="18"/>
                <w:szCs w:val="18"/>
              </w:rPr>
              <w:t>源科技有限 公司</w:t>
            </w:r>
            <w:r>
              <w:rPr>
                <w:rFonts w:ascii="宋体" w:hAnsi="宋体" w:cs="宋体" w:eastAsia="宋体" w:hint="default"/>
                <w:sz w:val="18"/>
                <w:szCs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55" w:right="0"/>
              <w:jc w:val="left"/>
              <w:rPr>
                <w:rFonts w:ascii="Times New Roman" w:hAnsi="Times New Roman" w:cs="Times New Roman" w:eastAsia="Times New Roman" w:hint="default"/>
                <w:sz w:val="16"/>
                <w:szCs w:val="16"/>
              </w:rPr>
            </w:pPr>
            <w:r>
              <w:rPr>
                <w:rFonts w:ascii="Times New Roman"/>
                <w:sz w:val="16"/>
              </w:rPr>
              <w:t>1,797,011.96</w:t>
            </w:r>
          </w:p>
        </w:tc>
        <w:tc>
          <w:tcPr>
            <w:tcW w:w="129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-330,942.24</w:t>
            </w:r>
          </w:p>
        </w:tc>
        <w:tc>
          <w:tcPr>
            <w:tcW w:w="115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43" w:right="0"/>
              <w:jc w:val="left"/>
              <w:rPr>
                <w:rFonts w:ascii="Times New Roman" w:hAnsi="Times New Roman" w:cs="Times New Roman" w:eastAsia="Times New Roman" w:hint="default"/>
                <w:sz w:val="16"/>
                <w:szCs w:val="16"/>
              </w:rPr>
            </w:pPr>
            <w:r>
              <w:rPr>
                <w:rFonts w:ascii="Times New Roman"/>
                <w:sz w:val="16"/>
              </w:rPr>
              <w:t>1,466,069.72</w:t>
            </w:r>
          </w:p>
        </w:tc>
        <w:tc>
          <w:tcPr>
            <w:tcW w:w="83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上海中汇金</w:t>
            </w:r>
          </w:p>
          <w:p>
            <w:pPr>
              <w:pStyle w:val="TableParagraph"/>
              <w:spacing w:line="232" w:lineRule="exact" w:before="23"/>
              <w:ind w:left="103" w:right="181"/>
              <w:jc w:val="left"/>
              <w:rPr>
                <w:rFonts w:ascii="宋体" w:hAnsi="宋体" w:cs="宋体" w:eastAsia="宋体" w:hint="default"/>
                <w:sz w:val="18"/>
                <w:szCs w:val="18"/>
              </w:rPr>
            </w:pPr>
            <w:r>
              <w:rPr>
                <w:rFonts w:ascii="宋体" w:hAnsi="宋体" w:cs="宋体" w:eastAsia="宋体" w:hint="default"/>
                <w:sz w:val="18"/>
                <w:szCs w:val="18"/>
              </w:rPr>
              <w:t>泰豪物业管 理有限公司</w:t>
            </w:r>
            <w:r>
              <w:rPr>
                <w:rFonts w:ascii="宋体" w:hAnsi="宋体" w:cs="宋体" w:eastAsia="宋体" w:hint="default"/>
                <w:sz w:val="18"/>
                <w:szCs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55" w:right="0"/>
              <w:jc w:val="left"/>
              <w:rPr>
                <w:rFonts w:ascii="Times New Roman" w:hAnsi="Times New Roman" w:cs="Times New Roman" w:eastAsia="Times New Roman" w:hint="default"/>
                <w:sz w:val="16"/>
                <w:szCs w:val="16"/>
              </w:rPr>
            </w:pPr>
            <w:r>
              <w:rPr>
                <w:rFonts w:ascii="Times New Roman"/>
                <w:sz w:val="16"/>
              </w:rPr>
              <w:t>5,003,115.02</w:t>
            </w:r>
          </w:p>
        </w:tc>
        <w:tc>
          <w:tcPr>
            <w:tcW w:w="129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11,028.20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43" w:right="0"/>
              <w:jc w:val="left"/>
              <w:rPr>
                <w:rFonts w:ascii="Times New Roman" w:hAnsi="Times New Roman" w:cs="Times New Roman" w:eastAsia="Times New Roman" w:hint="default"/>
                <w:sz w:val="16"/>
                <w:szCs w:val="16"/>
              </w:rPr>
            </w:pPr>
            <w:r>
              <w:rPr>
                <w:rFonts w:ascii="Times New Roman"/>
                <w:sz w:val="16"/>
              </w:rPr>
              <w:t>5,014,143.22</w:t>
            </w:r>
          </w:p>
        </w:tc>
        <w:tc>
          <w:tcPr>
            <w:tcW w:w="83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00" w:right="1220"/>
        </w:sectPr>
      </w:pPr>
    </w:p>
    <w:p>
      <w:pPr>
        <w:spacing w:line="240" w:lineRule="auto" w:before="7"/>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287"/>
        <w:gridCol w:w="1306"/>
        <w:gridCol w:w="1297"/>
        <w:gridCol w:w="1296"/>
        <w:gridCol w:w="1870"/>
        <w:gridCol w:w="1152"/>
        <w:gridCol w:w="1008"/>
        <w:gridCol w:w="1154"/>
        <w:gridCol w:w="1011"/>
        <w:gridCol w:w="578"/>
        <w:gridCol w:w="1296"/>
        <w:gridCol w:w="835"/>
      </w:tblGrid>
      <w:tr>
        <w:trPr>
          <w:trHeight w:val="711"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深圳市中航</w:t>
            </w:r>
          </w:p>
          <w:p>
            <w:pPr>
              <w:pStyle w:val="TableParagraph"/>
              <w:spacing w:line="232" w:lineRule="exact" w:before="23"/>
              <w:ind w:left="103" w:right="181"/>
              <w:jc w:val="left"/>
              <w:rPr>
                <w:rFonts w:ascii="宋体" w:hAnsi="宋体" w:cs="宋体" w:eastAsia="宋体" w:hint="default"/>
                <w:sz w:val="18"/>
                <w:szCs w:val="18"/>
              </w:rPr>
            </w:pPr>
            <w:r>
              <w:rPr>
                <w:rFonts w:ascii="宋体" w:hAnsi="宋体" w:cs="宋体" w:eastAsia="宋体" w:hint="default"/>
                <w:sz w:val="18"/>
                <w:szCs w:val="18"/>
              </w:rPr>
              <w:t>比特通讯技 术有限公司</w:t>
            </w:r>
            <w:r>
              <w:rPr>
                <w:rFonts w:ascii="宋体" w:hAnsi="宋体" w:cs="宋体" w:eastAsia="宋体" w:hint="default"/>
                <w:sz w:val="18"/>
                <w:szCs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108,726,719.52</w:t>
            </w:r>
          </w:p>
        </w:tc>
        <w:tc>
          <w:tcPr>
            <w:tcW w:w="129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2"/>
                <w:sz w:val="16"/>
              </w:rPr>
              <w:t>23,932,791.63</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14,589,382.63</w:t>
            </w:r>
          </w:p>
        </w:tc>
        <w:tc>
          <w:tcPr>
            <w:tcW w:w="115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99,383,310.52</w:t>
            </w:r>
          </w:p>
        </w:tc>
        <w:tc>
          <w:tcPr>
            <w:tcW w:w="83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福州德塔动</w:t>
            </w:r>
          </w:p>
          <w:p>
            <w:pPr>
              <w:pStyle w:val="TableParagraph"/>
              <w:spacing w:line="232" w:lineRule="exact" w:before="23"/>
              <w:ind w:left="103" w:right="271"/>
              <w:jc w:val="left"/>
              <w:rPr>
                <w:rFonts w:ascii="宋体" w:hAnsi="宋体" w:cs="宋体" w:eastAsia="宋体" w:hint="default"/>
                <w:sz w:val="18"/>
                <w:szCs w:val="18"/>
              </w:rPr>
            </w:pPr>
            <w:r>
              <w:rPr>
                <w:rFonts w:ascii="宋体" w:hAnsi="宋体" w:cs="宋体" w:eastAsia="宋体" w:hint="default"/>
                <w:sz w:val="18"/>
                <w:szCs w:val="18"/>
              </w:rPr>
              <w:t>力设备有限 公司</w:t>
            </w:r>
            <w:r>
              <w:rPr>
                <w:rFonts w:ascii="宋体" w:hAnsi="宋体" w:cs="宋体" w:eastAsia="宋体" w:hint="default"/>
                <w:sz w:val="18"/>
                <w:szCs w:val="18"/>
              </w:rPr>
              <w:t> </w:t>
            </w:r>
          </w:p>
        </w:tc>
        <w:tc>
          <w:tcPr>
            <w:tcW w:w="1306"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2"/>
                <w:sz w:val="16"/>
              </w:rPr>
              <w:t>83,600,000.00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2,675,818.41</w:t>
            </w:r>
          </w:p>
        </w:tc>
        <w:tc>
          <w:tcPr>
            <w:tcW w:w="115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86,275,818.41</w:t>
            </w:r>
          </w:p>
        </w:tc>
        <w:tc>
          <w:tcPr>
            <w:tcW w:w="83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16"/>
                <w:szCs w:val="16"/>
              </w:rPr>
            </w:pPr>
            <w:r>
              <w:rPr>
                <w:rFonts w:ascii="Times New Roman"/>
                <w:spacing w:val="-1"/>
                <w:sz w:val="16"/>
              </w:rPr>
              <w:t>395,352,828.17</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16"/>
                <w:szCs w:val="16"/>
              </w:rPr>
            </w:pPr>
            <w:r>
              <w:rPr>
                <w:rFonts w:ascii="Times New Roman"/>
                <w:spacing w:val="-2"/>
                <w:sz w:val="16"/>
              </w:rPr>
              <w:t>83,600,000.00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16"/>
                <w:szCs w:val="16"/>
              </w:rPr>
            </w:pPr>
            <w:r>
              <w:rPr>
                <w:rFonts w:ascii="Times New Roman"/>
                <w:spacing w:val="-2"/>
                <w:sz w:val="16"/>
              </w:rPr>
              <w:t>83,509,637.67</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16"/>
                <w:szCs w:val="16"/>
              </w:rPr>
            </w:pPr>
            <w:r>
              <w:rPr>
                <w:rFonts w:ascii="Times New Roman"/>
                <w:spacing w:val="-2"/>
                <w:sz w:val="16"/>
              </w:rPr>
              <w:t>41,866,730.63</w:t>
            </w:r>
          </w:p>
        </w:tc>
        <w:tc>
          <w:tcPr>
            <w:tcW w:w="115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16"/>
                <w:szCs w:val="16"/>
              </w:rPr>
            </w:pPr>
            <w:r>
              <w:rPr>
                <w:rFonts w:ascii="Times New Roman"/>
                <w:spacing w:val="-1"/>
                <w:sz w:val="16"/>
              </w:rPr>
              <w:t>-498,035.44</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16"/>
                <w:szCs w:val="16"/>
              </w:rPr>
            </w:pPr>
            <w:r>
              <w:rPr>
                <w:rFonts w:ascii="Times New Roman"/>
                <w:spacing w:val="-1"/>
                <w:sz w:val="16"/>
              </w:rPr>
              <w:t>1,684,800.00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16"/>
                <w:szCs w:val="16"/>
              </w:rPr>
            </w:pPr>
            <w:r>
              <w:rPr>
                <w:rFonts w:ascii="Times New Roman"/>
                <w:spacing w:val="-1"/>
                <w:sz w:val="16"/>
              </w:rPr>
              <w:t>435,127,085.69</w:t>
            </w:r>
          </w:p>
        </w:tc>
        <w:tc>
          <w:tcPr>
            <w:tcW w:w="83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8"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16"/>
                <w:szCs w:val="16"/>
              </w:rPr>
            </w:pPr>
            <w:r>
              <w:rPr>
                <w:rFonts w:ascii="Times New Roman"/>
                <w:spacing w:val="-1"/>
                <w:sz w:val="16"/>
              </w:rPr>
              <w:t>395,352,828.17</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16"/>
                <w:szCs w:val="16"/>
              </w:rPr>
            </w:pPr>
            <w:r>
              <w:rPr>
                <w:rFonts w:ascii="Times New Roman"/>
                <w:spacing w:val="-2"/>
                <w:sz w:val="16"/>
              </w:rPr>
              <w:t>83,600,000.00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16"/>
                <w:szCs w:val="16"/>
              </w:rPr>
            </w:pPr>
            <w:r>
              <w:rPr>
                <w:rFonts w:ascii="Times New Roman"/>
                <w:spacing w:val="-2"/>
                <w:sz w:val="16"/>
              </w:rPr>
              <w:t>83,509,637.67</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16"/>
                <w:szCs w:val="16"/>
              </w:rPr>
            </w:pPr>
            <w:r>
              <w:rPr>
                <w:rFonts w:ascii="Times New Roman"/>
                <w:spacing w:val="-2"/>
                <w:sz w:val="16"/>
              </w:rPr>
              <w:t>41,866,730.63</w:t>
            </w:r>
          </w:p>
        </w:tc>
        <w:tc>
          <w:tcPr>
            <w:tcW w:w="115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16"/>
                <w:szCs w:val="16"/>
              </w:rPr>
            </w:pPr>
            <w:r>
              <w:rPr>
                <w:rFonts w:ascii="Times New Roman"/>
                <w:spacing w:val="-1"/>
                <w:sz w:val="16"/>
              </w:rPr>
              <w:t>-498,035.44</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16"/>
                <w:szCs w:val="16"/>
              </w:rPr>
            </w:pPr>
            <w:r>
              <w:rPr>
                <w:rFonts w:ascii="Times New Roman"/>
                <w:spacing w:val="-1"/>
                <w:sz w:val="16"/>
              </w:rPr>
              <w:t>1,684,800.00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16"/>
                <w:szCs w:val="16"/>
              </w:rPr>
            </w:pPr>
            <w:r>
              <w:rPr>
                <w:rFonts w:ascii="Times New Roman"/>
                <w:spacing w:val="-1"/>
                <w:sz w:val="16"/>
              </w:rPr>
              <w:t>435,127,085.69</w:t>
            </w:r>
          </w:p>
        </w:tc>
        <w:tc>
          <w:tcPr>
            <w:tcW w:w="83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00" w:right="1220"/>
        </w:sectPr>
      </w:pPr>
    </w:p>
    <w:p>
      <w:pPr>
        <w:pStyle w:val="Heading3"/>
        <w:spacing w:line="274" w:lineRule="exact"/>
        <w:ind w:left="224" w:right="0"/>
        <w:jc w:val="left"/>
        <w:rPr>
          <w:rFonts w:ascii="宋体" w:hAnsi="宋体" w:cs="宋体" w:eastAsia="宋体" w:hint="default"/>
        </w:rPr>
      </w:pPr>
      <w:r>
        <w:rPr>
          <w:rFonts w:ascii="宋体"/>
        </w:rPr>
        <w:t> </w:t>
      </w:r>
    </w:p>
    <w:p>
      <w:pPr>
        <w:pStyle w:val="Heading5"/>
        <w:spacing w:line="292" w:lineRule="auto" w:before="61"/>
        <w:ind w:left="224" w:right="0"/>
        <w:jc w:val="left"/>
        <w:rPr>
          <w:rFonts w:ascii="宋体" w:hAnsi="宋体" w:cs="宋体" w:eastAsia="宋体" w:hint="default"/>
          <w:b w:val="0"/>
          <w:bCs w:val="0"/>
        </w:rPr>
      </w:pPr>
      <w:r>
        <w:rPr>
          <w:rFonts w:ascii="宋体" w:hAnsi="宋体" w:cs="宋体" w:eastAsia="宋体" w:hint="default"/>
        </w:rPr>
        <w:t>17</w:t>
      </w:r>
      <w:r>
        <w:rPr/>
        <w:t>、</w:t>
      </w:r>
      <w:r>
        <w:rPr>
          <w:spacing w:val="-24"/>
        </w:rPr>
        <w:t> </w:t>
      </w:r>
      <w:r>
        <w:rPr/>
        <w:t>其他权益工具投资</w:t>
      </w:r>
      <w:r>
        <w:rPr>
          <w:spacing w:val="-104"/>
        </w:rPr>
        <w:t> </w:t>
      </w:r>
      <w:r>
        <w:rPr>
          <w:spacing w:val="-104"/>
        </w:rPr>
      </w:r>
      <w:r>
        <w:rPr>
          <w:rFonts w:ascii="宋体" w:hAnsi="宋体" w:cs="宋体" w:eastAsia="宋体" w:hint="default"/>
        </w:rPr>
        <w:t>(1).</w:t>
      </w:r>
      <w:r>
        <w:rPr/>
        <w:t>其他权益工具投资情况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4"/>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40" w:lineRule="auto"/>
        <w:ind w:left="224" w:right="0"/>
        <w:jc w:val="left"/>
        <w:rPr>
          <w:rFonts w:ascii="宋体" w:hAnsi="宋体" w:cs="宋体" w:eastAsia="宋体" w:hint="default"/>
          <w:b w:val="0"/>
          <w:bCs w:val="0"/>
        </w:rPr>
      </w:pPr>
      <w:r>
        <w:rPr>
          <w:rFonts w:ascii="宋体" w:hAnsi="宋体" w:cs="宋体" w:eastAsia="宋体" w:hint="default"/>
        </w:rPr>
        <w:t>(2).</w:t>
      </w:r>
      <w:r>
        <w:rPr/>
        <w:t>非交易性权益工具投资的情况</w:t>
      </w:r>
      <w:r>
        <w:rPr>
          <w:rFonts w:ascii="宋体" w:hAnsi="宋体" w:cs="宋体" w:eastAsia="宋体" w:hint="default"/>
          <w:w w:val="99"/>
        </w:rPr>
        <w:t> </w:t>
      </w:r>
      <w:r>
        <w:rPr>
          <w:rFonts w:ascii="宋体" w:hAnsi="宋体" w:cs="宋体" w:eastAsia="宋体" w:hint="default"/>
          <w:b w:val="0"/>
          <w:bCs w:val="0"/>
        </w:rPr>
      </w:r>
    </w:p>
    <w:p>
      <w:pPr>
        <w:pStyle w:val="Heading3"/>
        <w:spacing w:line="312" w:lineRule="exact" w:before="81"/>
        <w:ind w:left="224" w:right="29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rFonts w:ascii="宋体" w:hAnsi="宋体" w:cs="宋体" w:eastAsia="宋体" w:hint="default"/>
          <w:color w:val="333333"/>
        </w:rPr>
        <w:t> </w:t>
      </w:r>
      <w:r>
        <w:rPr/>
        <w:t>其他说明：</w:t>
      </w:r>
      <w:r>
        <w:rPr>
          <w:rFonts w:ascii="宋体" w:hAnsi="宋体" w:cs="宋体" w:eastAsia="宋体" w:hint="default"/>
        </w:rPr>
        <w:t> </w:t>
      </w:r>
    </w:p>
    <w:p>
      <w:pPr>
        <w:pStyle w:val="Heading3"/>
        <w:spacing w:line="281" w:lineRule="exact"/>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left="224" w:right="0"/>
        <w:jc w:val="left"/>
        <w:rPr>
          <w:rFonts w:ascii="宋体" w:hAnsi="宋体" w:cs="宋体" w:eastAsia="宋体" w:hint="default"/>
        </w:rPr>
      </w:pPr>
      <w:r>
        <w:rPr>
          <w:rFonts w:ascii="宋体"/>
        </w:rPr>
        <w:t> </w:t>
      </w:r>
    </w:p>
    <w:p>
      <w:pPr>
        <w:pStyle w:val="Heading5"/>
        <w:spacing w:line="240" w:lineRule="auto"/>
        <w:ind w:left="224" w:right="0"/>
        <w:jc w:val="left"/>
        <w:rPr>
          <w:b w:val="0"/>
          <w:bCs w:val="0"/>
        </w:rPr>
      </w:pPr>
      <w:r>
        <w:rPr>
          <w:rFonts w:ascii="宋体" w:hAnsi="宋体" w:cs="宋体" w:eastAsia="宋体" w:hint="default"/>
        </w:rPr>
        <w:t>18</w:t>
      </w:r>
      <w:r>
        <w:rPr/>
        <w:t>、</w:t>
      </w:r>
      <w:r>
        <w:rPr>
          <w:spacing w:val="-21"/>
        </w:rPr>
        <w:t> </w:t>
      </w:r>
      <w:r>
        <w:rPr/>
        <w:t>其他非流动金融资产</w:t>
      </w:r>
      <w:r>
        <w:rPr>
          <w:b w:val="0"/>
          <w:bCs w:val="0"/>
        </w:rPr>
      </w:r>
    </w:p>
    <w:p>
      <w:pPr>
        <w:pStyle w:val="Heading3"/>
        <w:spacing w:line="240" w:lineRule="auto" w:before="53"/>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tabs>
          <w:tab w:pos="1275" w:val="left" w:leader="none"/>
        </w:tabs>
        <w:spacing w:line="240" w:lineRule="auto"/>
        <w:ind w:left="224"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1300" w:right="1220"/>
          <w:cols w:num="2" w:equalWidth="0">
            <w:col w:w="3499" w:space="8064"/>
            <w:col w:w="2757"/>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5684"/>
        <w:gridCol w:w="4186"/>
        <w:gridCol w:w="4220"/>
      </w:tblGrid>
      <w:tr>
        <w:trPr>
          <w:trHeight w:val="283" w:hRule="exact"/>
        </w:trPr>
        <w:tc>
          <w:tcPr>
            <w:tcW w:w="568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2518"/>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4186"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4220"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8" w:hRule="exact"/>
        </w:trPr>
        <w:tc>
          <w:tcPr>
            <w:tcW w:w="568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权益工具投资</w:t>
            </w:r>
          </w:p>
        </w:tc>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394,591,296.50</w:t>
            </w:r>
          </w:p>
        </w:tc>
        <w:tc>
          <w:tcPr>
            <w:tcW w:w="4220" w:type="dxa"/>
            <w:tcBorders>
              <w:top w:val="single" w:sz="6" w:space="0" w:color="000000"/>
              <w:left w:val="single" w:sz="6" w:space="0" w:color="000000"/>
              <w:bottom w:val="single" w:sz="6"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406,584,981.64</w:t>
            </w:r>
          </w:p>
        </w:tc>
      </w:tr>
      <w:tr>
        <w:trPr>
          <w:trHeight w:val="286" w:hRule="exact"/>
        </w:trPr>
        <w:tc>
          <w:tcPr>
            <w:tcW w:w="568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right="2518"/>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4186" w:type="dxa"/>
            <w:tcBorders>
              <w:top w:val="single" w:sz="6" w:space="0" w:color="000000"/>
              <w:left w:val="single" w:sz="6" w:space="0" w:color="000000"/>
              <w:bottom w:val="single" w:sz="4"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394,591,296.50</w:t>
            </w:r>
          </w:p>
        </w:tc>
        <w:tc>
          <w:tcPr>
            <w:tcW w:w="4220" w:type="dxa"/>
            <w:tcBorders>
              <w:top w:val="single" w:sz="6" w:space="0" w:color="000000"/>
              <w:left w:val="single" w:sz="6"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406,584,981.64</w:t>
            </w:r>
          </w:p>
        </w:tc>
      </w:tr>
    </w:tbl>
    <w:p>
      <w:pPr>
        <w:spacing w:line="240" w:lineRule="auto" w:before="6"/>
        <w:rPr>
          <w:rFonts w:ascii="宋体" w:hAnsi="宋体" w:cs="宋体" w:eastAsia="宋体" w:hint="default"/>
          <w:sz w:val="13"/>
          <w:szCs w:val="13"/>
        </w:rPr>
      </w:pPr>
    </w:p>
    <w:p>
      <w:pPr>
        <w:pStyle w:val="Heading3"/>
        <w:spacing w:line="310" w:lineRule="exact" w:before="58"/>
        <w:ind w:left="224" w:right="0"/>
        <w:jc w:val="left"/>
        <w:rPr>
          <w:rFonts w:ascii="宋体" w:hAnsi="宋体" w:cs="宋体" w:eastAsia="宋体" w:hint="default"/>
        </w:rPr>
      </w:pPr>
      <w:r>
        <w:rPr>
          <w:rFonts w:ascii="宋体" w:hAnsi="宋体" w:cs="宋体" w:eastAsia="宋体" w:hint="default"/>
        </w:rPr>
        <w:t>  </w:t>
      </w:r>
      <w:r>
        <w:rPr/>
        <w:t>其他说明：</w:t>
      </w:r>
      <w:r>
        <w:rPr>
          <w:rFonts w:ascii="宋体" w:hAnsi="宋体" w:cs="宋体" w:eastAsia="宋体" w:hint="default"/>
        </w:rPr>
        <w:t> </w:t>
      </w:r>
    </w:p>
    <w:p>
      <w:pPr>
        <w:pStyle w:val="Heading3"/>
        <w:spacing w:line="284" w:lineRule="exact"/>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left="224" w:right="0"/>
        <w:jc w:val="left"/>
        <w:rPr>
          <w:rFonts w:ascii="宋体" w:hAnsi="宋体" w:cs="宋体" w:eastAsia="宋体" w:hint="default"/>
        </w:rPr>
      </w:pPr>
      <w:r>
        <w:rPr/>
        <w:t>其他非流动金融资产明细如下：</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249"/>
        <w:gridCol w:w="1560"/>
        <w:gridCol w:w="1558"/>
        <w:gridCol w:w="1454"/>
        <w:gridCol w:w="1668"/>
        <w:gridCol w:w="1755"/>
        <w:gridCol w:w="1502"/>
      </w:tblGrid>
      <w:tr>
        <w:trPr>
          <w:trHeight w:val="478"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8" w:right="0"/>
              <w:jc w:val="center"/>
              <w:rPr>
                <w:rFonts w:ascii="宋体" w:hAnsi="宋体" w:cs="宋体" w:eastAsia="宋体" w:hint="default"/>
                <w:sz w:val="18"/>
                <w:szCs w:val="18"/>
              </w:rPr>
            </w:pPr>
            <w:r>
              <w:rPr>
                <w:rFonts w:ascii="宋体" w:hAnsi="宋体" w:cs="宋体" w:eastAsia="宋体" w:hint="default"/>
                <w:sz w:val="18"/>
                <w:szCs w:val="18"/>
              </w:rPr>
              <w:t>被投资单位</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69"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期初余额</w:t>
            </w:r>
            <w:r>
              <w:rPr>
                <w:rFonts w:ascii="宋体" w:hAnsi="宋体" w:cs="宋体" w:eastAsia="宋体" w:hint="default"/>
                <w:spacing w:val="-2"/>
                <w:sz w:val="18"/>
                <w:szCs w:val="18"/>
              </w:rPr>
              <w:t> </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69"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追加投资</w:t>
            </w:r>
            <w:r>
              <w:rPr>
                <w:rFonts w:ascii="宋体" w:hAnsi="宋体" w:cs="宋体" w:eastAsia="宋体" w:hint="default"/>
                <w:spacing w:val="-2"/>
                <w:sz w:val="18"/>
                <w:szCs w:val="18"/>
              </w:rPr>
              <w:t> </w:t>
            </w:r>
            <w:r>
              <w:rPr>
                <w:rFonts w:ascii="宋体" w:hAnsi="宋体" w:cs="宋体" w:eastAsia="宋体" w:hint="default"/>
                <w:sz w:val="18"/>
                <w:szCs w:val="18"/>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16"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减少投资</w:t>
            </w:r>
            <w:r>
              <w:rPr>
                <w:rFonts w:ascii="宋体" w:hAnsi="宋体" w:cs="宋体" w:eastAsia="宋体" w:hint="default"/>
                <w:spacing w:val="-2"/>
                <w:sz w:val="18"/>
                <w:szCs w:val="18"/>
              </w:rPr>
              <w:t> </w:t>
            </w:r>
            <w:r>
              <w:rPr>
                <w:rFonts w:ascii="宋体" w:hAnsi="宋体" w:cs="宋体" w:eastAsia="宋体" w:hint="default"/>
                <w:sz w:val="18"/>
                <w:szCs w:val="18"/>
              </w:rPr>
              <w:t> </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3"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本期公允价值变</w:t>
            </w: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sz w:val="18"/>
                <w:szCs w:val="18"/>
              </w:rPr>
              <w:t>动损益</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68"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期末余额</w:t>
            </w:r>
            <w:r>
              <w:rPr>
                <w:rFonts w:ascii="宋体" w:hAnsi="宋体" w:cs="宋体" w:eastAsia="宋体" w:hint="default"/>
                <w:spacing w:val="-2"/>
                <w:sz w:val="18"/>
                <w:szCs w:val="18"/>
              </w:rPr>
              <w:t> </w:t>
            </w:r>
            <w:r>
              <w:rPr>
                <w:rFonts w:ascii="宋体" w:hAnsi="宋体" w:cs="宋体" w:eastAsia="宋体" w:hint="default"/>
                <w:sz w:val="18"/>
                <w:szCs w:val="18"/>
              </w:rPr>
              <w:t> </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17"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持股比例（</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type w:val="continuous"/>
          <w:pgSz w:w="16840" w:h="11910" w:orient="landscape"/>
          <w:pgMar w:top="1120" w:bottom="1380" w:left="1300" w:right="1220"/>
        </w:sectPr>
      </w:pPr>
    </w:p>
    <w:p>
      <w:pPr>
        <w:spacing w:line="240" w:lineRule="auto" w:before="7"/>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4249"/>
        <w:gridCol w:w="1560"/>
        <w:gridCol w:w="1558"/>
        <w:gridCol w:w="1454"/>
        <w:gridCol w:w="1668"/>
        <w:gridCol w:w="1755"/>
        <w:gridCol w:w="1502"/>
      </w:tblGrid>
      <w:tr>
        <w:trPr>
          <w:trHeight w:val="274"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北京中关村九鼎君旻投资中心</w:t>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0"/>
                <w:szCs w:val="20"/>
              </w:rPr>
            </w:pPr>
            <w:r>
              <w:rPr>
                <w:rFonts w:ascii="Times New Roman"/>
                <w:w w:val="95"/>
                <w:sz w:val="20"/>
              </w:rPr>
              <w:t>13,243,080.20</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0"/>
                <w:szCs w:val="20"/>
              </w:rPr>
            </w:pPr>
            <w:r>
              <w:rPr>
                <w:rFonts w:ascii="Times New Roman"/>
                <w:w w:val="95"/>
                <w:sz w:val="20"/>
              </w:rPr>
              <w:t>1,983,640.69</w:t>
            </w:r>
            <w:r>
              <w:rPr>
                <w:rFonts w:ascii="Times New Roman"/>
                <w:sz w:val="20"/>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0"/>
                <w:szCs w:val="20"/>
              </w:rPr>
            </w:pPr>
            <w:r>
              <w:rPr>
                <w:rFonts w:ascii="Times New Roman"/>
                <w:w w:val="95"/>
                <w:sz w:val="20"/>
              </w:rPr>
              <w:t>-2,682,683.34</w:t>
            </w:r>
            <w:r>
              <w:rPr>
                <w:rFonts w:ascii="Times New Roman"/>
                <w:sz w:val="20"/>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0"/>
                <w:szCs w:val="20"/>
              </w:rPr>
            </w:pPr>
            <w:r>
              <w:rPr>
                <w:rFonts w:ascii="Times New Roman"/>
                <w:w w:val="95"/>
                <w:sz w:val="20"/>
              </w:rPr>
              <w:t>8,576,756.17</w:t>
            </w:r>
            <w:r>
              <w:rPr>
                <w:rFonts w:ascii="Times New Roman"/>
                <w:sz w:val="20"/>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0"/>
                <w:szCs w:val="20"/>
              </w:rPr>
            </w:pPr>
            <w:r>
              <w:rPr>
                <w:rFonts w:ascii="Times New Roman"/>
                <w:sz w:val="20"/>
              </w:rPr>
              <w:t>8.04</w:t>
            </w:r>
          </w:p>
        </w:tc>
      </w:tr>
      <w:tr>
        <w:trPr>
          <w:trHeight w:val="276"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深圳中航福田智能装备股权投资基金合伙企业</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20"/>
                <w:szCs w:val="20"/>
              </w:rPr>
            </w:pPr>
            <w:r>
              <w:rPr>
                <w:rFonts w:ascii="Times New Roman"/>
                <w:w w:val="95"/>
                <w:sz w:val="20"/>
              </w:rPr>
              <w:t>232,169,555.65</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0"/>
                <w:szCs w:val="20"/>
              </w:rPr>
            </w:pPr>
            <w:r>
              <w:rPr>
                <w:rFonts w:ascii="Times New Roman"/>
                <w:w w:val="95"/>
                <w:sz w:val="20"/>
              </w:rPr>
              <w:t>1,589,458.07</w:t>
            </w:r>
            <w:r>
              <w:rPr>
                <w:rFonts w:ascii="Times New Roman"/>
                <w:sz w:val="20"/>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w w:val="95"/>
                <w:sz w:val="20"/>
              </w:rPr>
              <w:t>233,759,013.72</w:t>
            </w:r>
            <w:r>
              <w:rPr>
                <w:rFonts w:ascii="Times New Roman"/>
                <w:sz w:val="20"/>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z w:val="20"/>
              </w:rPr>
              <w:t>21.00</w:t>
            </w:r>
          </w:p>
        </w:tc>
      </w:tr>
      <w:tr>
        <w:trPr>
          <w:trHeight w:val="274"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贵安新区配售电有限公司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0"/>
                <w:szCs w:val="20"/>
              </w:rPr>
            </w:pPr>
            <w:r>
              <w:rPr>
                <w:rFonts w:ascii="Times New Roman"/>
                <w:w w:val="95"/>
                <w:sz w:val="20"/>
              </w:rPr>
              <w:t>66,785,626.12</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0"/>
                <w:szCs w:val="20"/>
              </w:rPr>
            </w:pPr>
            <w:r>
              <w:rPr>
                <w:rFonts w:ascii="Times New Roman"/>
                <w:w w:val="95"/>
                <w:sz w:val="20"/>
              </w:rPr>
              <w:t>-1,659,597.98</w:t>
            </w:r>
            <w:r>
              <w:rPr>
                <w:rFonts w:ascii="Times New Roman"/>
                <w:sz w:val="20"/>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0"/>
                <w:szCs w:val="20"/>
              </w:rPr>
            </w:pPr>
            <w:r>
              <w:rPr>
                <w:rFonts w:ascii="Times New Roman"/>
                <w:w w:val="95"/>
                <w:sz w:val="20"/>
              </w:rPr>
              <w:t>65,126,028.14</w:t>
            </w:r>
            <w:r>
              <w:rPr>
                <w:rFonts w:ascii="Times New Roman"/>
                <w:sz w:val="20"/>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0"/>
                <w:szCs w:val="20"/>
              </w:rPr>
            </w:pPr>
            <w:r>
              <w:rPr>
                <w:rFonts w:ascii="Times New Roman"/>
                <w:sz w:val="20"/>
              </w:rPr>
              <w:t>7.00</w:t>
            </w:r>
          </w:p>
        </w:tc>
      </w:tr>
      <w:tr>
        <w:trPr>
          <w:trHeight w:val="276"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上海戎科特种装备有限公司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w w:val="95"/>
                <w:sz w:val="20"/>
              </w:rPr>
              <w:t>10,668,370.00</w:t>
            </w:r>
            <w:r>
              <w:rPr>
                <w:rFonts w:ascii="Times New Roman"/>
                <w:sz w:val="20"/>
              </w:rPr>
            </w:r>
          </w:p>
        </w:tc>
        <w:tc>
          <w:tcPr>
            <w:tcW w:w="1454"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0"/>
                <w:szCs w:val="20"/>
              </w:rPr>
            </w:pPr>
            <w:r>
              <w:rPr>
                <w:rFonts w:ascii="Times New Roman"/>
                <w:w w:val="95"/>
                <w:sz w:val="20"/>
              </w:rPr>
              <w:t>-6,914,580.09</w:t>
            </w:r>
            <w:r>
              <w:rPr>
                <w:rFonts w:ascii="Times New Roman"/>
                <w:sz w:val="20"/>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w w:val="95"/>
                <w:sz w:val="20"/>
              </w:rPr>
              <w:t>3,753,789.91</w:t>
            </w:r>
            <w:r>
              <w:rPr>
                <w:rFonts w:ascii="Times New Roman"/>
                <w:sz w:val="20"/>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z w:val="20"/>
              </w:rPr>
              <w:t>6.70</w:t>
            </w:r>
          </w:p>
        </w:tc>
      </w:tr>
      <w:tr>
        <w:trPr>
          <w:trHeight w:val="276"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随锐科技股份有限公司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0"/>
                <w:szCs w:val="20"/>
              </w:rPr>
            </w:pPr>
            <w:r>
              <w:rPr>
                <w:rFonts w:ascii="Times New Roman"/>
                <w:w w:val="95"/>
                <w:sz w:val="20"/>
              </w:rPr>
              <w:t>46,715,542.42</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54"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0"/>
                <w:szCs w:val="20"/>
              </w:rPr>
            </w:pPr>
            <w:r>
              <w:rPr>
                <w:rFonts w:ascii="Times New Roman"/>
                <w:w w:val="95"/>
                <w:sz w:val="20"/>
              </w:rPr>
              <w:t>10,129,273.79</w:t>
            </w:r>
            <w:r>
              <w:rPr>
                <w:rFonts w:ascii="Times New Roman"/>
                <w:sz w:val="20"/>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0"/>
                <w:szCs w:val="20"/>
              </w:rPr>
            </w:pPr>
            <w:r>
              <w:rPr>
                <w:rFonts w:ascii="Times New Roman"/>
                <w:w w:val="95"/>
                <w:sz w:val="20"/>
              </w:rPr>
              <w:t>56,844,816.21</w:t>
            </w:r>
            <w:r>
              <w:rPr>
                <w:rFonts w:ascii="Times New Roman"/>
                <w:sz w:val="20"/>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0"/>
                <w:szCs w:val="20"/>
              </w:rPr>
            </w:pPr>
            <w:r>
              <w:rPr>
                <w:rFonts w:ascii="Times New Roman"/>
                <w:sz w:val="20"/>
              </w:rPr>
              <w:t>1.47</w:t>
            </w:r>
          </w:p>
        </w:tc>
      </w:tr>
      <w:tr>
        <w:trPr>
          <w:trHeight w:val="274"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江西大麦互娱科技股份有限公司</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0"/>
                <w:szCs w:val="20"/>
              </w:rPr>
            </w:pPr>
            <w:r>
              <w:rPr>
                <w:rFonts w:ascii="Times New Roman"/>
                <w:w w:val="95"/>
                <w:sz w:val="20"/>
              </w:rPr>
              <w:t>2,644,235.88</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0"/>
                <w:szCs w:val="20"/>
              </w:rPr>
            </w:pPr>
            <w:r>
              <w:rPr>
                <w:rFonts w:ascii="Times New Roman"/>
                <w:w w:val="95"/>
                <w:sz w:val="20"/>
              </w:rPr>
              <w:t>2,428,571.00</w:t>
            </w:r>
            <w:r>
              <w:rPr>
                <w:rFonts w:ascii="Times New Roman"/>
                <w:sz w:val="20"/>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0"/>
                <w:szCs w:val="20"/>
              </w:rPr>
            </w:pPr>
            <w:r>
              <w:rPr>
                <w:rFonts w:ascii="Times New Roman"/>
                <w:w w:val="95"/>
                <w:sz w:val="20"/>
              </w:rPr>
              <w:t>2,687,552.97</w:t>
            </w:r>
            <w:r>
              <w:rPr>
                <w:rFonts w:ascii="Times New Roman"/>
                <w:sz w:val="20"/>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0"/>
                <w:szCs w:val="20"/>
              </w:rPr>
            </w:pPr>
            <w:r>
              <w:rPr>
                <w:rFonts w:ascii="Times New Roman"/>
                <w:w w:val="95"/>
                <w:sz w:val="20"/>
              </w:rPr>
              <w:t>2,903,217.85</w:t>
            </w:r>
            <w:r>
              <w:rPr>
                <w:rFonts w:ascii="Times New Roman"/>
                <w:sz w:val="20"/>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0"/>
                <w:szCs w:val="20"/>
              </w:rPr>
            </w:pPr>
            <w:r>
              <w:rPr>
                <w:rFonts w:ascii="Times New Roman"/>
                <w:sz w:val="20"/>
              </w:rPr>
              <w:t>14.13</w:t>
            </w:r>
          </w:p>
        </w:tc>
      </w:tr>
      <w:tr>
        <w:trPr>
          <w:trHeight w:val="276"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上海电科诚鼎智能产业投资合伙企业（有限合伙）</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0"/>
                <w:szCs w:val="20"/>
              </w:rPr>
            </w:pPr>
            <w:r>
              <w:rPr>
                <w:rFonts w:ascii="Times New Roman"/>
                <w:w w:val="95"/>
                <w:sz w:val="20"/>
              </w:rPr>
              <w:t>6,497,150.13</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0"/>
                <w:szCs w:val="20"/>
              </w:rPr>
            </w:pPr>
            <w:r>
              <w:rPr>
                <w:rFonts w:ascii="Times New Roman"/>
                <w:w w:val="95"/>
                <w:sz w:val="20"/>
              </w:rPr>
              <w:t>1,691,906.01</w:t>
            </w:r>
            <w:r>
              <w:rPr>
                <w:rFonts w:ascii="Times New Roman"/>
                <w:sz w:val="20"/>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0"/>
                <w:szCs w:val="20"/>
              </w:rPr>
            </w:pPr>
            <w:r>
              <w:rPr>
                <w:rFonts w:ascii="Times New Roman"/>
                <w:w w:val="95"/>
                <w:sz w:val="20"/>
              </w:rPr>
              <w:t>1,859,044.64</w:t>
            </w:r>
            <w:r>
              <w:rPr>
                <w:rFonts w:ascii="Times New Roman"/>
                <w:sz w:val="20"/>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w w:val="95"/>
                <w:sz w:val="20"/>
              </w:rPr>
              <w:t>6,664,288.76</w:t>
            </w:r>
            <w:r>
              <w:rPr>
                <w:rFonts w:ascii="Times New Roman"/>
                <w:sz w:val="20"/>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z w:val="20"/>
              </w:rPr>
              <w:t>2.86</w:t>
            </w:r>
          </w:p>
        </w:tc>
      </w:tr>
      <w:tr>
        <w:trPr>
          <w:trHeight w:val="274"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江西省创东方科技创业投资中心（有限合伙）</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0"/>
                <w:szCs w:val="20"/>
              </w:rPr>
            </w:pPr>
            <w:r>
              <w:rPr>
                <w:rFonts w:ascii="Times New Roman"/>
                <w:w w:val="95"/>
                <w:sz w:val="20"/>
              </w:rPr>
              <w:t>18,186,137.21</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0"/>
                <w:szCs w:val="20"/>
              </w:rPr>
            </w:pPr>
            <w:r>
              <w:rPr>
                <w:rFonts w:ascii="Times New Roman"/>
                <w:w w:val="95"/>
                <w:sz w:val="20"/>
              </w:rPr>
              <w:t>3,900,000.00</w:t>
            </w:r>
            <w:r>
              <w:rPr>
                <w:rFonts w:ascii="Times New Roman"/>
                <w:sz w:val="20"/>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0"/>
                <w:szCs w:val="20"/>
              </w:rPr>
            </w:pPr>
            <w:r>
              <w:rPr>
                <w:rFonts w:ascii="Times New Roman"/>
                <w:w w:val="95"/>
                <w:sz w:val="20"/>
              </w:rPr>
              <w:t>-1,179,705.66</w:t>
            </w:r>
            <w:r>
              <w:rPr>
                <w:rFonts w:ascii="Times New Roman"/>
                <w:sz w:val="20"/>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0"/>
                <w:szCs w:val="20"/>
              </w:rPr>
            </w:pPr>
            <w:r>
              <w:rPr>
                <w:rFonts w:ascii="Times New Roman"/>
                <w:w w:val="95"/>
                <w:sz w:val="20"/>
              </w:rPr>
              <w:t>13,106,431.55</w:t>
            </w:r>
            <w:r>
              <w:rPr>
                <w:rFonts w:ascii="Times New Roman"/>
                <w:sz w:val="20"/>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0"/>
                <w:szCs w:val="20"/>
              </w:rPr>
            </w:pPr>
            <w:r>
              <w:rPr>
                <w:rFonts w:ascii="Times New Roman"/>
                <w:sz w:val="20"/>
              </w:rPr>
              <w:t>10.34</w:t>
            </w:r>
          </w:p>
        </w:tc>
      </w:tr>
      <w:tr>
        <w:trPr>
          <w:trHeight w:val="276"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深圳平安天成股权投资基金合伙企业（有限合伙）</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0"/>
                <w:szCs w:val="20"/>
              </w:rPr>
            </w:pPr>
            <w:r>
              <w:rPr>
                <w:rFonts w:ascii="Times New Roman"/>
                <w:w w:val="95"/>
                <w:sz w:val="20"/>
              </w:rPr>
              <w:t>11,452,443.45</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0"/>
                <w:szCs w:val="20"/>
              </w:rPr>
            </w:pPr>
            <w:r>
              <w:rPr>
                <w:rFonts w:ascii="Times New Roman"/>
                <w:w w:val="95"/>
                <w:sz w:val="20"/>
              </w:rPr>
              <w:t>-9,316,240.03</w:t>
            </w:r>
            <w:r>
              <w:rPr>
                <w:rFonts w:ascii="Times New Roman"/>
                <w:sz w:val="20"/>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20"/>
                <w:szCs w:val="20"/>
              </w:rPr>
            </w:pPr>
            <w:r>
              <w:rPr>
                <w:rFonts w:ascii="Times New Roman"/>
                <w:w w:val="95"/>
                <w:sz w:val="20"/>
              </w:rPr>
              <w:t>2,136,203.42</w:t>
            </w:r>
            <w:r>
              <w:rPr>
                <w:rFonts w:ascii="Times New Roman"/>
                <w:sz w:val="20"/>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sz w:val="20"/>
              </w:rPr>
              <w:t>14.85</w:t>
            </w:r>
          </w:p>
        </w:tc>
      </w:tr>
      <w:tr>
        <w:trPr>
          <w:trHeight w:val="277"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深圳天泰成长投资合伙企业（有限合伙）</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0"/>
                <w:szCs w:val="20"/>
              </w:rPr>
            </w:pPr>
            <w:r>
              <w:rPr>
                <w:rFonts w:ascii="Times New Roman"/>
                <w:w w:val="95"/>
                <w:sz w:val="20"/>
              </w:rPr>
              <w:t>8,891,210.58</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0"/>
                <w:szCs w:val="20"/>
              </w:rPr>
            </w:pPr>
            <w:r>
              <w:rPr>
                <w:rFonts w:ascii="Times New Roman"/>
                <w:w w:val="95"/>
                <w:sz w:val="20"/>
              </w:rPr>
              <w:t>-7,170,459.81</w:t>
            </w:r>
            <w:r>
              <w:rPr>
                <w:rFonts w:ascii="Times New Roman"/>
                <w:sz w:val="20"/>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0"/>
                <w:szCs w:val="20"/>
              </w:rPr>
            </w:pPr>
            <w:r>
              <w:rPr>
                <w:rFonts w:ascii="Times New Roman"/>
                <w:w w:val="95"/>
                <w:sz w:val="20"/>
              </w:rPr>
              <w:t>1,720,750.77</w:t>
            </w:r>
            <w:r>
              <w:rPr>
                <w:rFonts w:ascii="Times New Roman"/>
                <w:sz w:val="20"/>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0"/>
                <w:szCs w:val="20"/>
              </w:rPr>
            </w:pPr>
            <w:r>
              <w:rPr>
                <w:rFonts w:ascii="Times New Roman"/>
                <w:sz w:val="20"/>
              </w:rPr>
              <w:t>54.72</w:t>
            </w:r>
          </w:p>
        </w:tc>
      </w:tr>
      <w:tr>
        <w:trPr>
          <w:trHeight w:val="274"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w w:val="95"/>
                <w:sz w:val="20"/>
              </w:rPr>
              <w:t>406,584,981.64</w:t>
            </w:r>
            <w:r>
              <w:rPr>
                <w:rFonts w:ascii="Times New Roman"/>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0"/>
                <w:szCs w:val="20"/>
              </w:rPr>
            </w:pPr>
            <w:r>
              <w:rPr>
                <w:rFonts w:ascii="Times New Roman"/>
                <w:w w:val="95"/>
                <w:sz w:val="20"/>
              </w:rPr>
              <w:t>10,668,370.00</w:t>
            </w:r>
            <w:r>
              <w:rPr>
                <w:rFonts w:ascii="Times New Roman"/>
                <w:sz w:val="20"/>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0"/>
                <w:szCs w:val="20"/>
              </w:rPr>
            </w:pPr>
            <w:r>
              <w:rPr>
                <w:rFonts w:ascii="Times New Roman"/>
                <w:w w:val="95"/>
                <w:sz w:val="20"/>
              </w:rPr>
              <w:t>10,004,117.70</w:t>
            </w:r>
            <w:r>
              <w:rPr>
                <w:rFonts w:ascii="Times New Roman"/>
                <w:sz w:val="20"/>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w w:val="95"/>
                <w:sz w:val="20"/>
              </w:rPr>
              <w:t>-12,657,937.44</w:t>
            </w:r>
            <w:r>
              <w:rPr>
                <w:rFonts w:ascii="Times New Roman"/>
                <w:sz w:val="20"/>
              </w:rPr>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0"/>
                <w:szCs w:val="20"/>
              </w:rPr>
            </w:pPr>
            <w:r>
              <w:rPr>
                <w:rFonts w:ascii="Times New Roman"/>
                <w:w w:val="95"/>
                <w:sz w:val="20"/>
              </w:rPr>
              <w:t>394,591,296.50</w:t>
            </w:r>
            <w:r>
              <w:rPr>
                <w:rFonts w:ascii="Times New Roman"/>
                <w:sz w:val="20"/>
              </w:rPr>
            </w:r>
          </w:p>
        </w:tc>
        <w:tc>
          <w:tcPr>
            <w:tcW w:w="15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00" w:right="1220"/>
        </w:sectPr>
      </w:pPr>
    </w:p>
    <w:p>
      <w:pPr>
        <w:pStyle w:val="Heading3"/>
        <w:spacing w:line="274" w:lineRule="exact"/>
        <w:ind w:left="224" w:right="0"/>
        <w:jc w:val="left"/>
        <w:rPr>
          <w:rFonts w:ascii="宋体" w:hAnsi="宋体" w:cs="宋体" w:eastAsia="宋体" w:hint="default"/>
        </w:rPr>
      </w:pPr>
      <w:r>
        <w:rPr>
          <w:rFonts w:ascii="宋体"/>
        </w:rPr>
        <w:t> </w:t>
      </w:r>
    </w:p>
    <w:p>
      <w:pPr>
        <w:spacing w:line="285" w:lineRule="auto" w:before="64"/>
        <w:ind w:left="224" w:right="0" w:firstLine="0"/>
        <w:jc w:val="left"/>
        <w:rPr>
          <w:rFonts w:ascii="宋体" w:hAnsi="宋体" w:cs="宋体" w:eastAsia="宋体" w:hint="default"/>
          <w:sz w:val="21"/>
          <w:szCs w:val="21"/>
        </w:rPr>
      </w:pPr>
      <w:r>
        <w:rPr>
          <w:rFonts w:ascii="宋体" w:hAnsi="宋体" w:cs="宋体" w:eastAsia="宋体" w:hint="default"/>
          <w:b/>
          <w:bCs/>
          <w:sz w:val="21"/>
          <w:szCs w:val="21"/>
        </w:rPr>
        <w:t>19</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z w:val="24"/>
          <w:szCs w:val="24"/>
        </w:rPr>
        <w:t>投资性房地产计量模式</w:t>
      </w:r>
      <w:r>
        <w:rPr>
          <w:rFonts w:ascii="宋体" w:hAnsi="宋体" w:cs="宋体" w:eastAsia="宋体" w:hint="default"/>
          <w:sz w:val="24"/>
          <w:szCs w:val="24"/>
        </w:rPr>
        <w:t> </w:t>
      </w:r>
      <w:r>
        <w:rPr>
          <w:rFonts w:ascii="宋体" w:hAnsi="宋体" w:cs="宋体" w:eastAsia="宋体"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8"/>
        <w:rPr>
          <w:rFonts w:ascii="宋体" w:hAnsi="宋体" w:cs="宋体" w:eastAsia="宋体" w:hint="default"/>
          <w:b/>
          <w:bCs/>
          <w:sz w:val="32"/>
          <w:szCs w:val="32"/>
        </w:rPr>
      </w:pPr>
    </w:p>
    <w:p>
      <w:pPr>
        <w:pStyle w:val="Heading3"/>
        <w:spacing w:line="240" w:lineRule="auto"/>
        <w:ind w:left="224"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00" w:right="1220"/>
          <w:cols w:num="2" w:equalWidth="0">
            <w:col w:w="3919" w:space="7315"/>
            <w:col w:w="3086"/>
          </w:cols>
        </w:sectPr>
      </w:pPr>
    </w:p>
    <w:p>
      <w:pPr>
        <w:spacing w:line="240" w:lineRule="auto" w:before="10"/>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607"/>
        <w:gridCol w:w="2273"/>
        <w:gridCol w:w="2482"/>
        <w:gridCol w:w="2441"/>
        <w:gridCol w:w="2287"/>
      </w:tblGrid>
      <w:tr>
        <w:trPr>
          <w:trHeight w:val="322"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0" w:right="0"/>
              <w:jc w:val="left"/>
              <w:rPr>
                <w:rFonts w:ascii="宋体" w:hAnsi="宋体" w:cs="宋体" w:eastAsia="宋体" w:hint="default"/>
                <w:sz w:val="24"/>
                <w:szCs w:val="24"/>
              </w:rPr>
            </w:pPr>
            <w:r>
              <w:rPr>
                <w:rFonts w:ascii="宋体" w:hAnsi="宋体" w:cs="宋体" w:eastAsia="宋体" w:hint="default"/>
                <w:sz w:val="24"/>
                <w:szCs w:val="24"/>
              </w:rPr>
              <w:t>房屋、建筑物</w:t>
            </w:r>
            <w:r>
              <w:rPr>
                <w:rFonts w:ascii="宋体" w:hAnsi="宋体" w:cs="宋体" w:eastAsia="宋体" w:hint="default"/>
                <w:sz w:val="24"/>
                <w:szCs w:val="24"/>
              </w:rPr>
              <w:t> </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38" w:right="0"/>
              <w:jc w:val="left"/>
              <w:rPr>
                <w:rFonts w:ascii="宋体" w:hAnsi="宋体" w:cs="宋体" w:eastAsia="宋体" w:hint="default"/>
                <w:sz w:val="24"/>
                <w:szCs w:val="24"/>
              </w:rPr>
            </w:pPr>
            <w:r>
              <w:rPr>
                <w:rFonts w:ascii="宋体" w:hAnsi="宋体" w:cs="宋体" w:eastAsia="宋体" w:hint="default"/>
                <w:sz w:val="24"/>
                <w:szCs w:val="24"/>
              </w:rPr>
              <w:t>土地使用权</w:t>
            </w:r>
            <w:r>
              <w:rPr>
                <w:rFonts w:ascii="宋体" w:hAnsi="宋体" w:cs="宋体" w:eastAsia="宋体" w:hint="default"/>
                <w:sz w:val="24"/>
                <w:szCs w:val="24"/>
              </w:rPr>
              <w:t> </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6" w:right="0"/>
              <w:jc w:val="left"/>
              <w:rPr>
                <w:rFonts w:ascii="宋体" w:hAnsi="宋体" w:cs="宋体" w:eastAsia="宋体" w:hint="default"/>
                <w:sz w:val="24"/>
                <w:szCs w:val="24"/>
              </w:rPr>
            </w:pPr>
            <w:r>
              <w:rPr>
                <w:rFonts w:ascii="宋体" w:hAnsi="宋体" w:cs="宋体" w:eastAsia="宋体" w:hint="default"/>
                <w:sz w:val="24"/>
                <w:szCs w:val="24"/>
              </w:rPr>
              <w:t>在建工程</w:t>
            </w:r>
            <w:r>
              <w:rPr>
                <w:rFonts w:ascii="宋体" w:hAnsi="宋体" w:cs="宋体" w:eastAsia="宋体" w:hint="default"/>
                <w:sz w:val="24"/>
                <w:szCs w:val="24"/>
              </w:rPr>
              <w:t> </w:t>
            </w:r>
          </w:p>
        </w:tc>
        <w:tc>
          <w:tcPr>
            <w:tcW w:w="22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97"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r>
      <w:tr>
        <w:trPr>
          <w:trHeight w:val="284"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2273"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single" w:sz="4" w:space="0" w:color="000000"/>
            </w:tcBorders>
          </w:tcPr>
          <w:p>
            <w:pPr/>
          </w:p>
        </w:tc>
        <w:tc>
          <w:tcPr>
            <w:tcW w:w="228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期初余额</w:t>
            </w:r>
            <w:r>
              <w:rPr>
                <w:rFonts w:ascii="宋体" w:hAnsi="宋体" w:cs="宋体" w:eastAsia="宋体" w:hint="default"/>
                <w:sz w:val="24"/>
                <w:szCs w:val="24"/>
              </w:rPr>
              <w:t> </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126,232,714.08</w:t>
            </w:r>
            <w:r>
              <w:rPr>
                <w:rFonts w:ascii="Times New Roman"/>
                <w:sz w:val="20"/>
              </w:rPr>
            </w:r>
          </w:p>
        </w:tc>
        <w:tc>
          <w:tcPr>
            <w:tcW w:w="2482"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single" w:sz="4" w:space="0" w:color="000000"/>
            </w:tcBorders>
          </w:tcPr>
          <w:p>
            <w:pPr/>
          </w:p>
        </w:tc>
        <w:tc>
          <w:tcPr>
            <w:tcW w:w="22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923" w:right="0"/>
              <w:jc w:val="left"/>
              <w:rPr>
                <w:rFonts w:ascii="Times New Roman" w:hAnsi="Times New Roman" w:cs="Times New Roman" w:eastAsia="Times New Roman" w:hint="default"/>
                <w:sz w:val="20"/>
                <w:szCs w:val="20"/>
              </w:rPr>
            </w:pPr>
            <w:r>
              <w:rPr>
                <w:rFonts w:ascii="Times New Roman"/>
                <w:sz w:val="20"/>
              </w:rPr>
              <w:t>126,232,714.08</w:t>
            </w:r>
          </w:p>
        </w:tc>
      </w:tr>
      <w:tr>
        <w:trPr>
          <w:trHeight w:val="319"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本期增加金额</w:t>
            </w:r>
            <w:r>
              <w:rPr>
                <w:rFonts w:ascii="宋体" w:hAnsi="宋体" w:cs="宋体" w:eastAsia="宋体" w:hint="default"/>
                <w:sz w:val="24"/>
                <w:szCs w:val="24"/>
              </w:rPr>
              <w:t> </w:t>
            </w:r>
          </w:p>
        </w:tc>
        <w:tc>
          <w:tcPr>
            <w:tcW w:w="2273"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single" w:sz="4" w:space="0" w:color="000000"/>
            </w:tcBorders>
          </w:tcPr>
          <w:p>
            <w:pPr/>
          </w:p>
        </w:tc>
        <w:tc>
          <w:tcPr>
            <w:tcW w:w="228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6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）外购</w:t>
            </w:r>
            <w:r>
              <w:rPr>
                <w:rFonts w:ascii="宋体" w:hAnsi="宋体" w:cs="宋体" w:eastAsia="宋体" w:hint="default"/>
                <w:sz w:val="24"/>
                <w:szCs w:val="24"/>
              </w:rPr>
              <w:t> </w:t>
            </w:r>
          </w:p>
        </w:tc>
        <w:tc>
          <w:tcPr>
            <w:tcW w:w="2273"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single" w:sz="4" w:space="0" w:color="000000"/>
            </w:tcBorders>
          </w:tcPr>
          <w:p>
            <w:pPr/>
          </w:p>
        </w:tc>
        <w:tc>
          <w:tcPr>
            <w:tcW w:w="228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）存货</w:t>
            </w:r>
            <w:r>
              <w:rPr>
                <w:rFonts w:ascii="宋体" w:hAnsi="宋体" w:cs="宋体" w:eastAsia="宋体" w:hint="default"/>
                <w:sz w:val="24"/>
                <w:szCs w:val="24"/>
              </w:rPr>
              <w:t>\</w:t>
            </w:r>
            <w:r>
              <w:rPr>
                <w:rFonts w:ascii="宋体" w:hAnsi="宋体" w:cs="宋体" w:eastAsia="宋体" w:hint="default"/>
                <w:sz w:val="24"/>
                <w:szCs w:val="24"/>
              </w:rPr>
              <w:t>固定资产</w:t>
            </w:r>
            <w:r>
              <w:rPr>
                <w:rFonts w:ascii="宋体" w:hAnsi="宋体" w:cs="宋体" w:eastAsia="宋体" w:hint="default"/>
                <w:sz w:val="24"/>
                <w:szCs w:val="24"/>
              </w:rPr>
              <w:t>\</w:t>
            </w:r>
            <w:r>
              <w:rPr>
                <w:rFonts w:ascii="宋体" w:hAnsi="宋体" w:cs="宋体" w:eastAsia="宋体" w:hint="default"/>
                <w:sz w:val="24"/>
                <w:szCs w:val="24"/>
              </w:rPr>
              <w:t>在建工程转入</w:t>
            </w:r>
            <w:r>
              <w:rPr>
                <w:rFonts w:ascii="宋体" w:hAnsi="宋体" w:cs="宋体" w:eastAsia="宋体" w:hint="default"/>
                <w:sz w:val="24"/>
                <w:szCs w:val="24"/>
              </w:rPr>
              <w:t> </w:t>
            </w:r>
          </w:p>
        </w:tc>
        <w:tc>
          <w:tcPr>
            <w:tcW w:w="2273"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single" w:sz="4" w:space="0" w:color="000000"/>
            </w:tcBorders>
          </w:tcPr>
          <w:p>
            <w:pPr/>
          </w:p>
        </w:tc>
        <w:tc>
          <w:tcPr>
            <w:tcW w:w="228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）企业合并增加</w:t>
            </w:r>
            <w:r>
              <w:rPr>
                <w:rFonts w:ascii="宋体" w:hAnsi="宋体" w:cs="宋体" w:eastAsia="宋体" w:hint="default"/>
                <w:sz w:val="24"/>
                <w:szCs w:val="24"/>
              </w:rPr>
              <w:t> </w:t>
            </w:r>
          </w:p>
        </w:tc>
        <w:tc>
          <w:tcPr>
            <w:tcW w:w="2273"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single" w:sz="4" w:space="0" w:color="000000"/>
            </w:tcBorders>
          </w:tcPr>
          <w:p>
            <w:pPr/>
          </w:p>
        </w:tc>
        <w:tc>
          <w:tcPr>
            <w:tcW w:w="228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本期减少金额</w:t>
            </w:r>
            <w:r>
              <w:rPr>
                <w:rFonts w:ascii="宋体" w:hAnsi="宋体" w:cs="宋体" w:eastAsia="宋体" w:hint="default"/>
                <w:sz w:val="24"/>
                <w:szCs w:val="24"/>
              </w:rPr>
              <w:t> </w:t>
            </w:r>
          </w:p>
        </w:tc>
        <w:tc>
          <w:tcPr>
            <w:tcW w:w="2273"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single" w:sz="4" w:space="0" w:color="000000"/>
            </w:tcBorders>
          </w:tcPr>
          <w:p>
            <w:pPr/>
          </w:p>
        </w:tc>
        <w:tc>
          <w:tcPr>
            <w:tcW w:w="228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）处置</w:t>
            </w:r>
            <w:r>
              <w:rPr>
                <w:rFonts w:ascii="宋体" w:hAnsi="宋体" w:cs="宋体" w:eastAsia="宋体" w:hint="default"/>
                <w:sz w:val="24"/>
                <w:szCs w:val="24"/>
              </w:rPr>
              <w:t> </w:t>
            </w:r>
          </w:p>
        </w:tc>
        <w:tc>
          <w:tcPr>
            <w:tcW w:w="2273"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single" w:sz="4" w:space="0" w:color="000000"/>
            </w:tcBorders>
          </w:tcPr>
          <w:p>
            <w:pPr/>
          </w:p>
        </w:tc>
        <w:tc>
          <w:tcPr>
            <w:tcW w:w="228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）其他转出</w:t>
            </w:r>
            <w:r>
              <w:rPr>
                <w:rFonts w:ascii="宋体" w:hAnsi="宋体" w:cs="宋体" w:eastAsia="宋体" w:hint="default"/>
                <w:sz w:val="24"/>
                <w:szCs w:val="24"/>
              </w:rPr>
              <w:t> </w:t>
            </w:r>
          </w:p>
        </w:tc>
        <w:tc>
          <w:tcPr>
            <w:tcW w:w="2273"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single" w:sz="4" w:space="0" w:color="000000"/>
            </w:tcBorders>
          </w:tcPr>
          <w:p>
            <w:pPr/>
          </w:p>
        </w:tc>
        <w:tc>
          <w:tcPr>
            <w:tcW w:w="2287"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期末余额</w:t>
            </w:r>
            <w:r>
              <w:rPr>
                <w:rFonts w:ascii="宋体" w:hAnsi="宋体" w:cs="宋体" w:eastAsia="宋体" w:hint="default"/>
                <w:sz w:val="24"/>
                <w:szCs w:val="24"/>
              </w:rPr>
              <w:t> </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126,232,714.08</w:t>
            </w:r>
            <w:r>
              <w:rPr>
                <w:rFonts w:ascii="Times New Roman"/>
                <w:sz w:val="20"/>
              </w:rPr>
            </w:r>
          </w:p>
        </w:tc>
        <w:tc>
          <w:tcPr>
            <w:tcW w:w="2482"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single" w:sz="4" w:space="0" w:color="000000"/>
            </w:tcBorders>
          </w:tcPr>
          <w:p>
            <w:pPr/>
          </w:p>
        </w:tc>
        <w:tc>
          <w:tcPr>
            <w:tcW w:w="22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923" w:right="0"/>
              <w:jc w:val="left"/>
              <w:rPr>
                <w:rFonts w:ascii="Times New Roman" w:hAnsi="Times New Roman" w:cs="Times New Roman" w:eastAsia="Times New Roman" w:hint="default"/>
                <w:sz w:val="20"/>
                <w:szCs w:val="20"/>
              </w:rPr>
            </w:pPr>
            <w:r>
              <w:rPr>
                <w:rFonts w:ascii="Times New Roman"/>
                <w:sz w:val="20"/>
              </w:rPr>
              <w:t>126,232,714.08</w:t>
            </w:r>
          </w:p>
        </w:tc>
      </w:tr>
      <w:tr>
        <w:trPr>
          <w:trHeight w:val="286"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2273"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single" w:sz="4" w:space="0" w:color="000000"/>
            </w:tcBorders>
          </w:tcPr>
          <w:p>
            <w:pPr/>
          </w:p>
        </w:tc>
        <w:tc>
          <w:tcPr>
            <w:tcW w:w="228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00" w:right="1220"/>
        </w:sectPr>
      </w:pPr>
    </w:p>
    <w:p>
      <w:pPr>
        <w:spacing w:line="240" w:lineRule="auto" w:before="7"/>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4607"/>
        <w:gridCol w:w="2273"/>
        <w:gridCol w:w="2482"/>
        <w:gridCol w:w="2441"/>
        <w:gridCol w:w="2287"/>
      </w:tblGrid>
      <w:tr>
        <w:trPr>
          <w:trHeight w:val="322"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期初余额</w:t>
            </w:r>
            <w:r>
              <w:rPr>
                <w:rFonts w:ascii="宋体" w:hAnsi="宋体" w:cs="宋体" w:eastAsia="宋体" w:hint="default"/>
                <w:sz w:val="24"/>
                <w:szCs w:val="24"/>
              </w:rPr>
              <w:t> </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1"/>
              <w:jc w:val="right"/>
              <w:rPr>
                <w:rFonts w:ascii="Times New Roman" w:hAnsi="Times New Roman" w:cs="Times New Roman" w:eastAsia="Times New Roman" w:hint="default"/>
                <w:sz w:val="20"/>
                <w:szCs w:val="20"/>
              </w:rPr>
            </w:pPr>
            <w:r>
              <w:rPr>
                <w:rFonts w:ascii="Times New Roman"/>
                <w:w w:val="95"/>
                <w:sz w:val="20"/>
              </w:rPr>
              <w:t>54,805,900.39</w:t>
            </w:r>
            <w:r>
              <w:rPr>
                <w:rFonts w:ascii="Times New Roman"/>
                <w:sz w:val="20"/>
              </w:rPr>
            </w:r>
          </w:p>
        </w:tc>
        <w:tc>
          <w:tcPr>
            <w:tcW w:w="2482"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single" w:sz="4" w:space="0" w:color="000000"/>
            </w:tcBorders>
          </w:tcPr>
          <w:p>
            <w:pPr/>
          </w:p>
        </w:tc>
        <w:tc>
          <w:tcPr>
            <w:tcW w:w="228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1"/>
              <w:jc w:val="right"/>
              <w:rPr>
                <w:rFonts w:ascii="Times New Roman" w:hAnsi="Times New Roman" w:cs="Times New Roman" w:eastAsia="Times New Roman" w:hint="default"/>
                <w:sz w:val="20"/>
                <w:szCs w:val="20"/>
              </w:rPr>
            </w:pPr>
            <w:r>
              <w:rPr>
                <w:rFonts w:ascii="Times New Roman"/>
                <w:w w:val="95"/>
                <w:sz w:val="20"/>
              </w:rPr>
              <w:t>54,805,900.39</w:t>
            </w:r>
            <w:r>
              <w:rPr>
                <w:rFonts w:ascii="Times New Roman"/>
                <w:sz w:val="20"/>
              </w:rPr>
            </w:r>
          </w:p>
        </w:tc>
      </w:tr>
      <w:tr>
        <w:trPr>
          <w:trHeight w:val="319"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本期增加金额</w:t>
            </w:r>
            <w:r>
              <w:rPr>
                <w:rFonts w:ascii="宋体" w:hAnsi="宋体" w:cs="宋体" w:eastAsia="宋体" w:hint="default"/>
                <w:sz w:val="24"/>
                <w:szCs w:val="24"/>
              </w:rPr>
              <w:t> </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4,545,712.44</w:t>
            </w:r>
            <w:r>
              <w:rPr>
                <w:rFonts w:ascii="Times New Roman"/>
                <w:sz w:val="20"/>
              </w:rPr>
            </w:r>
          </w:p>
        </w:tc>
        <w:tc>
          <w:tcPr>
            <w:tcW w:w="2482"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single" w:sz="4" w:space="0" w:color="000000"/>
            </w:tcBorders>
          </w:tcPr>
          <w:p>
            <w:pPr/>
          </w:p>
        </w:tc>
        <w:tc>
          <w:tcPr>
            <w:tcW w:w="22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4,545,712.44</w:t>
            </w:r>
            <w:r>
              <w:rPr>
                <w:rFonts w:ascii="Times New Roman"/>
                <w:sz w:val="20"/>
              </w:rPr>
            </w:r>
          </w:p>
        </w:tc>
      </w:tr>
      <w:tr>
        <w:trPr>
          <w:trHeight w:val="322"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6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）计提或摊销</w:t>
            </w:r>
            <w:r>
              <w:rPr>
                <w:rFonts w:ascii="宋体" w:hAnsi="宋体" w:cs="宋体" w:eastAsia="宋体" w:hint="default"/>
                <w:sz w:val="24"/>
                <w:szCs w:val="24"/>
              </w:rPr>
              <w:t> </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Times New Roman" w:hAnsi="Times New Roman" w:cs="Times New Roman" w:eastAsia="Times New Roman" w:hint="default"/>
                <w:sz w:val="20"/>
                <w:szCs w:val="20"/>
              </w:rPr>
            </w:pPr>
            <w:r>
              <w:rPr>
                <w:rFonts w:ascii="Times New Roman"/>
                <w:w w:val="95"/>
                <w:sz w:val="20"/>
              </w:rPr>
              <w:t>4,545,712.44</w:t>
            </w:r>
            <w:r>
              <w:rPr>
                <w:rFonts w:ascii="Times New Roman"/>
                <w:sz w:val="20"/>
              </w:rPr>
            </w:r>
          </w:p>
        </w:tc>
        <w:tc>
          <w:tcPr>
            <w:tcW w:w="2482"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single" w:sz="4" w:space="0" w:color="000000"/>
            </w:tcBorders>
          </w:tcPr>
          <w:p>
            <w:pPr/>
          </w:p>
        </w:tc>
        <w:tc>
          <w:tcPr>
            <w:tcW w:w="228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Times New Roman" w:hAnsi="Times New Roman" w:cs="Times New Roman" w:eastAsia="Times New Roman" w:hint="default"/>
                <w:sz w:val="20"/>
                <w:szCs w:val="20"/>
              </w:rPr>
            </w:pPr>
            <w:r>
              <w:rPr>
                <w:rFonts w:ascii="Times New Roman"/>
                <w:w w:val="95"/>
                <w:sz w:val="20"/>
              </w:rPr>
              <w:t>4,545,712.44</w:t>
            </w:r>
            <w:r>
              <w:rPr>
                <w:rFonts w:ascii="Times New Roman"/>
                <w:sz w:val="20"/>
              </w:rPr>
            </w:r>
          </w:p>
        </w:tc>
      </w:tr>
      <w:tr>
        <w:trPr>
          <w:trHeight w:val="322"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本期减少金额</w:t>
            </w:r>
            <w:r>
              <w:rPr>
                <w:rFonts w:ascii="宋体" w:hAnsi="宋体" w:cs="宋体" w:eastAsia="宋体" w:hint="default"/>
                <w:sz w:val="24"/>
                <w:szCs w:val="24"/>
              </w:rPr>
              <w:t> </w:t>
            </w:r>
          </w:p>
        </w:tc>
        <w:tc>
          <w:tcPr>
            <w:tcW w:w="2273"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single" w:sz="4" w:space="0" w:color="000000"/>
            </w:tcBorders>
          </w:tcPr>
          <w:p>
            <w:pPr/>
          </w:p>
        </w:tc>
        <w:tc>
          <w:tcPr>
            <w:tcW w:w="228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）处置</w:t>
            </w:r>
            <w:r>
              <w:rPr>
                <w:rFonts w:ascii="宋体" w:hAnsi="宋体" w:cs="宋体" w:eastAsia="宋体" w:hint="default"/>
                <w:sz w:val="24"/>
                <w:szCs w:val="24"/>
              </w:rPr>
              <w:t> </w:t>
            </w:r>
          </w:p>
        </w:tc>
        <w:tc>
          <w:tcPr>
            <w:tcW w:w="2273"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single" w:sz="4" w:space="0" w:color="000000"/>
            </w:tcBorders>
          </w:tcPr>
          <w:p>
            <w:pPr/>
          </w:p>
        </w:tc>
        <w:tc>
          <w:tcPr>
            <w:tcW w:w="228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）其他转出</w:t>
            </w:r>
            <w:r>
              <w:rPr>
                <w:rFonts w:ascii="宋体" w:hAnsi="宋体" w:cs="宋体" w:eastAsia="宋体" w:hint="default"/>
                <w:sz w:val="24"/>
                <w:szCs w:val="24"/>
              </w:rPr>
              <w:t> </w:t>
            </w:r>
          </w:p>
        </w:tc>
        <w:tc>
          <w:tcPr>
            <w:tcW w:w="2273"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single" w:sz="4" w:space="0" w:color="000000"/>
            </w:tcBorders>
          </w:tcPr>
          <w:p>
            <w:pPr/>
          </w:p>
        </w:tc>
        <w:tc>
          <w:tcPr>
            <w:tcW w:w="228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期末余额</w:t>
            </w:r>
            <w:r>
              <w:rPr>
                <w:rFonts w:ascii="宋体" w:hAnsi="宋体" w:cs="宋体" w:eastAsia="宋体" w:hint="default"/>
                <w:sz w:val="24"/>
                <w:szCs w:val="24"/>
              </w:rPr>
              <w:t> </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59,351,612.83</w:t>
            </w:r>
            <w:r>
              <w:rPr>
                <w:rFonts w:ascii="Times New Roman"/>
                <w:sz w:val="20"/>
              </w:rPr>
            </w:r>
          </w:p>
        </w:tc>
        <w:tc>
          <w:tcPr>
            <w:tcW w:w="2482"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single" w:sz="4" w:space="0" w:color="000000"/>
            </w:tcBorders>
          </w:tcPr>
          <w:p>
            <w:pPr/>
          </w:p>
        </w:tc>
        <w:tc>
          <w:tcPr>
            <w:tcW w:w="22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59,351,612.83</w:t>
            </w:r>
            <w:r>
              <w:rPr>
                <w:rFonts w:ascii="Times New Roman"/>
                <w:sz w:val="20"/>
              </w:rPr>
            </w:r>
          </w:p>
        </w:tc>
      </w:tr>
      <w:tr>
        <w:trPr>
          <w:trHeight w:val="281"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2273"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single" w:sz="4" w:space="0" w:color="000000"/>
            </w:tcBorders>
          </w:tcPr>
          <w:p>
            <w:pPr/>
          </w:p>
        </w:tc>
        <w:tc>
          <w:tcPr>
            <w:tcW w:w="228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期初余额</w:t>
            </w:r>
            <w:r>
              <w:rPr>
                <w:rFonts w:ascii="宋体" w:hAnsi="宋体" w:cs="宋体" w:eastAsia="宋体" w:hint="default"/>
                <w:sz w:val="24"/>
                <w:szCs w:val="24"/>
              </w:rPr>
              <w:t> </w:t>
            </w:r>
          </w:p>
        </w:tc>
        <w:tc>
          <w:tcPr>
            <w:tcW w:w="2273"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single" w:sz="4" w:space="0" w:color="000000"/>
            </w:tcBorders>
          </w:tcPr>
          <w:p>
            <w:pPr/>
          </w:p>
        </w:tc>
        <w:tc>
          <w:tcPr>
            <w:tcW w:w="228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本期增加金额</w:t>
            </w:r>
            <w:r>
              <w:rPr>
                <w:rFonts w:ascii="宋体" w:hAnsi="宋体" w:cs="宋体" w:eastAsia="宋体" w:hint="default"/>
                <w:sz w:val="24"/>
                <w:szCs w:val="24"/>
              </w:rPr>
              <w:t> </w:t>
            </w:r>
          </w:p>
        </w:tc>
        <w:tc>
          <w:tcPr>
            <w:tcW w:w="2273"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single" w:sz="4" w:space="0" w:color="000000"/>
            </w:tcBorders>
          </w:tcPr>
          <w:p>
            <w:pPr/>
          </w:p>
        </w:tc>
        <w:tc>
          <w:tcPr>
            <w:tcW w:w="228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）计提</w:t>
            </w:r>
            <w:r>
              <w:rPr>
                <w:rFonts w:ascii="宋体" w:hAnsi="宋体" w:cs="宋体" w:eastAsia="宋体" w:hint="default"/>
                <w:sz w:val="24"/>
                <w:szCs w:val="24"/>
              </w:rPr>
              <w:t> </w:t>
            </w:r>
          </w:p>
        </w:tc>
        <w:tc>
          <w:tcPr>
            <w:tcW w:w="2273"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single" w:sz="4" w:space="0" w:color="000000"/>
            </w:tcBorders>
          </w:tcPr>
          <w:p>
            <w:pPr/>
          </w:p>
        </w:tc>
        <w:tc>
          <w:tcPr>
            <w:tcW w:w="228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、本期减少金额</w:t>
            </w:r>
            <w:r>
              <w:rPr>
                <w:rFonts w:ascii="宋体" w:hAnsi="宋体" w:cs="宋体" w:eastAsia="宋体" w:hint="default"/>
                <w:sz w:val="24"/>
                <w:szCs w:val="24"/>
              </w:rPr>
              <w:t> </w:t>
            </w:r>
          </w:p>
        </w:tc>
        <w:tc>
          <w:tcPr>
            <w:tcW w:w="2273"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single" w:sz="4" w:space="0" w:color="000000"/>
            </w:tcBorders>
          </w:tcPr>
          <w:p>
            <w:pPr/>
          </w:p>
        </w:tc>
        <w:tc>
          <w:tcPr>
            <w:tcW w:w="228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）处置</w:t>
            </w:r>
            <w:r>
              <w:rPr>
                <w:rFonts w:ascii="宋体" w:hAnsi="宋体" w:cs="宋体" w:eastAsia="宋体" w:hint="default"/>
                <w:sz w:val="24"/>
                <w:szCs w:val="24"/>
              </w:rPr>
              <w:t> </w:t>
            </w:r>
          </w:p>
        </w:tc>
        <w:tc>
          <w:tcPr>
            <w:tcW w:w="2273"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single" w:sz="4" w:space="0" w:color="000000"/>
            </w:tcBorders>
          </w:tcPr>
          <w:p>
            <w:pPr/>
          </w:p>
        </w:tc>
        <w:tc>
          <w:tcPr>
            <w:tcW w:w="2287"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）其他转出</w:t>
            </w:r>
            <w:r>
              <w:rPr>
                <w:rFonts w:ascii="宋体" w:hAnsi="宋体" w:cs="宋体" w:eastAsia="宋体" w:hint="default"/>
                <w:sz w:val="24"/>
                <w:szCs w:val="24"/>
              </w:rPr>
              <w:t> </w:t>
            </w:r>
          </w:p>
        </w:tc>
        <w:tc>
          <w:tcPr>
            <w:tcW w:w="2273"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single" w:sz="4" w:space="0" w:color="000000"/>
            </w:tcBorders>
          </w:tcPr>
          <w:p>
            <w:pPr/>
          </w:p>
        </w:tc>
        <w:tc>
          <w:tcPr>
            <w:tcW w:w="228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83"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期末余额</w:t>
            </w:r>
            <w:r>
              <w:rPr>
                <w:rFonts w:ascii="宋体" w:hAnsi="宋体" w:cs="宋体" w:eastAsia="宋体" w:hint="default"/>
                <w:sz w:val="24"/>
                <w:szCs w:val="24"/>
              </w:rPr>
              <w:t> </w:t>
            </w:r>
          </w:p>
        </w:tc>
        <w:tc>
          <w:tcPr>
            <w:tcW w:w="2273"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single" w:sz="4" w:space="0" w:color="000000"/>
            </w:tcBorders>
          </w:tcPr>
          <w:p>
            <w:pPr/>
          </w:p>
        </w:tc>
        <w:tc>
          <w:tcPr>
            <w:tcW w:w="22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2273"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single" w:sz="4" w:space="0" w:color="000000"/>
            </w:tcBorders>
          </w:tcPr>
          <w:p>
            <w:pPr/>
          </w:p>
        </w:tc>
        <w:tc>
          <w:tcPr>
            <w:tcW w:w="228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期末账面价值</w:t>
            </w:r>
            <w:r>
              <w:rPr>
                <w:rFonts w:ascii="宋体" w:hAnsi="宋体" w:cs="宋体" w:eastAsia="宋体" w:hint="default"/>
                <w:sz w:val="24"/>
                <w:szCs w:val="24"/>
              </w:rPr>
              <w:t> </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1"/>
              <w:jc w:val="right"/>
              <w:rPr>
                <w:rFonts w:ascii="Times New Roman" w:hAnsi="Times New Roman" w:cs="Times New Roman" w:eastAsia="Times New Roman" w:hint="default"/>
                <w:sz w:val="20"/>
                <w:szCs w:val="20"/>
              </w:rPr>
            </w:pPr>
            <w:r>
              <w:rPr>
                <w:rFonts w:ascii="Times New Roman"/>
                <w:w w:val="95"/>
                <w:sz w:val="20"/>
              </w:rPr>
              <w:t>66,881,101.25</w:t>
            </w:r>
            <w:r>
              <w:rPr>
                <w:rFonts w:ascii="Times New Roman"/>
                <w:sz w:val="20"/>
              </w:rPr>
            </w:r>
          </w:p>
        </w:tc>
        <w:tc>
          <w:tcPr>
            <w:tcW w:w="2482"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single" w:sz="4" w:space="0" w:color="000000"/>
            </w:tcBorders>
          </w:tcPr>
          <w:p>
            <w:pPr/>
          </w:p>
        </w:tc>
        <w:tc>
          <w:tcPr>
            <w:tcW w:w="228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1"/>
              <w:jc w:val="right"/>
              <w:rPr>
                <w:rFonts w:ascii="Times New Roman" w:hAnsi="Times New Roman" w:cs="Times New Roman" w:eastAsia="Times New Roman" w:hint="default"/>
                <w:sz w:val="20"/>
                <w:szCs w:val="20"/>
              </w:rPr>
            </w:pPr>
            <w:r>
              <w:rPr>
                <w:rFonts w:ascii="Times New Roman"/>
                <w:w w:val="95"/>
                <w:sz w:val="20"/>
              </w:rPr>
              <w:t>66,881,101.25</w:t>
            </w:r>
            <w:r>
              <w:rPr>
                <w:rFonts w:ascii="Times New Roman"/>
                <w:sz w:val="20"/>
              </w:rPr>
            </w:r>
          </w:p>
        </w:tc>
      </w:tr>
      <w:tr>
        <w:trPr>
          <w:trHeight w:val="322" w:hRule="exact"/>
        </w:trPr>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期初账面价值</w:t>
            </w:r>
            <w:r>
              <w:rPr>
                <w:rFonts w:ascii="宋体" w:hAnsi="宋体" w:cs="宋体" w:eastAsia="宋体" w:hint="default"/>
                <w:sz w:val="24"/>
                <w:szCs w:val="24"/>
              </w:rPr>
              <w:t> </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71,426,813.69</w:t>
            </w:r>
            <w:r>
              <w:rPr>
                <w:rFonts w:ascii="Times New Roman"/>
                <w:sz w:val="20"/>
              </w:rPr>
            </w:r>
          </w:p>
        </w:tc>
        <w:tc>
          <w:tcPr>
            <w:tcW w:w="2482"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single" w:sz="4" w:space="0" w:color="000000"/>
            </w:tcBorders>
          </w:tcPr>
          <w:p>
            <w:pPr/>
          </w:p>
        </w:tc>
        <w:tc>
          <w:tcPr>
            <w:tcW w:w="22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71,426,813.69</w:t>
            </w:r>
            <w:r>
              <w:rPr>
                <w:rFonts w:ascii="Times New Roman"/>
                <w:sz w:val="20"/>
              </w:rPr>
            </w:r>
          </w:p>
        </w:tc>
      </w:tr>
    </w:tbl>
    <w:p>
      <w:pPr>
        <w:spacing w:line="240" w:lineRule="auto" w:before="10"/>
        <w:rPr>
          <w:rFonts w:ascii="宋体" w:hAnsi="宋体" w:cs="宋体" w:eastAsia="宋体" w:hint="default"/>
          <w:sz w:val="17"/>
          <w:szCs w:val="17"/>
        </w:rPr>
      </w:pPr>
    </w:p>
    <w:p>
      <w:pPr>
        <w:pStyle w:val="Heading5"/>
        <w:spacing w:line="240" w:lineRule="auto" w:before="36"/>
        <w:ind w:left="224" w:right="0"/>
        <w:jc w:val="left"/>
        <w:rPr>
          <w:rFonts w:ascii="宋体" w:hAnsi="宋体" w:cs="宋体" w:eastAsia="宋体" w:hint="default"/>
          <w:b w:val="0"/>
          <w:bCs w:val="0"/>
        </w:rPr>
      </w:pPr>
      <w:r>
        <w:rPr>
          <w:rFonts w:ascii="宋体" w:hAnsi="宋体" w:cs="宋体" w:eastAsia="宋体" w:hint="default"/>
        </w:rPr>
        <w:t>(2).</w:t>
      </w:r>
      <w:r>
        <w:rPr/>
        <w:t>未办妥产权证书的投资性房地产情况</w:t>
      </w:r>
      <w:r>
        <w:rPr>
          <w:rFonts w:ascii="宋体" w:hAnsi="宋体" w:cs="宋体" w:eastAsia="宋体" w:hint="default"/>
          <w:w w:val="99"/>
        </w:rPr>
        <w:t> </w:t>
      </w:r>
      <w:r>
        <w:rPr>
          <w:rFonts w:ascii="宋体" w:hAnsi="宋体" w:cs="宋体" w:eastAsia="宋体" w:hint="default"/>
          <w:b w:val="0"/>
          <w:bCs w:val="0"/>
        </w:rPr>
      </w:r>
    </w:p>
    <w:p>
      <w:pPr>
        <w:pStyle w:val="Heading3"/>
        <w:spacing w:line="312" w:lineRule="exact" w:before="81"/>
        <w:ind w:left="173" w:right="11585" w:firstLine="5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t>其他说明</w:t>
      </w:r>
      <w:r>
        <w:rPr>
          <w:rFonts w:ascii="宋体" w:hAnsi="宋体" w:cs="宋体" w:eastAsia="宋体" w:hint="default"/>
        </w:rPr>
        <w:t> </w:t>
      </w:r>
    </w:p>
    <w:p>
      <w:pPr>
        <w:pStyle w:val="Heading3"/>
        <w:spacing w:line="283" w:lineRule="exact"/>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83" w:lineRule="exact"/>
        <w:jc w:val="left"/>
        <w:rPr>
          <w:rFonts w:ascii="宋体" w:hAnsi="宋体" w:cs="宋体" w:eastAsia="宋体" w:hint="default"/>
        </w:rPr>
        <w:sectPr>
          <w:pgSz w:w="16840" w:h="11910" w:orient="landscape"/>
          <w:pgMar w:header="882" w:footer="1195" w:top="1120" w:bottom="1380" w:left="1300" w:right="1220"/>
        </w:sectPr>
      </w:pPr>
    </w:p>
    <w:p>
      <w:pPr>
        <w:spacing w:line="240" w:lineRule="auto" w:before="10"/>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6840" w:h="11910" w:orient="landscape"/>
          <w:pgMar w:header="882" w:footer="1195" w:top="1120" w:bottom="1380" w:left="1300" w:right="1200"/>
        </w:sectPr>
      </w:pPr>
    </w:p>
    <w:p>
      <w:pPr>
        <w:pStyle w:val="Heading5"/>
        <w:spacing w:line="290" w:lineRule="auto" w:before="36"/>
        <w:ind w:left="224" w:right="0"/>
        <w:jc w:val="left"/>
        <w:rPr>
          <w:rFonts w:ascii="宋体" w:hAnsi="宋体" w:cs="宋体" w:eastAsia="宋体" w:hint="default"/>
          <w:b w:val="0"/>
          <w:bCs w:val="0"/>
        </w:rPr>
      </w:pPr>
      <w:r>
        <w:rPr>
          <w:rFonts w:ascii="宋体" w:hAnsi="宋体" w:cs="宋体" w:eastAsia="宋体" w:hint="default"/>
        </w:rPr>
        <w:t>20</w:t>
      </w:r>
      <w:r>
        <w:rPr/>
        <w:t>、</w:t>
      </w:r>
      <w:r>
        <w:rPr>
          <w:spacing w:val="-25"/>
        </w:rPr>
        <w:t> </w:t>
      </w:r>
      <w:r>
        <w:rPr/>
        <w:t>固定资产</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ind w:left="224"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00" w:right="1200"/>
          <w:cols w:num="2" w:equalWidth="0">
            <w:col w:w="2265" w:space="9298"/>
            <w:col w:w="2777"/>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5151"/>
        <w:gridCol w:w="4460"/>
        <w:gridCol w:w="4479"/>
      </w:tblGrid>
      <w:tr>
        <w:trPr>
          <w:trHeight w:val="281" w:hRule="exact"/>
        </w:trPr>
        <w:tc>
          <w:tcPr>
            <w:tcW w:w="5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5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4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51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44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613,566,407.27</w:t>
            </w:r>
          </w:p>
        </w:tc>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654,199,659.63</w:t>
            </w:r>
          </w:p>
        </w:tc>
      </w:tr>
      <w:tr>
        <w:trPr>
          <w:trHeight w:val="283" w:hRule="exact"/>
        </w:trPr>
        <w:tc>
          <w:tcPr>
            <w:tcW w:w="5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r>
              <w:rPr>
                <w:rFonts w:ascii="宋体" w:hAnsi="宋体" w:cs="宋体" w:eastAsia="宋体" w:hint="default"/>
                <w:sz w:val="21"/>
                <w:szCs w:val="21"/>
              </w:rPr>
              <w:t> </w:t>
            </w:r>
          </w:p>
        </w:tc>
        <w:tc>
          <w:tcPr>
            <w:tcW w:w="4460" w:type="dxa"/>
            <w:tcBorders>
              <w:top w:val="single" w:sz="4" w:space="0" w:color="000000"/>
              <w:left w:val="single" w:sz="4" w:space="0" w:color="000000"/>
              <w:bottom w:val="single" w:sz="4" w:space="0" w:color="000000"/>
              <w:right w:val="single" w:sz="4" w:space="0" w:color="000000"/>
            </w:tcBorders>
          </w:tcPr>
          <w:p>
            <w:pPr/>
          </w:p>
        </w:tc>
        <w:tc>
          <w:tcPr>
            <w:tcW w:w="44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5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44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613,566,407.27</w:t>
            </w:r>
          </w:p>
        </w:tc>
        <w:tc>
          <w:tcPr>
            <w:tcW w:w="44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654,199,659.63</w:t>
            </w:r>
          </w:p>
        </w:tc>
      </w:tr>
    </w:tbl>
    <w:p>
      <w:pPr>
        <w:spacing w:after="0" w:line="235" w:lineRule="exact"/>
        <w:jc w:val="right"/>
        <w:rPr>
          <w:rFonts w:ascii="Times New Roman" w:hAnsi="Times New Roman" w:cs="Times New Roman" w:eastAsia="Times New Roman" w:hint="default"/>
          <w:sz w:val="21"/>
          <w:szCs w:val="21"/>
        </w:rPr>
        <w:sectPr>
          <w:type w:val="continuous"/>
          <w:pgSz w:w="16840" w:h="11910" w:orient="landscape"/>
          <w:pgMar w:top="1120" w:bottom="1380" w:left="1300" w:right="1200"/>
        </w:sectPr>
      </w:pPr>
    </w:p>
    <w:p>
      <w:pPr>
        <w:pStyle w:val="Heading2"/>
        <w:spacing w:line="272" w:lineRule="exact"/>
        <w:ind w:left="224" w:right="0"/>
        <w:jc w:val="left"/>
        <w:rPr>
          <w:rFonts w:ascii="宋体" w:hAnsi="宋体" w:cs="宋体" w:eastAsia="宋体" w:hint="default"/>
          <w:b w:val="0"/>
          <w:bCs w:val="0"/>
        </w:rPr>
      </w:pPr>
      <w:r>
        <w:rPr>
          <w:rFonts w:ascii="宋体"/>
          <w:w w:val="99"/>
        </w:rPr>
        <w:t> </w:t>
      </w:r>
      <w:r>
        <w:rPr>
          <w:rFonts w:ascii="宋体"/>
          <w:b w:val="0"/>
        </w:rPr>
      </w:r>
    </w:p>
    <w:p>
      <w:pPr>
        <w:pStyle w:val="Heading3"/>
        <w:spacing w:line="311" w:lineRule="exact"/>
        <w:ind w:left="224" w:right="0"/>
        <w:jc w:val="left"/>
        <w:rPr>
          <w:rFonts w:ascii="宋体" w:hAnsi="宋体" w:cs="宋体" w:eastAsia="宋体" w:hint="default"/>
        </w:rPr>
      </w:pPr>
      <w:r>
        <w:rPr/>
        <w:t>其他说明：</w:t>
      </w:r>
      <w:r>
        <w:rPr>
          <w:rFonts w:ascii="宋体" w:hAnsi="宋体" w:cs="宋体" w:eastAsia="宋体" w:hint="default"/>
        </w:rPr>
        <w:t> </w:t>
      </w:r>
    </w:p>
    <w:p>
      <w:pPr>
        <w:spacing w:line="288" w:lineRule="auto" w:before="0"/>
        <w:ind w:left="224" w:right="0" w:firstLine="0"/>
        <w:jc w:val="left"/>
        <w:rPr>
          <w:rFonts w:ascii="宋体" w:hAnsi="宋体" w:cs="宋体" w:eastAsia="宋体" w:hint="default"/>
          <w:sz w:val="21"/>
          <w:szCs w:val="21"/>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1"/>
          <w:szCs w:val="21"/>
        </w:rPr>
        <w:t>固定资产</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0"/>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7"/>
          <w:szCs w:val="27"/>
        </w:rPr>
      </w:pPr>
    </w:p>
    <w:p>
      <w:pPr>
        <w:pStyle w:val="Heading3"/>
        <w:spacing w:line="240" w:lineRule="auto"/>
        <w:ind w:left="224"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00" w:right="1200"/>
          <w:cols w:num="2" w:equalWidth="0">
            <w:col w:w="2265" w:space="8969"/>
            <w:col w:w="3106"/>
          </w:cols>
        </w:sectPr>
      </w:pP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458"/>
        <w:gridCol w:w="2746"/>
        <w:gridCol w:w="1942"/>
        <w:gridCol w:w="2187"/>
        <w:gridCol w:w="2185"/>
        <w:gridCol w:w="2585"/>
      </w:tblGrid>
      <w:tr>
        <w:trPr>
          <w:trHeight w:val="322"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0"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48" w:right="0"/>
              <w:jc w:val="left"/>
              <w:rPr>
                <w:rFonts w:ascii="宋体" w:hAnsi="宋体" w:cs="宋体" w:eastAsia="宋体" w:hint="default"/>
                <w:sz w:val="24"/>
                <w:szCs w:val="24"/>
              </w:rPr>
            </w:pPr>
            <w:r>
              <w:rPr>
                <w:rFonts w:ascii="宋体" w:hAnsi="宋体" w:cs="宋体" w:eastAsia="宋体" w:hint="default"/>
                <w:sz w:val="24"/>
                <w:szCs w:val="24"/>
              </w:rPr>
              <w:t>房屋及建筑物</w:t>
            </w:r>
            <w:r>
              <w:rPr>
                <w:rFonts w:ascii="宋体" w:hAnsi="宋体" w:cs="宋体" w:eastAsia="宋体" w:hint="default"/>
                <w:sz w:val="24"/>
                <w:szCs w:val="24"/>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84" w:right="0"/>
              <w:jc w:val="left"/>
              <w:rPr>
                <w:rFonts w:ascii="宋体" w:hAnsi="宋体" w:cs="宋体" w:eastAsia="宋体" w:hint="default"/>
                <w:sz w:val="24"/>
                <w:szCs w:val="24"/>
              </w:rPr>
            </w:pPr>
            <w:r>
              <w:rPr>
                <w:rFonts w:ascii="宋体" w:hAnsi="宋体" w:cs="宋体" w:eastAsia="宋体" w:hint="default"/>
                <w:sz w:val="24"/>
                <w:szCs w:val="24"/>
              </w:rPr>
              <w:t>机器设备</w:t>
            </w:r>
            <w:r>
              <w:rPr>
                <w:rFonts w:ascii="宋体" w:hAnsi="宋体" w:cs="宋体" w:eastAsia="宋体" w:hint="default"/>
                <w:sz w:val="24"/>
                <w:szCs w:val="24"/>
              </w:rPr>
              <w:t> </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09" w:right="0"/>
              <w:jc w:val="left"/>
              <w:rPr>
                <w:rFonts w:ascii="宋体" w:hAnsi="宋体" w:cs="宋体" w:eastAsia="宋体" w:hint="default"/>
                <w:sz w:val="24"/>
                <w:szCs w:val="24"/>
              </w:rPr>
            </w:pPr>
            <w:r>
              <w:rPr>
                <w:rFonts w:ascii="宋体" w:hAnsi="宋体" w:cs="宋体" w:eastAsia="宋体" w:hint="default"/>
                <w:sz w:val="24"/>
                <w:szCs w:val="24"/>
              </w:rPr>
              <w:t>运输工具</w:t>
            </w:r>
            <w:r>
              <w:rPr>
                <w:rFonts w:ascii="宋体" w:hAnsi="宋体" w:cs="宋体" w:eastAsia="宋体" w:hint="default"/>
                <w:sz w:val="24"/>
                <w:szCs w:val="24"/>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07" w:right="0"/>
              <w:jc w:val="left"/>
              <w:rPr>
                <w:rFonts w:ascii="宋体" w:hAnsi="宋体" w:cs="宋体" w:eastAsia="宋体" w:hint="default"/>
                <w:sz w:val="24"/>
                <w:szCs w:val="24"/>
              </w:rPr>
            </w:pPr>
            <w:r>
              <w:rPr>
                <w:rFonts w:ascii="宋体" w:hAnsi="宋体" w:cs="宋体" w:eastAsia="宋体" w:hint="default"/>
                <w:sz w:val="24"/>
                <w:szCs w:val="24"/>
              </w:rPr>
              <w:t>其他设备</w:t>
            </w:r>
            <w:r>
              <w:rPr>
                <w:rFonts w:ascii="宋体" w:hAnsi="宋体" w:cs="宋体" w:eastAsia="宋体" w:hint="default"/>
                <w:sz w:val="24"/>
                <w:szCs w:val="24"/>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2"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r>
      <w:tr>
        <w:trPr>
          <w:trHeight w:val="322"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sz w:val="24"/>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sz w:val="24"/>
              </w:rPr>
              <w:t> </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2" w:right="0"/>
              <w:jc w:val="center"/>
              <w:rPr>
                <w:rFonts w:ascii="宋体" w:hAnsi="宋体" w:cs="宋体" w:eastAsia="宋体" w:hint="default"/>
                <w:sz w:val="24"/>
                <w:szCs w:val="24"/>
              </w:rPr>
            </w:pPr>
            <w:r>
              <w:rPr>
                <w:rFonts w:ascii="宋体"/>
                <w:sz w:val="24"/>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sz w:val="24"/>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2" w:right="0"/>
              <w:jc w:val="center"/>
              <w:rPr>
                <w:rFonts w:ascii="宋体" w:hAnsi="宋体" w:cs="宋体" w:eastAsia="宋体" w:hint="default"/>
                <w:sz w:val="24"/>
                <w:szCs w:val="24"/>
              </w:rPr>
            </w:pPr>
            <w:r>
              <w:rPr>
                <w:rFonts w:ascii="宋体"/>
                <w:sz w:val="24"/>
              </w:rPr>
              <w:t> </w:t>
            </w:r>
          </w:p>
        </w:tc>
      </w:tr>
      <w:tr>
        <w:trPr>
          <w:trHeight w:val="319"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8"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期初余额</w:t>
            </w:r>
            <w:r>
              <w:rPr>
                <w:rFonts w:ascii="宋体" w:hAnsi="宋体" w:cs="宋体" w:eastAsia="宋体" w:hint="default"/>
                <w:sz w:val="24"/>
                <w:szCs w:val="24"/>
              </w:rPr>
              <w:t> </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6"/>
              <w:jc w:val="right"/>
              <w:rPr>
                <w:rFonts w:ascii="Times New Roman" w:hAnsi="Times New Roman" w:cs="Times New Roman" w:eastAsia="Times New Roman" w:hint="default"/>
                <w:sz w:val="20"/>
                <w:szCs w:val="20"/>
              </w:rPr>
            </w:pPr>
            <w:r>
              <w:rPr>
                <w:rFonts w:ascii="Times New Roman"/>
                <w:w w:val="95"/>
                <w:sz w:val="20"/>
              </w:rPr>
              <w:t>673,461,826.02</w:t>
            </w:r>
            <w:r>
              <w:rPr>
                <w:rFonts w:ascii="Times New Roman"/>
                <w:sz w:val="20"/>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6"/>
              <w:jc w:val="right"/>
              <w:rPr>
                <w:rFonts w:ascii="Times New Roman" w:hAnsi="Times New Roman" w:cs="Times New Roman" w:eastAsia="Times New Roman" w:hint="default"/>
                <w:sz w:val="20"/>
                <w:szCs w:val="20"/>
              </w:rPr>
            </w:pPr>
            <w:r>
              <w:rPr>
                <w:rFonts w:ascii="Times New Roman"/>
                <w:w w:val="95"/>
                <w:sz w:val="20"/>
              </w:rPr>
              <w:t>341,241,896.08</w:t>
            </w:r>
            <w:r>
              <w:rPr>
                <w:rFonts w:ascii="Times New Roman"/>
                <w:sz w:val="20"/>
              </w:rPr>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6"/>
              <w:jc w:val="right"/>
              <w:rPr>
                <w:rFonts w:ascii="Times New Roman" w:hAnsi="Times New Roman" w:cs="Times New Roman" w:eastAsia="Times New Roman" w:hint="default"/>
                <w:sz w:val="20"/>
                <w:szCs w:val="20"/>
              </w:rPr>
            </w:pPr>
            <w:r>
              <w:rPr>
                <w:rFonts w:ascii="Times New Roman"/>
                <w:w w:val="95"/>
                <w:sz w:val="20"/>
              </w:rPr>
              <w:t>29,280,107.37</w:t>
            </w:r>
            <w:r>
              <w:rPr>
                <w:rFonts w:ascii="Times New Roman"/>
                <w:sz w:val="20"/>
              </w:rPr>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7"/>
              <w:jc w:val="right"/>
              <w:rPr>
                <w:rFonts w:ascii="Times New Roman" w:hAnsi="Times New Roman" w:cs="Times New Roman" w:eastAsia="Times New Roman" w:hint="default"/>
                <w:sz w:val="20"/>
                <w:szCs w:val="20"/>
              </w:rPr>
            </w:pPr>
            <w:r>
              <w:rPr>
                <w:rFonts w:ascii="Times New Roman"/>
                <w:w w:val="95"/>
                <w:sz w:val="20"/>
              </w:rPr>
              <w:t>88,054,437.23</w:t>
            </w:r>
            <w:r>
              <w:rPr>
                <w:rFonts w:ascii="Times New Roman"/>
                <w:sz w:val="20"/>
              </w:rPr>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7"/>
              <w:jc w:val="right"/>
              <w:rPr>
                <w:rFonts w:ascii="Times New Roman" w:hAnsi="Times New Roman" w:cs="Times New Roman" w:eastAsia="Times New Roman" w:hint="default"/>
                <w:sz w:val="20"/>
                <w:szCs w:val="20"/>
              </w:rPr>
            </w:pPr>
            <w:r>
              <w:rPr>
                <w:rFonts w:ascii="Times New Roman"/>
                <w:spacing w:val="-1"/>
                <w:sz w:val="20"/>
              </w:rPr>
              <w:t>1,132,038,266.70</w:t>
            </w:r>
          </w:p>
        </w:tc>
      </w:tr>
      <w:tr>
        <w:trPr>
          <w:trHeight w:val="322"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59"/>
              <w:jc w:val="righ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本期增加金额</w:t>
            </w:r>
            <w:r>
              <w:rPr>
                <w:rFonts w:ascii="宋体" w:hAnsi="宋体" w:cs="宋体" w:eastAsia="宋体" w:hint="default"/>
                <w:sz w:val="24"/>
                <w:szCs w:val="24"/>
              </w:rPr>
              <w:t> </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6"/>
              <w:jc w:val="right"/>
              <w:rPr>
                <w:rFonts w:ascii="Times New Roman" w:hAnsi="Times New Roman" w:cs="Times New Roman" w:eastAsia="Times New Roman" w:hint="default"/>
                <w:sz w:val="20"/>
                <w:szCs w:val="20"/>
              </w:rPr>
            </w:pPr>
            <w:r>
              <w:rPr>
                <w:rFonts w:ascii="Times New Roman"/>
                <w:w w:val="95"/>
                <w:sz w:val="20"/>
              </w:rPr>
              <w:t>8,100,527.21</w:t>
            </w:r>
            <w:r>
              <w:rPr>
                <w:rFonts w:ascii="Times New Roman"/>
                <w:sz w:val="20"/>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6"/>
              <w:jc w:val="right"/>
              <w:rPr>
                <w:rFonts w:ascii="Times New Roman" w:hAnsi="Times New Roman" w:cs="Times New Roman" w:eastAsia="Times New Roman" w:hint="default"/>
                <w:sz w:val="20"/>
                <w:szCs w:val="20"/>
              </w:rPr>
            </w:pPr>
            <w:r>
              <w:rPr>
                <w:rFonts w:ascii="Times New Roman"/>
                <w:w w:val="95"/>
                <w:sz w:val="20"/>
              </w:rPr>
              <w:t>20,382,081.91</w:t>
            </w:r>
            <w:r>
              <w:rPr>
                <w:rFonts w:ascii="Times New Roman"/>
                <w:sz w:val="20"/>
              </w:rPr>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6"/>
              <w:jc w:val="right"/>
              <w:rPr>
                <w:rFonts w:ascii="Times New Roman" w:hAnsi="Times New Roman" w:cs="Times New Roman" w:eastAsia="Times New Roman" w:hint="default"/>
                <w:sz w:val="20"/>
                <w:szCs w:val="20"/>
              </w:rPr>
            </w:pPr>
            <w:r>
              <w:rPr>
                <w:rFonts w:ascii="Times New Roman"/>
                <w:w w:val="95"/>
                <w:sz w:val="20"/>
              </w:rPr>
              <w:t>4,298,779.90</w:t>
            </w:r>
            <w:r>
              <w:rPr>
                <w:rFonts w:ascii="Times New Roman"/>
                <w:sz w:val="20"/>
              </w:rPr>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7"/>
              <w:jc w:val="right"/>
              <w:rPr>
                <w:rFonts w:ascii="Times New Roman" w:hAnsi="Times New Roman" w:cs="Times New Roman" w:eastAsia="Times New Roman" w:hint="default"/>
                <w:sz w:val="20"/>
                <w:szCs w:val="20"/>
              </w:rPr>
            </w:pPr>
            <w:r>
              <w:rPr>
                <w:rFonts w:ascii="Times New Roman"/>
                <w:w w:val="95"/>
                <w:sz w:val="20"/>
              </w:rPr>
              <w:t>3,086,342.74</w:t>
            </w:r>
            <w:r>
              <w:rPr>
                <w:rFonts w:ascii="Times New Roman"/>
                <w:sz w:val="20"/>
              </w:rPr>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6"/>
              <w:jc w:val="right"/>
              <w:rPr>
                <w:rFonts w:ascii="Times New Roman" w:hAnsi="Times New Roman" w:cs="Times New Roman" w:eastAsia="Times New Roman" w:hint="default"/>
                <w:sz w:val="20"/>
                <w:szCs w:val="20"/>
              </w:rPr>
            </w:pPr>
            <w:r>
              <w:rPr>
                <w:rFonts w:ascii="Times New Roman"/>
                <w:w w:val="95"/>
                <w:sz w:val="20"/>
              </w:rPr>
              <w:t>35,867,731.76</w:t>
            </w:r>
            <w:r>
              <w:rPr>
                <w:rFonts w:ascii="Times New Roman"/>
                <w:sz w:val="20"/>
              </w:rPr>
            </w:r>
          </w:p>
        </w:tc>
      </w:tr>
      <w:tr>
        <w:trPr>
          <w:trHeight w:val="322"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8"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）购置</w:t>
            </w:r>
            <w:r>
              <w:rPr>
                <w:rFonts w:ascii="宋体" w:hAnsi="宋体" w:cs="宋体" w:eastAsia="宋体" w:hint="default"/>
                <w:sz w:val="24"/>
                <w:szCs w:val="24"/>
              </w:rPr>
              <w:t> </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6"/>
              <w:jc w:val="right"/>
              <w:rPr>
                <w:rFonts w:ascii="Times New Roman" w:hAnsi="Times New Roman" w:cs="Times New Roman" w:eastAsia="Times New Roman" w:hint="default"/>
                <w:sz w:val="20"/>
                <w:szCs w:val="20"/>
              </w:rPr>
            </w:pPr>
            <w:r>
              <w:rPr>
                <w:rFonts w:ascii="Times New Roman"/>
                <w:w w:val="95"/>
                <w:sz w:val="20"/>
              </w:rPr>
              <w:t>2,969,486.39</w:t>
            </w:r>
            <w:r>
              <w:rPr>
                <w:rFonts w:ascii="Times New Roman"/>
                <w:sz w:val="20"/>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6"/>
              <w:jc w:val="right"/>
              <w:rPr>
                <w:rFonts w:ascii="Times New Roman" w:hAnsi="Times New Roman" w:cs="Times New Roman" w:eastAsia="Times New Roman" w:hint="default"/>
                <w:sz w:val="20"/>
                <w:szCs w:val="20"/>
              </w:rPr>
            </w:pPr>
            <w:r>
              <w:rPr>
                <w:rFonts w:ascii="Times New Roman"/>
                <w:w w:val="95"/>
                <w:sz w:val="20"/>
              </w:rPr>
              <w:t>10,417,582.86</w:t>
            </w:r>
            <w:r>
              <w:rPr>
                <w:rFonts w:ascii="Times New Roman"/>
                <w:sz w:val="20"/>
              </w:rPr>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6"/>
              <w:jc w:val="right"/>
              <w:rPr>
                <w:rFonts w:ascii="Times New Roman" w:hAnsi="Times New Roman" w:cs="Times New Roman" w:eastAsia="Times New Roman" w:hint="default"/>
                <w:sz w:val="20"/>
                <w:szCs w:val="20"/>
              </w:rPr>
            </w:pPr>
            <w:r>
              <w:rPr>
                <w:rFonts w:ascii="Times New Roman"/>
                <w:w w:val="95"/>
                <w:sz w:val="20"/>
              </w:rPr>
              <w:t>4,298,779.90</w:t>
            </w:r>
            <w:r>
              <w:rPr>
                <w:rFonts w:ascii="Times New Roman"/>
                <w:sz w:val="20"/>
              </w:rPr>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7"/>
              <w:jc w:val="right"/>
              <w:rPr>
                <w:rFonts w:ascii="Times New Roman" w:hAnsi="Times New Roman" w:cs="Times New Roman" w:eastAsia="Times New Roman" w:hint="default"/>
                <w:sz w:val="20"/>
                <w:szCs w:val="20"/>
              </w:rPr>
            </w:pPr>
            <w:r>
              <w:rPr>
                <w:rFonts w:ascii="Times New Roman"/>
                <w:w w:val="95"/>
                <w:sz w:val="20"/>
              </w:rPr>
              <w:t>2,973,468.21</w:t>
            </w:r>
            <w:r>
              <w:rPr>
                <w:rFonts w:ascii="Times New Roman"/>
                <w:sz w:val="20"/>
              </w:rPr>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6"/>
              <w:jc w:val="right"/>
              <w:rPr>
                <w:rFonts w:ascii="Times New Roman" w:hAnsi="Times New Roman" w:cs="Times New Roman" w:eastAsia="Times New Roman" w:hint="default"/>
                <w:sz w:val="20"/>
                <w:szCs w:val="20"/>
              </w:rPr>
            </w:pPr>
            <w:r>
              <w:rPr>
                <w:rFonts w:ascii="Times New Roman"/>
                <w:w w:val="95"/>
                <w:sz w:val="20"/>
              </w:rPr>
              <w:t>20,659,317.36</w:t>
            </w:r>
            <w:r>
              <w:rPr>
                <w:rFonts w:ascii="Times New Roman"/>
                <w:sz w:val="20"/>
              </w:rPr>
            </w:r>
          </w:p>
        </w:tc>
      </w:tr>
      <w:tr>
        <w:trPr>
          <w:trHeight w:val="634"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8" w:right="0"/>
              <w:jc w:val="left"/>
              <w:rPr>
                <w:rFonts w:ascii="宋体" w:hAnsi="宋体" w:cs="宋体" w:eastAsia="宋体" w:hint="default"/>
                <w:sz w:val="24"/>
                <w:szCs w:val="24"/>
              </w:rPr>
            </w:pPr>
            <w:r>
              <w:rPr>
                <w:rFonts w:ascii="宋体" w:hAnsi="宋体" w:cs="宋体" w:eastAsia="宋体" w:hint="default"/>
                <w:spacing w:val="-7"/>
                <w:sz w:val="24"/>
                <w:szCs w:val="24"/>
              </w:rPr>
              <w:t>（</w:t>
            </w:r>
            <w:r>
              <w:rPr>
                <w:rFonts w:ascii="宋体" w:hAnsi="宋体" w:cs="宋体" w:eastAsia="宋体" w:hint="default"/>
                <w:spacing w:val="-7"/>
                <w:sz w:val="24"/>
                <w:szCs w:val="24"/>
              </w:rPr>
              <w:t>2</w:t>
            </w:r>
            <w:r>
              <w:rPr>
                <w:rFonts w:ascii="宋体" w:hAnsi="宋体" w:cs="宋体" w:eastAsia="宋体" w:hint="default"/>
                <w:spacing w:val="-7"/>
                <w:sz w:val="24"/>
                <w:szCs w:val="24"/>
              </w:rPr>
              <w:t>）在建工程</w:t>
            </w:r>
          </w:p>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转入</w:t>
            </w:r>
            <w:r>
              <w:rPr>
                <w:rFonts w:ascii="宋体" w:hAnsi="宋体" w:cs="宋体" w:eastAsia="宋体" w:hint="default"/>
                <w:sz w:val="24"/>
                <w:szCs w:val="24"/>
              </w:rPr>
              <w:t> </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w w:val="95"/>
                <w:sz w:val="20"/>
              </w:rPr>
              <w:t>5,131,040.82</w:t>
            </w:r>
            <w:r>
              <w:rPr>
                <w:rFonts w:ascii="Times New Roman"/>
                <w:sz w:val="20"/>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w w:val="95"/>
                <w:sz w:val="20"/>
              </w:rPr>
              <w:t>9,964,499.05</w:t>
            </w:r>
            <w:r>
              <w:rPr>
                <w:rFonts w:ascii="Times New Roman"/>
                <w:sz w:val="20"/>
              </w:rPr>
            </w:r>
          </w:p>
        </w:tc>
        <w:tc>
          <w:tcPr>
            <w:tcW w:w="2187" w:type="dxa"/>
            <w:tcBorders>
              <w:top w:val="single" w:sz="4" w:space="0" w:color="000000"/>
              <w:left w:val="single" w:sz="4" w:space="0" w:color="000000"/>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w w:val="95"/>
                <w:sz w:val="20"/>
              </w:rPr>
              <w:t>112,874.53</w:t>
            </w:r>
            <w:r>
              <w:rPr>
                <w:rFonts w:ascii="Times New Roman"/>
                <w:sz w:val="20"/>
              </w:rPr>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w w:val="95"/>
                <w:sz w:val="20"/>
              </w:rPr>
              <w:t>15,208,414.40</w:t>
            </w:r>
            <w:r>
              <w:rPr>
                <w:rFonts w:ascii="Times New Roman"/>
                <w:sz w:val="20"/>
              </w:rPr>
            </w:r>
          </w:p>
        </w:tc>
      </w:tr>
      <w:tr>
        <w:trPr>
          <w:trHeight w:val="631"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8" w:right="0"/>
              <w:jc w:val="left"/>
              <w:rPr>
                <w:rFonts w:ascii="宋体" w:hAnsi="宋体" w:cs="宋体" w:eastAsia="宋体" w:hint="default"/>
                <w:sz w:val="24"/>
                <w:szCs w:val="24"/>
              </w:rPr>
            </w:pPr>
            <w:r>
              <w:rPr>
                <w:rFonts w:ascii="宋体" w:hAnsi="宋体" w:cs="宋体" w:eastAsia="宋体" w:hint="default"/>
                <w:spacing w:val="-7"/>
                <w:sz w:val="24"/>
                <w:szCs w:val="24"/>
              </w:rPr>
              <w:t>（</w:t>
            </w:r>
            <w:r>
              <w:rPr>
                <w:rFonts w:ascii="宋体" w:hAnsi="宋体" w:cs="宋体" w:eastAsia="宋体" w:hint="default"/>
                <w:spacing w:val="-7"/>
                <w:sz w:val="24"/>
                <w:szCs w:val="24"/>
              </w:rPr>
              <w:t>3</w:t>
            </w:r>
            <w:r>
              <w:rPr>
                <w:rFonts w:ascii="宋体" w:hAnsi="宋体" w:cs="宋体" w:eastAsia="宋体" w:hint="default"/>
                <w:spacing w:val="-7"/>
                <w:sz w:val="24"/>
                <w:szCs w:val="24"/>
              </w:rPr>
              <w:t>）企业合并</w:t>
            </w:r>
          </w:p>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增加</w:t>
            </w:r>
            <w:r>
              <w:rPr>
                <w:rFonts w:ascii="宋体" w:hAnsi="宋体" w:cs="宋体" w:eastAsia="宋体" w:hint="default"/>
                <w:sz w:val="24"/>
                <w:szCs w:val="24"/>
              </w:rPr>
              <w:t> </w:t>
            </w:r>
          </w:p>
        </w:tc>
        <w:tc>
          <w:tcPr>
            <w:tcW w:w="274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3"/>
              <w:jc w:val="righ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本期减少金额</w:t>
            </w:r>
            <w:r>
              <w:rPr>
                <w:rFonts w:ascii="宋体" w:hAnsi="宋体" w:cs="宋体" w:eastAsia="宋体" w:hint="default"/>
                <w:sz w:val="24"/>
                <w:szCs w:val="24"/>
              </w:rPr>
              <w:t> </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6"/>
              <w:jc w:val="right"/>
              <w:rPr>
                <w:rFonts w:ascii="Times New Roman" w:hAnsi="Times New Roman" w:cs="Times New Roman" w:eastAsia="Times New Roman" w:hint="default"/>
                <w:sz w:val="20"/>
                <w:szCs w:val="20"/>
              </w:rPr>
            </w:pPr>
            <w:r>
              <w:rPr>
                <w:rFonts w:ascii="Times New Roman"/>
                <w:w w:val="95"/>
                <w:sz w:val="20"/>
              </w:rPr>
              <w:t>20,108,425.80</w:t>
            </w:r>
            <w:r>
              <w:rPr>
                <w:rFonts w:ascii="Times New Roman"/>
                <w:sz w:val="20"/>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6"/>
              <w:jc w:val="right"/>
              <w:rPr>
                <w:rFonts w:ascii="Times New Roman" w:hAnsi="Times New Roman" w:cs="Times New Roman" w:eastAsia="Times New Roman" w:hint="default"/>
                <w:sz w:val="20"/>
                <w:szCs w:val="20"/>
              </w:rPr>
            </w:pPr>
            <w:r>
              <w:rPr>
                <w:rFonts w:ascii="Times New Roman"/>
                <w:w w:val="95"/>
                <w:sz w:val="20"/>
              </w:rPr>
              <w:t>13,135,009.89</w:t>
            </w:r>
            <w:r>
              <w:rPr>
                <w:rFonts w:ascii="Times New Roman"/>
                <w:sz w:val="20"/>
              </w:rPr>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6"/>
              <w:jc w:val="right"/>
              <w:rPr>
                <w:rFonts w:ascii="Times New Roman" w:hAnsi="Times New Roman" w:cs="Times New Roman" w:eastAsia="Times New Roman" w:hint="default"/>
                <w:sz w:val="20"/>
                <w:szCs w:val="20"/>
              </w:rPr>
            </w:pPr>
            <w:r>
              <w:rPr>
                <w:rFonts w:ascii="Times New Roman"/>
                <w:w w:val="95"/>
                <w:sz w:val="20"/>
              </w:rPr>
              <w:t>7,075,118.67</w:t>
            </w:r>
            <w:r>
              <w:rPr>
                <w:rFonts w:ascii="Times New Roman"/>
                <w:sz w:val="20"/>
              </w:rPr>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7"/>
              <w:jc w:val="right"/>
              <w:rPr>
                <w:rFonts w:ascii="Times New Roman" w:hAnsi="Times New Roman" w:cs="Times New Roman" w:eastAsia="Times New Roman" w:hint="default"/>
                <w:sz w:val="20"/>
                <w:szCs w:val="20"/>
              </w:rPr>
            </w:pPr>
            <w:r>
              <w:rPr>
                <w:rFonts w:ascii="Times New Roman"/>
                <w:w w:val="95"/>
                <w:sz w:val="20"/>
              </w:rPr>
              <w:t>11,093,074.08</w:t>
            </w:r>
            <w:r>
              <w:rPr>
                <w:rFonts w:ascii="Times New Roman"/>
                <w:sz w:val="20"/>
              </w:rPr>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6"/>
              <w:jc w:val="right"/>
              <w:rPr>
                <w:rFonts w:ascii="Times New Roman" w:hAnsi="Times New Roman" w:cs="Times New Roman" w:eastAsia="Times New Roman" w:hint="default"/>
                <w:sz w:val="20"/>
                <w:szCs w:val="20"/>
              </w:rPr>
            </w:pPr>
            <w:r>
              <w:rPr>
                <w:rFonts w:ascii="Times New Roman"/>
                <w:w w:val="95"/>
                <w:sz w:val="20"/>
              </w:rPr>
              <w:t>51,411,628.44</w:t>
            </w:r>
            <w:r>
              <w:rPr>
                <w:rFonts w:ascii="Times New Roman"/>
                <w:sz w:val="20"/>
              </w:rPr>
            </w:r>
          </w:p>
        </w:tc>
      </w:tr>
      <w:tr>
        <w:trPr>
          <w:trHeight w:val="634"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8" w:right="0"/>
              <w:jc w:val="left"/>
              <w:rPr>
                <w:rFonts w:ascii="宋体" w:hAnsi="宋体" w:cs="宋体" w:eastAsia="宋体" w:hint="default"/>
                <w:sz w:val="24"/>
                <w:szCs w:val="24"/>
              </w:rPr>
            </w:pPr>
            <w:r>
              <w:rPr>
                <w:rFonts w:ascii="宋体" w:hAnsi="宋体" w:cs="宋体" w:eastAsia="宋体" w:hint="default"/>
                <w:spacing w:val="-7"/>
                <w:sz w:val="24"/>
                <w:szCs w:val="24"/>
              </w:rPr>
              <w:t>（</w:t>
            </w:r>
            <w:r>
              <w:rPr>
                <w:rFonts w:ascii="宋体" w:hAnsi="宋体" w:cs="宋体" w:eastAsia="宋体" w:hint="default"/>
                <w:spacing w:val="-7"/>
                <w:sz w:val="24"/>
                <w:szCs w:val="24"/>
              </w:rPr>
              <w:t>1</w:t>
            </w:r>
            <w:r>
              <w:rPr>
                <w:rFonts w:ascii="宋体" w:hAnsi="宋体" w:cs="宋体" w:eastAsia="宋体" w:hint="default"/>
                <w:spacing w:val="-7"/>
                <w:sz w:val="24"/>
                <w:szCs w:val="24"/>
              </w:rPr>
              <w:t>）处置或报</w:t>
            </w:r>
          </w:p>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废</w:t>
            </w:r>
            <w:r>
              <w:rPr>
                <w:rFonts w:ascii="宋体" w:hAnsi="宋体" w:cs="宋体" w:eastAsia="宋体" w:hint="default"/>
                <w:sz w:val="24"/>
                <w:szCs w:val="24"/>
              </w:rPr>
              <w:t> </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w w:val="95"/>
                <w:sz w:val="20"/>
              </w:rPr>
              <w:t>1,613,453.60</w:t>
            </w:r>
            <w:r>
              <w:rPr>
                <w:rFonts w:ascii="Times New Roman"/>
                <w:sz w:val="20"/>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w w:val="95"/>
                <w:sz w:val="20"/>
              </w:rPr>
              <w:t>7,843,132.01</w:t>
            </w:r>
            <w:r>
              <w:rPr>
                <w:rFonts w:ascii="Times New Roman"/>
                <w:sz w:val="20"/>
              </w:rPr>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w w:val="95"/>
                <w:sz w:val="20"/>
              </w:rPr>
              <w:t>5,398,430.29</w:t>
            </w:r>
            <w:r>
              <w:rPr>
                <w:rFonts w:ascii="Times New Roman"/>
                <w:sz w:val="20"/>
              </w:rPr>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w w:val="95"/>
                <w:sz w:val="20"/>
              </w:rPr>
              <w:t>3,805,881.40</w:t>
            </w:r>
            <w:r>
              <w:rPr>
                <w:rFonts w:ascii="Times New Roman"/>
                <w:sz w:val="20"/>
              </w:rPr>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w w:val="95"/>
                <w:sz w:val="20"/>
              </w:rPr>
              <w:t>18,660,897.30</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type w:val="continuous"/>
          <w:pgSz w:w="16840" w:h="11910" w:orient="landscape"/>
          <w:pgMar w:top="1120" w:bottom="1380" w:left="1300" w:right="1200"/>
        </w:sectPr>
      </w:pPr>
    </w:p>
    <w:p>
      <w:pPr>
        <w:spacing w:line="240" w:lineRule="auto" w:before="2"/>
        <w:rPr>
          <w:rFonts w:ascii="Times New Roman" w:hAnsi="Times New Roman" w:cs="Times New Roman" w:eastAsia="Times New Roman"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2458"/>
        <w:gridCol w:w="2746"/>
        <w:gridCol w:w="1942"/>
        <w:gridCol w:w="2187"/>
        <w:gridCol w:w="2185"/>
        <w:gridCol w:w="2585"/>
      </w:tblGrid>
      <w:tr>
        <w:trPr>
          <w:trHeight w:val="632"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8" w:right="0"/>
              <w:jc w:val="left"/>
              <w:rPr>
                <w:rFonts w:ascii="宋体" w:hAnsi="宋体" w:cs="宋体" w:eastAsia="宋体" w:hint="default"/>
                <w:sz w:val="24"/>
                <w:szCs w:val="24"/>
              </w:rPr>
            </w:pPr>
            <w:r>
              <w:rPr>
                <w:rFonts w:ascii="宋体" w:hAnsi="宋体" w:cs="宋体" w:eastAsia="宋体" w:hint="default"/>
                <w:spacing w:val="-7"/>
                <w:sz w:val="24"/>
                <w:szCs w:val="24"/>
              </w:rPr>
              <w:t>（</w:t>
            </w:r>
            <w:r>
              <w:rPr>
                <w:rFonts w:ascii="宋体" w:hAnsi="宋体" w:cs="宋体" w:eastAsia="宋体" w:hint="default"/>
                <w:spacing w:val="-7"/>
                <w:sz w:val="24"/>
                <w:szCs w:val="24"/>
              </w:rPr>
              <w:t>2</w:t>
            </w:r>
            <w:r>
              <w:rPr>
                <w:rFonts w:ascii="宋体" w:hAnsi="宋体" w:cs="宋体" w:eastAsia="宋体" w:hint="default"/>
                <w:spacing w:val="-7"/>
                <w:sz w:val="24"/>
                <w:szCs w:val="24"/>
              </w:rPr>
              <w:t>）企业合并</w:t>
            </w:r>
          </w:p>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减少</w:t>
            </w:r>
            <w:r>
              <w:rPr>
                <w:rFonts w:ascii="宋体" w:hAnsi="宋体" w:cs="宋体" w:eastAsia="宋体" w:hint="default"/>
                <w:sz w:val="24"/>
                <w:szCs w:val="24"/>
              </w:rPr>
              <w:t> </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w w:val="95"/>
                <w:sz w:val="20"/>
              </w:rPr>
              <w:t>18,494,972.20</w:t>
            </w:r>
            <w:r>
              <w:rPr>
                <w:rFonts w:ascii="Times New Roman"/>
                <w:sz w:val="20"/>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w w:val="95"/>
                <w:sz w:val="20"/>
              </w:rPr>
              <w:t>5,291,877.88</w:t>
            </w:r>
            <w:r>
              <w:rPr>
                <w:rFonts w:ascii="Times New Roman"/>
                <w:sz w:val="20"/>
              </w:rPr>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w w:val="95"/>
                <w:sz w:val="20"/>
              </w:rPr>
              <w:t>1,676,688.38</w:t>
            </w:r>
            <w:r>
              <w:rPr>
                <w:rFonts w:ascii="Times New Roman"/>
                <w:sz w:val="20"/>
              </w:rPr>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w w:val="95"/>
                <w:sz w:val="20"/>
              </w:rPr>
              <w:t>7,287,192.68</w:t>
            </w:r>
            <w:r>
              <w:rPr>
                <w:rFonts w:ascii="Times New Roman"/>
                <w:sz w:val="20"/>
              </w:rPr>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w w:val="95"/>
                <w:sz w:val="20"/>
              </w:rPr>
              <w:t>32,750,731.14</w:t>
            </w:r>
            <w:r>
              <w:rPr>
                <w:rFonts w:ascii="Times New Roman"/>
                <w:sz w:val="20"/>
              </w:rPr>
            </w:r>
          </w:p>
        </w:tc>
      </w:tr>
      <w:tr>
        <w:trPr>
          <w:trHeight w:val="322"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8"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期末余额</w:t>
            </w:r>
            <w:r>
              <w:rPr>
                <w:rFonts w:ascii="宋体" w:hAnsi="宋体" w:cs="宋体" w:eastAsia="宋体" w:hint="default"/>
                <w:sz w:val="24"/>
                <w:szCs w:val="24"/>
              </w:rPr>
              <w:t> </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6"/>
              <w:jc w:val="right"/>
              <w:rPr>
                <w:rFonts w:ascii="Times New Roman" w:hAnsi="Times New Roman" w:cs="Times New Roman" w:eastAsia="Times New Roman" w:hint="default"/>
                <w:sz w:val="20"/>
                <w:szCs w:val="20"/>
              </w:rPr>
            </w:pPr>
            <w:r>
              <w:rPr>
                <w:rFonts w:ascii="Times New Roman"/>
                <w:w w:val="95"/>
                <w:sz w:val="20"/>
              </w:rPr>
              <w:t>661,453,927.43</w:t>
            </w:r>
            <w:r>
              <w:rPr>
                <w:rFonts w:ascii="Times New Roman"/>
                <w:sz w:val="20"/>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6"/>
              <w:jc w:val="right"/>
              <w:rPr>
                <w:rFonts w:ascii="Times New Roman" w:hAnsi="Times New Roman" w:cs="Times New Roman" w:eastAsia="Times New Roman" w:hint="default"/>
                <w:sz w:val="20"/>
                <w:szCs w:val="20"/>
              </w:rPr>
            </w:pPr>
            <w:r>
              <w:rPr>
                <w:rFonts w:ascii="Times New Roman"/>
                <w:w w:val="95"/>
                <w:sz w:val="20"/>
              </w:rPr>
              <w:t>348,488,968.10</w:t>
            </w:r>
            <w:r>
              <w:rPr>
                <w:rFonts w:ascii="Times New Roman"/>
                <w:sz w:val="20"/>
              </w:rPr>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6"/>
              <w:jc w:val="right"/>
              <w:rPr>
                <w:rFonts w:ascii="Times New Roman" w:hAnsi="Times New Roman" w:cs="Times New Roman" w:eastAsia="Times New Roman" w:hint="default"/>
                <w:sz w:val="20"/>
                <w:szCs w:val="20"/>
              </w:rPr>
            </w:pPr>
            <w:r>
              <w:rPr>
                <w:rFonts w:ascii="Times New Roman"/>
                <w:w w:val="95"/>
                <w:sz w:val="20"/>
              </w:rPr>
              <w:t>26,503,768.60</w:t>
            </w:r>
            <w:r>
              <w:rPr>
                <w:rFonts w:ascii="Times New Roman"/>
                <w:sz w:val="20"/>
              </w:rPr>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7"/>
              <w:jc w:val="right"/>
              <w:rPr>
                <w:rFonts w:ascii="Times New Roman" w:hAnsi="Times New Roman" w:cs="Times New Roman" w:eastAsia="Times New Roman" w:hint="default"/>
                <w:sz w:val="20"/>
                <w:szCs w:val="20"/>
              </w:rPr>
            </w:pPr>
            <w:r>
              <w:rPr>
                <w:rFonts w:ascii="Times New Roman"/>
                <w:w w:val="95"/>
                <w:sz w:val="20"/>
              </w:rPr>
              <w:t>80,047,705.89</w:t>
            </w:r>
            <w:r>
              <w:rPr>
                <w:rFonts w:ascii="Times New Roman"/>
                <w:sz w:val="20"/>
              </w:rPr>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7"/>
              <w:jc w:val="right"/>
              <w:rPr>
                <w:rFonts w:ascii="Times New Roman" w:hAnsi="Times New Roman" w:cs="Times New Roman" w:eastAsia="Times New Roman" w:hint="default"/>
                <w:sz w:val="20"/>
                <w:szCs w:val="20"/>
              </w:rPr>
            </w:pPr>
            <w:r>
              <w:rPr>
                <w:rFonts w:ascii="Times New Roman"/>
                <w:spacing w:val="-1"/>
                <w:sz w:val="20"/>
              </w:rPr>
              <w:t>1,116,494,370.02</w:t>
            </w:r>
          </w:p>
        </w:tc>
      </w:tr>
      <w:tr>
        <w:trPr>
          <w:trHeight w:val="283"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368" w:right="0"/>
              <w:jc w:val="left"/>
              <w:rPr>
                <w:rFonts w:ascii="宋体" w:hAnsi="宋体" w:cs="宋体" w:eastAsia="宋体" w:hint="default"/>
                <w:sz w:val="20"/>
                <w:szCs w:val="20"/>
              </w:rPr>
            </w:pPr>
            <w:r>
              <w:rPr>
                <w:rFonts w:ascii="宋体"/>
                <w:w w:val="99"/>
                <w:sz w:val="20"/>
              </w:rPr>
              <w:t> </w:t>
            </w:r>
            <w:r>
              <w:rPr>
                <w:rFonts w:ascii="宋体"/>
                <w:sz w:val="20"/>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7" w:right="0"/>
              <w:jc w:val="center"/>
              <w:rPr>
                <w:rFonts w:ascii="宋体" w:hAnsi="宋体" w:cs="宋体" w:eastAsia="宋体" w:hint="default"/>
                <w:sz w:val="20"/>
                <w:szCs w:val="20"/>
              </w:rPr>
            </w:pPr>
            <w:r>
              <w:rPr>
                <w:rFonts w:ascii="宋体"/>
                <w:w w:val="99"/>
                <w:sz w:val="20"/>
              </w:rPr>
              <w:t> </w:t>
            </w:r>
            <w:r>
              <w:rPr>
                <w:rFonts w:ascii="宋体"/>
                <w:sz w:val="20"/>
              </w:rPr>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center"/>
              <w:rPr>
                <w:rFonts w:ascii="宋体" w:hAnsi="宋体" w:cs="宋体" w:eastAsia="宋体" w:hint="default"/>
                <w:sz w:val="20"/>
                <w:szCs w:val="20"/>
              </w:rPr>
            </w:pPr>
            <w:r>
              <w:rPr>
                <w:rFonts w:ascii="宋体"/>
                <w:w w:val="99"/>
                <w:sz w:val="20"/>
              </w:rPr>
              <w:t> </w:t>
            </w:r>
            <w:r>
              <w:rPr>
                <w:rFonts w:ascii="宋体"/>
                <w:sz w:val="20"/>
              </w:rPr>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9" w:right="0"/>
              <w:jc w:val="center"/>
              <w:rPr>
                <w:rFonts w:ascii="宋体" w:hAnsi="宋体" w:cs="宋体" w:eastAsia="宋体" w:hint="default"/>
                <w:sz w:val="20"/>
                <w:szCs w:val="20"/>
              </w:rPr>
            </w:pPr>
            <w:r>
              <w:rPr>
                <w:rFonts w:ascii="宋体"/>
                <w:w w:val="99"/>
                <w:sz w:val="20"/>
              </w:rPr>
              <w:t> </w:t>
            </w:r>
            <w:r>
              <w:rPr>
                <w:rFonts w:ascii="宋体"/>
                <w:sz w:val="20"/>
              </w:rPr>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center"/>
              <w:rPr>
                <w:rFonts w:ascii="宋体" w:hAnsi="宋体" w:cs="宋体" w:eastAsia="宋体" w:hint="default"/>
                <w:sz w:val="20"/>
                <w:szCs w:val="20"/>
              </w:rPr>
            </w:pPr>
            <w:r>
              <w:rPr>
                <w:rFonts w:ascii="宋体"/>
                <w:w w:val="99"/>
                <w:sz w:val="20"/>
              </w:rPr>
              <w:t> </w:t>
            </w:r>
            <w:r>
              <w:rPr>
                <w:rFonts w:ascii="宋体"/>
                <w:sz w:val="20"/>
              </w:rPr>
            </w:r>
          </w:p>
        </w:tc>
      </w:tr>
      <w:tr>
        <w:trPr>
          <w:trHeight w:val="322"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8"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期初余额</w:t>
            </w:r>
            <w:r>
              <w:rPr>
                <w:rFonts w:ascii="宋体" w:hAnsi="宋体" w:cs="宋体" w:eastAsia="宋体" w:hint="default"/>
                <w:sz w:val="24"/>
                <w:szCs w:val="24"/>
              </w:rPr>
              <w:t> </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6"/>
              <w:jc w:val="right"/>
              <w:rPr>
                <w:rFonts w:ascii="Times New Roman" w:hAnsi="Times New Roman" w:cs="Times New Roman" w:eastAsia="Times New Roman" w:hint="default"/>
                <w:sz w:val="20"/>
                <w:szCs w:val="20"/>
              </w:rPr>
            </w:pPr>
            <w:r>
              <w:rPr>
                <w:rFonts w:ascii="Times New Roman"/>
                <w:w w:val="95"/>
                <w:sz w:val="20"/>
              </w:rPr>
              <w:t>202,363,893.63</w:t>
            </w:r>
            <w:r>
              <w:rPr>
                <w:rFonts w:ascii="Times New Roman"/>
                <w:sz w:val="20"/>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6"/>
              <w:jc w:val="right"/>
              <w:rPr>
                <w:rFonts w:ascii="Times New Roman" w:hAnsi="Times New Roman" w:cs="Times New Roman" w:eastAsia="Times New Roman" w:hint="default"/>
                <w:sz w:val="20"/>
                <w:szCs w:val="20"/>
              </w:rPr>
            </w:pPr>
            <w:r>
              <w:rPr>
                <w:rFonts w:ascii="Times New Roman"/>
                <w:w w:val="95"/>
                <w:sz w:val="20"/>
              </w:rPr>
              <w:t>195,580,896.26</w:t>
            </w:r>
            <w:r>
              <w:rPr>
                <w:rFonts w:ascii="Times New Roman"/>
                <w:sz w:val="20"/>
              </w:rPr>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6"/>
              <w:jc w:val="right"/>
              <w:rPr>
                <w:rFonts w:ascii="Times New Roman" w:hAnsi="Times New Roman" w:cs="Times New Roman" w:eastAsia="Times New Roman" w:hint="default"/>
                <w:sz w:val="20"/>
                <w:szCs w:val="20"/>
              </w:rPr>
            </w:pPr>
            <w:r>
              <w:rPr>
                <w:rFonts w:ascii="Times New Roman"/>
                <w:w w:val="95"/>
                <w:sz w:val="20"/>
              </w:rPr>
              <w:t>16,486,145.31</w:t>
            </w:r>
            <w:r>
              <w:rPr>
                <w:rFonts w:ascii="Times New Roman"/>
                <w:sz w:val="20"/>
              </w:rPr>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7"/>
              <w:jc w:val="right"/>
              <w:rPr>
                <w:rFonts w:ascii="Times New Roman" w:hAnsi="Times New Roman" w:cs="Times New Roman" w:eastAsia="Times New Roman" w:hint="default"/>
                <w:sz w:val="20"/>
                <w:szCs w:val="20"/>
              </w:rPr>
            </w:pPr>
            <w:r>
              <w:rPr>
                <w:rFonts w:ascii="Times New Roman"/>
                <w:w w:val="95"/>
                <w:sz w:val="20"/>
              </w:rPr>
              <w:t>63,407,671.87</w:t>
            </w:r>
            <w:r>
              <w:rPr>
                <w:rFonts w:ascii="Times New Roman"/>
                <w:sz w:val="20"/>
              </w:rPr>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6"/>
              <w:jc w:val="right"/>
              <w:rPr>
                <w:rFonts w:ascii="Times New Roman" w:hAnsi="Times New Roman" w:cs="Times New Roman" w:eastAsia="Times New Roman" w:hint="default"/>
                <w:sz w:val="20"/>
                <w:szCs w:val="20"/>
              </w:rPr>
            </w:pPr>
            <w:r>
              <w:rPr>
                <w:rFonts w:ascii="Times New Roman"/>
                <w:w w:val="95"/>
                <w:sz w:val="20"/>
              </w:rPr>
              <w:t>477,838,607.07</w:t>
            </w:r>
            <w:r>
              <w:rPr>
                <w:rFonts w:ascii="Times New Roman"/>
                <w:sz w:val="20"/>
              </w:rPr>
            </w:r>
          </w:p>
        </w:tc>
      </w:tr>
      <w:tr>
        <w:trPr>
          <w:trHeight w:val="319"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9"/>
              <w:jc w:val="righ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本期增加金额</w:t>
            </w:r>
            <w:r>
              <w:rPr>
                <w:rFonts w:ascii="宋体" w:hAnsi="宋体" w:cs="宋体" w:eastAsia="宋体" w:hint="default"/>
                <w:sz w:val="24"/>
                <w:szCs w:val="24"/>
              </w:rPr>
              <w:t> </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6"/>
              <w:jc w:val="right"/>
              <w:rPr>
                <w:rFonts w:ascii="Times New Roman" w:hAnsi="Times New Roman" w:cs="Times New Roman" w:eastAsia="Times New Roman" w:hint="default"/>
                <w:sz w:val="20"/>
                <w:szCs w:val="20"/>
              </w:rPr>
            </w:pPr>
            <w:r>
              <w:rPr>
                <w:rFonts w:ascii="Times New Roman"/>
                <w:w w:val="95"/>
                <w:sz w:val="20"/>
              </w:rPr>
              <w:t>24,757,547.89</w:t>
            </w:r>
            <w:r>
              <w:rPr>
                <w:rFonts w:ascii="Times New Roman"/>
                <w:sz w:val="20"/>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6"/>
              <w:jc w:val="right"/>
              <w:rPr>
                <w:rFonts w:ascii="Times New Roman" w:hAnsi="Times New Roman" w:cs="Times New Roman" w:eastAsia="Times New Roman" w:hint="default"/>
                <w:sz w:val="20"/>
                <w:szCs w:val="20"/>
              </w:rPr>
            </w:pPr>
            <w:r>
              <w:rPr>
                <w:rFonts w:ascii="Times New Roman"/>
                <w:w w:val="95"/>
                <w:sz w:val="20"/>
              </w:rPr>
              <w:t>22,065,197.32</w:t>
            </w:r>
            <w:r>
              <w:rPr>
                <w:rFonts w:ascii="Times New Roman"/>
                <w:sz w:val="20"/>
              </w:rPr>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6"/>
              <w:jc w:val="right"/>
              <w:rPr>
                <w:rFonts w:ascii="Times New Roman" w:hAnsi="Times New Roman" w:cs="Times New Roman" w:eastAsia="Times New Roman" w:hint="default"/>
                <w:sz w:val="20"/>
                <w:szCs w:val="20"/>
              </w:rPr>
            </w:pPr>
            <w:r>
              <w:rPr>
                <w:rFonts w:ascii="Times New Roman"/>
                <w:w w:val="95"/>
                <w:sz w:val="20"/>
              </w:rPr>
              <w:t>2,678,280.63</w:t>
            </w:r>
            <w:r>
              <w:rPr>
                <w:rFonts w:ascii="Times New Roman"/>
                <w:sz w:val="20"/>
              </w:rPr>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7"/>
              <w:jc w:val="right"/>
              <w:rPr>
                <w:rFonts w:ascii="Times New Roman" w:hAnsi="Times New Roman" w:cs="Times New Roman" w:eastAsia="Times New Roman" w:hint="default"/>
                <w:sz w:val="20"/>
                <w:szCs w:val="20"/>
              </w:rPr>
            </w:pPr>
            <w:r>
              <w:rPr>
                <w:rFonts w:ascii="Times New Roman"/>
                <w:w w:val="95"/>
                <w:sz w:val="20"/>
              </w:rPr>
              <w:t>3,075,613.15</w:t>
            </w:r>
            <w:r>
              <w:rPr>
                <w:rFonts w:ascii="Times New Roman"/>
                <w:sz w:val="20"/>
              </w:rPr>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6"/>
              <w:jc w:val="right"/>
              <w:rPr>
                <w:rFonts w:ascii="Times New Roman" w:hAnsi="Times New Roman" w:cs="Times New Roman" w:eastAsia="Times New Roman" w:hint="default"/>
                <w:sz w:val="20"/>
                <w:szCs w:val="20"/>
              </w:rPr>
            </w:pPr>
            <w:r>
              <w:rPr>
                <w:rFonts w:ascii="Times New Roman"/>
                <w:w w:val="95"/>
                <w:sz w:val="20"/>
              </w:rPr>
              <w:t>52,576,638.99</w:t>
            </w:r>
            <w:r>
              <w:rPr>
                <w:rFonts w:ascii="Times New Roman"/>
                <w:sz w:val="20"/>
              </w:rPr>
            </w:r>
          </w:p>
        </w:tc>
      </w:tr>
      <w:tr>
        <w:trPr>
          <w:trHeight w:val="322"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28"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）计提</w:t>
            </w:r>
            <w:r>
              <w:rPr>
                <w:rFonts w:ascii="宋体" w:hAnsi="宋体" w:cs="宋体" w:eastAsia="宋体" w:hint="default"/>
                <w:sz w:val="24"/>
                <w:szCs w:val="24"/>
              </w:rPr>
              <w:t> </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6"/>
              <w:jc w:val="right"/>
              <w:rPr>
                <w:rFonts w:ascii="Times New Roman" w:hAnsi="Times New Roman" w:cs="Times New Roman" w:eastAsia="Times New Roman" w:hint="default"/>
                <w:sz w:val="20"/>
                <w:szCs w:val="20"/>
              </w:rPr>
            </w:pPr>
            <w:r>
              <w:rPr>
                <w:rFonts w:ascii="Times New Roman"/>
                <w:w w:val="95"/>
                <w:sz w:val="20"/>
              </w:rPr>
              <w:t>24,757,547.89</w:t>
            </w:r>
            <w:r>
              <w:rPr>
                <w:rFonts w:ascii="Times New Roman"/>
                <w:sz w:val="20"/>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6"/>
              <w:jc w:val="right"/>
              <w:rPr>
                <w:rFonts w:ascii="Times New Roman" w:hAnsi="Times New Roman" w:cs="Times New Roman" w:eastAsia="Times New Roman" w:hint="default"/>
                <w:sz w:val="20"/>
                <w:szCs w:val="20"/>
              </w:rPr>
            </w:pPr>
            <w:r>
              <w:rPr>
                <w:rFonts w:ascii="Times New Roman"/>
                <w:w w:val="95"/>
                <w:sz w:val="20"/>
              </w:rPr>
              <w:t>22,065,197.32</w:t>
            </w:r>
            <w:r>
              <w:rPr>
                <w:rFonts w:ascii="Times New Roman"/>
                <w:sz w:val="20"/>
              </w:rPr>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6"/>
              <w:jc w:val="right"/>
              <w:rPr>
                <w:rFonts w:ascii="Times New Roman" w:hAnsi="Times New Roman" w:cs="Times New Roman" w:eastAsia="Times New Roman" w:hint="default"/>
                <w:sz w:val="20"/>
                <w:szCs w:val="20"/>
              </w:rPr>
            </w:pPr>
            <w:r>
              <w:rPr>
                <w:rFonts w:ascii="Times New Roman"/>
                <w:w w:val="95"/>
                <w:sz w:val="20"/>
              </w:rPr>
              <w:t>2,678,280.63</w:t>
            </w:r>
            <w:r>
              <w:rPr>
                <w:rFonts w:ascii="Times New Roman"/>
                <w:sz w:val="20"/>
              </w:rPr>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7"/>
              <w:jc w:val="right"/>
              <w:rPr>
                <w:rFonts w:ascii="Times New Roman" w:hAnsi="Times New Roman" w:cs="Times New Roman" w:eastAsia="Times New Roman" w:hint="default"/>
                <w:sz w:val="20"/>
                <w:szCs w:val="20"/>
              </w:rPr>
            </w:pPr>
            <w:r>
              <w:rPr>
                <w:rFonts w:ascii="Times New Roman"/>
                <w:w w:val="95"/>
                <w:sz w:val="20"/>
              </w:rPr>
              <w:t>3,075,613.15</w:t>
            </w:r>
            <w:r>
              <w:rPr>
                <w:rFonts w:ascii="Times New Roman"/>
                <w:sz w:val="20"/>
              </w:rPr>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6"/>
              <w:jc w:val="right"/>
              <w:rPr>
                <w:rFonts w:ascii="Times New Roman" w:hAnsi="Times New Roman" w:cs="Times New Roman" w:eastAsia="Times New Roman" w:hint="default"/>
                <w:sz w:val="20"/>
                <w:szCs w:val="20"/>
              </w:rPr>
            </w:pPr>
            <w:r>
              <w:rPr>
                <w:rFonts w:ascii="Times New Roman"/>
                <w:w w:val="95"/>
                <w:sz w:val="20"/>
              </w:rPr>
              <w:t>52,576,638.99</w:t>
            </w:r>
            <w:r>
              <w:rPr>
                <w:rFonts w:ascii="Times New Roman"/>
                <w:sz w:val="20"/>
              </w:rPr>
            </w:r>
          </w:p>
        </w:tc>
      </w:tr>
      <w:tr>
        <w:trPr>
          <w:trHeight w:val="634"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8" w:right="0"/>
              <w:jc w:val="left"/>
              <w:rPr>
                <w:rFonts w:ascii="宋体" w:hAnsi="宋体" w:cs="宋体" w:eastAsia="宋体" w:hint="default"/>
                <w:sz w:val="24"/>
                <w:szCs w:val="24"/>
              </w:rPr>
            </w:pPr>
            <w:r>
              <w:rPr>
                <w:rFonts w:ascii="宋体" w:hAnsi="宋体" w:cs="宋体" w:eastAsia="宋体" w:hint="default"/>
                <w:spacing w:val="-7"/>
                <w:sz w:val="24"/>
                <w:szCs w:val="24"/>
              </w:rPr>
              <w:t>（</w:t>
            </w:r>
            <w:r>
              <w:rPr>
                <w:rFonts w:ascii="宋体" w:hAnsi="宋体" w:cs="宋体" w:eastAsia="宋体" w:hint="default"/>
                <w:spacing w:val="-7"/>
                <w:sz w:val="24"/>
                <w:szCs w:val="24"/>
              </w:rPr>
              <w:t>2</w:t>
            </w:r>
            <w:r>
              <w:rPr>
                <w:rFonts w:ascii="宋体" w:hAnsi="宋体" w:cs="宋体" w:eastAsia="宋体" w:hint="default"/>
                <w:spacing w:val="-7"/>
                <w:sz w:val="24"/>
                <w:szCs w:val="24"/>
              </w:rPr>
              <w:t>）企业合并</w:t>
            </w:r>
          </w:p>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增加</w:t>
            </w:r>
            <w:r>
              <w:rPr>
                <w:rFonts w:ascii="宋体" w:hAnsi="宋体" w:cs="宋体" w:eastAsia="宋体" w:hint="default"/>
                <w:sz w:val="24"/>
                <w:szCs w:val="24"/>
              </w:rPr>
              <w:t> </w:t>
            </w:r>
          </w:p>
        </w:tc>
        <w:tc>
          <w:tcPr>
            <w:tcW w:w="274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9"/>
              <w:jc w:val="righ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本期减少金额</w:t>
            </w:r>
            <w:r>
              <w:rPr>
                <w:rFonts w:ascii="宋体" w:hAnsi="宋体" w:cs="宋体" w:eastAsia="宋体" w:hint="default"/>
                <w:sz w:val="24"/>
                <w:szCs w:val="24"/>
              </w:rPr>
              <w:t> </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6"/>
              <w:jc w:val="right"/>
              <w:rPr>
                <w:rFonts w:ascii="Times New Roman" w:hAnsi="Times New Roman" w:cs="Times New Roman" w:eastAsia="Times New Roman" w:hint="default"/>
                <w:sz w:val="20"/>
                <w:szCs w:val="20"/>
              </w:rPr>
            </w:pPr>
            <w:r>
              <w:rPr>
                <w:rFonts w:ascii="Times New Roman"/>
                <w:w w:val="95"/>
                <w:sz w:val="20"/>
              </w:rPr>
              <w:t>7,536,685.86</w:t>
            </w:r>
            <w:r>
              <w:rPr>
                <w:rFonts w:ascii="Times New Roman"/>
                <w:sz w:val="20"/>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6"/>
              <w:jc w:val="right"/>
              <w:rPr>
                <w:rFonts w:ascii="Times New Roman" w:hAnsi="Times New Roman" w:cs="Times New Roman" w:eastAsia="Times New Roman" w:hint="default"/>
                <w:sz w:val="20"/>
                <w:szCs w:val="20"/>
              </w:rPr>
            </w:pPr>
            <w:r>
              <w:rPr>
                <w:rFonts w:ascii="Times New Roman"/>
                <w:w w:val="95"/>
                <w:sz w:val="20"/>
              </w:rPr>
              <w:t>8,343,898.12</w:t>
            </w:r>
            <w:r>
              <w:rPr>
                <w:rFonts w:ascii="Times New Roman"/>
                <w:sz w:val="20"/>
              </w:rPr>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6"/>
              <w:jc w:val="right"/>
              <w:rPr>
                <w:rFonts w:ascii="Times New Roman" w:hAnsi="Times New Roman" w:cs="Times New Roman" w:eastAsia="Times New Roman" w:hint="default"/>
                <w:sz w:val="20"/>
                <w:szCs w:val="20"/>
              </w:rPr>
            </w:pPr>
            <w:r>
              <w:rPr>
                <w:rFonts w:ascii="Times New Roman"/>
                <w:w w:val="95"/>
                <w:sz w:val="20"/>
              </w:rPr>
              <w:t>5,430,044.89</w:t>
            </w:r>
            <w:r>
              <w:rPr>
                <w:rFonts w:ascii="Times New Roman"/>
                <w:sz w:val="20"/>
              </w:rPr>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7"/>
              <w:jc w:val="right"/>
              <w:rPr>
                <w:rFonts w:ascii="Times New Roman" w:hAnsi="Times New Roman" w:cs="Times New Roman" w:eastAsia="Times New Roman" w:hint="default"/>
                <w:sz w:val="20"/>
                <w:szCs w:val="20"/>
              </w:rPr>
            </w:pPr>
            <w:r>
              <w:rPr>
                <w:rFonts w:ascii="Times New Roman"/>
                <w:w w:val="95"/>
                <w:sz w:val="20"/>
              </w:rPr>
              <w:t>6,176,654.44</w:t>
            </w:r>
            <w:r>
              <w:rPr>
                <w:rFonts w:ascii="Times New Roman"/>
                <w:sz w:val="20"/>
              </w:rPr>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6"/>
              <w:jc w:val="right"/>
              <w:rPr>
                <w:rFonts w:ascii="Times New Roman" w:hAnsi="Times New Roman" w:cs="Times New Roman" w:eastAsia="Times New Roman" w:hint="default"/>
                <w:sz w:val="20"/>
                <w:szCs w:val="20"/>
              </w:rPr>
            </w:pPr>
            <w:r>
              <w:rPr>
                <w:rFonts w:ascii="Times New Roman"/>
                <w:w w:val="95"/>
                <w:sz w:val="20"/>
              </w:rPr>
              <w:t>27,487,283.31</w:t>
            </w:r>
            <w:r>
              <w:rPr>
                <w:rFonts w:ascii="Times New Roman"/>
                <w:sz w:val="20"/>
              </w:rPr>
            </w:r>
          </w:p>
        </w:tc>
      </w:tr>
      <w:tr>
        <w:trPr>
          <w:trHeight w:val="631"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8" w:right="0"/>
              <w:jc w:val="left"/>
              <w:rPr>
                <w:rFonts w:ascii="宋体" w:hAnsi="宋体" w:cs="宋体" w:eastAsia="宋体" w:hint="default"/>
                <w:sz w:val="24"/>
                <w:szCs w:val="24"/>
              </w:rPr>
            </w:pPr>
            <w:r>
              <w:rPr>
                <w:rFonts w:ascii="宋体" w:hAnsi="宋体" w:cs="宋体" w:eastAsia="宋体" w:hint="default"/>
                <w:spacing w:val="-7"/>
                <w:sz w:val="24"/>
                <w:szCs w:val="24"/>
              </w:rPr>
              <w:t>（</w:t>
            </w:r>
            <w:r>
              <w:rPr>
                <w:rFonts w:ascii="宋体" w:hAnsi="宋体" w:cs="宋体" w:eastAsia="宋体" w:hint="default"/>
                <w:spacing w:val="-7"/>
                <w:sz w:val="24"/>
                <w:szCs w:val="24"/>
              </w:rPr>
              <w:t>1</w:t>
            </w:r>
            <w:r>
              <w:rPr>
                <w:rFonts w:ascii="宋体" w:hAnsi="宋体" w:cs="宋体" w:eastAsia="宋体" w:hint="default"/>
                <w:spacing w:val="-7"/>
                <w:sz w:val="24"/>
                <w:szCs w:val="24"/>
              </w:rPr>
              <w:t>）处置或报</w:t>
            </w:r>
          </w:p>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废</w:t>
            </w:r>
            <w:r>
              <w:rPr>
                <w:rFonts w:ascii="宋体" w:hAnsi="宋体" w:cs="宋体" w:eastAsia="宋体" w:hint="default"/>
                <w:sz w:val="24"/>
                <w:szCs w:val="24"/>
              </w:rPr>
              <w:t> </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w w:val="95"/>
                <w:sz w:val="20"/>
              </w:rPr>
              <w:t>117,151.27</w:t>
            </w:r>
            <w:r>
              <w:rPr>
                <w:rFonts w:ascii="Times New Roman"/>
                <w:sz w:val="20"/>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w w:val="95"/>
                <w:sz w:val="20"/>
              </w:rPr>
              <w:t>5,610,286.83</w:t>
            </w:r>
            <w:r>
              <w:rPr>
                <w:rFonts w:ascii="Times New Roman"/>
                <w:sz w:val="20"/>
              </w:rPr>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w w:val="95"/>
                <w:sz w:val="20"/>
              </w:rPr>
              <w:t>4,560,931.87</w:t>
            </w:r>
            <w:r>
              <w:rPr>
                <w:rFonts w:ascii="Times New Roman"/>
                <w:sz w:val="20"/>
              </w:rPr>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7"/>
              <w:jc w:val="right"/>
              <w:rPr>
                <w:rFonts w:ascii="Times New Roman" w:hAnsi="Times New Roman" w:cs="Times New Roman" w:eastAsia="Times New Roman" w:hint="default"/>
                <w:sz w:val="20"/>
                <w:szCs w:val="20"/>
              </w:rPr>
            </w:pPr>
            <w:r>
              <w:rPr>
                <w:rFonts w:ascii="Times New Roman"/>
                <w:w w:val="95"/>
                <w:sz w:val="20"/>
              </w:rPr>
              <w:t>2,028,089.82</w:t>
            </w:r>
            <w:r>
              <w:rPr>
                <w:rFonts w:ascii="Times New Roman"/>
                <w:sz w:val="20"/>
              </w:rPr>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w w:val="95"/>
                <w:sz w:val="20"/>
              </w:rPr>
              <w:t>12,316,459.79</w:t>
            </w:r>
            <w:r>
              <w:rPr>
                <w:rFonts w:ascii="Times New Roman"/>
                <w:sz w:val="20"/>
              </w:rPr>
            </w:r>
          </w:p>
        </w:tc>
      </w:tr>
      <w:tr>
        <w:trPr>
          <w:trHeight w:val="634"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8" w:right="0"/>
              <w:jc w:val="left"/>
              <w:rPr>
                <w:rFonts w:ascii="宋体" w:hAnsi="宋体" w:cs="宋体" w:eastAsia="宋体" w:hint="default"/>
                <w:sz w:val="24"/>
                <w:szCs w:val="24"/>
              </w:rPr>
            </w:pPr>
            <w:r>
              <w:rPr>
                <w:rFonts w:ascii="宋体" w:hAnsi="宋体" w:cs="宋体" w:eastAsia="宋体" w:hint="default"/>
                <w:spacing w:val="-7"/>
                <w:sz w:val="24"/>
                <w:szCs w:val="24"/>
              </w:rPr>
              <w:t>（</w:t>
            </w:r>
            <w:r>
              <w:rPr>
                <w:rFonts w:ascii="宋体" w:hAnsi="宋体" w:cs="宋体" w:eastAsia="宋体" w:hint="default"/>
                <w:spacing w:val="-7"/>
                <w:sz w:val="24"/>
                <w:szCs w:val="24"/>
              </w:rPr>
              <w:t>2</w:t>
            </w:r>
            <w:r>
              <w:rPr>
                <w:rFonts w:ascii="宋体" w:hAnsi="宋体" w:cs="宋体" w:eastAsia="宋体" w:hint="default"/>
                <w:spacing w:val="-7"/>
                <w:sz w:val="24"/>
                <w:szCs w:val="24"/>
              </w:rPr>
              <w:t>）企业合并</w:t>
            </w:r>
          </w:p>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减少</w:t>
            </w:r>
            <w:r>
              <w:rPr>
                <w:rFonts w:ascii="宋体" w:hAnsi="宋体" w:cs="宋体" w:eastAsia="宋体" w:hint="default"/>
                <w:sz w:val="24"/>
                <w:szCs w:val="24"/>
              </w:rPr>
              <w:t> </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6"/>
              <w:jc w:val="right"/>
              <w:rPr>
                <w:rFonts w:ascii="Times New Roman" w:hAnsi="Times New Roman" w:cs="Times New Roman" w:eastAsia="Times New Roman" w:hint="default"/>
                <w:sz w:val="20"/>
                <w:szCs w:val="20"/>
              </w:rPr>
            </w:pPr>
            <w:r>
              <w:rPr>
                <w:rFonts w:ascii="Times New Roman"/>
                <w:w w:val="95"/>
                <w:sz w:val="20"/>
              </w:rPr>
              <w:t>7,419,534.59</w:t>
            </w:r>
            <w:r>
              <w:rPr>
                <w:rFonts w:ascii="Times New Roman"/>
                <w:sz w:val="20"/>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6"/>
              <w:jc w:val="right"/>
              <w:rPr>
                <w:rFonts w:ascii="Times New Roman" w:hAnsi="Times New Roman" w:cs="Times New Roman" w:eastAsia="Times New Roman" w:hint="default"/>
                <w:sz w:val="20"/>
                <w:szCs w:val="20"/>
              </w:rPr>
            </w:pPr>
            <w:r>
              <w:rPr>
                <w:rFonts w:ascii="Times New Roman"/>
                <w:w w:val="95"/>
                <w:sz w:val="20"/>
              </w:rPr>
              <w:t>2,733,611.29</w:t>
            </w:r>
            <w:r>
              <w:rPr>
                <w:rFonts w:ascii="Times New Roman"/>
                <w:sz w:val="20"/>
              </w:rPr>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6"/>
              <w:jc w:val="right"/>
              <w:rPr>
                <w:rFonts w:ascii="Times New Roman" w:hAnsi="Times New Roman" w:cs="Times New Roman" w:eastAsia="Times New Roman" w:hint="default"/>
                <w:sz w:val="20"/>
                <w:szCs w:val="20"/>
              </w:rPr>
            </w:pPr>
            <w:r>
              <w:rPr>
                <w:rFonts w:ascii="Times New Roman"/>
                <w:w w:val="95"/>
                <w:sz w:val="20"/>
              </w:rPr>
              <w:t>869,113.02</w:t>
            </w:r>
            <w:r>
              <w:rPr>
                <w:rFonts w:ascii="Times New Roman"/>
                <w:sz w:val="20"/>
              </w:rPr>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7"/>
              <w:jc w:val="right"/>
              <w:rPr>
                <w:rFonts w:ascii="Times New Roman" w:hAnsi="Times New Roman" w:cs="Times New Roman" w:eastAsia="Times New Roman" w:hint="default"/>
                <w:sz w:val="20"/>
                <w:szCs w:val="20"/>
              </w:rPr>
            </w:pPr>
            <w:r>
              <w:rPr>
                <w:rFonts w:ascii="Times New Roman"/>
                <w:w w:val="95"/>
                <w:sz w:val="20"/>
              </w:rPr>
              <w:t>4,148,564.62</w:t>
            </w:r>
            <w:r>
              <w:rPr>
                <w:rFonts w:ascii="Times New Roman"/>
                <w:sz w:val="20"/>
              </w:rPr>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6"/>
              <w:jc w:val="right"/>
              <w:rPr>
                <w:rFonts w:ascii="Times New Roman" w:hAnsi="Times New Roman" w:cs="Times New Roman" w:eastAsia="Times New Roman" w:hint="default"/>
                <w:sz w:val="20"/>
                <w:szCs w:val="20"/>
              </w:rPr>
            </w:pPr>
            <w:r>
              <w:rPr>
                <w:rFonts w:ascii="Times New Roman"/>
                <w:w w:val="95"/>
                <w:sz w:val="20"/>
              </w:rPr>
              <w:t>15,170,823.52</w:t>
            </w:r>
            <w:r>
              <w:rPr>
                <w:rFonts w:ascii="Times New Roman"/>
                <w:sz w:val="20"/>
              </w:rPr>
            </w:r>
          </w:p>
        </w:tc>
      </w:tr>
      <w:tr>
        <w:trPr>
          <w:trHeight w:val="322"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8"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期末余额</w:t>
            </w:r>
            <w:r>
              <w:rPr>
                <w:rFonts w:ascii="宋体" w:hAnsi="宋体" w:cs="宋体" w:eastAsia="宋体" w:hint="default"/>
                <w:sz w:val="24"/>
                <w:szCs w:val="24"/>
              </w:rPr>
              <w:t> </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6"/>
              <w:jc w:val="right"/>
              <w:rPr>
                <w:rFonts w:ascii="Times New Roman" w:hAnsi="Times New Roman" w:cs="Times New Roman" w:eastAsia="Times New Roman" w:hint="default"/>
                <w:sz w:val="20"/>
                <w:szCs w:val="20"/>
              </w:rPr>
            </w:pPr>
            <w:r>
              <w:rPr>
                <w:rFonts w:ascii="Times New Roman"/>
                <w:w w:val="95"/>
                <w:sz w:val="20"/>
              </w:rPr>
              <w:t>219,584,755.66</w:t>
            </w:r>
            <w:r>
              <w:rPr>
                <w:rFonts w:ascii="Times New Roman"/>
                <w:sz w:val="20"/>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6"/>
              <w:jc w:val="right"/>
              <w:rPr>
                <w:rFonts w:ascii="Times New Roman" w:hAnsi="Times New Roman" w:cs="Times New Roman" w:eastAsia="Times New Roman" w:hint="default"/>
                <w:sz w:val="20"/>
                <w:szCs w:val="20"/>
              </w:rPr>
            </w:pPr>
            <w:r>
              <w:rPr>
                <w:rFonts w:ascii="Times New Roman"/>
                <w:w w:val="95"/>
                <w:sz w:val="20"/>
              </w:rPr>
              <w:t>209,302,195.46</w:t>
            </w:r>
            <w:r>
              <w:rPr>
                <w:rFonts w:ascii="Times New Roman"/>
                <w:sz w:val="20"/>
              </w:rPr>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6"/>
              <w:jc w:val="right"/>
              <w:rPr>
                <w:rFonts w:ascii="Times New Roman" w:hAnsi="Times New Roman" w:cs="Times New Roman" w:eastAsia="Times New Roman" w:hint="default"/>
                <w:sz w:val="20"/>
                <w:szCs w:val="20"/>
              </w:rPr>
            </w:pPr>
            <w:r>
              <w:rPr>
                <w:rFonts w:ascii="Times New Roman"/>
                <w:w w:val="95"/>
                <w:sz w:val="20"/>
              </w:rPr>
              <w:t>13,734,381.05</w:t>
            </w:r>
            <w:r>
              <w:rPr>
                <w:rFonts w:ascii="Times New Roman"/>
                <w:sz w:val="20"/>
              </w:rPr>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7"/>
              <w:jc w:val="right"/>
              <w:rPr>
                <w:rFonts w:ascii="Times New Roman" w:hAnsi="Times New Roman" w:cs="Times New Roman" w:eastAsia="Times New Roman" w:hint="default"/>
                <w:sz w:val="20"/>
                <w:szCs w:val="20"/>
              </w:rPr>
            </w:pPr>
            <w:r>
              <w:rPr>
                <w:rFonts w:ascii="Times New Roman"/>
                <w:w w:val="95"/>
                <w:sz w:val="20"/>
              </w:rPr>
              <w:t>60,306,630.58</w:t>
            </w:r>
            <w:r>
              <w:rPr>
                <w:rFonts w:ascii="Times New Roman"/>
                <w:sz w:val="20"/>
              </w:rPr>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6"/>
              <w:jc w:val="right"/>
              <w:rPr>
                <w:rFonts w:ascii="Times New Roman" w:hAnsi="Times New Roman" w:cs="Times New Roman" w:eastAsia="Times New Roman" w:hint="default"/>
                <w:sz w:val="20"/>
                <w:szCs w:val="20"/>
              </w:rPr>
            </w:pPr>
            <w:r>
              <w:rPr>
                <w:rFonts w:ascii="Times New Roman"/>
                <w:w w:val="95"/>
                <w:sz w:val="20"/>
              </w:rPr>
              <w:t>502,927,962.75</w:t>
            </w:r>
            <w:r>
              <w:rPr>
                <w:rFonts w:ascii="Times New Roman"/>
                <w:sz w:val="20"/>
              </w:rPr>
            </w:r>
          </w:p>
        </w:tc>
      </w:tr>
      <w:tr>
        <w:trPr>
          <w:trHeight w:val="281"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368" w:right="0"/>
              <w:jc w:val="left"/>
              <w:rPr>
                <w:rFonts w:ascii="宋体" w:hAnsi="宋体" w:cs="宋体" w:eastAsia="宋体" w:hint="default"/>
                <w:sz w:val="20"/>
                <w:szCs w:val="20"/>
              </w:rPr>
            </w:pPr>
            <w:r>
              <w:rPr>
                <w:rFonts w:ascii="宋体"/>
                <w:w w:val="99"/>
                <w:sz w:val="20"/>
              </w:rPr>
              <w:t> </w:t>
            </w:r>
            <w:r>
              <w:rPr>
                <w:rFonts w:ascii="宋体"/>
                <w:sz w:val="20"/>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7" w:right="0"/>
              <w:jc w:val="center"/>
              <w:rPr>
                <w:rFonts w:ascii="宋体" w:hAnsi="宋体" w:cs="宋体" w:eastAsia="宋体" w:hint="default"/>
                <w:sz w:val="20"/>
                <w:szCs w:val="20"/>
              </w:rPr>
            </w:pPr>
            <w:r>
              <w:rPr>
                <w:rFonts w:ascii="宋体"/>
                <w:w w:val="99"/>
                <w:sz w:val="20"/>
              </w:rPr>
              <w:t> </w:t>
            </w:r>
            <w:r>
              <w:rPr>
                <w:rFonts w:ascii="宋体"/>
                <w:sz w:val="20"/>
              </w:rPr>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center"/>
              <w:rPr>
                <w:rFonts w:ascii="宋体" w:hAnsi="宋体" w:cs="宋体" w:eastAsia="宋体" w:hint="default"/>
                <w:sz w:val="20"/>
                <w:szCs w:val="20"/>
              </w:rPr>
            </w:pPr>
            <w:r>
              <w:rPr>
                <w:rFonts w:ascii="宋体"/>
                <w:w w:val="99"/>
                <w:sz w:val="20"/>
              </w:rPr>
              <w:t> </w:t>
            </w:r>
            <w:r>
              <w:rPr>
                <w:rFonts w:ascii="宋体"/>
                <w:sz w:val="20"/>
              </w:rPr>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9" w:right="0"/>
              <w:jc w:val="center"/>
              <w:rPr>
                <w:rFonts w:ascii="宋体" w:hAnsi="宋体" w:cs="宋体" w:eastAsia="宋体" w:hint="default"/>
                <w:sz w:val="20"/>
                <w:szCs w:val="20"/>
              </w:rPr>
            </w:pPr>
            <w:r>
              <w:rPr>
                <w:rFonts w:ascii="宋体"/>
                <w:w w:val="99"/>
                <w:sz w:val="20"/>
              </w:rPr>
              <w:t> </w:t>
            </w:r>
            <w:r>
              <w:rPr>
                <w:rFonts w:ascii="宋体"/>
                <w:sz w:val="20"/>
              </w:rPr>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center"/>
              <w:rPr>
                <w:rFonts w:ascii="宋体" w:hAnsi="宋体" w:cs="宋体" w:eastAsia="宋体" w:hint="default"/>
                <w:sz w:val="20"/>
                <w:szCs w:val="20"/>
              </w:rPr>
            </w:pPr>
            <w:r>
              <w:rPr>
                <w:rFonts w:ascii="宋体"/>
                <w:w w:val="99"/>
                <w:sz w:val="20"/>
              </w:rPr>
              <w:t> </w:t>
            </w:r>
            <w:r>
              <w:rPr>
                <w:rFonts w:ascii="宋体"/>
                <w:sz w:val="20"/>
              </w:rPr>
            </w:r>
          </w:p>
        </w:tc>
      </w:tr>
      <w:tr>
        <w:trPr>
          <w:trHeight w:val="322"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8"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期初余额</w:t>
            </w:r>
            <w:r>
              <w:rPr>
                <w:rFonts w:ascii="宋体" w:hAnsi="宋体" w:cs="宋体" w:eastAsia="宋体" w:hint="default"/>
                <w:sz w:val="24"/>
                <w:szCs w:val="24"/>
              </w:rPr>
              <w:t> </w:t>
            </w:r>
          </w:p>
        </w:tc>
        <w:tc>
          <w:tcPr>
            <w:tcW w:w="274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9"/>
              <w:jc w:val="righ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本期增加金额</w:t>
            </w:r>
            <w:r>
              <w:rPr>
                <w:rFonts w:ascii="宋体" w:hAnsi="宋体" w:cs="宋体" w:eastAsia="宋体" w:hint="default"/>
                <w:sz w:val="24"/>
                <w:szCs w:val="24"/>
              </w:rPr>
              <w:t> </w:t>
            </w:r>
          </w:p>
        </w:tc>
        <w:tc>
          <w:tcPr>
            <w:tcW w:w="274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6"/>
              <w:jc w:val="right"/>
              <w:rPr>
                <w:rFonts w:ascii="Times New Roman" w:hAnsi="Times New Roman" w:cs="Times New Roman" w:eastAsia="Times New Roman" w:hint="default"/>
                <w:sz w:val="20"/>
                <w:szCs w:val="20"/>
              </w:rPr>
            </w:pPr>
            <w:r>
              <w:rPr>
                <w:rFonts w:ascii="Times New Roman"/>
                <w:w w:val="95"/>
                <w:sz w:val="20"/>
              </w:rPr>
              <w:t>485,984.15</w:t>
            </w:r>
            <w:r>
              <w:rPr>
                <w:rFonts w:ascii="Times New Roman"/>
                <w:sz w:val="20"/>
              </w:rPr>
            </w:r>
          </w:p>
        </w:tc>
        <w:tc>
          <w:tcPr>
            <w:tcW w:w="2187" w:type="dxa"/>
            <w:tcBorders>
              <w:top w:val="single" w:sz="4" w:space="0" w:color="000000"/>
              <w:left w:val="single" w:sz="4" w:space="0" w:color="000000"/>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6"/>
              <w:jc w:val="right"/>
              <w:rPr>
                <w:rFonts w:ascii="Times New Roman" w:hAnsi="Times New Roman" w:cs="Times New Roman" w:eastAsia="Times New Roman" w:hint="default"/>
                <w:sz w:val="20"/>
                <w:szCs w:val="20"/>
              </w:rPr>
            </w:pPr>
            <w:r>
              <w:rPr>
                <w:rFonts w:ascii="Times New Roman"/>
                <w:w w:val="95"/>
                <w:sz w:val="20"/>
              </w:rPr>
              <w:t>485,984.15</w:t>
            </w:r>
            <w:r>
              <w:rPr>
                <w:rFonts w:ascii="Times New Roman"/>
                <w:sz w:val="20"/>
              </w:rPr>
            </w:r>
          </w:p>
        </w:tc>
      </w:tr>
      <w:tr>
        <w:trPr>
          <w:trHeight w:val="322"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8"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）计提</w:t>
            </w:r>
            <w:r>
              <w:rPr>
                <w:rFonts w:ascii="宋体" w:hAnsi="宋体" w:cs="宋体" w:eastAsia="宋体" w:hint="default"/>
                <w:sz w:val="24"/>
                <w:szCs w:val="24"/>
              </w:rPr>
              <w:t> </w:t>
            </w:r>
          </w:p>
        </w:tc>
        <w:tc>
          <w:tcPr>
            <w:tcW w:w="274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6"/>
              <w:jc w:val="right"/>
              <w:rPr>
                <w:rFonts w:ascii="Times New Roman" w:hAnsi="Times New Roman" w:cs="Times New Roman" w:eastAsia="Times New Roman" w:hint="default"/>
                <w:sz w:val="20"/>
                <w:szCs w:val="20"/>
              </w:rPr>
            </w:pPr>
            <w:r>
              <w:rPr>
                <w:rFonts w:ascii="Times New Roman"/>
                <w:w w:val="95"/>
                <w:sz w:val="20"/>
              </w:rPr>
              <w:t>485,984.15</w:t>
            </w:r>
            <w:r>
              <w:rPr>
                <w:rFonts w:ascii="Times New Roman"/>
                <w:sz w:val="20"/>
              </w:rPr>
            </w:r>
          </w:p>
        </w:tc>
        <w:tc>
          <w:tcPr>
            <w:tcW w:w="2187" w:type="dxa"/>
            <w:tcBorders>
              <w:top w:val="single" w:sz="4" w:space="0" w:color="000000"/>
              <w:left w:val="single" w:sz="4" w:space="0" w:color="000000"/>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6"/>
              <w:jc w:val="right"/>
              <w:rPr>
                <w:rFonts w:ascii="Times New Roman" w:hAnsi="Times New Roman" w:cs="Times New Roman" w:eastAsia="Times New Roman" w:hint="default"/>
                <w:sz w:val="20"/>
                <w:szCs w:val="20"/>
              </w:rPr>
            </w:pPr>
            <w:r>
              <w:rPr>
                <w:rFonts w:ascii="Times New Roman"/>
                <w:w w:val="95"/>
                <w:sz w:val="20"/>
              </w:rPr>
              <w:t>485,984.15</w:t>
            </w:r>
            <w:r>
              <w:rPr>
                <w:rFonts w:ascii="Times New Roman"/>
                <w:sz w:val="20"/>
              </w:rPr>
            </w:r>
          </w:p>
        </w:tc>
      </w:tr>
      <w:tr>
        <w:trPr>
          <w:trHeight w:val="322"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9"/>
              <w:jc w:val="righ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本期减少金额</w:t>
            </w:r>
            <w:r>
              <w:rPr>
                <w:rFonts w:ascii="宋体" w:hAnsi="宋体" w:cs="宋体" w:eastAsia="宋体" w:hint="default"/>
                <w:sz w:val="24"/>
                <w:szCs w:val="24"/>
              </w:rPr>
              <w:t> </w:t>
            </w:r>
          </w:p>
        </w:tc>
        <w:tc>
          <w:tcPr>
            <w:tcW w:w="274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6"/>
              <w:jc w:val="right"/>
              <w:rPr>
                <w:rFonts w:ascii="Times New Roman" w:hAnsi="Times New Roman" w:cs="Times New Roman" w:eastAsia="Times New Roman" w:hint="default"/>
                <w:sz w:val="20"/>
                <w:szCs w:val="20"/>
              </w:rPr>
            </w:pPr>
            <w:r>
              <w:rPr>
                <w:rFonts w:ascii="Times New Roman"/>
                <w:w w:val="95"/>
                <w:sz w:val="20"/>
              </w:rPr>
              <w:t>485,984.15</w:t>
            </w:r>
            <w:r>
              <w:rPr>
                <w:rFonts w:ascii="Times New Roman"/>
                <w:sz w:val="20"/>
              </w:rPr>
            </w:r>
          </w:p>
        </w:tc>
        <w:tc>
          <w:tcPr>
            <w:tcW w:w="2187" w:type="dxa"/>
            <w:tcBorders>
              <w:top w:val="single" w:sz="4" w:space="0" w:color="000000"/>
              <w:left w:val="single" w:sz="4" w:space="0" w:color="000000"/>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6"/>
              <w:jc w:val="right"/>
              <w:rPr>
                <w:rFonts w:ascii="Times New Roman" w:hAnsi="Times New Roman" w:cs="Times New Roman" w:eastAsia="Times New Roman" w:hint="default"/>
                <w:sz w:val="20"/>
                <w:szCs w:val="20"/>
              </w:rPr>
            </w:pPr>
            <w:r>
              <w:rPr>
                <w:rFonts w:ascii="Times New Roman"/>
                <w:w w:val="95"/>
                <w:sz w:val="20"/>
              </w:rPr>
              <w:t>485,984.15</w:t>
            </w:r>
            <w:r>
              <w:rPr>
                <w:rFonts w:ascii="Times New Roman"/>
                <w:sz w:val="20"/>
              </w:rPr>
            </w:r>
          </w:p>
        </w:tc>
      </w:tr>
      <w:tr>
        <w:trPr>
          <w:trHeight w:val="631"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8" w:right="0"/>
              <w:jc w:val="left"/>
              <w:rPr>
                <w:rFonts w:ascii="宋体" w:hAnsi="宋体" w:cs="宋体" w:eastAsia="宋体" w:hint="default"/>
                <w:sz w:val="24"/>
                <w:szCs w:val="24"/>
              </w:rPr>
            </w:pPr>
            <w:r>
              <w:rPr>
                <w:rFonts w:ascii="宋体" w:hAnsi="宋体" w:cs="宋体" w:eastAsia="宋体" w:hint="default"/>
                <w:spacing w:val="-7"/>
                <w:sz w:val="24"/>
                <w:szCs w:val="24"/>
              </w:rPr>
              <w:t>（</w:t>
            </w:r>
            <w:r>
              <w:rPr>
                <w:rFonts w:ascii="宋体" w:hAnsi="宋体" w:cs="宋体" w:eastAsia="宋体" w:hint="default"/>
                <w:spacing w:val="-7"/>
                <w:sz w:val="24"/>
                <w:szCs w:val="24"/>
              </w:rPr>
              <w:t>1</w:t>
            </w:r>
            <w:r>
              <w:rPr>
                <w:rFonts w:ascii="宋体" w:hAnsi="宋体" w:cs="宋体" w:eastAsia="宋体" w:hint="default"/>
                <w:spacing w:val="-7"/>
                <w:sz w:val="24"/>
                <w:szCs w:val="24"/>
              </w:rPr>
              <w:t>）处置或报</w:t>
            </w:r>
          </w:p>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废</w:t>
            </w:r>
            <w:r>
              <w:rPr>
                <w:rFonts w:ascii="宋体" w:hAnsi="宋体" w:cs="宋体" w:eastAsia="宋体" w:hint="default"/>
                <w:sz w:val="24"/>
                <w:szCs w:val="24"/>
              </w:rPr>
              <w:t> </w:t>
            </w:r>
          </w:p>
        </w:tc>
        <w:tc>
          <w:tcPr>
            <w:tcW w:w="274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8" w:right="0"/>
              <w:jc w:val="left"/>
              <w:rPr>
                <w:rFonts w:ascii="宋体" w:hAnsi="宋体" w:cs="宋体" w:eastAsia="宋体" w:hint="default"/>
                <w:sz w:val="24"/>
                <w:szCs w:val="24"/>
              </w:rPr>
            </w:pPr>
            <w:r>
              <w:rPr>
                <w:rFonts w:ascii="宋体" w:hAnsi="宋体" w:cs="宋体" w:eastAsia="宋体" w:hint="default"/>
                <w:spacing w:val="-7"/>
                <w:sz w:val="24"/>
                <w:szCs w:val="24"/>
              </w:rPr>
              <w:t>（</w:t>
            </w:r>
            <w:r>
              <w:rPr>
                <w:rFonts w:ascii="宋体" w:hAnsi="宋体" w:cs="宋体" w:eastAsia="宋体" w:hint="default"/>
                <w:spacing w:val="-7"/>
                <w:sz w:val="24"/>
                <w:szCs w:val="24"/>
              </w:rPr>
              <w:t>2</w:t>
            </w:r>
            <w:r>
              <w:rPr>
                <w:rFonts w:ascii="宋体" w:hAnsi="宋体" w:cs="宋体" w:eastAsia="宋体" w:hint="default"/>
                <w:spacing w:val="-7"/>
                <w:sz w:val="24"/>
                <w:szCs w:val="24"/>
              </w:rPr>
              <w:t>）企业合并</w:t>
            </w:r>
          </w:p>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范围变更</w:t>
            </w:r>
            <w:r>
              <w:rPr>
                <w:rFonts w:ascii="宋体" w:hAnsi="宋体" w:cs="宋体" w:eastAsia="宋体" w:hint="default"/>
                <w:sz w:val="24"/>
                <w:szCs w:val="24"/>
              </w:rPr>
              <w:t> </w:t>
            </w:r>
          </w:p>
        </w:tc>
        <w:tc>
          <w:tcPr>
            <w:tcW w:w="274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6"/>
              <w:jc w:val="right"/>
              <w:rPr>
                <w:rFonts w:ascii="Times New Roman" w:hAnsi="Times New Roman" w:cs="Times New Roman" w:eastAsia="Times New Roman" w:hint="default"/>
                <w:sz w:val="20"/>
                <w:szCs w:val="20"/>
              </w:rPr>
            </w:pPr>
            <w:r>
              <w:rPr>
                <w:rFonts w:ascii="Times New Roman"/>
                <w:w w:val="95"/>
                <w:sz w:val="20"/>
              </w:rPr>
              <w:t>485,984.15</w:t>
            </w:r>
            <w:r>
              <w:rPr>
                <w:rFonts w:ascii="Times New Roman"/>
                <w:sz w:val="20"/>
              </w:rPr>
            </w:r>
          </w:p>
        </w:tc>
        <w:tc>
          <w:tcPr>
            <w:tcW w:w="2187" w:type="dxa"/>
            <w:tcBorders>
              <w:top w:val="single" w:sz="4" w:space="0" w:color="000000"/>
              <w:left w:val="single" w:sz="4" w:space="0" w:color="000000"/>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6"/>
              <w:jc w:val="right"/>
              <w:rPr>
                <w:rFonts w:ascii="Times New Roman" w:hAnsi="Times New Roman" w:cs="Times New Roman" w:eastAsia="Times New Roman" w:hint="default"/>
                <w:sz w:val="20"/>
                <w:szCs w:val="20"/>
              </w:rPr>
            </w:pPr>
            <w:r>
              <w:rPr>
                <w:rFonts w:ascii="Times New Roman"/>
                <w:w w:val="95"/>
                <w:sz w:val="20"/>
              </w:rPr>
              <w:t>485,984.15</w:t>
            </w:r>
            <w:r>
              <w:rPr>
                <w:rFonts w:ascii="Times New Roman"/>
                <w:sz w:val="20"/>
              </w:rPr>
            </w:r>
          </w:p>
        </w:tc>
      </w:tr>
      <w:tr>
        <w:trPr>
          <w:trHeight w:val="322"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8"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期末余额</w:t>
            </w:r>
            <w:r>
              <w:rPr>
                <w:rFonts w:ascii="宋体" w:hAnsi="宋体" w:cs="宋体" w:eastAsia="宋体" w:hint="default"/>
                <w:sz w:val="24"/>
                <w:szCs w:val="24"/>
              </w:rPr>
              <w:t> </w:t>
            </w:r>
          </w:p>
        </w:tc>
        <w:tc>
          <w:tcPr>
            <w:tcW w:w="2746" w:type="dxa"/>
            <w:tcBorders>
              <w:top w:val="single" w:sz="4" w:space="0" w:color="000000"/>
              <w:left w:val="single" w:sz="4" w:space="0" w:color="000000"/>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368" w:right="0"/>
              <w:jc w:val="left"/>
              <w:rPr>
                <w:rFonts w:ascii="宋体" w:hAnsi="宋体" w:cs="宋体" w:eastAsia="宋体" w:hint="default"/>
                <w:sz w:val="20"/>
                <w:szCs w:val="20"/>
              </w:rPr>
            </w:pPr>
            <w:r>
              <w:rPr>
                <w:rFonts w:ascii="宋体"/>
                <w:w w:val="99"/>
                <w:sz w:val="20"/>
              </w:rPr>
              <w:t> </w:t>
            </w:r>
            <w:r>
              <w:rPr>
                <w:rFonts w:ascii="宋体"/>
                <w:sz w:val="20"/>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7" w:right="0"/>
              <w:jc w:val="center"/>
              <w:rPr>
                <w:rFonts w:ascii="宋体" w:hAnsi="宋体" w:cs="宋体" w:eastAsia="宋体" w:hint="default"/>
                <w:sz w:val="20"/>
                <w:szCs w:val="20"/>
              </w:rPr>
            </w:pPr>
            <w:r>
              <w:rPr>
                <w:rFonts w:ascii="宋体"/>
                <w:w w:val="99"/>
                <w:sz w:val="20"/>
              </w:rPr>
              <w:t> </w:t>
            </w:r>
            <w:r>
              <w:rPr>
                <w:rFonts w:ascii="宋体"/>
                <w:sz w:val="20"/>
              </w:rPr>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center"/>
              <w:rPr>
                <w:rFonts w:ascii="宋体" w:hAnsi="宋体" w:cs="宋体" w:eastAsia="宋体" w:hint="default"/>
                <w:sz w:val="20"/>
                <w:szCs w:val="20"/>
              </w:rPr>
            </w:pPr>
            <w:r>
              <w:rPr>
                <w:rFonts w:ascii="宋体"/>
                <w:w w:val="99"/>
                <w:sz w:val="20"/>
              </w:rPr>
              <w:t> </w:t>
            </w:r>
            <w:r>
              <w:rPr>
                <w:rFonts w:ascii="宋体"/>
                <w:sz w:val="20"/>
              </w:rPr>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9" w:right="0"/>
              <w:jc w:val="center"/>
              <w:rPr>
                <w:rFonts w:ascii="宋体" w:hAnsi="宋体" w:cs="宋体" w:eastAsia="宋体" w:hint="default"/>
                <w:sz w:val="20"/>
                <w:szCs w:val="20"/>
              </w:rPr>
            </w:pPr>
            <w:r>
              <w:rPr>
                <w:rFonts w:ascii="宋体"/>
                <w:w w:val="99"/>
                <w:sz w:val="20"/>
              </w:rPr>
              <w:t> </w:t>
            </w:r>
            <w:r>
              <w:rPr>
                <w:rFonts w:ascii="宋体"/>
                <w:sz w:val="20"/>
              </w:rPr>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2" w:right="0"/>
              <w:jc w:val="center"/>
              <w:rPr>
                <w:rFonts w:ascii="宋体" w:hAnsi="宋体" w:cs="宋体" w:eastAsia="宋体" w:hint="default"/>
                <w:sz w:val="20"/>
                <w:szCs w:val="20"/>
              </w:rPr>
            </w:pPr>
            <w:r>
              <w:rPr>
                <w:rFonts w:ascii="宋体"/>
                <w:w w:val="99"/>
                <w:sz w:val="20"/>
              </w:rPr>
              <w:t> </w:t>
            </w:r>
            <w:r>
              <w:rPr>
                <w:rFonts w:ascii="宋体"/>
                <w:sz w:val="20"/>
              </w:rPr>
            </w:r>
          </w:p>
        </w:tc>
      </w:tr>
      <w:tr>
        <w:trPr>
          <w:trHeight w:val="322"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9"/>
              <w:jc w:val="righ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期末账面价值</w:t>
            </w:r>
            <w:r>
              <w:rPr>
                <w:rFonts w:ascii="宋体" w:hAnsi="宋体" w:cs="宋体" w:eastAsia="宋体" w:hint="default"/>
                <w:sz w:val="24"/>
                <w:szCs w:val="24"/>
              </w:rPr>
              <w:t> </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6"/>
              <w:jc w:val="right"/>
              <w:rPr>
                <w:rFonts w:ascii="Times New Roman" w:hAnsi="Times New Roman" w:cs="Times New Roman" w:eastAsia="Times New Roman" w:hint="default"/>
                <w:sz w:val="20"/>
                <w:szCs w:val="20"/>
              </w:rPr>
            </w:pPr>
            <w:r>
              <w:rPr>
                <w:rFonts w:ascii="Times New Roman"/>
                <w:w w:val="95"/>
                <w:sz w:val="20"/>
              </w:rPr>
              <w:t>441,869,171.77</w:t>
            </w:r>
            <w:r>
              <w:rPr>
                <w:rFonts w:ascii="Times New Roman"/>
                <w:sz w:val="20"/>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6"/>
              <w:jc w:val="right"/>
              <w:rPr>
                <w:rFonts w:ascii="Times New Roman" w:hAnsi="Times New Roman" w:cs="Times New Roman" w:eastAsia="Times New Roman" w:hint="default"/>
                <w:sz w:val="20"/>
                <w:szCs w:val="20"/>
              </w:rPr>
            </w:pPr>
            <w:r>
              <w:rPr>
                <w:rFonts w:ascii="Times New Roman"/>
                <w:w w:val="95"/>
                <w:sz w:val="20"/>
              </w:rPr>
              <w:t>139,186,772.64</w:t>
            </w:r>
            <w:r>
              <w:rPr>
                <w:rFonts w:ascii="Times New Roman"/>
                <w:sz w:val="20"/>
              </w:rPr>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6"/>
              <w:jc w:val="right"/>
              <w:rPr>
                <w:rFonts w:ascii="Times New Roman" w:hAnsi="Times New Roman" w:cs="Times New Roman" w:eastAsia="Times New Roman" w:hint="default"/>
                <w:sz w:val="20"/>
                <w:szCs w:val="20"/>
              </w:rPr>
            </w:pPr>
            <w:r>
              <w:rPr>
                <w:rFonts w:ascii="Times New Roman"/>
                <w:w w:val="95"/>
                <w:sz w:val="20"/>
              </w:rPr>
              <w:t>12,769,387.55</w:t>
            </w:r>
            <w:r>
              <w:rPr>
                <w:rFonts w:ascii="Times New Roman"/>
                <w:sz w:val="20"/>
              </w:rPr>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7"/>
              <w:jc w:val="right"/>
              <w:rPr>
                <w:rFonts w:ascii="Times New Roman" w:hAnsi="Times New Roman" w:cs="Times New Roman" w:eastAsia="Times New Roman" w:hint="default"/>
                <w:sz w:val="20"/>
                <w:szCs w:val="20"/>
              </w:rPr>
            </w:pPr>
            <w:r>
              <w:rPr>
                <w:rFonts w:ascii="Times New Roman"/>
                <w:w w:val="95"/>
                <w:sz w:val="20"/>
              </w:rPr>
              <w:t>19,741,075.31</w:t>
            </w:r>
            <w:r>
              <w:rPr>
                <w:rFonts w:ascii="Times New Roman"/>
                <w:sz w:val="20"/>
              </w:rPr>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6"/>
              <w:jc w:val="right"/>
              <w:rPr>
                <w:rFonts w:ascii="Times New Roman" w:hAnsi="Times New Roman" w:cs="Times New Roman" w:eastAsia="Times New Roman" w:hint="default"/>
                <w:sz w:val="20"/>
                <w:szCs w:val="20"/>
              </w:rPr>
            </w:pPr>
            <w:r>
              <w:rPr>
                <w:rFonts w:ascii="Times New Roman"/>
                <w:w w:val="95"/>
                <w:sz w:val="20"/>
              </w:rPr>
              <w:t>613,566,407.27</w:t>
            </w:r>
            <w:r>
              <w:rPr>
                <w:rFonts w:ascii="Times New Roman"/>
                <w:sz w:val="20"/>
              </w:rPr>
            </w:r>
          </w:p>
        </w:tc>
      </w:tr>
      <w:tr>
        <w:trPr>
          <w:trHeight w:val="322" w:hRule="exact"/>
        </w:trPr>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9"/>
              <w:jc w:val="righ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期初账面价值</w:t>
            </w:r>
            <w:r>
              <w:rPr>
                <w:rFonts w:ascii="宋体" w:hAnsi="宋体" w:cs="宋体" w:eastAsia="宋体" w:hint="default"/>
                <w:sz w:val="24"/>
                <w:szCs w:val="24"/>
              </w:rPr>
              <w:t> </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6"/>
              <w:jc w:val="right"/>
              <w:rPr>
                <w:rFonts w:ascii="Times New Roman" w:hAnsi="Times New Roman" w:cs="Times New Roman" w:eastAsia="Times New Roman" w:hint="default"/>
                <w:sz w:val="20"/>
                <w:szCs w:val="20"/>
              </w:rPr>
            </w:pPr>
            <w:r>
              <w:rPr>
                <w:rFonts w:ascii="Times New Roman"/>
                <w:w w:val="95"/>
                <w:sz w:val="20"/>
              </w:rPr>
              <w:t>471,097,932.39</w:t>
            </w:r>
            <w:r>
              <w:rPr>
                <w:rFonts w:ascii="Times New Roman"/>
                <w:sz w:val="20"/>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6"/>
              <w:jc w:val="right"/>
              <w:rPr>
                <w:rFonts w:ascii="Times New Roman" w:hAnsi="Times New Roman" w:cs="Times New Roman" w:eastAsia="Times New Roman" w:hint="default"/>
                <w:sz w:val="20"/>
                <w:szCs w:val="20"/>
              </w:rPr>
            </w:pPr>
            <w:r>
              <w:rPr>
                <w:rFonts w:ascii="Times New Roman"/>
                <w:w w:val="95"/>
                <w:sz w:val="20"/>
              </w:rPr>
              <w:t>145,660,999.82</w:t>
            </w:r>
            <w:r>
              <w:rPr>
                <w:rFonts w:ascii="Times New Roman"/>
                <w:sz w:val="20"/>
              </w:rPr>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6"/>
              <w:jc w:val="right"/>
              <w:rPr>
                <w:rFonts w:ascii="Times New Roman" w:hAnsi="Times New Roman" w:cs="Times New Roman" w:eastAsia="Times New Roman" w:hint="default"/>
                <w:sz w:val="20"/>
                <w:szCs w:val="20"/>
              </w:rPr>
            </w:pPr>
            <w:r>
              <w:rPr>
                <w:rFonts w:ascii="Times New Roman"/>
                <w:w w:val="95"/>
                <w:sz w:val="20"/>
              </w:rPr>
              <w:t>12,793,962.06</w:t>
            </w:r>
            <w:r>
              <w:rPr>
                <w:rFonts w:ascii="Times New Roman"/>
                <w:sz w:val="20"/>
              </w:rPr>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7"/>
              <w:jc w:val="right"/>
              <w:rPr>
                <w:rFonts w:ascii="Times New Roman" w:hAnsi="Times New Roman" w:cs="Times New Roman" w:eastAsia="Times New Roman" w:hint="default"/>
                <w:sz w:val="20"/>
                <w:szCs w:val="20"/>
              </w:rPr>
            </w:pPr>
            <w:r>
              <w:rPr>
                <w:rFonts w:ascii="Times New Roman"/>
                <w:w w:val="95"/>
                <w:sz w:val="20"/>
              </w:rPr>
              <w:t>24,646,765.36</w:t>
            </w:r>
            <w:r>
              <w:rPr>
                <w:rFonts w:ascii="Times New Roman"/>
                <w:sz w:val="20"/>
              </w:rPr>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6"/>
              <w:jc w:val="right"/>
              <w:rPr>
                <w:rFonts w:ascii="Times New Roman" w:hAnsi="Times New Roman" w:cs="Times New Roman" w:eastAsia="Times New Roman" w:hint="default"/>
                <w:sz w:val="20"/>
                <w:szCs w:val="20"/>
              </w:rPr>
            </w:pPr>
            <w:r>
              <w:rPr>
                <w:rFonts w:ascii="Times New Roman"/>
                <w:w w:val="95"/>
                <w:sz w:val="20"/>
              </w:rPr>
              <w:t>654,199,659.63</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6840" w:h="11910" w:orient="landscape"/>
          <w:pgMar w:header="882" w:footer="1195" w:top="1120" w:bottom="1380" w:left="1300" w:right="1200"/>
        </w:sectPr>
      </w:pPr>
    </w:p>
    <w:p>
      <w:pPr>
        <w:spacing w:line="240" w:lineRule="auto" w:before="3"/>
        <w:rPr>
          <w:rFonts w:ascii="Times New Roman" w:hAnsi="Times New Roman" w:cs="Times New Roman" w:eastAsia="Times New Roman" w:hint="default"/>
          <w:sz w:val="21"/>
          <w:szCs w:val="21"/>
        </w:rPr>
      </w:pPr>
    </w:p>
    <w:p>
      <w:pPr>
        <w:pStyle w:val="BodyText"/>
        <w:spacing w:line="237" w:lineRule="auto" w:before="38"/>
        <w:ind w:left="236" w:right="229"/>
        <w:jc w:val="both"/>
      </w:pPr>
      <w:r>
        <w:rPr>
          <w:spacing w:val="-1"/>
        </w:rPr>
        <w:t>注：本期合并减少系贵州泰豪宝碳智慧能源有限公司、湖南基石通信技术有限公司、济南吉美乐</w:t>
      </w:r>
      <w:r>
        <w:rPr>
          <w:spacing w:val="-55"/>
        </w:rPr>
        <w:t> </w:t>
      </w:r>
      <w:r>
        <w:rPr>
          <w:spacing w:val="-55"/>
        </w:rPr>
      </w:r>
      <w:r>
        <w:rPr>
          <w:spacing w:val="-1"/>
        </w:rPr>
        <w:t>电源技术有限公司、长春泰豪电子装备有限公司、上海致胜信息技术有限公司本期不纳入合并报</w:t>
      </w:r>
      <w:r>
        <w:rPr>
          <w:spacing w:val="-55"/>
        </w:rPr>
        <w:t> </w:t>
      </w:r>
      <w:r>
        <w:rPr>
          <w:spacing w:val="-55"/>
        </w:rPr>
      </w:r>
      <w:r>
        <w:rPr/>
        <w:t>表范围所致。</w:t>
      </w:r>
    </w:p>
    <w:p>
      <w:pPr>
        <w:pStyle w:val="Heading3"/>
        <w:spacing w:line="305" w:lineRule="exact"/>
        <w:ind w:left="236" w:right="0"/>
        <w:jc w:val="both"/>
        <w:rPr>
          <w:rFonts w:ascii="宋体" w:hAnsi="宋体" w:cs="宋体" w:eastAsia="宋体" w:hint="default"/>
        </w:rPr>
      </w:pPr>
      <w:r>
        <w:rPr>
          <w:rFonts w:ascii="宋体"/>
        </w:rPr>
        <w:t> </w:t>
      </w:r>
    </w:p>
    <w:p>
      <w:pPr>
        <w:pStyle w:val="Heading5"/>
        <w:spacing w:line="240" w:lineRule="auto"/>
        <w:ind w:left="236" w:right="0"/>
        <w:jc w:val="both"/>
        <w:rPr>
          <w:rFonts w:ascii="宋体" w:hAnsi="宋体" w:cs="宋体" w:eastAsia="宋体" w:hint="default"/>
          <w:b w:val="0"/>
          <w:bCs w:val="0"/>
        </w:rPr>
      </w:pPr>
      <w:r>
        <w:rPr>
          <w:rFonts w:ascii="宋体" w:hAnsi="宋体" w:cs="宋体" w:eastAsia="宋体" w:hint="default"/>
        </w:rPr>
        <w:t>(2).</w:t>
      </w:r>
      <w:r>
        <w:rPr/>
        <w:t>暂时闲置的固定资产情况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236"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40" w:lineRule="auto" w:before="61"/>
        <w:ind w:left="236" w:right="0"/>
        <w:jc w:val="both"/>
        <w:rPr>
          <w:rFonts w:ascii="宋体" w:hAnsi="宋体" w:cs="宋体" w:eastAsia="宋体" w:hint="default"/>
          <w:b w:val="0"/>
          <w:bCs w:val="0"/>
        </w:rPr>
      </w:pPr>
      <w:r>
        <w:rPr>
          <w:rFonts w:ascii="宋体" w:hAnsi="宋体" w:cs="宋体" w:eastAsia="宋体" w:hint="default"/>
        </w:rPr>
        <w:t>(3).</w:t>
      </w:r>
      <w:r>
        <w:rPr/>
        <w:t>通过融资租赁租入的固定资产情况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236"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40" w:lineRule="auto" w:before="61"/>
        <w:ind w:left="236" w:right="0"/>
        <w:jc w:val="both"/>
        <w:rPr>
          <w:rFonts w:ascii="宋体" w:hAnsi="宋体" w:cs="宋体" w:eastAsia="宋体" w:hint="default"/>
          <w:b w:val="0"/>
          <w:bCs w:val="0"/>
        </w:rPr>
      </w:pPr>
      <w:r>
        <w:rPr>
          <w:rFonts w:ascii="宋体" w:hAnsi="宋体" w:cs="宋体" w:eastAsia="宋体" w:hint="default"/>
        </w:rPr>
        <w:t>(4).</w:t>
      </w:r>
      <w:r>
        <w:rPr/>
        <w:t>通过经营租赁租出的固定资产</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236"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rFonts w:ascii="宋体" w:hAnsi="宋体" w:cs="宋体" w:eastAsia="宋体" w:hint="default"/>
          <w:color w:val="FF0000"/>
        </w:rPr>
        <w:t> </w:t>
      </w:r>
      <w:r>
        <w:rPr>
          <w:rFonts w:ascii="宋体" w:hAnsi="宋体" w:cs="宋体" w:eastAsia="宋体" w:hint="default"/>
        </w:rPr>
      </w:r>
    </w:p>
    <w:p>
      <w:pPr>
        <w:pStyle w:val="Heading5"/>
        <w:spacing w:line="240" w:lineRule="auto"/>
        <w:ind w:left="236" w:right="0"/>
        <w:jc w:val="both"/>
        <w:rPr>
          <w:rFonts w:ascii="宋体" w:hAnsi="宋体" w:cs="宋体" w:eastAsia="宋体" w:hint="default"/>
          <w:b w:val="0"/>
          <w:bCs w:val="0"/>
        </w:rPr>
      </w:pPr>
      <w:r>
        <w:rPr>
          <w:rFonts w:ascii="宋体" w:hAnsi="宋体" w:cs="宋体" w:eastAsia="宋体" w:hint="default"/>
        </w:rPr>
        <w:t>(5).</w:t>
      </w:r>
      <w:r>
        <w:rPr/>
        <w:t>未办妥产权证书的固定资产情况</w:t>
      </w:r>
      <w:r>
        <w:rPr>
          <w:rFonts w:ascii="宋体" w:hAnsi="宋体" w:cs="宋体" w:eastAsia="宋体" w:hint="default"/>
          <w:w w:val="99"/>
        </w:rPr>
        <w:t> </w:t>
      </w:r>
      <w:r>
        <w:rPr>
          <w:rFonts w:ascii="宋体" w:hAnsi="宋体" w:cs="宋体" w:eastAsia="宋体" w:hint="default"/>
          <w:b w:val="0"/>
          <w:bCs w:val="0"/>
        </w:rPr>
      </w:r>
    </w:p>
    <w:p>
      <w:pPr>
        <w:pStyle w:val="Heading3"/>
        <w:spacing w:line="312" w:lineRule="exact" w:before="81"/>
        <w:ind w:left="236" w:right="690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rFonts w:ascii="宋体" w:hAnsi="宋体" w:cs="宋体" w:eastAsia="宋体" w:hint="default"/>
          <w:color w:val="FF0000"/>
        </w:rPr>
        <w:t> </w:t>
      </w:r>
      <w:r>
        <w:rPr/>
        <w:t>其他说明：</w:t>
      </w:r>
      <w:r>
        <w:rPr>
          <w:rFonts w:ascii="宋体" w:hAnsi="宋体" w:cs="宋体" w:eastAsia="宋体" w:hint="default"/>
        </w:rPr>
        <w:t> </w:t>
      </w:r>
    </w:p>
    <w:p>
      <w:pPr>
        <w:pStyle w:val="Heading3"/>
        <w:spacing w:line="280" w:lineRule="exact"/>
        <w:ind w:left="236"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236" w:right="0"/>
        <w:jc w:val="both"/>
        <w:rPr>
          <w:rFonts w:ascii="宋体" w:hAnsi="宋体" w:cs="宋体" w:eastAsia="宋体" w:hint="default"/>
        </w:rPr>
      </w:pPr>
      <w:r>
        <w:rPr>
          <w:rFonts w:ascii="宋体"/>
        </w:rPr>
        <w:t> </w:t>
      </w:r>
    </w:p>
    <w:p>
      <w:pPr>
        <w:pStyle w:val="Heading5"/>
        <w:spacing w:line="240" w:lineRule="auto"/>
        <w:ind w:left="236" w:right="0"/>
        <w:jc w:val="both"/>
        <w:rPr>
          <w:rFonts w:ascii="宋体" w:hAnsi="宋体" w:cs="宋体" w:eastAsia="宋体" w:hint="default"/>
          <w:b w:val="0"/>
          <w:bCs w:val="0"/>
        </w:rPr>
      </w:pPr>
      <w:r>
        <w:rPr/>
        <w:t>固定资产清理</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left="236"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236" w:right="0"/>
        <w:jc w:val="both"/>
        <w:rPr>
          <w:rFonts w:ascii="宋体" w:hAnsi="宋体" w:cs="宋体" w:eastAsia="宋体" w:hint="default"/>
        </w:rPr>
      </w:pPr>
      <w:r>
        <w:rPr>
          <w:rFonts w:ascii="宋体"/>
        </w:rPr>
        <w:t> </w:t>
      </w:r>
    </w:p>
    <w:p>
      <w:pPr>
        <w:pStyle w:val="Heading5"/>
        <w:spacing w:line="290" w:lineRule="auto"/>
        <w:ind w:left="236" w:right="6901"/>
        <w:jc w:val="left"/>
        <w:rPr>
          <w:rFonts w:ascii="宋体" w:hAnsi="宋体" w:cs="宋体" w:eastAsia="宋体" w:hint="default"/>
          <w:b w:val="0"/>
          <w:bCs w:val="0"/>
        </w:rPr>
      </w:pPr>
      <w:r>
        <w:rPr>
          <w:rFonts w:ascii="宋体" w:hAnsi="宋体" w:cs="宋体" w:eastAsia="宋体" w:hint="default"/>
        </w:rPr>
        <w:t>21</w:t>
      </w:r>
      <w:r>
        <w:rPr/>
        <w:t>、</w:t>
      </w:r>
      <w:r>
        <w:rPr>
          <w:spacing w:val="-26"/>
        </w:rPr>
        <w:t> </w:t>
      </w:r>
      <w:r>
        <w:rPr/>
        <w:t>在建工程</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left="236"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0" w:lineRule="exact"/>
        <w:ind w:left="0" w:right="113"/>
        <w:jc w:val="righ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284"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14"/>
              <w:jc w:val="right"/>
              <w:rPr>
                <w:rFonts w:ascii="Times New Roman" w:hAnsi="Times New Roman" w:cs="Times New Roman" w:eastAsia="Times New Roman" w:hint="default"/>
                <w:sz w:val="20"/>
                <w:szCs w:val="20"/>
              </w:rPr>
            </w:pPr>
            <w:r>
              <w:rPr>
                <w:rFonts w:ascii="Times New Roman"/>
                <w:w w:val="95"/>
                <w:sz w:val="20"/>
              </w:rPr>
              <w:t>137,343,458.10</w:t>
            </w:r>
            <w:r>
              <w:rPr>
                <w:rFonts w:ascii="Times New Roman"/>
                <w:sz w:val="20"/>
              </w:rPr>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14"/>
              <w:jc w:val="right"/>
              <w:rPr>
                <w:rFonts w:ascii="Times New Roman" w:hAnsi="Times New Roman" w:cs="Times New Roman" w:eastAsia="Times New Roman" w:hint="default"/>
                <w:sz w:val="20"/>
                <w:szCs w:val="20"/>
              </w:rPr>
            </w:pPr>
            <w:r>
              <w:rPr>
                <w:rFonts w:ascii="Times New Roman"/>
                <w:w w:val="95"/>
                <w:sz w:val="20"/>
              </w:rPr>
              <w:t>79,164,911.53</w:t>
            </w:r>
            <w:r>
              <w:rPr>
                <w:rFonts w:ascii="Times New Roman"/>
                <w:sz w:val="20"/>
              </w:rPr>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3"/>
              <w:jc w:val="right"/>
              <w:rPr>
                <w:rFonts w:ascii="宋体" w:hAnsi="宋体" w:cs="宋体" w:eastAsia="宋体" w:hint="default"/>
                <w:sz w:val="24"/>
                <w:szCs w:val="24"/>
              </w:rPr>
            </w:pPr>
            <w:r>
              <w:rPr>
                <w:rFonts w:ascii="宋体" w:hAnsi="宋体" w:cs="宋体" w:eastAsia="宋体" w:hint="default"/>
                <w:spacing w:val="-2"/>
                <w:sz w:val="21"/>
                <w:szCs w:val="21"/>
              </w:rPr>
              <w:t>合计</w:t>
            </w:r>
            <w:r>
              <w:rPr>
                <w:rFonts w:ascii="宋体" w:hAnsi="宋体" w:cs="宋体" w:eastAsia="宋体" w:hint="default"/>
                <w:sz w:val="24"/>
                <w:szCs w:val="24"/>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9"/>
              <w:jc w:val="right"/>
              <w:rPr>
                <w:rFonts w:ascii="Times New Roman" w:hAnsi="Times New Roman" w:cs="Times New Roman" w:eastAsia="Times New Roman" w:hint="default"/>
                <w:sz w:val="20"/>
                <w:szCs w:val="20"/>
              </w:rPr>
            </w:pPr>
            <w:r>
              <w:rPr>
                <w:rFonts w:ascii="Times New Roman"/>
                <w:w w:val="95"/>
                <w:sz w:val="20"/>
              </w:rPr>
              <w:t>137,343,458.10</w:t>
            </w:r>
            <w:r>
              <w:rPr>
                <w:rFonts w:ascii="Times New Roman"/>
                <w:sz w:val="20"/>
              </w:rPr>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14"/>
              <w:jc w:val="right"/>
              <w:rPr>
                <w:rFonts w:ascii="Times New Roman" w:hAnsi="Times New Roman" w:cs="Times New Roman" w:eastAsia="Times New Roman" w:hint="default"/>
                <w:sz w:val="20"/>
                <w:szCs w:val="20"/>
              </w:rPr>
            </w:pPr>
            <w:r>
              <w:rPr>
                <w:rFonts w:ascii="Times New Roman"/>
                <w:w w:val="95"/>
                <w:sz w:val="20"/>
              </w:rPr>
              <w:t>79,164,911.53</w:t>
            </w:r>
            <w:r>
              <w:rPr>
                <w:rFonts w:ascii="Times New Roman"/>
                <w:sz w:val="20"/>
              </w:rPr>
            </w:r>
          </w:p>
        </w:tc>
      </w:tr>
    </w:tbl>
    <w:p>
      <w:pPr>
        <w:spacing w:after="0" w:line="223" w:lineRule="exact"/>
        <w:jc w:val="right"/>
        <w:rPr>
          <w:rFonts w:ascii="Times New Roman" w:hAnsi="Times New Roman" w:cs="Times New Roman" w:eastAsia="Times New Roman" w:hint="default"/>
          <w:sz w:val="20"/>
          <w:szCs w:val="20"/>
        </w:rPr>
        <w:sectPr>
          <w:headerReference w:type="default" r:id="rId58"/>
          <w:footerReference w:type="default" r:id="rId59"/>
          <w:pgSz w:w="11910" w:h="16840"/>
          <w:pgMar w:header="882" w:footer="1195" w:top="1120" w:bottom="1380" w:left="1040" w:right="1560"/>
          <w:pgNumType w:start="12"/>
        </w:sectPr>
      </w:pPr>
    </w:p>
    <w:p>
      <w:pPr>
        <w:pStyle w:val="Heading3"/>
        <w:spacing w:line="273" w:lineRule="exact"/>
        <w:ind w:left="236" w:right="0"/>
        <w:jc w:val="left"/>
        <w:rPr>
          <w:rFonts w:ascii="宋体" w:hAnsi="宋体" w:cs="宋体" w:eastAsia="宋体" w:hint="default"/>
        </w:rPr>
      </w:pPr>
      <w:r>
        <w:rPr>
          <w:rFonts w:ascii="宋体"/>
        </w:rPr>
        <w:t> </w:t>
      </w:r>
    </w:p>
    <w:p>
      <w:pPr>
        <w:pStyle w:val="Heading3"/>
        <w:spacing w:line="311" w:lineRule="exact"/>
        <w:ind w:left="236" w:right="0"/>
        <w:jc w:val="left"/>
        <w:rPr>
          <w:rFonts w:ascii="宋体" w:hAnsi="宋体" w:cs="宋体" w:eastAsia="宋体" w:hint="default"/>
        </w:rPr>
      </w:pPr>
      <w:r>
        <w:rPr/>
        <w:t>其他说明：</w:t>
      </w:r>
      <w:r>
        <w:rPr>
          <w:rFonts w:ascii="宋体" w:hAnsi="宋体" w:cs="宋体" w:eastAsia="宋体" w:hint="default"/>
        </w:rPr>
        <w:t> </w:t>
      </w:r>
    </w:p>
    <w:p>
      <w:pPr>
        <w:pStyle w:val="Heading3"/>
        <w:spacing w:line="311" w:lineRule="exact"/>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236" w:right="0"/>
        <w:jc w:val="left"/>
        <w:rPr>
          <w:rFonts w:ascii="宋体" w:hAnsi="宋体" w:cs="宋体" w:eastAsia="宋体" w:hint="default"/>
        </w:rPr>
      </w:pPr>
      <w:r>
        <w:rPr>
          <w:rFonts w:ascii="宋体"/>
        </w:rPr>
        <w:t> </w:t>
      </w:r>
    </w:p>
    <w:p>
      <w:pPr>
        <w:pStyle w:val="Heading5"/>
        <w:spacing w:line="290" w:lineRule="auto"/>
        <w:ind w:left="236" w:right="0"/>
        <w:jc w:val="left"/>
        <w:rPr>
          <w:rFonts w:ascii="宋体" w:hAnsi="宋体" w:cs="宋体" w:eastAsia="宋体" w:hint="default"/>
          <w:b w:val="0"/>
          <w:bCs w:val="0"/>
        </w:rPr>
      </w:pPr>
      <w:r>
        <w:rPr/>
        <w:t>在建工程</w:t>
      </w:r>
      <w:r>
        <w:rPr>
          <w:rFonts w:ascii="宋体" w:hAnsi="宋体" w:cs="宋体" w:eastAsia="宋体" w:hint="default"/>
          <w:w w:val="99"/>
        </w:rPr>
        <w:t> </w:t>
      </w:r>
      <w:r>
        <w:rPr>
          <w:rFonts w:ascii="宋体" w:hAnsi="宋体" w:cs="宋体" w:eastAsia="宋体" w:hint="default"/>
        </w:rPr>
        <w:t>(1).</w:t>
      </w:r>
      <w:r>
        <w:rPr/>
        <w:t>在建工程情况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7"/>
          <w:szCs w:val="27"/>
        </w:rPr>
      </w:pPr>
    </w:p>
    <w:p>
      <w:pPr>
        <w:pStyle w:val="Heading3"/>
        <w:spacing w:line="240" w:lineRule="auto"/>
        <w:ind w:left="23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278" w:space="3916"/>
            <w:col w:w="3116"/>
          </w:cols>
        </w:sectPr>
      </w:pPr>
    </w:p>
    <w:p>
      <w:pPr>
        <w:spacing w:line="240" w:lineRule="auto" w:before="10"/>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1673"/>
        <w:gridCol w:w="1419"/>
        <w:gridCol w:w="996"/>
        <w:gridCol w:w="1388"/>
        <w:gridCol w:w="1212"/>
        <w:gridCol w:w="996"/>
        <w:gridCol w:w="1213"/>
      </w:tblGrid>
      <w:tr>
        <w:trPr>
          <w:trHeight w:val="322" w:hRule="exact"/>
        </w:trPr>
        <w:tc>
          <w:tcPr>
            <w:tcW w:w="167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90" w:right="0"/>
              <w:jc w:val="lef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38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5" w:right="0"/>
              <w:jc w:val="center"/>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34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23"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r>
      <w:tr>
        <w:trPr>
          <w:trHeight w:val="634" w:hRule="exact"/>
        </w:trPr>
        <w:tc>
          <w:tcPr>
            <w:tcW w:w="1673"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3"/>
              <w:jc w:val="right"/>
              <w:rPr>
                <w:rFonts w:ascii="宋体" w:hAnsi="宋体" w:cs="宋体" w:eastAsia="宋体" w:hint="default"/>
                <w:sz w:val="24"/>
                <w:szCs w:val="24"/>
              </w:rPr>
            </w:pPr>
            <w:r>
              <w:rPr>
                <w:rFonts w:ascii="宋体" w:hAnsi="宋体" w:cs="宋体" w:eastAsia="宋体" w:hint="default"/>
                <w:sz w:val="24"/>
                <w:szCs w:val="24"/>
              </w:rPr>
              <w:t>账面余额</w:t>
            </w:r>
            <w:r>
              <w:rPr>
                <w:rFonts w:ascii="宋体" w:hAnsi="宋体" w:cs="宋体" w:eastAsia="宋体" w:hint="default"/>
                <w:sz w:val="24"/>
                <w:szCs w:val="24"/>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减值准</w:t>
            </w:r>
          </w:p>
          <w:p>
            <w:pPr>
              <w:pStyle w:val="TableParagraph"/>
              <w:spacing w:line="313" w:lineRule="exact"/>
              <w:ind w:left="117" w:right="0"/>
              <w:jc w:val="center"/>
              <w:rPr>
                <w:rFonts w:ascii="宋体" w:hAnsi="宋体" w:cs="宋体" w:eastAsia="宋体" w:hint="default"/>
                <w:sz w:val="24"/>
                <w:szCs w:val="24"/>
              </w:rPr>
            </w:pPr>
            <w:r>
              <w:rPr>
                <w:rFonts w:ascii="宋体" w:hAnsi="宋体" w:cs="宋体" w:eastAsia="宋体" w:hint="default"/>
                <w:sz w:val="24"/>
                <w:szCs w:val="24"/>
              </w:rPr>
              <w:t>备</w:t>
            </w:r>
            <w:r>
              <w:rPr>
                <w:rFonts w:ascii="宋体" w:hAnsi="宋体" w:cs="宋体" w:eastAsia="宋体" w:hint="default"/>
                <w:sz w:val="24"/>
                <w:szCs w:val="24"/>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89"/>
              <w:jc w:val="right"/>
              <w:rPr>
                <w:rFonts w:ascii="宋体" w:hAnsi="宋体" w:cs="宋体" w:eastAsia="宋体" w:hint="default"/>
                <w:sz w:val="24"/>
                <w:szCs w:val="24"/>
              </w:rPr>
            </w:pPr>
            <w:r>
              <w:rPr>
                <w:rFonts w:ascii="宋体" w:hAnsi="宋体" w:cs="宋体" w:eastAsia="宋体" w:hint="default"/>
                <w:sz w:val="24"/>
                <w:szCs w:val="24"/>
              </w:rPr>
              <w:t>账面价值</w:t>
            </w:r>
            <w:r>
              <w:rPr>
                <w:rFonts w:ascii="宋体" w:hAnsi="宋体" w:cs="宋体" w:eastAsia="宋体" w:hint="default"/>
                <w:sz w:val="24"/>
                <w:szCs w:val="24"/>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12" w:right="0"/>
              <w:jc w:val="center"/>
              <w:rPr>
                <w:rFonts w:ascii="宋体" w:hAnsi="宋体" w:cs="宋体" w:eastAsia="宋体" w:hint="default"/>
                <w:sz w:val="24"/>
                <w:szCs w:val="24"/>
              </w:rPr>
            </w:pPr>
            <w:r>
              <w:rPr>
                <w:rFonts w:ascii="宋体" w:hAnsi="宋体" w:cs="宋体" w:eastAsia="宋体" w:hint="default"/>
                <w:sz w:val="24"/>
                <w:szCs w:val="24"/>
              </w:rPr>
              <w:t>账面余额</w:t>
            </w:r>
            <w:r>
              <w:rPr>
                <w:rFonts w:ascii="宋体" w:hAnsi="宋体" w:cs="宋体" w:eastAsia="宋体" w:hint="default"/>
                <w:sz w:val="24"/>
                <w:szCs w:val="24"/>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减值准</w:t>
            </w:r>
          </w:p>
          <w:p>
            <w:pPr>
              <w:pStyle w:val="TableParagraph"/>
              <w:spacing w:line="313" w:lineRule="exact"/>
              <w:ind w:left="117" w:right="0"/>
              <w:jc w:val="center"/>
              <w:rPr>
                <w:rFonts w:ascii="宋体" w:hAnsi="宋体" w:cs="宋体" w:eastAsia="宋体" w:hint="default"/>
                <w:sz w:val="24"/>
                <w:szCs w:val="24"/>
              </w:rPr>
            </w:pPr>
            <w:r>
              <w:rPr>
                <w:rFonts w:ascii="宋体" w:hAnsi="宋体" w:cs="宋体" w:eastAsia="宋体" w:hint="default"/>
                <w:sz w:val="24"/>
                <w:szCs w:val="24"/>
              </w:rPr>
              <w:t>备</w:t>
            </w:r>
            <w:r>
              <w:rPr>
                <w:rFonts w:ascii="宋体" w:hAnsi="宋体" w:cs="宋体" w:eastAsia="宋体" w:hint="default"/>
                <w:sz w:val="24"/>
                <w:szCs w:val="24"/>
              </w:rPr>
              <w:t> </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right"/>
              <w:rPr>
                <w:rFonts w:ascii="宋体" w:hAnsi="宋体" w:cs="宋体" w:eastAsia="宋体" w:hint="default"/>
                <w:sz w:val="24"/>
                <w:szCs w:val="24"/>
              </w:rPr>
            </w:pPr>
            <w:r>
              <w:rPr>
                <w:rFonts w:ascii="宋体" w:hAnsi="宋体" w:cs="宋体" w:eastAsia="宋体" w:hint="default"/>
                <w:sz w:val="24"/>
                <w:szCs w:val="24"/>
              </w:rPr>
              <w:t>账面价值</w:t>
            </w:r>
            <w:r>
              <w:rPr>
                <w:rFonts w:ascii="宋体" w:hAnsi="宋体" w:cs="宋体" w:eastAsia="宋体" w:hint="default"/>
                <w:sz w:val="24"/>
                <w:szCs w:val="24"/>
              </w:rPr>
              <w:t> </w:t>
            </w:r>
          </w:p>
        </w:tc>
      </w:tr>
      <w:tr>
        <w:trPr>
          <w:trHeight w:val="554"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8"/>
                <w:sz w:val="21"/>
                <w:szCs w:val="21"/>
              </w:rPr>
              <w:t>嘉兴装备科技产</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业园</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31"/>
              <w:jc w:val="right"/>
              <w:rPr>
                <w:rFonts w:ascii="Times New Roman" w:hAnsi="Times New Roman" w:cs="Times New Roman" w:eastAsia="Times New Roman" w:hint="default"/>
                <w:sz w:val="20"/>
                <w:szCs w:val="20"/>
              </w:rPr>
            </w:pPr>
            <w:r>
              <w:rPr>
                <w:rFonts w:ascii="Times New Roman"/>
                <w:w w:val="95"/>
                <w:sz w:val="20"/>
              </w:rPr>
              <w:t>133,442,308.52</w:t>
            </w:r>
            <w:r>
              <w:rPr>
                <w:rFonts w:ascii="Times New Roman"/>
                <w:sz w:val="20"/>
              </w:rPr>
            </w:r>
          </w:p>
        </w:tc>
        <w:tc>
          <w:tcPr>
            <w:tcW w:w="9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0"/>
                <w:szCs w:val="20"/>
              </w:rPr>
            </w:pPr>
            <w:r>
              <w:rPr>
                <w:rFonts w:ascii="Times New Roman"/>
                <w:w w:val="95"/>
                <w:sz w:val="20"/>
              </w:rPr>
              <w:t>133,442,308.52</w:t>
            </w:r>
            <w:r>
              <w:rPr>
                <w:rFonts w:ascii="Times New Roman"/>
                <w:sz w:val="20"/>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3"/>
              <w:jc w:val="center"/>
              <w:rPr>
                <w:rFonts w:ascii="Times New Roman" w:hAnsi="Times New Roman" w:cs="Times New Roman" w:eastAsia="Times New Roman" w:hint="default"/>
                <w:sz w:val="20"/>
                <w:szCs w:val="20"/>
              </w:rPr>
            </w:pPr>
            <w:r>
              <w:rPr>
                <w:rFonts w:ascii="Times New Roman"/>
                <w:sz w:val="20"/>
              </w:rPr>
              <w:t>48,948,310.25</w:t>
            </w:r>
          </w:p>
        </w:tc>
        <w:tc>
          <w:tcPr>
            <w:tcW w:w="99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5"/>
              <w:jc w:val="right"/>
              <w:rPr>
                <w:rFonts w:ascii="Times New Roman" w:hAnsi="Times New Roman" w:cs="Times New Roman" w:eastAsia="Times New Roman" w:hint="default"/>
                <w:sz w:val="20"/>
                <w:szCs w:val="20"/>
              </w:rPr>
            </w:pPr>
            <w:r>
              <w:rPr>
                <w:rFonts w:ascii="Times New Roman"/>
                <w:w w:val="95"/>
                <w:sz w:val="20"/>
              </w:rPr>
              <w:t>48,948,310.25</w:t>
            </w:r>
            <w:r>
              <w:rPr>
                <w:rFonts w:ascii="Times New Roman"/>
                <w:sz w:val="20"/>
              </w:rPr>
            </w:r>
          </w:p>
        </w:tc>
      </w:tr>
      <w:tr>
        <w:trPr>
          <w:trHeight w:val="554"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7"/>
                <w:sz w:val="21"/>
                <w:szCs w:val="21"/>
              </w:rPr>
              <w:t>电动车充电站项</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31"/>
              <w:jc w:val="right"/>
              <w:rPr>
                <w:rFonts w:ascii="Times New Roman" w:hAnsi="Times New Roman" w:cs="Times New Roman" w:eastAsia="Times New Roman" w:hint="default"/>
                <w:sz w:val="20"/>
                <w:szCs w:val="20"/>
              </w:rPr>
            </w:pPr>
            <w:r>
              <w:rPr>
                <w:rFonts w:ascii="Times New Roman"/>
                <w:w w:val="95"/>
                <w:sz w:val="20"/>
              </w:rPr>
              <w:t>1,082,751.30</w:t>
            </w:r>
            <w:r>
              <w:rPr>
                <w:rFonts w:ascii="Times New Roman"/>
                <w:sz w:val="20"/>
              </w:rPr>
            </w:r>
          </w:p>
        </w:tc>
        <w:tc>
          <w:tcPr>
            <w:tcW w:w="9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9"/>
              <w:jc w:val="right"/>
              <w:rPr>
                <w:rFonts w:ascii="Times New Roman" w:hAnsi="Times New Roman" w:cs="Times New Roman" w:eastAsia="Times New Roman" w:hint="default"/>
                <w:sz w:val="20"/>
                <w:szCs w:val="20"/>
              </w:rPr>
            </w:pPr>
            <w:r>
              <w:rPr>
                <w:rFonts w:ascii="Times New Roman"/>
                <w:w w:val="95"/>
                <w:sz w:val="20"/>
              </w:rPr>
              <w:t>1,082,751.30</w:t>
            </w:r>
            <w:r>
              <w:rPr>
                <w:rFonts w:ascii="Times New Roman"/>
                <w:sz w:val="20"/>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3"/>
              <w:jc w:val="center"/>
              <w:rPr>
                <w:rFonts w:ascii="Times New Roman" w:hAnsi="Times New Roman" w:cs="Times New Roman" w:eastAsia="Times New Roman" w:hint="default"/>
                <w:sz w:val="20"/>
                <w:szCs w:val="20"/>
              </w:rPr>
            </w:pPr>
            <w:r>
              <w:rPr>
                <w:rFonts w:ascii="Times New Roman"/>
                <w:sz w:val="20"/>
              </w:rPr>
              <w:t>13,531,857.80</w:t>
            </w:r>
          </w:p>
        </w:tc>
        <w:tc>
          <w:tcPr>
            <w:tcW w:w="99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5"/>
              <w:jc w:val="right"/>
              <w:rPr>
                <w:rFonts w:ascii="Times New Roman" w:hAnsi="Times New Roman" w:cs="Times New Roman" w:eastAsia="Times New Roman" w:hint="default"/>
                <w:sz w:val="20"/>
                <w:szCs w:val="20"/>
              </w:rPr>
            </w:pPr>
            <w:r>
              <w:rPr>
                <w:rFonts w:ascii="Times New Roman"/>
                <w:w w:val="95"/>
                <w:sz w:val="20"/>
              </w:rPr>
              <w:t>13,531,857.80</w:t>
            </w:r>
            <w:r>
              <w:rPr>
                <w:rFonts w:ascii="Times New Roman"/>
                <w:sz w:val="20"/>
              </w:rPr>
            </w:r>
          </w:p>
        </w:tc>
      </w:tr>
      <w:tr>
        <w:trPr>
          <w:trHeight w:val="554"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7"/>
                <w:sz w:val="21"/>
                <w:szCs w:val="21"/>
              </w:rPr>
              <w:t>智能制造技改项</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31"/>
              <w:jc w:val="right"/>
              <w:rPr>
                <w:rFonts w:ascii="Times New Roman" w:hAnsi="Times New Roman" w:cs="Times New Roman" w:eastAsia="Times New Roman" w:hint="default"/>
                <w:sz w:val="20"/>
                <w:szCs w:val="20"/>
              </w:rPr>
            </w:pPr>
            <w:r>
              <w:rPr>
                <w:rFonts w:ascii="Times New Roman"/>
                <w:w w:val="95"/>
                <w:sz w:val="20"/>
              </w:rPr>
              <w:t>1,137,931.08</w:t>
            </w:r>
            <w:r>
              <w:rPr>
                <w:rFonts w:ascii="Times New Roman"/>
                <w:sz w:val="20"/>
              </w:rPr>
            </w:r>
          </w:p>
        </w:tc>
        <w:tc>
          <w:tcPr>
            <w:tcW w:w="9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9"/>
              <w:jc w:val="right"/>
              <w:rPr>
                <w:rFonts w:ascii="Times New Roman" w:hAnsi="Times New Roman" w:cs="Times New Roman" w:eastAsia="Times New Roman" w:hint="default"/>
                <w:sz w:val="20"/>
                <w:szCs w:val="20"/>
              </w:rPr>
            </w:pPr>
            <w:r>
              <w:rPr>
                <w:rFonts w:ascii="Times New Roman"/>
                <w:w w:val="95"/>
                <w:sz w:val="20"/>
              </w:rPr>
              <w:t>1,137,931.08</w:t>
            </w:r>
            <w:r>
              <w:rPr>
                <w:rFonts w:ascii="Times New Roman"/>
                <w:sz w:val="20"/>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92" w:right="0"/>
              <w:jc w:val="center"/>
              <w:rPr>
                <w:rFonts w:ascii="Times New Roman" w:hAnsi="Times New Roman" w:cs="Times New Roman" w:eastAsia="Times New Roman" w:hint="default"/>
                <w:sz w:val="20"/>
                <w:szCs w:val="20"/>
              </w:rPr>
            </w:pPr>
            <w:r>
              <w:rPr>
                <w:rFonts w:ascii="Times New Roman"/>
                <w:sz w:val="20"/>
              </w:rPr>
              <w:t>3,881,394.50</w:t>
            </w:r>
          </w:p>
        </w:tc>
        <w:tc>
          <w:tcPr>
            <w:tcW w:w="99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5"/>
              <w:jc w:val="right"/>
              <w:rPr>
                <w:rFonts w:ascii="Times New Roman" w:hAnsi="Times New Roman" w:cs="Times New Roman" w:eastAsia="Times New Roman" w:hint="default"/>
                <w:sz w:val="20"/>
                <w:szCs w:val="20"/>
              </w:rPr>
            </w:pPr>
            <w:r>
              <w:rPr>
                <w:rFonts w:ascii="Times New Roman"/>
                <w:w w:val="95"/>
                <w:sz w:val="20"/>
              </w:rPr>
              <w:t>3,881,394.50</w:t>
            </w:r>
            <w:r>
              <w:rPr>
                <w:rFonts w:ascii="Times New Roman"/>
                <w:sz w:val="20"/>
              </w:rPr>
            </w:r>
          </w:p>
        </w:tc>
      </w:tr>
      <w:tr>
        <w:trPr>
          <w:trHeight w:val="554"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7"/>
                <w:sz w:val="21"/>
                <w:szCs w:val="21"/>
              </w:rPr>
              <w:t>装备科技应急装</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备生产项目</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92" w:right="0"/>
              <w:jc w:val="center"/>
              <w:rPr>
                <w:rFonts w:ascii="Times New Roman" w:hAnsi="Times New Roman" w:cs="Times New Roman" w:eastAsia="Times New Roman" w:hint="default"/>
                <w:sz w:val="20"/>
                <w:szCs w:val="20"/>
              </w:rPr>
            </w:pPr>
            <w:r>
              <w:rPr>
                <w:rFonts w:ascii="Times New Roman"/>
                <w:sz w:val="20"/>
              </w:rPr>
              <w:t>9,248,672.19</w:t>
            </w:r>
          </w:p>
        </w:tc>
        <w:tc>
          <w:tcPr>
            <w:tcW w:w="99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5"/>
              <w:jc w:val="right"/>
              <w:rPr>
                <w:rFonts w:ascii="Times New Roman" w:hAnsi="Times New Roman" w:cs="Times New Roman" w:eastAsia="Times New Roman" w:hint="default"/>
                <w:sz w:val="20"/>
                <w:szCs w:val="20"/>
              </w:rPr>
            </w:pPr>
            <w:r>
              <w:rPr>
                <w:rFonts w:ascii="Times New Roman"/>
                <w:w w:val="95"/>
                <w:sz w:val="20"/>
              </w:rPr>
              <w:t>9,248,672.19</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1673"/>
        <w:gridCol w:w="1419"/>
        <w:gridCol w:w="996"/>
        <w:gridCol w:w="1388"/>
        <w:gridCol w:w="1212"/>
        <w:gridCol w:w="996"/>
        <w:gridCol w:w="1213"/>
      </w:tblGrid>
      <w:tr>
        <w:trPr>
          <w:trHeight w:val="555"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7"/>
                <w:sz w:val="21"/>
                <w:szCs w:val="21"/>
              </w:rPr>
              <w:t>通信车喷漆废气</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治理工程</w:t>
            </w:r>
          </w:p>
        </w:tc>
        <w:tc>
          <w:tcPr>
            <w:tcW w:w="141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92" w:right="0"/>
              <w:jc w:val="center"/>
              <w:rPr>
                <w:rFonts w:ascii="Times New Roman" w:hAnsi="Times New Roman" w:cs="Times New Roman" w:eastAsia="Times New Roman" w:hint="default"/>
                <w:sz w:val="20"/>
                <w:szCs w:val="20"/>
              </w:rPr>
            </w:pPr>
            <w:r>
              <w:rPr>
                <w:rFonts w:ascii="Times New Roman"/>
                <w:sz w:val="20"/>
              </w:rPr>
              <w:t>2,080,666.67</w:t>
            </w:r>
          </w:p>
        </w:tc>
        <w:tc>
          <w:tcPr>
            <w:tcW w:w="99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5"/>
              <w:jc w:val="right"/>
              <w:rPr>
                <w:rFonts w:ascii="Times New Roman" w:hAnsi="Times New Roman" w:cs="Times New Roman" w:eastAsia="Times New Roman" w:hint="default"/>
                <w:sz w:val="20"/>
                <w:szCs w:val="20"/>
              </w:rPr>
            </w:pPr>
            <w:r>
              <w:rPr>
                <w:rFonts w:ascii="Times New Roman"/>
                <w:w w:val="95"/>
                <w:sz w:val="20"/>
              </w:rPr>
              <w:t>2,080,666.67</w:t>
            </w:r>
            <w:r>
              <w:rPr>
                <w:rFonts w:ascii="Times New Roman"/>
                <w:sz w:val="20"/>
              </w:rPr>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其他零星工程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31"/>
              <w:jc w:val="right"/>
              <w:rPr>
                <w:rFonts w:ascii="Times New Roman" w:hAnsi="Times New Roman" w:cs="Times New Roman" w:eastAsia="Times New Roman" w:hint="default"/>
                <w:sz w:val="20"/>
                <w:szCs w:val="20"/>
              </w:rPr>
            </w:pPr>
            <w:r>
              <w:rPr>
                <w:rFonts w:ascii="Times New Roman"/>
                <w:w w:val="95"/>
                <w:sz w:val="20"/>
              </w:rPr>
              <w:t>1,680,467.20</w:t>
            </w:r>
            <w:r>
              <w:rPr>
                <w:rFonts w:ascii="Times New Roman"/>
                <w:sz w:val="20"/>
              </w:rPr>
            </w:r>
          </w:p>
        </w:tc>
        <w:tc>
          <w:tcPr>
            <w:tcW w:w="9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5"/>
                <w:sz w:val="20"/>
              </w:rPr>
              <w:t>1,680,467.20</w:t>
            </w:r>
            <w:r>
              <w:rPr>
                <w:rFonts w:ascii="Times New Roman"/>
                <w:sz w:val="20"/>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2" w:right="0"/>
              <w:jc w:val="center"/>
              <w:rPr>
                <w:rFonts w:ascii="Times New Roman" w:hAnsi="Times New Roman" w:cs="Times New Roman" w:eastAsia="Times New Roman" w:hint="default"/>
                <w:sz w:val="20"/>
                <w:szCs w:val="20"/>
              </w:rPr>
            </w:pPr>
            <w:r>
              <w:rPr>
                <w:rFonts w:ascii="Times New Roman"/>
                <w:sz w:val="20"/>
              </w:rPr>
              <w:t>1,474,010.12</w:t>
            </w:r>
          </w:p>
        </w:tc>
        <w:tc>
          <w:tcPr>
            <w:tcW w:w="99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1,474,010.12</w:t>
            </w:r>
            <w:r>
              <w:rPr>
                <w:rFonts w:ascii="Times New Roman"/>
                <w:sz w:val="20"/>
              </w:rPr>
            </w:r>
          </w:p>
        </w:tc>
      </w:tr>
      <w:tr>
        <w:trPr>
          <w:trHeight w:val="322"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90"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31"/>
              <w:jc w:val="right"/>
              <w:rPr>
                <w:rFonts w:ascii="Times New Roman" w:hAnsi="Times New Roman" w:cs="Times New Roman" w:eastAsia="Times New Roman" w:hint="default"/>
                <w:sz w:val="20"/>
                <w:szCs w:val="20"/>
              </w:rPr>
            </w:pPr>
            <w:r>
              <w:rPr>
                <w:rFonts w:ascii="Times New Roman"/>
                <w:w w:val="95"/>
                <w:sz w:val="20"/>
              </w:rPr>
              <w:t>137,343,458.10</w:t>
            </w:r>
            <w:r>
              <w:rPr>
                <w:rFonts w:ascii="Times New Roman"/>
                <w:sz w:val="20"/>
              </w:rPr>
            </w:r>
          </w:p>
        </w:tc>
        <w:tc>
          <w:tcPr>
            <w:tcW w:w="9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0"/>
                <w:szCs w:val="20"/>
              </w:rPr>
            </w:pPr>
            <w:r>
              <w:rPr>
                <w:rFonts w:ascii="Times New Roman"/>
                <w:w w:val="95"/>
                <w:sz w:val="20"/>
              </w:rPr>
              <w:t>137,343,458.10</w:t>
            </w:r>
            <w:r>
              <w:rPr>
                <w:rFonts w:ascii="Times New Roman"/>
                <w:sz w:val="20"/>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0"/>
                <w:szCs w:val="20"/>
              </w:rPr>
            </w:pPr>
            <w:r>
              <w:rPr>
                <w:rFonts w:ascii="Times New Roman"/>
                <w:sz w:val="20"/>
              </w:rPr>
              <w:t>79,164,911.53</w:t>
            </w:r>
          </w:p>
        </w:tc>
        <w:tc>
          <w:tcPr>
            <w:tcW w:w="996"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5"/>
              <w:jc w:val="right"/>
              <w:rPr>
                <w:rFonts w:ascii="Times New Roman" w:hAnsi="Times New Roman" w:cs="Times New Roman" w:eastAsia="Times New Roman" w:hint="default"/>
                <w:sz w:val="20"/>
                <w:szCs w:val="20"/>
              </w:rPr>
            </w:pPr>
            <w:r>
              <w:rPr>
                <w:rFonts w:ascii="Times New Roman"/>
                <w:w w:val="95"/>
                <w:sz w:val="20"/>
              </w:rPr>
              <w:t>79,164,911.53</w:t>
            </w:r>
            <w:r>
              <w:rPr>
                <w:rFonts w:ascii="Times New Roman"/>
                <w:sz w:val="20"/>
              </w:rPr>
            </w:r>
          </w:p>
        </w:tc>
      </w:tr>
    </w:tbl>
    <w:p>
      <w:pPr>
        <w:spacing w:line="240" w:lineRule="auto" w:before="4"/>
        <w:rPr>
          <w:rFonts w:ascii="宋体" w:hAnsi="宋体" w:cs="宋体" w:eastAsia="宋体" w:hint="default"/>
          <w:sz w:val="13"/>
          <w:szCs w:val="13"/>
        </w:rPr>
      </w:pPr>
    </w:p>
    <w:p>
      <w:pPr>
        <w:pStyle w:val="Heading3"/>
        <w:spacing w:line="240" w:lineRule="auto" w:before="26"/>
        <w:ind w:left="136"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10" w:h="16840"/>
          <w:pgMar w:header="882" w:footer="1195" w:top="1120" w:bottom="1380" w:left="1140" w:right="1640"/>
        </w:sectPr>
      </w:pPr>
    </w:p>
    <w:p>
      <w:pPr>
        <w:spacing w:line="240" w:lineRule="auto" w:before="10"/>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headerReference w:type="default" r:id="rId60"/>
          <w:footerReference w:type="default" r:id="rId61"/>
          <w:pgSz w:w="16840" w:h="11910" w:orient="landscape"/>
          <w:pgMar w:header="882" w:footer="1195" w:top="1120" w:bottom="1380" w:left="1380" w:right="1220"/>
          <w:pgNumType w:start="131"/>
        </w:sectPr>
      </w:pPr>
    </w:p>
    <w:p>
      <w:pPr>
        <w:pStyle w:val="Heading5"/>
        <w:spacing w:line="240" w:lineRule="auto" w:before="36"/>
        <w:ind w:left="144" w:right="0"/>
        <w:jc w:val="left"/>
        <w:rPr>
          <w:rFonts w:ascii="宋体" w:hAnsi="宋体" w:cs="宋体" w:eastAsia="宋体" w:hint="default"/>
          <w:b w:val="0"/>
          <w:bCs w:val="0"/>
        </w:rPr>
      </w:pPr>
      <w:r>
        <w:rPr>
          <w:rFonts w:ascii="宋体" w:hAnsi="宋体" w:cs="宋体" w:eastAsia="宋体" w:hint="default"/>
        </w:rPr>
        <w:t>(2).</w:t>
      </w:r>
      <w:r>
        <w:rPr/>
        <w:t>重要在建工程项目本期变动情况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44"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7"/>
        <w:rPr>
          <w:rFonts w:ascii="宋体" w:hAnsi="宋体" w:cs="宋体" w:eastAsia="宋体" w:hint="default"/>
          <w:sz w:val="24"/>
          <w:szCs w:val="24"/>
        </w:rPr>
      </w:pPr>
    </w:p>
    <w:p>
      <w:pPr>
        <w:pStyle w:val="Heading3"/>
        <w:spacing w:line="240" w:lineRule="auto"/>
        <w:ind w:left="144"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80" w:right="1220"/>
          <w:cols w:num="2" w:equalWidth="0">
            <w:col w:w="3630" w:space="7604"/>
            <w:col w:w="3006"/>
          </w:cols>
        </w:sectPr>
      </w:pPr>
    </w:p>
    <w:p>
      <w:pPr>
        <w:spacing w:line="240" w:lineRule="auto" w:before="10"/>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040"/>
        <w:gridCol w:w="1481"/>
        <w:gridCol w:w="1270"/>
        <w:gridCol w:w="1344"/>
        <w:gridCol w:w="1238"/>
        <w:gridCol w:w="1025"/>
        <w:gridCol w:w="1375"/>
        <w:gridCol w:w="746"/>
        <w:gridCol w:w="886"/>
        <w:gridCol w:w="886"/>
        <w:gridCol w:w="871"/>
        <w:gridCol w:w="900"/>
        <w:gridCol w:w="874"/>
      </w:tblGrid>
      <w:tr>
        <w:trPr>
          <w:trHeight w:val="1373"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预算数</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367" w:right="365"/>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511" w:right="187" w:hanging="420"/>
              <w:jc w:val="left"/>
              <w:rPr>
                <w:rFonts w:ascii="宋体" w:hAnsi="宋体" w:cs="宋体" w:eastAsia="宋体" w:hint="default"/>
                <w:sz w:val="21"/>
                <w:szCs w:val="21"/>
              </w:rPr>
            </w:pPr>
            <w:r>
              <w:rPr>
                <w:rFonts w:ascii="宋体" w:hAnsi="宋体" w:cs="宋体" w:eastAsia="宋体" w:hint="default"/>
                <w:sz w:val="21"/>
                <w:szCs w:val="21"/>
              </w:rPr>
              <w:t>本期增加金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r>
              <w:rPr>
                <w:rFonts w:ascii="宋体" w:hAnsi="宋体" w:cs="宋体" w:eastAsia="宋体" w:hint="default"/>
                <w:sz w:val="21"/>
                <w:szCs w:val="21"/>
              </w:rPr>
              <w:t> </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52" w:right="17"/>
              <w:jc w:val="left"/>
              <w:rPr>
                <w:rFonts w:ascii="宋体" w:hAnsi="宋体" w:cs="宋体" w:eastAsia="宋体" w:hint="default"/>
                <w:sz w:val="21"/>
                <w:szCs w:val="21"/>
              </w:rPr>
            </w:pPr>
            <w:r>
              <w:rPr>
                <w:rFonts w:ascii="宋体" w:hAnsi="宋体" w:cs="宋体" w:eastAsia="宋体" w:hint="default"/>
                <w:sz w:val="21"/>
                <w:szCs w:val="21"/>
              </w:rPr>
              <w:t>本期转入固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定资产金额</w:t>
            </w:r>
            <w:r>
              <w:rPr>
                <w:rFonts w:ascii="宋体" w:hAnsi="宋体" w:cs="宋体" w:eastAsia="宋体" w:hint="default"/>
                <w:sz w:val="21"/>
                <w:szCs w:val="21"/>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50" w:right="17"/>
              <w:jc w:val="left"/>
              <w:rPr>
                <w:rFonts w:ascii="宋体" w:hAnsi="宋体" w:cs="宋体" w:eastAsia="宋体" w:hint="default"/>
                <w:sz w:val="21"/>
                <w:szCs w:val="21"/>
              </w:rPr>
            </w:pPr>
            <w:r>
              <w:rPr>
                <w:rFonts w:ascii="宋体" w:hAnsi="宋体" w:cs="宋体" w:eastAsia="宋体" w:hint="default"/>
                <w:sz w:val="21"/>
                <w:szCs w:val="21"/>
              </w:rPr>
              <w:t>本期其他</w:t>
            </w:r>
            <w:r>
              <w:rPr>
                <w:rFonts w:ascii="宋体" w:hAnsi="宋体" w:cs="宋体" w:eastAsia="宋体" w:hint="default"/>
                <w:w w:val="100"/>
                <w:sz w:val="21"/>
                <w:szCs w:val="21"/>
              </w:rPr>
              <w:t> </w:t>
            </w:r>
            <w:r>
              <w:rPr>
                <w:rFonts w:ascii="宋体" w:hAnsi="宋体" w:cs="宋体" w:eastAsia="宋体" w:hint="default"/>
                <w:sz w:val="21"/>
                <w:szCs w:val="21"/>
              </w:rPr>
              <w:t>减少金额</w:t>
            </w:r>
            <w:r>
              <w:rPr>
                <w:rFonts w:ascii="宋体" w:hAnsi="宋体" w:cs="宋体" w:eastAsia="宋体" w:hint="default"/>
                <w:sz w:val="21"/>
                <w:szCs w:val="21"/>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472" w:right="365"/>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工程累</w:t>
            </w:r>
          </w:p>
          <w:p>
            <w:pPr>
              <w:pStyle w:val="TableParagraph"/>
              <w:spacing w:line="237" w:lineRule="auto" w:before="2"/>
              <w:ind w:left="52" w:right="48"/>
              <w:jc w:val="center"/>
              <w:rPr>
                <w:rFonts w:ascii="宋体" w:hAnsi="宋体" w:cs="宋体" w:eastAsia="宋体" w:hint="default"/>
                <w:sz w:val="21"/>
                <w:szCs w:val="21"/>
              </w:rPr>
            </w:pPr>
            <w:r>
              <w:rPr>
                <w:rFonts w:ascii="宋体" w:hAnsi="宋体" w:cs="宋体" w:eastAsia="宋体" w:hint="default"/>
                <w:sz w:val="21"/>
                <w:szCs w:val="21"/>
              </w:rPr>
              <w:t>计投入</w:t>
            </w:r>
            <w:r>
              <w:rPr>
                <w:rFonts w:ascii="宋体" w:hAnsi="宋体" w:cs="宋体" w:eastAsia="宋体" w:hint="default"/>
                <w:w w:val="100"/>
                <w:sz w:val="21"/>
                <w:szCs w:val="21"/>
              </w:rPr>
              <w:t> </w:t>
            </w:r>
            <w:r>
              <w:rPr>
                <w:rFonts w:ascii="宋体" w:hAnsi="宋体" w:cs="宋体" w:eastAsia="宋体" w:hint="default"/>
                <w:sz w:val="21"/>
                <w:szCs w:val="21"/>
              </w:rPr>
              <w:t>占预算</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333" w:right="115" w:hanging="209"/>
              <w:jc w:val="left"/>
              <w:rPr>
                <w:rFonts w:ascii="宋体" w:hAnsi="宋体" w:cs="宋体" w:eastAsia="宋体" w:hint="default"/>
                <w:sz w:val="21"/>
                <w:szCs w:val="21"/>
              </w:rPr>
            </w:pPr>
            <w:r>
              <w:rPr>
                <w:rFonts w:ascii="宋体" w:hAnsi="宋体" w:cs="宋体" w:eastAsia="宋体" w:hint="default"/>
                <w:sz w:val="21"/>
                <w:szCs w:val="21"/>
              </w:rPr>
              <w:t>工程进</w:t>
            </w:r>
            <w:r>
              <w:rPr>
                <w:rFonts w:ascii="宋体" w:hAnsi="宋体" w:cs="宋体" w:eastAsia="宋体" w:hint="default"/>
                <w:spacing w:val="-102"/>
                <w:sz w:val="21"/>
                <w:szCs w:val="21"/>
              </w:rPr>
              <w:t> </w:t>
            </w:r>
            <w:r>
              <w:rPr>
                <w:rFonts w:ascii="宋体" w:hAnsi="宋体" w:cs="宋体" w:eastAsia="宋体" w:hint="default"/>
                <w:sz w:val="21"/>
                <w:szCs w:val="21"/>
              </w:rPr>
              <w:t>度</w:t>
            </w:r>
            <w:r>
              <w:rPr>
                <w:rFonts w:ascii="宋体" w:hAnsi="宋体" w:cs="宋体" w:eastAsia="宋体" w:hint="default"/>
                <w:sz w:val="21"/>
                <w:szCs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22" w:right="14"/>
              <w:jc w:val="both"/>
              <w:rPr>
                <w:rFonts w:ascii="宋体" w:hAnsi="宋体" w:cs="宋体" w:eastAsia="宋体" w:hint="default"/>
                <w:sz w:val="21"/>
                <w:szCs w:val="21"/>
              </w:rPr>
            </w:pPr>
            <w:r>
              <w:rPr>
                <w:rFonts w:ascii="宋体" w:hAnsi="宋体" w:cs="宋体" w:eastAsia="宋体" w:hint="default"/>
                <w:sz w:val="21"/>
                <w:szCs w:val="21"/>
              </w:rPr>
              <w:t>利息资</w:t>
            </w:r>
            <w:r>
              <w:rPr>
                <w:rFonts w:ascii="宋体" w:hAnsi="宋体" w:cs="宋体" w:eastAsia="宋体" w:hint="default"/>
                <w:spacing w:val="-102"/>
                <w:sz w:val="21"/>
                <w:szCs w:val="21"/>
              </w:rPr>
              <w:t> </w:t>
            </w:r>
            <w:r>
              <w:rPr>
                <w:rFonts w:ascii="宋体" w:hAnsi="宋体" w:cs="宋体" w:eastAsia="宋体" w:hint="default"/>
                <w:sz w:val="21"/>
                <w:szCs w:val="21"/>
              </w:rPr>
              <w:t>本化累</w:t>
            </w:r>
            <w:r>
              <w:rPr>
                <w:rFonts w:ascii="宋体" w:hAnsi="宋体" w:cs="宋体" w:eastAsia="宋体" w:hint="default"/>
                <w:spacing w:val="-102"/>
                <w:sz w:val="21"/>
                <w:szCs w:val="21"/>
              </w:rPr>
              <w:t> </w:t>
            </w:r>
            <w:r>
              <w:rPr>
                <w:rFonts w:ascii="宋体" w:hAnsi="宋体" w:cs="宋体" w:eastAsia="宋体" w:hint="default"/>
                <w:sz w:val="21"/>
                <w:szCs w:val="21"/>
              </w:rPr>
              <w:t>计金额</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8" w:right="19"/>
              <w:jc w:val="center"/>
              <w:rPr>
                <w:rFonts w:ascii="宋体" w:hAnsi="宋体" w:cs="宋体" w:eastAsia="宋体" w:hint="default"/>
                <w:sz w:val="21"/>
                <w:szCs w:val="21"/>
              </w:rPr>
            </w:pPr>
            <w:r>
              <w:rPr>
                <w:rFonts w:ascii="宋体" w:hAnsi="宋体" w:cs="宋体" w:eastAsia="宋体" w:hint="default"/>
                <w:spacing w:val="-9"/>
                <w:sz w:val="21"/>
                <w:szCs w:val="21"/>
              </w:rPr>
              <w:t>其中：本</w:t>
            </w:r>
            <w:r>
              <w:rPr>
                <w:rFonts w:ascii="宋体" w:hAnsi="宋体" w:cs="宋体" w:eastAsia="宋体" w:hint="default"/>
                <w:w w:val="100"/>
                <w:sz w:val="21"/>
                <w:szCs w:val="21"/>
              </w:rPr>
              <w:t> </w:t>
            </w:r>
            <w:r>
              <w:rPr>
                <w:rFonts w:ascii="宋体" w:hAnsi="宋体" w:cs="宋体" w:eastAsia="宋体" w:hint="default"/>
                <w:sz w:val="21"/>
                <w:szCs w:val="21"/>
              </w:rPr>
              <w:t>期利息</w:t>
            </w:r>
            <w:r>
              <w:rPr>
                <w:rFonts w:ascii="宋体" w:hAnsi="宋体" w:cs="宋体" w:eastAsia="宋体" w:hint="default"/>
                <w:w w:val="100"/>
                <w:sz w:val="21"/>
                <w:szCs w:val="21"/>
              </w:rPr>
              <w:t> </w:t>
            </w:r>
            <w:r>
              <w:rPr>
                <w:rFonts w:ascii="宋体" w:hAnsi="宋体" w:cs="宋体" w:eastAsia="宋体" w:hint="default"/>
                <w:sz w:val="21"/>
                <w:szCs w:val="21"/>
              </w:rPr>
              <w:t>资本化</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79" w:right="-29" w:firstLine="50"/>
              <w:jc w:val="left"/>
              <w:rPr>
                <w:rFonts w:ascii="宋体" w:hAnsi="宋体" w:cs="宋体" w:eastAsia="宋体" w:hint="default"/>
                <w:sz w:val="21"/>
                <w:szCs w:val="21"/>
              </w:rPr>
            </w:pPr>
            <w:r>
              <w:rPr>
                <w:rFonts w:ascii="宋体" w:hAnsi="宋体" w:cs="宋体" w:eastAsia="宋体" w:hint="default"/>
                <w:sz w:val="21"/>
                <w:szCs w:val="21"/>
              </w:rPr>
              <w:t>本期利</w:t>
            </w:r>
            <w:r>
              <w:rPr>
                <w:rFonts w:ascii="宋体" w:hAnsi="宋体" w:cs="宋体" w:eastAsia="宋体" w:hint="default"/>
                <w:w w:val="100"/>
                <w:sz w:val="21"/>
                <w:szCs w:val="21"/>
              </w:rPr>
              <w:t> </w:t>
            </w:r>
            <w:r>
              <w:rPr>
                <w:rFonts w:ascii="宋体" w:hAnsi="宋体" w:cs="宋体" w:eastAsia="宋体" w:hint="default"/>
                <w:sz w:val="21"/>
                <w:szCs w:val="21"/>
              </w:rPr>
              <w:t>息资本</w:t>
            </w:r>
            <w:r>
              <w:rPr>
                <w:rFonts w:ascii="宋体" w:hAnsi="宋体" w:cs="宋体" w:eastAsia="宋体" w:hint="default"/>
                <w:spacing w:val="-102"/>
                <w:sz w:val="21"/>
                <w:szCs w:val="21"/>
              </w:rPr>
              <w:t> </w:t>
            </w:r>
            <w:r>
              <w:rPr>
                <w:rFonts w:ascii="宋体" w:hAnsi="宋体" w:cs="宋体" w:eastAsia="宋体" w:hint="default"/>
                <w:sz w:val="21"/>
                <w:szCs w:val="21"/>
              </w:rPr>
              <w:t>化率</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328" w:right="110" w:hanging="212"/>
              <w:jc w:val="left"/>
              <w:rPr>
                <w:rFonts w:ascii="宋体" w:hAnsi="宋体" w:cs="宋体" w:eastAsia="宋体" w:hint="default"/>
                <w:sz w:val="21"/>
                <w:szCs w:val="21"/>
              </w:rPr>
            </w:pPr>
            <w:r>
              <w:rPr>
                <w:rFonts w:ascii="宋体" w:hAnsi="宋体" w:cs="宋体" w:eastAsia="宋体" w:hint="default"/>
                <w:sz w:val="21"/>
                <w:szCs w:val="21"/>
              </w:rPr>
              <w:t>资金来</w:t>
            </w:r>
            <w:r>
              <w:rPr>
                <w:rFonts w:ascii="宋体" w:hAnsi="宋体" w:cs="宋体" w:eastAsia="宋体" w:hint="default"/>
                <w:spacing w:val="-102"/>
                <w:sz w:val="21"/>
                <w:szCs w:val="21"/>
              </w:rPr>
              <w:t> </w:t>
            </w:r>
            <w:r>
              <w:rPr>
                <w:rFonts w:ascii="宋体" w:hAnsi="宋体" w:cs="宋体" w:eastAsia="宋体" w:hint="default"/>
                <w:sz w:val="21"/>
                <w:szCs w:val="21"/>
              </w:rPr>
              <w:t>源</w:t>
            </w:r>
            <w:r>
              <w:rPr>
                <w:rFonts w:ascii="宋体" w:hAnsi="宋体" w:cs="宋体" w:eastAsia="宋体" w:hint="default"/>
                <w:sz w:val="21"/>
                <w:szCs w:val="21"/>
              </w:rPr>
              <w:t> </w:t>
            </w:r>
          </w:p>
        </w:tc>
      </w:tr>
      <w:tr>
        <w:trPr>
          <w:trHeight w:val="826"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嘉兴装备</w:t>
            </w:r>
          </w:p>
          <w:p>
            <w:pPr>
              <w:pStyle w:val="TableParagraph"/>
              <w:spacing w:line="272" w:lineRule="exact" w:before="27"/>
              <w:ind w:left="26" w:right="161"/>
              <w:jc w:val="left"/>
              <w:rPr>
                <w:rFonts w:ascii="宋体" w:hAnsi="宋体" w:cs="宋体" w:eastAsia="宋体" w:hint="default"/>
                <w:sz w:val="21"/>
                <w:szCs w:val="21"/>
              </w:rPr>
            </w:pPr>
            <w:r>
              <w:rPr>
                <w:rFonts w:ascii="宋体" w:hAnsi="宋体" w:cs="宋体" w:eastAsia="宋体" w:hint="default"/>
                <w:sz w:val="21"/>
                <w:szCs w:val="21"/>
              </w:rPr>
              <w:t>科技产业</w:t>
            </w:r>
            <w:r>
              <w:rPr>
                <w:rFonts w:ascii="宋体" w:hAnsi="宋体" w:cs="宋体" w:eastAsia="宋体" w:hint="default"/>
                <w:spacing w:val="-3"/>
                <w:w w:val="100"/>
                <w:sz w:val="21"/>
                <w:szCs w:val="21"/>
              </w:rPr>
              <w:t> </w:t>
            </w:r>
            <w:r>
              <w:rPr>
                <w:rFonts w:ascii="宋体" w:hAnsi="宋体" w:cs="宋体" w:eastAsia="宋体" w:hint="default"/>
                <w:sz w:val="21"/>
                <w:szCs w:val="21"/>
              </w:rPr>
              <w:t>园</w:t>
            </w:r>
            <w:r>
              <w:rPr>
                <w:rFonts w:ascii="宋体" w:hAnsi="宋体" w:cs="宋体" w:eastAsia="宋体" w:hint="default"/>
                <w:sz w:val="21"/>
                <w:szCs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25"/>
              <w:jc w:val="right"/>
              <w:rPr>
                <w:rFonts w:ascii="Times New Roman" w:hAnsi="Times New Roman" w:cs="Times New Roman" w:eastAsia="Times New Roman" w:hint="default"/>
                <w:sz w:val="21"/>
                <w:szCs w:val="21"/>
              </w:rPr>
            </w:pPr>
            <w:r>
              <w:rPr>
                <w:rFonts w:ascii="Times New Roman"/>
                <w:spacing w:val="-1"/>
                <w:sz w:val="21"/>
              </w:rPr>
              <w:t>150,000,000.00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48,948,310.25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84,493,998.27</w:t>
            </w:r>
          </w:p>
        </w:tc>
        <w:tc>
          <w:tcPr>
            <w:tcW w:w="123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133,442,308.52</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4" w:right="0"/>
              <w:jc w:val="left"/>
              <w:rPr>
                <w:rFonts w:ascii="Times New Roman" w:hAnsi="Times New Roman" w:cs="Times New Roman" w:eastAsia="Times New Roman" w:hint="default"/>
                <w:sz w:val="21"/>
                <w:szCs w:val="21"/>
              </w:rPr>
            </w:pPr>
            <w:r>
              <w:rPr>
                <w:rFonts w:ascii="Times New Roman"/>
                <w:sz w:val="21"/>
              </w:rPr>
              <w:t>88.96%</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8" w:right="0"/>
              <w:jc w:val="left"/>
              <w:rPr>
                <w:rFonts w:ascii="Times New Roman" w:hAnsi="Times New Roman" w:cs="Times New Roman" w:eastAsia="Times New Roman" w:hint="default"/>
                <w:sz w:val="21"/>
                <w:szCs w:val="21"/>
              </w:rPr>
            </w:pPr>
            <w:r>
              <w:rPr>
                <w:rFonts w:ascii="Times New Roman"/>
                <w:sz w:val="21"/>
              </w:rPr>
              <w:t>90%</w:t>
            </w: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智能制造</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技改项目</w:t>
            </w:r>
            <w:r>
              <w:rPr>
                <w:rFonts w:ascii="宋体" w:hAnsi="宋体" w:cs="宋体" w:eastAsia="宋体" w:hint="default"/>
                <w:sz w:val="21"/>
                <w:szCs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25"/>
              <w:jc w:val="right"/>
              <w:rPr>
                <w:rFonts w:ascii="Times New Roman" w:hAnsi="Times New Roman" w:cs="Times New Roman" w:eastAsia="Times New Roman" w:hint="default"/>
                <w:sz w:val="21"/>
                <w:szCs w:val="21"/>
              </w:rPr>
            </w:pPr>
            <w:r>
              <w:rPr>
                <w:rFonts w:ascii="Times New Roman"/>
                <w:spacing w:val="-1"/>
                <w:sz w:val="21"/>
              </w:rPr>
              <w:t>28,270,000.00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pacing w:val="-1"/>
                <w:sz w:val="21"/>
              </w:rPr>
              <w:t>3,881,394.50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3"/>
              <w:jc w:val="right"/>
              <w:rPr>
                <w:rFonts w:ascii="Times New Roman" w:hAnsi="Times New Roman" w:cs="Times New Roman" w:eastAsia="Times New Roman" w:hint="default"/>
                <w:sz w:val="21"/>
                <w:szCs w:val="21"/>
              </w:rPr>
            </w:pPr>
            <w:r>
              <w:rPr>
                <w:rFonts w:ascii="Times New Roman"/>
                <w:spacing w:val="-1"/>
                <w:sz w:val="21"/>
              </w:rPr>
              <w:t>7,160,540.90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8" w:right="0"/>
              <w:jc w:val="left"/>
              <w:rPr>
                <w:rFonts w:ascii="Times New Roman" w:hAnsi="Times New Roman" w:cs="Times New Roman" w:eastAsia="Times New Roman" w:hint="default"/>
                <w:sz w:val="21"/>
                <w:szCs w:val="21"/>
              </w:rPr>
            </w:pPr>
            <w:r>
              <w:rPr>
                <w:rFonts w:ascii="Times New Roman"/>
                <w:sz w:val="21"/>
              </w:rPr>
              <w:t>9,904,004.32</w:t>
            </w:r>
          </w:p>
        </w:tc>
        <w:tc>
          <w:tcPr>
            <w:tcW w:w="102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1,137,931.08</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64" w:right="0"/>
              <w:jc w:val="left"/>
              <w:rPr>
                <w:rFonts w:ascii="Times New Roman" w:hAnsi="Times New Roman" w:cs="Times New Roman" w:eastAsia="Times New Roman" w:hint="default"/>
                <w:sz w:val="21"/>
                <w:szCs w:val="21"/>
              </w:rPr>
            </w:pPr>
            <w:r>
              <w:rPr>
                <w:rFonts w:ascii="Times New Roman"/>
                <w:sz w:val="21"/>
              </w:rPr>
              <w:t>77.82%</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8" w:right="0"/>
              <w:jc w:val="left"/>
              <w:rPr>
                <w:rFonts w:ascii="Times New Roman" w:hAnsi="Times New Roman" w:cs="Times New Roman" w:eastAsia="Times New Roman" w:hint="default"/>
                <w:sz w:val="21"/>
                <w:szCs w:val="21"/>
              </w:rPr>
            </w:pPr>
            <w:r>
              <w:rPr>
                <w:rFonts w:ascii="Times New Roman"/>
                <w:sz w:val="21"/>
              </w:rPr>
              <w:t>100%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5"/>
              <w:jc w:val="right"/>
              <w:rPr>
                <w:rFonts w:ascii="Times New Roman" w:hAnsi="Times New Roman" w:cs="Times New Roman" w:eastAsia="Times New Roman" w:hint="default"/>
                <w:sz w:val="21"/>
                <w:szCs w:val="21"/>
              </w:rPr>
            </w:pPr>
            <w:r>
              <w:rPr>
                <w:rFonts w:ascii="Times New Roman"/>
                <w:spacing w:val="-1"/>
                <w:sz w:val="21"/>
              </w:rPr>
              <w:t>178,270,000.00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52,829,704.75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3"/>
              <w:jc w:val="right"/>
              <w:rPr>
                <w:rFonts w:ascii="Times New Roman" w:hAnsi="Times New Roman" w:cs="Times New Roman" w:eastAsia="Times New Roman" w:hint="default"/>
                <w:sz w:val="21"/>
                <w:szCs w:val="21"/>
              </w:rPr>
            </w:pPr>
            <w:r>
              <w:rPr>
                <w:rFonts w:ascii="Times New Roman"/>
                <w:spacing w:val="-1"/>
                <w:sz w:val="21"/>
              </w:rPr>
              <w:t>91,654,539.17</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 w:right="0"/>
              <w:jc w:val="left"/>
              <w:rPr>
                <w:rFonts w:ascii="Times New Roman" w:hAnsi="Times New Roman" w:cs="Times New Roman" w:eastAsia="Times New Roman" w:hint="default"/>
                <w:sz w:val="21"/>
                <w:szCs w:val="21"/>
              </w:rPr>
            </w:pPr>
            <w:r>
              <w:rPr>
                <w:rFonts w:ascii="Times New Roman"/>
                <w:sz w:val="21"/>
              </w:rPr>
              <w:t>9,904,004.32</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7"/>
              <w:jc w:val="right"/>
              <w:rPr>
                <w:rFonts w:ascii="Times New Roman" w:hAnsi="Times New Roman" w:cs="Times New Roman" w:eastAsia="Times New Roman" w:hint="default"/>
                <w:sz w:val="21"/>
                <w:szCs w:val="21"/>
              </w:rPr>
            </w:pPr>
            <w:r>
              <w:rPr>
                <w:rFonts w:ascii="Times New Roman"/>
                <w:w w:val="100"/>
                <w:sz w:val="21"/>
              </w:rPr>
              <w:t>-</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21"/>
                <w:szCs w:val="21"/>
              </w:rPr>
            </w:pPr>
            <w:r>
              <w:rPr>
                <w:rFonts w:ascii="Times New Roman"/>
                <w:spacing w:val="-1"/>
                <w:sz w:val="21"/>
              </w:rPr>
              <w:t>134,580,239.60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2"/>
              <w:jc w:val="center"/>
              <w:rPr>
                <w:rFonts w:ascii="Times New Roman" w:hAnsi="Times New Roman" w:cs="Times New Roman" w:eastAsia="Times New Roman" w:hint="default"/>
                <w:sz w:val="21"/>
                <w:szCs w:val="21"/>
              </w:rPr>
            </w:pPr>
            <w:r>
              <w:rPr>
                <w:rFonts w:ascii="Times New Roman"/>
                <w:w w:val="100"/>
                <w:sz w:val="21"/>
              </w:rPr>
              <w: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7"/>
              <w:jc w:val="center"/>
              <w:rPr>
                <w:rFonts w:ascii="Times New Roman" w:hAnsi="Times New Roman" w:cs="Times New Roman" w:eastAsia="Times New Roman" w:hint="default"/>
                <w:sz w:val="21"/>
                <w:szCs w:val="21"/>
              </w:rPr>
            </w:pPr>
            <w:r>
              <w:rPr>
                <w:rFonts w:ascii="Times New Roman"/>
                <w:w w:val="100"/>
                <w:sz w:val="21"/>
              </w:rPr>
              <w:t>/</w:t>
            </w: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2"/>
              <w:jc w:val="center"/>
              <w:rPr>
                <w:rFonts w:ascii="Times New Roman" w:hAnsi="Times New Roman" w:cs="Times New Roman" w:eastAsia="Times New Roman" w:hint="default"/>
                <w:sz w:val="21"/>
                <w:szCs w:val="21"/>
              </w:rPr>
            </w:pPr>
            <w:r>
              <w:rPr>
                <w:rFonts w:ascii="Times New Roman"/>
                <w:w w:val="100"/>
                <w:sz w:val="21"/>
              </w:rPr>
              <w:t>/</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4"/>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10"/>
        <w:rPr>
          <w:rFonts w:ascii="宋体" w:hAnsi="宋体" w:cs="宋体" w:eastAsia="宋体" w:hint="default"/>
          <w:sz w:val="17"/>
          <w:szCs w:val="17"/>
        </w:rPr>
      </w:pPr>
    </w:p>
    <w:p>
      <w:pPr>
        <w:pStyle w:val="Heading5"/>
        <w:spacing w:line="240" w:lineRule="auto" w:before="36"/>
        <w:ind w:left="144" w:right="0"/>
        <w:jc w:val="left"/>
        <w:rPr>
          <w:rFonts w:ascii="宋体" w:hAnsi="宋体" w:cs="宋体" w:eastAsia="宋体" w:hint="default"/>
          <w:b w:val="0"/>
          <w:bCs w:val="0"/>
        </w:rPr>
      </w:pPr>
      <w:r>
        <w:rPr>
          <w:rFonts w:ascii="宋体" w:hAnsi="宋体" w:cs="宋体" w:eastAsia="宋体" w:hint="default"/>
        </w:rPr>
        <w:t>(3).</w:t>
      </w:r>
      <w:r>
        <w:rPr/>
        <w:t>本期计提在建工程减值准备情况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144" w:right="1158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t>其他说明</w:t>
      </w:r>
      <w:r>
        <w:rPr>
          <w:rFonts w:ascii="宋体" w:hAnsi="宋体" w:cs="宋体" w:eastAsia="宋体" w:hint="default"/>
        </w:rPr>
        <w:t> </w:t>
      </w:r>
    </w:p>
    <w:p>
      <w:pPr>
        <w:pStyle w:val="Heading3"/>
        <w:spacing w:line="311" w:lineRule="exact"/>
        <w:ind w:left="14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rFonts w:ascii="宋体" w:hAnsi="宋体" w:cs="宋体" w:eastAsia="宋体" w:hint="default"/>
          <w:color w:val="FF0000"/>
        </w:rPr>
        <w:t> </w:t>
      </w:r>
      <w:r>
        <w:rPr>
          <w:rFonts w:ascii="宋体" w:hAnsi="宋体" w:cs="宋体" w:eastAsia="宋体" w:hint="default"/>
        </w:rPr>
      </w:r>
    </w:p>
    <w:p>
      <w:pPr>
        <w:pStyle w:val="Heading3"/>
        <w:spacing w:line="313" w:lineRule="exact"/>
        <w:ind w:left="144" w:right="0"/>
        <w:jc w:val="left"/>
        <w:rPr>
          <w:rFonts w:ascii="宋体" w:hAnsi="宋体" w:cs="宋体" w:eastAsia="宋体" w:hint="default"/>
        </w:rPr>
      </w:pPr>
      <w:r>
        <w:rPr>
          <w:rFonts w:ascii="宋体"/>
        </w:rPr>
        <w:t> </w:t>
      </w:r>
    </w:p>
    <w:p>
      <w:pPr>
        <w:pStyle w:val="Heading5"/>
        <w:spacing w:line="290" w:lineRule="auto" w:before="61"/>
        <w:ind w:left="144" w:right="11582"/>
        <w:jc w:val="left"/>
        <w:rPr>
          <w:rFonts w:ascii="宋体" w:hAnsi="宋体" w:cs="宋体" w:eastAsia="宋体" w:hint="default"/>
          <w:b w:val="0"/>
          <w:bCs w:val="0"/>
        </w:rPr>
      </w:pPr>
      <w:r>
        <w:rPr/>
        <w:t>工程物资</w:t>
      </w:r>
      <w:r>
        <w:rPr>
          <w:rFonts w:ascii="宋体" w:hAnsi="宋体" w:cs="宋体" w:eastAsia="宋体" w:hint="default"/>
          <w:w w:val="99"/>
        </w:rPr>
        <w:t> </w:t>
      </w:r>
      <w:r>
        <w:rPr>
          <w:rFonts w:ascii="宋体" w:hAnsi="宋体" w:cs="宋体" w:eastAsia="宋体" w:hint="default"/>
        </w:rPr>
        <w:t>(4).</w:t>
      </w:r>
      <w:r>
        <w:rPr/>
        <w:t>工程物资情况</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6"/>
        <w:ind w:left="14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144" w:right="0"/>
        <w:jc w:val="left"/>
        <w:rPr>
          <w:rFonts w:ascii="宋体" w:hAnsi="宋体" w:cs="宋体" w:eastAsia="宋体" w:hint="default"/>
        </w:rPr>
      </w:pPr>
      <w:r>
        <w:rPr>
          <w:rFonts w:ascii="宋体"/>
        </w:rPr>
        <w:t> </w:t>
      </w:r>
    </w:p>
    <w:p>
      <w:pPr>
        <w:pStyle w:val="Heading5"/>
        <w:spacing w:line="290" w:lineRule="auto"/>
        <w:ind w:left="144" w:right="8337"/>
        <w:jc w:val="left"/>
        <w:rPr>
          <w:rFonts w:ascii="宋体" w:hAnsi="宋体" w:cs="宋体" w:eastAsia="宋体" w:hint="default"/>
          <w:b w:val="0"/>
          <w:bCs w:val="0"/>
        </w:rPr>
      </w:pPr>
      <w:r>
        <w:rPr>
          <w:rFonts w:ascii="宋体" w:hAnsi="宋体" w:cs="宋体" w:eastAsia="宋体" w:hint="default"/>
        </w:rPr>
        <w:t>22</w:t>
      </w:r>
      <w:r>
        <w:rPr/>
        <w:t>、</w:t>
      </w:r>
      <w:r>
        <w:rPr>
          <w:spacing w:val="-24"/>
        </w:rPr>
        <w:t> </w:t>
      </w:r>
      <w:r>
        <w:rPr/>
        <w:t>生产性生物资产</w:t>
      </w:r>
      <w:r>
        <w:rPr>
          <w:rFonts w:ascii="宋体" w:hAnsi="宋体" w:cs="宋体" w:eastAsia="宋体" w:hint="default"/>
          <w:w w:val="99"/>
        </w:rPr>
        <w:t> </w:t>
      </w:r>
      <w:r>
        <w:rPr>
          <w:rFonts w:ascii="宋体" w:hAnsi="宋体" w:cs="宋体" w:eastAsia="宋体" w:hint="default"/>
        </w:rPr>
        <w:t>(1).</w:t>
      </w:r>
      <w:r>
        <w:rPr/>
        <w:t>采用成本计量模式的生产性生物资产</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left="14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80" w:right="1220"/>
        </w:sectPr>
      </w:pPr>
    </w:p>
    <w:p>
      <w:pPr>
        <w:pStyle w:val="Heading5"/>
        <w:spacing w:line="240" w:lineRule="auto" w:before="117"/>
        <w:ind w:left="224" w:right="0"/>
        <w:jc w:val="left"/>
        <w:rPr>
          <w:rFonts w:ascii="宋体" w:hAnsi="宋体" w:cs="宋体" w:eastAsia="宋体" w:hint="default"/>
          <w:b w:val="0"/>
          <w:bCs w:val="0"/>
        </w:rPr>
      </w:pPr>
      <w:r>
        <w:rPr>
          <w:rFonts w:ascii="宋体" w:hAnsi="宋体" w:cs="宋体" w:eastAsia="宋体" w:hint="default"/>
        </w:rPr>
        <w:t>(2).</w:t>
      </w:r>
      <w:r>
        <w:rPr/>
        <w:t>采用公允价值计量模式的生产性生物资产</w:t>
      </w:r>
      <w:r>
        <w:rPr>
          <w:rFonts w:ascii="宋体" w:hAnsi="宋体" w:cs="宋体" w:eastAsia="宋体" w:hint="default"/>
          <w:w w:val="99"/>
        </w:rPr>
        <w:t> </w:t>
      </w:r>
      <w:r>
        <w:rPr>
          <w:rFonts w:ascii="宋体" w:hAnsi="宋体" w:cs="宋体" w:eastAsia="宋体" w:hint="default"/>
          <w:b w:val="0"/>
          <w:bCs w:val="0"/>
        </w:rPr>
      </w:r>
    </w:p>
    <w:p>
      <w:pPr>
        <w:pStyle w:val="Heading3"/>
        <w:spacing w:line="312" w:lineRule="exact" w:before="81"/>
        <w:ind w:left="224" w:right="158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t>其他说明</w:t>
      </w:r>
      <w:r>
        <w:rPr>
          <w:rFonts w:ascii="宋体" w:hAnsi="宋体" w:cs="宋体" w:eastAsia="宋体" w:hint="default"/>
        </w:rPr>
        <w:t> </w:t>
      </w:r>
    </w:p>
    <w:p>
      <w:pPr>
        <w:pStyle w:val="Heading3"/>
        <w:spacing w:line="281" w:lineRule="exact"/>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left="224" w:right="0"/>
        <w:jc w:val="left"/>
        <w:rPr>
          <w:rFonts w:ascii="宋体" w:hAnsi="宋体" w:cs="宋体" w:eastAsia="宋体" w:hint="default"/>
        </w:rPr>
      </w:pPr>
      <w:r>
        <w:rPr>
          <w:rFonts w:ascii="宋体"/>
        </w:rPr>
        <w:t> </w:t>
      </w:r>
    </w:p>
    <w:p>
      <w:pPr>
        <w:pStyle w:val="Heading5"/>
        <w:spacing w:line="240" w:lineRule="auto"/>
        <w:ind w:left="224" w:right="0"/>
        <w:jc w:val="left"/>
        <w:rPr>
          <w:rFonts w:ascii="宋体" w:hAnsi="宋体" w:cs="宋体" w:eastAsia="宋体" w:hint="default"/>
          <w:b w:val="0"/>
          <w:bCs w:val="0"/>
        </w:rPr>
      </w:pPr>
      <w:r>
        <w:rPr>
          <w:rFonts w:ascii="宋体" w:hAnsi="宋体" w:cs="宋体" w:eastAsia="宋体" w:hint="default"/>
        </w:rPr>
        <w:t>23</w:t>
      </w:r>
      <w:r>
        <w:rPr/>
        <w:t>、</w:t>
      </w:r>
      <w:r>
        <w:rPr>
          <w:spacing w:val="-26"/>
        </w:rPr>
        <w:t> </w:t>
      </w:r>
      <w:r>
        <w:rPr/>
        <w:t>油气资产</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224" w:right="0"/>
        <w:jc w:val="left"/>
        <w:rPr>
          <w:rFonts w:ascii="宋体" w:hAnsi="宋体" w:cs="宋体" w:eastAsia="宋体" w:hint="default"/>
        </w:rPr>
      </w:pPr>
      <w:r>
        <w:rPr>
          <w:rFonts w:ascii="宋体"/>
        </w:rPr>
        <w:t> </w:t>
      </w:r>
    </w:p>
    <w:p>
      <w:pPr>
        <w:pStyle w:val="Heading5"/>
        <w:spacing w:line="240" w:lineRule="auto"/>
        <w:ind w:left="224" w:right="0"/>
        <w:jc w:val="left"/>
        <w:rPr>
          <w:b w:val="0"/>
          <w:bCs w:val="0"/>
        </w:rPr>
      </w:pPr>
      <w:r>
        <w:rPr>
          <w:rFonts w:ascii="宋体" w:hAnsi="宋体" w:cs="宋体" w:eastAsia="宋体" w:hint="default"/>
        </w:rPr>
        <w:t>24</w:t>
      </w:r>
      <w:r>
        <w:rPr/>
        <w:t>、</w:t>
      </w:r>
      <w:r>
        <w:rPr>
          <w:spacing w:val="-23"/>
        </w:rPr>
        <w:t> </w:t>
      </w:r>
      <w:r>
        <w:rPr/>
        <w:t>使用权资产</w:t>
      </w:r>
      <w:r>
        <w:rPr>
          <w:b w:val="0"/>
          <w:bCs w:val="0"/>
        </w:rPr>
      </w:r>
    </w:p>
    <w:p>
      <w:pPr>
        <w:pStyle w:val="Heading3"/>
        <w:spacing w:line="313" w:lineRule="exact" w:before="50"/>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224" w:right="0"/>
        <w:jc w:val="left"/>
        <w:rPr>
          <w:rFonts w:ascii="宋体" w:hAnsi="宋体" w:cs="宋体" w:eastAsia="宋体" w:hint="default"/>
        </w:rPr>
      </w:pPr>
      <w:r>
        <w:rPr>
          <w:rFonts w:ascii="宋体"/>
        </w:rPr>
        <w:t> </w:t>
      </w:r>
    </w:p>
    <w:p>
      <w:pPr>
        <w:pStyle w:val="Heading5"/>
        <w:spacing w:line="290" w:lineRule="auto"/>
        <w:ind w:left="224" w:right="1589"/>
        <w:jc w:val="left"/>
        <w:rPr>
          <w:rFonts w:ascii="宋体" w:hAnsi="宋体" w:cs="宋体" w:eastAsia="宋体" w:hint="default"/>
          <w:b w:val="0"/>
          <w:bCs w:val="0"/>
        </w:rPr>
      </w:pPr>
      <w:r>
        <w:rPr>
          <w:rFonts w:ascii="宋体" w:hAnsi="宋体" w:cs="宋体" w:eastAsia="宋体" w:hint="default"/>
        </w:rPr>
        <w:t>25</w:t>
      </w:r>
      <w:r>
        <w:rPr/>
        <w:t>、</w:t>
      </w:r>
      <w:r>
        <w:rPr>
          <w:spacing w:val="-25"/>
        </w:rPr>
        <w:t> </w:t>
      </w:r>
      <w:r>
        <w:rPr/>
        <w:t>无形资产</w:t>
      </w:r>
      <w:r>
        <w:rPr>
          <w:rFonts w:ascii="宋体" w:hAnsi="宋体" w:cs="宋体" w:eastAsia="宋体" w:hint="default"/>
          <w:w w:val="99"/>
        </w:rPr>
        <w:t> </w:t>
      </w:r>
      <w:r>
        <w:rPr>
          <w:rFonts w:ascii="宋体" w:hAnsi="宋体" w:cs="宋体" w:eastAsia="宋体" w:hint="default"/>
        </w:rPr>
        <w:t>(1).</w:t>
      </w:r>
      <w:r>
        <w:rPr/>
        <w:t>无形资产情况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left="224"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BodyText"/>
        <w:spacing w:line="240" w:lineRule="auto"/>
        <w:ind w:left="224"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pgSz w:w="16840" w:h="11910" w:orient="landscape"/>
          <w:pgMar w:header="882" w:footer="1195" w:top="1120" w:bottom="1380" w:left="1300" w:right="1220"/>
          <w:cols w:num="2" w:equalWidth="0">
            <w:col w:w="4553" w:space="7010"/>
            <w:col w:w="2757"/>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528"/>
        <w:gridCol w:w="1714"/>
        <w:gridCol w:w="1409"/>
        <w:gridCol w:w="1495"/>
        <w:gridCol w:w="1712"/>
        <w:gridCol w:w="1608"/>
        <w:gridCol w:w="1712"/>
        <w:gridCol w:w="1913"/>
      </w:tblGrid>
      <w:tr>
        <w:trPr>
          <w:trHeight w:val="555"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26"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84" w:right="0"/>
              <w:jc w:val="left"/>
              <w:rPr>
                <w:rFonts w:ascii="宋体" w:hAnsi="宋体" w:cs="宋体" w:eastAsia="宋体" w:hint="default"/>
                <w:sz w:val="21"/>
                <w:szCs w:val="21"/>
              </w:rPr>
            </w:pPr>
            <w:r>
              <w:rPr>
                <w:rFonts w:ascii="宋体" w:hAnsi="宋体" w:cs="宋体" w:eastAsia="宋体" w:hint="default"/>
                <w:sz w:val="21"/>
                <w:szCs w:val="21"/>
              </w:rPr>
              <w:t>专利权</w:t>
            </w:r>
            <w:r>
              <w:rPr>
                <w:rFonts w:ascii="宋体" w:hAnsi="宋体" w:cs="宋体" w:eastAsia="宋体" w:hint="default"/>
                <w:sz w:val="21"/>
                <w:szCs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8" w:right="0"/>
              <w:jc w:val="left"/>
              <w:rPr>
                <w:rFonts w:ascii="宋体" w:hAnsi="宋体" w:cs="宋体" w:eastAsia="宋体" w:hint="default"/>
                <w:sz w:val="21"/>
                <w:szCs w:val="21"/>
              </w:rPr>
            </w:pPr>
            <w:r>
              <w:rPr>
                <w:rFonts w:ascii="宋体" w:hAnsi="宋体" w:cs="宋体" w:eastAsia="宋体" w:hint="default"/>
                <w:sz w:val="21"/>
                <w:szCs w:val="21"/>
              </w:rPr>
              <w:t>非专利技术</w:t>
            </w:r>
            <w:r>
              <w:rPr>
                <w:rFonts w:ascii="宋体" w:hAnsi="宋体" w:cs="宋体" w:eastAsia="宋体" w:hint="default"/>
                <w:sz w:val="21"/>
                <w:szCs w:val="21"/>
              </w:rPr>
              <w:t> </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专利权和非专利</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技术</w:t>
            </w:r>
            <w:r>
              <w:rPr>
                <w:rFonts w:ascii="宋体" w:hAnsi="宋体" w:cs="宋体" w:eastAsia="宋体" w:hint="default"/>
                <w:sz w:val="21"/>
                <w:szCs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79" w:right="0"/>
              <w:jc w:val="left"/>
              <w:rPr>
                <w:rFonts w:ascii="宋体" w:hAnsi="宋体" w:cs="宋体" w:eastAsia="宋体" w:hint="default"/>
                <w:sz w:val="21"/>
                <w:szCs w:val="21"/>
              </w:rPr>
            </w:pPr>
            <w:r>
              <w:rPr>
                <w:rFonts w:ascii="宋体" w:hAnsi="宋体" w:cs="宋体" w:eastAsia="宋体" w:hint="default"/>
                <w:sz w:val="21"/>
                <w:szCs w:val="21"/>
              </w:rPr>
              <w:t>专用软件</w:t>
            </w:r>
            <w:r>
              <w:rPr>
                <w:rFonts w:ascii="宋体" w:hAnsi="宋体" w:cs="宋体" w:eastAsia="宋体" w:hint="default"/>
                <w:sz w:val="21"/>
                <w:szCs w:val="21"/>
              </w:rPr>
              <w:t> </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35" w:right="0"/>
              <w:jc w:val="left"/>
              <w:rPr>
                <w:rFonts w:ascii="宋体" w:hAnsi="宋体" w:cs="宋体" w:eastAsia="宋体" w:hint="default"/>
                <w:sz w:val="21"/>
                <w:szCs w:val="21"/>
              </w:rPr>
            </w:pPr>
            <w:r>
              <w:rPr>
                <w:rFonts w:ascii="宋体" w:hAnsi="宋体" w:cs="宋体" w:eastAsia="宋体" w:hint="default"/>
                <w:sz w:val="21"/>
                <w:szCs w:val="21"/>
              </w:rPr>
              <w:t>著作权</w:t>
            </w:r>
            <w:r>
              <w:rPr>
                <w:rFonts w:ascii="宋体" w:hAnsi="宋体" w:cs="宋体" w:eastAsia="宋体" w:hint="default"/>
                <w:sz w:val="21"/>
                <w:szCs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44"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133,081,450.58</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277,051,033.08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57,193,189.74</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156,619,562.09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623,945,235.49</w:t>
            </w:r>
          </w:p>
        </w:tc>
      </w:tr>
      <w:tr>
        <w:trPr>
          <w:trHeight w:val="348"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53,402,599.83</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13,541,868.99</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4,893,789.61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71,838,258.43</w:t>
            </w: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141,316.24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3,045,490.80</w:t>
            </w:r>
          </w:p>
        </w:tc>
        <w:tc>
          <w:tcPr>
            <w:tcW w:w="171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3,186,807.04</w:t>
            </w: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内部研发</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53,261,283.59</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6,441,512.85</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4,893,789.61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64,596,586.05</w:t>
            </w: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企业合并增加</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pacing w:val="-2"/>
                <w:sz w:val="21"/>
                <w:szCs w:val="21"/>
              </w:rPr>
              <w:t>(4)</w:t>
            </w:r>
            <w:r>
              <w:rPr>
                <w:rFonts w:ascii="宋体" w:hAnsi="宋体" w:cs="宋体" w:eastAsia="宋体" w:hint="default"/>
                <w:spacing w:val="-2"/>
                <w:sz w:val="21"/>
                <w:szCs w:val="21"/>
              </w:rPr>
              <w:t>在建工程转入</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4,054,865.34</w:t>
            </w:r>
          </w:p>
        </w:tc>
        <w:tc>
          <w:tcPr>
            <w:tcW w:w="171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4,054,865.34</w:t>
            </w: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9,676,768.60</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34,477,917.13</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94,528.61</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9,245.29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44,258,459.63</w:t>
            </w: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21,000,000.00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6,310.68</w:t>
            </w:r>
          </w:p>
        </w:tc>
        <w:tc>
          <w:tcPr>
            <w:tcW w:w="171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21,006,310.68</w:t>
            </w:r>
          </w:p>
        </w:tc>
      </w:tr>
    </w:tbl>
    <w:p>
      <w:pPr>
        <w:spacing w:after="0" w:line="240" w:lineRule="auto"/>
        <w:jc w:val="right"/>
        <w:rPr>
          <w:rFonts w:ascii="Times New Roman" w:hAnsi="Times New Roman" w:cs="Times New Roman" w:eastAsia="Times New Roman" w:hint="default"/>
          <w:sz w:val="21"/>
          <w:szCs w:val="21"/>
        </w:rPr>
        <w:sectPr>
          <w:type w:val="continuous"/>
          <w:pgSz w:w="16840" w:h="11910" w:orient="landscape"/>
          <w:pgMar w:top="1120" w:bottom="1380" w:left="1300" w:right="1220"/>
        </w:sectPr>
      </w:pPr>
    </w:p>
    <w:p>
      <w:pPr>
        <w:spacing w:line="240" w:lineRule="auto" w:before="7"/>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528"/>
        <w:gridCol w:w="1714"/>
        <w:gridCol w:w="1409"/>
        <w:gridCol w:w="1495"/>
        <w:gridCol w:w="1712"/>
        <w:gridCol w:w="1608"/>
        <w:gridCol w:w="1712"/>
        <w:gridCol w:w="1913"/>
      </w:tblGrid>
      <w:tr>
        <w:trPr>
          <w:trHeight w:val="28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企业合并减少</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9,676,768.60</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13,477,917.13</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88,217.93</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9,245.29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23,252,148.95</w:t>
            </w: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123,404,681.98</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295,975,715.78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70,640,530.12</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161,504,106.41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651,525,034.29</w:t>
            </w: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31,760,343.77</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105,506,681.58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11,051,217.72</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62,087,390.97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210,405,634.04</w:t>
            </w: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3,196,185.64</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27,374,345.86</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10,945,201.06</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14,847,693.75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56,363,426.31</w:t>
            </w:r>
          </w:p>
        </w:tc>
      </w:tr>
      <w:tr>
        <w:trPr>
          <w:trHeight w:val="348"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3,196,185.64</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27,374,345.86</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10,945,201.06</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14,847,693.75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56,363,426.31</w:t>
            </w:r>
          </w:p>
        </w:tc>
      </w:tr>
      <w:tr>
        <w:trPr>
          <w:trHeight w:val="28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r>
              <w:rPr>
                <w:rFonts w:ascii="宋体" w:hAnsi="宋体" w:cs="宋体" w:eastAsia="宋体" w:hint="default"/>
                <w:spacing w:val="-3"/>
                <w:w w:val="100"/>
                <w:sz w:val="21"/>
                <w:szCs w:val="21"/>
              </w:rPr>
              <w:t>合</w:t>
            </w:r>
            <w:r>
              <w:rPr>
                <w:rFonts w:ascii="宋体" w:hAnsi="宋体" w:cs="宋体" w:eastAsia="宋体" w:hint="default"/>
                <w:w w:val="100"/>
                <w:sz w:val="21"/>
                <w:szCs w:val="21"/>
              </w:rPr>
              <w:t>并</w:t>
            </w:r>
            <w:r>
              <w:rPr>
                <w:rFonts w:ascii="宋体" w:hAnsi="宋体" w:cs="宋体" w:eastAsia="宋体" w:hint="default"/>
                <w:spacing w:val="-3"/>
                <w:w w:val="100"/>
                <w:sz w:val="21"/>
                <w:szCs w:val="21"/>
              </w:rPr>
              <w:t>增加</w:t>
            </w:r>
            <w:r>
              <w:rPr>
                <w:rFonts w:ascii="宋体" w:hAnsi="宋体" w:cs="宋体" w:eastAsia="宋体" w:hint="default"/>
                <w:w w:val="100"/>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1,588,462.97</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13,994,089.70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27,372.70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2,204.00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15,612,129.37</w:t>
            </w: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11,576,972.98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1,577.70</w:t>
            </w:r>
          </w:p>
        </w:tc>
        <w:tc>
          <w:tcPr>
            <w:tcW w:w="171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11,578,550.68</w:t>
            </w:r>
          </w:p>
        </w:tc>
      </w:tr>
      <w:tr>
        <w:trPr>
          <w:trHeight w:val="28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r>
              <w:rPr>
                <w:rFonts w:ascii="宋体" w:hAnsi="宋体" w:cs="宋体" w:eastAsia="宋体" w:hint="default"/>
                <w:spacing w:val="-3"/>
                <w:w w:val="100"/>
                <w:sz w:val="21"/>
                <w:szCs w:val="21"/>
              </w:rPr>
              <w:t>合</w:t>
            </w:r>
            <w:r>
              <w:rPr>
                <w:rFonts w:ascii="宋体" w:hAnsi="宋体" w:cs="宋体" w:eastAsia="宋体" w:hint="default"/>
                <w:w w:val="100"/>
                <w:sz w:val="21"/>
                <w:szCs w:val="21"/>
              </w:rPr>
              <w:t>并</w:t>
            </w:r>
            <w:r>
              <w:rPr>
                <w:rFonts w:ascii="宋体" w:hAnsi="宋体" w:cs="宋体" w:eastAsia="宋体" w:hint="default"/>
                <w:spacing w:val="-3"/>
                <w:w w:val="100"/>
                <w:sz w:val="21"/>
                <w:szCs w:val="21"/>
              </w:rPr>
              <w:t>变更</w:t>
            </w:r>
            <w:r>
              <w:rPr>
                <w:rFonts w:ascii="宋体" w:hAnsi="宋体" w:cs="宋体" w:eastAsia="宋体" w:hint="default"/>
                <w:w w:val="100"/>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1,588,462.97</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2,417,116.72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25,795.00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2,204.00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4,033,578.69</w:t>
            </w: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33,368,066.44</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118,886,937.74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21,969,046.08</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76,932,880.72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251,156,930.98</w:t>
            </w: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90,036,615.54</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177,088,778.04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48,671,484.04</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84,571,225.69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400,368,103.31</w:t>
            </w: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期初账面价值</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21"/>
                <w:szCs w:val="21"/>
              </w:rPr>
            </w:pPr>
            <w:r>
              <w:rPr>
                <w:rFonts w:ascii="Times New Roman"/>
                <w:spacing w:val="-1"/>
                <w:sz w:val="21"/>
              </w:rPr>
              <w:t>101,321,106.81</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171,544,351.50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46,141,972.02</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94,532,171.12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413,539,601.45</w:t>
            </w:r>
          </w:p>
        </w:tc>
      </w:tr>
    </w:tbl>
    <w:p>
      <w:pPr>
        <w:pStyle w:val="Heading3"/>
        <w:spacing w:line="274" w:lineRule="exact"/>
        <w:ind w:left="224" w:right="0"/>
        <w:jc w:val="left"/>
        <w:rPr>
          <w:rFonts w:ascii="宋体" w:hAnsi="宋体" w:cs="宋体" w:eastAsia="宋体" w:hint="default"/>
        </w:rPr>
      </w:pPr>
      <w:r>
        <w:rPr>
          <w:rFonts w:ascii="宋体"/>
        </w:rPr>
        <w:t> </w:t>
      </w:r>
    </w:p>
    <w:p>
      <w:pPr>
        <w:pStyle w:val="BodyText"/>
        <w:spacing w:line="271" w:lineRule="exact" w:before="1"/>
        <w:ind w:left="224" w:right="0"/>
        <w:jc w:val="left"/>
        <w:rPr>
          <w:rFonts w:ascii="宋体" w:hAnsi="宋体" w:cs="宋体" w:eastAsia="宋体" w:hint="default"/>
        </w:rPr>
      </w:pPr>
      <w:r>
        <w:rPr>
          <w:spacing w:val="-2"/>
        </w:rPr>
        <w:t>本期末通过公司内部研发形成的无形资产占无形资产余额的比例</w:t>
      </w:r>
      <w:r>
        <w:rPr>
          <w:spacing w:val="7"/>
        </w:rPr>
        <w:t> </w:t>
      </w:r>
      <w:r>
        <w:rPr>
          <w:rFonts w:ascii="宋体" w:hAnsi="宋体" w:cs="宋体" w:eastAsia="宋体" w:hint="default"/>
          <w:spacing w:val="-2"/>
        </w:rPr>
        <w:t>9.91%</w:t>
      </w:r>
      <w:r>
        <w:rPr>
          <w:spacing w:val="-2"/>
        </w:rPr>
        <w:t>。</w:t>
      </w:r>
      <w:r>
        <w:rPr>
          <w:rFonts w:ascii="宋体" w:hAnsi="宋体" w:cs="宋体" w:eastAsia="宋体" w:hint="default"/>
        </w:rPr>
        <w:t> </w:t>
      </w:r>
    </w:p>
    <w:p>
      <w:pPr>
        <w:pStyle w:val="Heading3"/>
        <w:spacing w:line="311" w:lineRule="exact"/>
        <w:ind w:left="224" w:right="0"/>
        <w:jc w:val="left"/>
        <w:rPr>
          <w:rFonts w:ascii="宋体" w:hAnsi="宋体" w:cs="宋体" w:eastAsia="宋体" w:hint="default"/>
        </w:rPr>
      </w:pPr>
      <w:r>
        <w:rPr>
          <w:rFonts w:ascii="宋体"/>
        </w:rPr>
        <w:t> </w:t>
      </w:r>
    </w:p>
    <w:p>
      <w:pPr>
        <w:pStyle w:val="Heading5"/>
        <w:spacing w:line="240" w:lineRule="auto"/>
        <w:ind w:left="224" w:right="0"/>
        <w:jc w:val="left"/>
        <w:rPr>
          <w:rFonts w:ascii="宋体" w:hAnsi="宋体" w:cs="宋体" w:eastAsia="宋体" w:hint="default"/>
          <w:b w:val="0"/>
          <w:bCs w:val="0"/>
        </w:rPr>
      </w:pPr>
      <w:r>
        <w:rPr>
          <w:rFonts w:ascii="宋体" w:hAnsi="宋体" w:cs="宋体" w:eastAsia="宋体" w:hint="default"/>
        </w:rPr>
        <w:t>(2).</w:t>
      </w:r>
      <w:r>
        <w:rPr/>
        <w:t>未办妥产权证书的土地使用权情况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6840" w:h="11910" w:orient="landscape"/>
          <w:pgMar w:header="882" w:footer="1195" w:top="1120" w:bottom="1380" w:left="1300" w:right="1220"/>
        </w:sectPr>
      </w:pPr>
    </w:p>
    <w:p>
      <w:pPr>
        <w:pStyle w:val="Heading3"/>
        <w:spacing w:line="312" w:lineRule="exact" w:before="111"/>
        <w:ind w:left="224" w:right="0"/>
        <w:jc w:val="left"/>
        <w:rPr>
          <w:rFonts w:ascii="宋体" w:hAnsi="宋体" w:cs="宋体" w:eastAsia="宋体" w:hint="default"/>
        </w:rPr>
      </w:pPr>
      <w:r>
        <w:rPr/>
        <w:t>其他说明：</w:t>
      </w:r>
      <w:r>
        <w:rPr>
          <w:rFonts w:ascii="宋体" w:hAnsi="宋体" w:cs="宋体" w:eastAsia="宋体" w:hint="default"/>
        </w:rPr>
        <w:t> </w:t>
      </w:r>
    </w:p>
    <w:p>
      <w:pPr>
        <w:pStyle w:val="Heading3"/>
        <w:spacing w:line="311" w:lineRule="exact"/>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224" w:right="0"/>
        <w:jc w:val="left"/>
        <w:rPr>
          <w:rFonts w:ascii="宋体" w:hAnsi="宋体" w:cs="宋体" w:eastAsia="宋体" w:hint="default"/>
        </w:rPr>
      </w:pPr>
      <w:r>
        <w:rPr>
          <w:rFonts w:ascii="宋体"/>
        </w:rPr>
        <w:t> </w:t>
      </w:r>
    </w:p>
    <w:p>
      <w:pPr>
        <w:pStyle w:val="Heading5"/>
        <w:spacing w:line="240" w:lineRule="auto"/>
        <w:ind w:left="224" w:right="0"/>
        <w:jc w:val="left"/>
        <w:rPr>
          <w:rFonts w:ascii="宋体" w:hAnsi="宋体" w:cs="宋体" w:eastAsia="宋体" w:hint="default"/>
          <w:b w:val="0"/>
          <w:bCs w:val="0"/>
        </w:rPr>
      </w:pPr>
      <w:r>
        <w:rPr>
          <w:rFonts w:ascii="宋体" w:hAnsi="宋体" w:cs="宋体" w:eastAsia="宋体" w:hint="default"/>
        </w:rPr>
        <w:t>26</w:t>
      </w:r>
      <w:r>
        <w:rPr/>
        <w:t>、</w:t>
      </w:r>
      <w:r>
        <w:rPr>
          <w:spacing w:val="-26"/>
        </w:rPr>
        <w:t> </w:t>
      </w:r>
      <w:r>
        <w:rPr/>
        <w:t>开发支出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ind w:left="224"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pgSz w:w="16840" w:h="11910" w:orient="landscape"/>
          <w:pgMar w:header="882" w:footer="1195" w:top="1120" w:bottom="1380" w:left="1300" w:right="1200"/>
          <w:cols w:num="2" w:equalWidth="0">
            <w:col w:w="2265" w:space="9298"/>
            <w:col w:w="2777"/>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798"/>
        <w:gridCol w:w="1529"/>
        <w:gridCol w:w="1553"/>
        <w:gridCol w:w="1486"/>
        <w:gridCol w:w="1517"/>
        <w:gridCol w:w="1572"/>
        <w:gridCol w:w="1575"/>
        <w:gridCol w:w="1529"/>
        <w:gridCol w:w="1531"/>
      </w:tblGrid>
      <w:tr>
        <w:trPr>
          <w:trHeight w:val="283" w:hRule="exact"/>
        </w:trPr>
        <w:tc>
          <w:tcPr>
            <w:tcW w:w="179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84"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29" w:type="dxa"/>
            <w:vMerge w:val="restart"/>
            <w:tcBorders>
              <w:top w:val="single" w:sz="4" w:space="0" w:color="000000"/>
              <w:left w:val="single" w:sz="4" w:space="0" w:color="000000"/>
              <w:right w:val="single" w:sz="4" w:space="0" w:color="000000"/>
            </w:tcBorders>
          </w:tcPr>
          <w:p>
            <w:pPr>
              <w:pStyle w:val="TableParagraph"/>
              <w:spacing w:line="240" w:lineRule="auto" w:before="107"/>
              <w:ind w:left="551" w:right="439"/>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45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46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
              <w:jc w:val="center"/>
              <w:rPr>
                <w:rFonts w:ascii="宋体" w:hAnsi="宋体" w:cs="宋体" w:eastAsia="宋体" w:hint="default"/>
                <w:sz w:val="21"/>
                <w:szCs w:val="21"/>
              </w:rPr>
            </w:pP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531" w:type="dxa"/>
            <w:vMerge w:val="restart"/>
            <w:tcBorders>
              <w:top w:val="single" w:sz="4" w:space="0" w:color="000000"/>
              <w:left w:val="single" w:sz="4" w:space="0" w:color="000000"/>
              <w:right w:val="single" w:sz="4" w:space="0" w:color="000000"/>
            </w:tcBorders>
          </w:tcPr>
          <w:p>
            <w:pPr>
              <w:pStyle w:val="TableParagraph"/>
              <w:spacing w:line="240" w:lineRule="auto" w:before="107"/>
              <w:ind w:left="549" w:right="444"/>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555" w:hRule="exact"/>
        </w:trPr>
        <w:tc>
          <w:tcPr>
            <w:tcW w:w="1798" w:type="dxa"/>
            <w:vMerge/>
            <w:tcBorders>
              <w:left w:val="single" w:sz="4" w:space="0" w:color="000000"/>
              <w:bottom w:val="single" w:sz="4" w:space="0" w:color="000000"/>
              <w:right w:val="single" w:sz="4" w:space="0" w:color="000000"/>
            </w:tcBorders>
          </w:tcPr>
          <w:p>
            <w:pPr/>
          </w:p>
        </w:tc>
        <w:tc>
          <w:tcPr>
            <w:tcW w:w="1529" w:type="dxa"/>
            <w:vMerge/>
            <w:tcBorders>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4" w:right="0"/>
              <w:jc w:val="left"/>
              <w:rPr>
                <w:rFonts w:ascii="宋体" w:hAnsi="宋体" w:cs="宋体" w:eastAsia="宋体" w:hint="default"/>
                <w:sz w:val="21"/>
                <w:szCs w:val="21"/>
              </w:rPr>
            </w:pPr>
            <w:r>
              <w:rPr>
                <w:rFonts w:ascii="宋体" w:hAnsi="宋体" w:cs="宋体" w:eastAsia="宋体" w:hint="default"/>
                <w:sz w:val="21"/>
                <w:szCs w:val="21"/>
              </w:rPr>
              <w:t>内部开发支出</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hAnsi="宋体" w:cs="宋体" w:eastAsia="宋体" w:hint="default"/>
                <w:sz w:val="21"/>
                <w:szCs w:val="21"/>
              </w:rPr>
              <w:t>企业合并增加</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确认为无形资</w:t>
            </w:r>
          </w:p>
          <w:p>
            <w:pPr>
              <w:pStyle w:val="TableParagraph"/>
              <w:spacing w:line="275" w:lineRule="exact"/>
              <w:ind w:left="103" w:right="0"/>
              <w:jc w:val="center"/>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 </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hAnsi="宋体" w:cs="宋体" w:eastAsia="宋体" w:hint="default"/>
                <w:sz w:val="21"/>
                <w:szCs w:val="21"/>
              </w:rPr>
              <w:t>转入当期损益</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8" w:right="0"/>
              <w:jc w:val="left"/>
              <w:rPr>
                <w:rFonts w:ascii="宋体" w:hAnsi="宋体" w:cs="宋体" w:eastAsia="宋体" w:hint="default"/>
                <w:sz w:val="21"/>
                <w:szCs w:val="21"/>
              </w:rPr>
            </w:pPr>
            <w:r>
              <w:rPr>
                <w:rFonts w:ascii="宋体" w:hAnsi="宋体" w:cs="宋体" w:eastAsia="宋体" w:hint="default"/>
                <w:sz w:val="21"/>
                <w:szCs w:val="21"/>
              </w:rPr>
              <w:t>其他减少</w:t>
            </w:r>
            <w:r>
              <w:rPr>
                <w:rFonts w:ascii="宋体" w:hAnsi="宋体" w:cs="宋体" w:eastAsia="宋体" w:hint="default"/>
                <w:sz w:val="21"/>
                <w:szCs w:val="21"/>
              </w:rPr>
              <w:t> </w:t>
            </w:r>
          </w:p>
        </w:tc>
        <w:tc>
          <w:tcPr>
            <w:tcW w:w="1531" w:type="dxa"/>
            <w:vMerge/>
            <w:tcBorders>
              <w:left w:val="single" w:sz="4" w:space="0" w:color="000000"/>
              <w:bottom w:val="single" w:sz="4" w:space="0" w:color="000000"/>
              <w:right w:val="single" w:sz="4" w:space="0" w:color="000000"/>
            </w:tcBorders>
          </w:tcPr>
          <w:p>
            <w:pPr/>
          </w:p>
        </w:tc>
      </w:tr>
      <w:tr>
        <w:trPr>
          <w:trHeight w:val="554"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智能电力产品系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列研发项目</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38,100,850.95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29" w:right="0"/>
              <w:jc w:val="left"/>
              <w:rPr>
                <w:rFonts w:ascii="Times New Roman" w:hAnsi="Times New Roman" w:cs="Times New Roman" w:eastAsia="Times New Roman" w:hint="default"/>
                <w:sz w:val="21"/>
                <w:szCs w:val="21"/>
              </w:rPr>
            </w:pPr>
            <w:r>
              <w:rPr>
                <w:rFonts w:ascii="Times New Roman"/>
                <w:sz w:val="21"/>
              </w:rPr>
              <w:t>306,386,908.49</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33" w:right="0"/>
              <w:jc w:val="center"/>
              <w:rPr>
                <w:rFonts w:ascii="Times New Roman" w:hAnsi="Times New Roman" w:cs="Times New Roman" w:eastAsia="Times New Roman" w:hint="default"/>
                <w:sz w:val="21"/>
                <w:szCs w:val="21"/>
              </w:rPr>
            </w:pPr>
            <w:r>
              <w:rPr>
                <w:rFonts w:ascii="Times New Roman"/>
                <w:sz w:val="21"/>
              </w:rPr>
              <w:t>-1,537,799.95</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43,865,528.45</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2" w:right="0"/>
              <w:jc w:val="center"/>
              <w:rPr>
                <w:rFonts w:ascii="Times New Roman" w:hAnsi="Times New Roman" w:cs="Times New Roman" w:eastAsia="Times New Roman" w:hint="default"/>
                <w:sz w:val="21"/>
                <w:szCs w:val="21"/>
              </w:rPr>
            </w:pPr>
            <w:r>
              <w:rPr>
                <w:rFonts w:ascii="Times New Roman"/>
                <w:sz w:val="21"/>
              </w:rPr>
              <w:t>170,803,831.09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64,095,064.43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10" w:right="0"/>
              <w:jc w:val="center"/>
              <w:rPr>
                <w:rFonts w:ascii="Times New Roman" w:hAnsi="Times New Roman" w:cs="Times New Roman" w:eastAsia="Times New Roman" w:hint="default"/>
                <w:sz w:val="21"/>
                <w:szCs w:val="21"/>
              </w:rPr>
            </w:pPr>
            <w:r>
              <w:rPr>
                <w:rFonts w:ascii="Times New Roman"/>
                <w:sz w:val="21"/>
              </w:rPr>
              <w:t>64,185,535.52</w:t>
            </w:r>
          </w:p>
        </w:tc>
      </w:tr>
      <w:tr>
        <w:trPr>
          <w:trHeight w:val="554"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军工装备产品系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列研发项目</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69,487,232.05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29" w:right="0"/>
              <w:jc w:val="left"/>
              <w:rPr>
                <w:rFonts w:ascii="Times New Roman" w:hAnsi="Times New Roman" w:cs="Times New Roman" w:eastAsia="Times New Roman" w:hint="default"/>
                <w:sz w:val="21"/>
                <w:szCs w:val="21"/>
              </w:rPr>
            </w:pPr>
            <w:r>
              <w:rPr>
                <w:rFonts w:ascii="Times New Roman"/>
                <w:sz w:val="21"/>
              </w:rPr>
              <w:t>132,059,250.77</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20,731,057.60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57" w:right="0"/>
              <w:jc w:val="center"/>
              <w:rPr>
                <w:rFonts w:ascii="Times New Roman" w:hAnsi="Times New Roman" w:cs="Times New Roman" w:eastAsia="Times New Roman" w:hint="default"/>
                <w:sz w:val="21"/>
                <w:szCs w:val="21"/>
              </w:rPr>
            </w:pPr>
            <w:r>
              <w:rPr>
                <w:rFonts w:ascii="Times New Roman"/>
                <w:sz w:val="21"/>
              </w:rPr>
              <w:t>47,931,139.45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85,736,247.09</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10" w:right="0"/>
              <w:jc w:val="center"/>
              <w:rPr>
                <w:rFonts w:ascii="Times New Roman" w:hAnsi="Times New Roman" w:cs="Times New Roman" w:eastAsia="Times New Roman" w:hint="default"/>
                <w:sz w:val="21"/>
                <w:szCs w:val="21"/>
              </w:rPr>
            </w:pPr>
            <w:r>
              <w:rPr>
                <w:rFonts w:ascii="Times New Roman"/>
                <w:sz w:val="21"/>
              </w:rPr>
              <w:t>47,148,038.68</w:t>
            </w:r>
          </w:p>
        </w:tc>
      </w:tr>
      <w:tr>
        <w:trPr>
          <w:trHeight w:val="283"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84"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107,588,083.00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9" w:right="0"/>
              <w:jc w:val="left"/>
              <w:rPr>
                <w:rFonts w:ascii="Times New Roman" w:hAnsi="Times New Roman" w:cs="Times New Roman" w:eastAsia="Times New Roman" w:hint="default"/>
                <w:sz w:val="21"/>
                <w:szCs w:val="21"/>
              </w:rPr>
            </w:pPr>
            <w:r>
              <w:rPr>
                <w:rFonts w:ascii="Times New Roman"/>
                <w:sz w:val="21"/>
              </w:rPr>
              <w:t>438,446,159.26</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3" w:right="0"/>
              <w:jc w:val="center"/>
              <w:rPr>
                <w:rFonts w:ascii="Times New Roman" w:hAnsi="Times New Roman" w:cs="Times New Roman" w:eastAsia="Times New Roman" w:hint="default"/>
                <w:sz w:val="21"/>
                <w:szCs w:val="21"/>
              </w:rPr>
            </w:pPr>
            <w:r>
              <w:rPr>
                <w:rFonts w:ascii="Times New Roman"/>
                <w:sz w:val="21"/>
              </w:rPr>
              <w:t>-1,537,799.95</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64,596,586.05</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 w:right="0"/>
              <w:jc w:val="center"/>
              <w:rPr>
                <w:rFonts w:ascii="Times New Roman" w:hAnsi="Times New Roman" w:cs="Times New Roman" w:eastAsia="Times New Roman" w:hint="default"/>
                <w:sz w:val="21"/>
                <w:szCs w:val="21"/>
              </w:rPr>
            </w:pPr>
            <w:r>
              <w:rPr>
                <w:rFonts w:ascii="Times New Roman"/>
                <w:sz w:val="21"/>
              </w:rPr>
              <w:t>218,734,970.54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149,831,311.52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Times New Roman" w:hAnsi="Times New Roman" w:cs="Times New Roman" w:eastAsia="Times New Roman" w:hint="default"/>
                <w:sz w:val="21"/>
                <w:szCs w:val="21"/>
              </w:rPr>
            </w:pPr>
            <w:r>
              <w:rPr>
                <w:rFonts w:ascii="Times New Roman"/>
                <w:sz w:val="21"/>
              </w:rPr>
              <w:t>111,333,574.20</w:t>
            </w:r>
          </w:p>
        </w:tc>
      </w:tr>
    </w:tbl>
    <w:p>
      <w:pPr>
        <w:pStyle w:val="BodyText"/>
        <w:spacing w:line="240" w:lineRule="exact"/>
        <w:ind w:left="224" w:right="0"/>
        <w:jc w:val="left"/>
        <w:rPr>
          <w:rFonts w:ascii="宋体" w:hAnsi="宋体" w:cs="宋体" w:eastAsia="宋体" w:hint="default"/>
        </w:rPr>
      </w:pPr>
      <w:r>
        <w:rPr/>
        <w:t>注</w:t>
      </w:r>
      <w:r>
        <w:rPr>
          <w:spacing w:val="-1"/>
        </w:rPr>
        <w:t> </w:t>
      </w:r>
      <w:r>
        <w:rPr>
          <w:rFonts w:ascii="宋体" w:hAnsi="宋体" w:cs="宋体" w:eastAsia="宋体" w:hint="default"/>
          <w:spacing w:val="-2"/>
        </w:rPr>
        <w:t>1</w:t>
      </w:r>
      <w:r>
        <w:rPr>
          <w:spacing w:val="-2"/>
        </w:rPr>
        <w:t>：考虑行业保密需要，本公司研发支出项目按业务类别披露。</w:t>
      </w:r>
      <w:r>
        <w:rPr>
          <w:rFonts w:ascii="宋体" w:hAnsi="宋体" w:cs="宋体" w:eastAsia="宋体" w:hint="default"/>
        </w:rPr>
        <w:t> </w:t>
      </w:r>
    </w:p>
    <w:p>
      <w:pPr>
        <w:pStyle w:val="BodyText"/>
        <w:spacing w:line="272" w:lineRule="exact" w:before="27"/>
        <w:ind w:left="224" w:right="5789"/>
        <w:jc w:val="left"/>
        <w:rPr>
          <w:rFonts w:ascii="宋体" w:hAnsi="宋体" w:cs="宋体" w:eastAsia="宋体" w:hint="default"/>
        </w:rPr>
      </w:pPr>
      <w:r>
        <w:rPr/>
        <w:t>注</w:t>
      </w:r>
      <w:r>
        <w:rPr>
          <w:spacing w:val="-55"/>
        </w:rPr>
        <w:t> </w:t>
      </w:r>
      <w:r>
        <w:rPr>
          <w:rFonts w:ascii="宋体" w:hAnsi="宋体" w:cs="宋体" w:eastAsia="宋体" w:hint="default"/>
        </w:rPr>
        <w:t>2</w:t>
      </w:r>
      <w:r>
        <w:rPr/>
        <w:t>：本期企业合并增加系贵州泰豪宝碳智慧能源有限公司不再纳入合并范围转出所致。</w:t>
      </w:r>
      <w:r>
        <w:rPr>
          <w:rFonts w:ascii="宋体" w:hAnsi="宋体" w:cs="宋体" w:eastAsia="宋体" w:hint="default"/>
          <w:w w:val="100"/>
        </w:rPr>
        <w:t> </w:t>
      </w:r>
      <w:r>
        <w:rPr/>
        <w:t>注</w:t>
      </w:r>
      <w:r>
        <w:rPr>
          <w:spacing w:val="-54"/>
        </w:rPr>
        <w:t> </w:t>
      </w:r>
      <w:r>
        <w:rPr>
          <w:rFonts w:ascii="宋体" w:hAnsi="宋体" w:cs="宋体" w:eastAsia="宋体" w:hint="default"/>
        </w:rPr>
        <w:t>3</w:t>
      </w:r>
      <w:r>
        <w:rPr/>
        <w:t>：本期其他减少</w:t>
      </w:r>
      <w:r>
        <w:rPr>
          <w:spacing w:val="-57"/>
        </w:rPr>
        <w:t> </w:t>
      </w:r>
      <w:r>
        <w:rPr>
          <w:rFonts w:ascii="宋体" w:hAnsi="宋体" w:cs="宋体" w:eastAsia="宋体" w:hint="default"/>
        </w:rPr>
        <w:t>149,831,311.52</w:t>
      </w:r>
      <w:r>
        <w:rPr>
          <w:rFonts w:ascii="宋体" w:hAnsi="宋体" w:cs="宋体" w:eastAsia="宋体" w:hint="default"/>
          <w:spacing w:val="-57"/>
        </w:rPr>
        <w:t> </w:t>
      </w:r>
      <w:r>
        <w:rPr/>
        <w:t>元，系研发项目转入库存商品。</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BodyText"/>
        <w:spacing w:line="271" w:lineRule="exact"/>
        <w:ind w:left="224" w:right="0"/>
        <w:jc w:val="left"/>
        <w:rPr>
          <w:rFonts w:ascii="宋体" w:hAnsi="宋体" w:cs="宋体" w:eastAsia="宋体" w:hint="default"/>
        </w:rPr>
      </w:pPr>
      <w:r>
        <w:rPr/>
        <w:t>其他说明</w:t>
      </w:r>
      <w:r>
        <w:rPr>
          <w:rFonts w:ascii="宋体" w:hAnsi="宋体" w:cs="宋体" w:eastAsia="宋体" w:hint="default"/>
        </w:rPr>
        <w:t> </w:t>
      </w:r>
    </w:p>
    <w:p>
      <w:pPr>
        <w:pStyle w:val="Heading3"/>
        <w:spacing w:line="310" w:lineRule="exact"/>
        <w:ind w:left="224" w:right="0"/>
        <w:jc w:val="left"/>
        <w:rPr>
          <w:rFonts w:ascii="宋体" w:hAnsi="宋体" w:cs="宋体" w:eastAsia="宋体" w:hint="default"/>
        </w:rPr>
      </w:pPr>
      <w:r>
        <w:rPr>
          <w:rFonts w:ascii="宋体"/>
        </w:rPr>
        <w:t> </w:t>
      </w:r>
    </w:p>
    <w:p>
      <w:pPr>
        <w:spacing w:line="240" w:lineRule="auto" w:before="10"/>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592"/>
        <w:gridCol w:w="2984"/>
        <w:gridCol w:w="4505"/>
        <w:gridCol w:w="4008"/>
      </w:tblGrid>
      <w:tr>
        <w:trPr>
          <w:trHeight w:val="490" w:hRule="exact"/>
        </w:trPr>
        <w:tc>
          <w:tcPr>
            <w:tcW w:w="2592" w:type="dxa"/>
            <w:tcBorders>
              <w:top w:val="single" w:sz="12" w:space="0" w:color="000000"/>
              <w:left w:val="nil" w:sz="6" w:space="0" w:color="auto"/>
              <w:bottom w:val="single" w:sz="6" w:space="0" w:color="000000"/>
              <w:right w:val="single" w:sz="4" w:space="0" w:color="000000"/>
            </w:tcBorders>
          </w:tcPr>
          <w:p>
            <w:pPr>
              <w:pStyle w:val="TableParagraph"/>
              <w:spacing w:line="240" w:lineRule="auto" w:before="89"/>
              <w:ind w:left="95"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984" w:type="dxa"/>
            <w:tcBorders>
              <w:top w:val="single" w:sz="12" w:space="0" w:color="000000"/>
              <w:left w:val="single" w:sz="4" w:space="0" w:color="000000"/>
              <w:bottom w:val="single" w:sz="6" w:space="0" w:color="000000"/>
              <w:right w:val="single" w:sz="4" w:space="0" w:color="000000"/>
            </w:tcBorders>
          </w:tcPr>
          <w:p>
            <w:pPr>
              <w:pStyle w:val="TableParagraph"/>
              <w:spacing w:line="240" w:lineRule="auto" w:before="89"/>
              <w:ind w:left="856" w:right="0"/>
              <w:jc w:val="left"/>
              <w:rPr>
                <w:rFonts w:ascii="宋体" w:hAnsi="宋体" w:cs="宋体" w:eastAsia="宋体" w:hint="default"/>
                <w:sz w:val="18"/>
                <w:szCs w:val="18"/>
              </w:rPr>
            </w:pPr>
            <w:r>
              <w:rPr>
                <w:rFonts w:ascii="宋体" w:hAnsi="宋体" w:cs="宋体" w:eastAsia="宋体" w:hint="default"/>
                <w:sz w:val="18"/>
                <w:szCs w:val="18"/>
              </w:rPr>
              <w:t>资本化开始时点</w:t>
            </w:r>
            <w:r>
              <w:rPr>
                <w:rFonts w:ascii="宋体" w:hAnsi="宋体" w:cs="宋体" w:eastAsia="宋体" w:hint="default"/>
                <w:sz w:val="18"/>
                <w:szCs w:val="18"/>
              </w:rPr>
              <w:t> </w:t>
            </w:r>
          </w:p>
        </w:tc>
        <w:tc>
          <w:tcPr>
            <w:tcW w:w="4505" w:type="dxa"/>
            <w:tcBorders>
              <w:top w:val="single" w:sz="12" w:space="0" w:color="000000"/>
              <w:left w:val="single" w:sz="4" w:space="0" w:color="000000"/>
              <w:bottom w:val="single" w:sz="6" w:space="0" w:color="000000"/>
              <w:right w:val="single" w:sz="4" w:space="0" w:color="000000"/>
            </w:tcBorders>
          </w:tcPr>
          <w:p>
            <w:pPr>
              <w:pStyle w:val="TableParagraph"/>
              <w:spacing w:line="240" w:lineRule="auto" w:before="89"/>
              <w:ind w:left="1528" w:right="0"/>
              <w:jc w:val="left"/>
              <w:rPr>
                <w:rFonts w:ascii="宋体" w:hAnsi="宋体" w:cs="宋体" w:eastAsia="宋体" w:hint="default"/>
                <w:sz w:val="18"/>
                <w:szCs w:val="18"/>
              </w:rPr>
            </w:pPr>
            <w:r>
              <w:rPr>
                <w:rFonts w:ascii="宋体" w:hAnsi="宋体" w:cs="宋体" w:eastAsia="宋体" w:hint="default"/>
                <w:sz w:val="18"/>
                <w:szCs w:val="18"/>
              </w:rPr>
              <w:t>资本化的具体依据</w:t>
            </w:r>
            <w:r>
              <w:rPr>
                <w:rFonts w:ascii="宋体" w:hAnsi="宋体" w:cs="宋体" w:eastAsia="宋体" w:hint="default"/>
                <w:sz w:val="18"/>
                <w:szCs w:val="18"/>
              </w:rPr>
              <w:t> </w:t>
            </w:r>
          </w:p>
        </w:tc>
        <w:tc>
          <w:tcPr>
            <w:tcW w:w="4008" w:type="dxa"/>
            <w:tcBorders>
              <w:top w:val="single" w:sz="12" w:space="0" w:color="000000"/>
              <w:left w:val="single" w:sz="4" w:space="0" w:color="000000"/>
              <w:bottom w:val="single" w:sz="6" w:space="0" w:color="000000"/>
              <w:right w:val="nil" w:sz="6" w:space="0" w:color="auto"/>
            </w:tcBorders>
          </w:tcPr>
          <w:p>
            <w:pPr>
              <w:pStyle w:val="TableParagraph"/>
              <w:spacing w:line="206" w:lineRule="exact"/>
              <w:ind w:left="86" w:right="0"/>
              <w:jc w:val="center"/>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z w:val="18"/>
                <w:szCs w:val="18"/>
              </w:rPr>
              <w:t> </w:t>
            </w:r>
          </w:p>
          <w:p>
            <w:pPr>
              <w:pStyle w:val="TableParagraph"/>
              <w:spacing w:line="234" w:lineRule="exact"/>
              <w:ind w:left="88" w:right="0"/>
              <w:jc w:val="center"/>
              <w:rPr>
                <w:rFonts w:ascii="宋体" w:hAnsi="宋体" w:cs="宋体" w:eastAsia="宋体" w:hint="default"/>
                <w:sz w:val="18"/>
                <w:szCs w:val="18"/>
              </w:rPr>
            </w:pPr>
            <w:r>
              <w:rPr>
                <w:rFonts w:ascii="宋体" w:hAnsi="宋体" w:cs="宋体" w:eastAsia="宋体" w:hint="default"/>
                <w:sz w:val="18"/>
                <w:szCs w:val="18"/>
              </w:rPr>
              <w:t>期末的研发进度</w:t>
            </w:r>
            <w:r>
              <w:rPr>
                <w:rFonts w:ascii="宋体" w:hAnsi="宋体" w:cs="宋体" w:eastAsia="宋体" w:hint="default"/>
                <w:sz w:val="18"/>
                <w:szCs w:val="18"/>
              </w:rPr>
              <w:t> </w:t>
            </w:r>
          </w:p>
        </w:tc>
      </w:tr>
      <w:tr>
        <w:trPr>
          <w:trHeight w:val="355" w:hRule="exact"/>
        </w:trPr>
        <w:tc>
          <w:tcPr>
            <w:tcW w:w="2592" w:type="dxa"/>
            <w:tcBorders>
              <w:top w:val="single" w:sz="6" w:space="0" w:color="000000"/>
              <w:left w:val="nil" w:sz="6" w:space="0" w:color="auto"/>
              <w:bottom w:val="single" w:sz="6"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智能电力产品系列研发项目</w:t>
            </w:r>
            <w:r>
              <w:rPr>
                <w:rFonts w:ascii="宋体" w:hAnsi="宋体" w:cs="宋体" w:eastAsia="宋体" w:hint="default"/>
                <w:sz w:val="18"/>
                <w:szCs w:val="18"/>
              </w:rPr>
              <w:t> </w:t>
            </w:r>
          </w:p>
        </w:tc>
        <w:tc>
          <w:tcPr>
            <w:tcW w:w="2984" w:type="dxa"/>
            <w:vMerge w:val="restart"/>
            <w:tcBorders>
              <w:top w:val="single" w:sz="6" w:space="0" w:color="000000"/>
              <w:left w:val="single" w:sz="4" w:space="0" w:color="000000"/>
              <w:right w:val="single" w:sz="4" w:space="0" w:color="000000"/>
            </w:tcBorders>
          </w:tcPr>
          <w:p>
            <w:pPr>
              <w:pStyle w:val="TableParagraph"/>
              <w:spacing w:line="235" w:lineRule="exact" w:before="87"/>
              <w:ind w:left="496" w:right="0"/>
              <w:jc w:val="left"/>
              <w:rPr>
                <w:rFonts w:ascii="宋体" w:hAnsi="宋体" w:cs="宋体" w:eastAsia="宋体" w:hint="default"/>
                <w:sz w:val="18"/>
                <w:szCs w:val="18"/>
              </w:rPr>
            </w:pPr>
            <w:r>
              <w:rPr>
                <w:rFonts w:ascii="宋体" w:hAnsi="宋体" w:cs="宋体" w:eastAsia="宋体" w:hint="default"/>
                <w:sz w:val="18"/>
                <w:szCs w:val="18"/>
              </w:rPr>
              <w:t>批准立项阶段作为资本化开始</w:t>
            </w: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时点</w:t>
            </w:r>
          </w:p>
        </w:tc>
        <w:tc>
          <w:tcPr>
            <w:tcW w:w="4505" w:type="dxa"/>
            <w:vMerge w:val="restart"/>
            <w:tcBorders>
              <w:top w:val="single" w:sz="6" w:space="0" w:color="000000"/>
              <w:left w:val="single" w:sz="4" w:space="0" w:color="000000"/>
              <w:right w:val="single" w:sz="4" w:space="0" w:color="000000"/>
            </w:tcBorders>
          </w:tcPr>
          <w:p>
            <w:pPr>
              <w:pStyle w:val="TableParagraph"/>
              <w:spacing w:line="206" w:lineRule="exact"/>
              <w:ind w:left="105" w:right="0" w:firstLine="360"/>
              <w:jc w:val="left"/>
              <w:rPr>
                <w:rFonts w:ascii="宋体" w:hAnsi="宋体" w:cs="宋体" w:eastAsia="宋体" w:hint="default"/>
                <w:sz w:val="18"/>
                <w:szCs w:val="18"/>
              </w:rPr>
            </w:pPr>
            <w:r>
              <w:rPr>
                <w:rFonts w:ascii="宋体" w:hAnsi="宋体" w:cs="宋体" w:eastAsia="宋体" w:hint="default"/>
                <w:sz w:val="18"/>
                <w:szCs w:val="18"/>
              </w:rPr>
              <w:t>开发项目在通过前期市场调研和项目可行性论证，</w:t>
            </w:r>
          </w:p>
          <w:p>
            <w:pPr>
              <w:pStyle w:val="TableParagraph"/>
              <w:spacing w:line="232" w:lineRule="exact" w:before="23"/>
              <w:ind w:left="1348" w:right="101" w:hanging="1244"/>
              <w:jc w:val="left"/>
              <w:rPr>
                <w:rFonts w:ascii="宋体" w:hAnsi="宋体" w:cs="宋体" w:eastAsia="宋体" w:hint="default"/>
                <w:sz w:val="18"/>
                <w:szCs w:val="18"/>
              </w:rPr>
            </w:pPr>
            <w:r>
              <w:rPr>
                <w:rFonts w:ascii="宋体" w:hAnsi="宋体" w:cs="宋体" w:eastAsia="宋体" w:hint="default"/>
                <w:spacing w:val="-2"/>
                <w:sz w:val="18"/>
                <w:szCs w:val="18"/>
              </w:rPr>
              <w:t>并报经公司批准立项后即进入开发阶段，研发项目在开</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发阶段发生支出资本化</w:t>
            </w:r>
          </w:p>
        </w:tc>
        <w:tc>
          <w:tcPr>
            <w:tcW w:w="4008" w:type="dxa"/>
            <w:vMerge w:val="restart"/>
            <w:tcBorders>
              <w:top w:val="single" w:sz="6" w:space="0" w:color="000000"/>
              <w:left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1" w:right="0"/>
              <w:jc w:val="left"/>
              <w:rPr>
                <w:rFonts w:ascii="宋体" w:hAnsi="宋体" w:cs="宋体" w:eastAsia="宋体" w:hint="default"/>
                <w:sz w:val="18"/>
                <w:szCs w:val="18"/>
              </w:rPr>
            </w:pPr>
            <w:r>
              <w:rPr>
                <w:rFonts w:ascii="宋体" w:hAnsi="宋体" w:cs="宋体" w:eastAsia="宋体" w:hint="default"/>
                <w:sz w:val="18"/>
                <w:szCs w:val="18"/>
              </w:rPr>
              <w:t>各项目均处于结项验收前不同阶段</w:t>
            </w:r>
          </w:p>
        </w:tc>
      </w:tr>
      <w:tr>
        <w:trPr>
          <w:trHeight w:val="370" w:hRule="exact"/>
        </w:trPr>
        <w:tc>
          <w:tcPr>
            <w:tcW w:w="2592" w:type="dxa"/>
            <w:tcBorders>
              <w:top w:val="single" w:sz="6" w:space="0" w:color="000000"/>
              <w:left w:val="nil" w:sz="6" w:space="0" w:color="auto"/>
              <w:bottom w:val="single" w:sz="12"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军工装备产品系列研发项目</w:t>
            </w:r>
            <w:r>
              <w:rPr>
                <w:rFonts w:ascii="宋体" w:hAnsi="宋体" w:cs="宋体" w:eastAsia="宋体" w:hint="default"/>
                <w:sz w:val="18"/>
                <w:szCs w:val="18"/>
              </w:rPr>
              <w:t> </w:t>
            </w:r>
          </w:p>
        </w:tc>
        <w:tc>
          <w:tcPr>
            <w:tcW w:w="2984" w:type="dxa"/>
            <w:vMerge/>
            <w:tcBorders>
              <w:left w:val="single" w:sz="4" w:space="0" w:color="000000"/>
              <w:bottom w:val="single" w:sz="12" w:space="0" w:color="000000"/>
              <w:right w:val="single" w:sz="4" w:space="0" w:color="000000"/>
            </w:tcBorders>
          </w:tcPr>
          <w:p>
            <w:pPr/>
          </w:p>
        </w:tc>
        <w:tc>
          <w:tcPr>
            <w:tcW w:w="4505" w:type="dxa"/>
            <w:vMerge/>
            <w:tcBorders>
              <w:left w:val="single" w:sz="4" w:space="0" w:color="000000"/>
              <w:bottom w:val="single" w:sz="12" w:space="0" w:color="000000"/>
              <w:right w:val="single" w:sz="4" w:space="0" w:color="000000"/>
            </w:tcBorders>
          </w:tcPr>
          <w:p>
            <w:pPr/>
          </w:p>
        </w:tc>
        <w:tc>
          <w:tcPr>
            <w:tcW w:w="4008" w:type="dxa"/>
            <w:vMerge/>
            <w:tcBorders>
              <w:left w:val="single" w:sz="4" w:space="0" w:color="000000"/>
              <w:bottom w:val="single" w:sz="12" w:space="0" w:color="000000"/>
              <w:right w:val="nil" w:sz="6" w:space="0" w:color="auto"/>
            </w:tcBorders>
          </w:tcPr>
          <w:p>
            <w:pPr/>
          </w:p>
        </w:tc>
      </w:tr>
    </w:tbl>
    <w:p>
      <w:pPr>
        <w:pStyle w:val="Heading3"/>
        <w:spacing w:line="274" w:lineRule="exact"/>
        <w:ind w:left="224" w:right="0"/>
        <w:jc w:val="left"/>
        <w:rPr>
          <w:rFonts w:ascii="宋体" w:hAnsi="宋体" w:cs="宋体" w:eastAsia="宋体" w:hint="default"/>
        </w:rPr>
      </w:pPr>
      <w:r>
        <w:rPr>
          <w:rFonts w:ascii="宋体"/>
        </w:rPr>
        <w:t> </w:t>
      </w:r>
    </w:p>
    <w:p>
      <w:pPr>
        <w:pStyle w:val="Heading5"/>
        <w:spacing w:line="290" w:lineRule="auto"/>
        <w:ind w:left="224" w:right="11520"/>
        <w:jc w:val="left"/>
        <w:rPr>
          <w:rFonts w:ascii="宋体" w:hAnsi="宋体" w:cs="宋体" w:eastAsia="宋体" w:hint="default"/>
          <w:b w:val="0"/>
          <w:bCs w:val="0"/>
        </w:rPr>
      </w:pPr>
      <w:r>
        <w:rPr>
          <w:rFonts w:ascii="宋体" w:hAnsi="宋体" w:cs="宋体" w:eastAsia="宋体" w:hint="default"/>
        </w:rPr>
        <w:t>27</w:t>
      </w:r>
      <w:r>
        <w:rPr/>
        <w:t>、</w:t>
      </w:r>
      <w:r>
        <w:rPr>
          <w:spacing w:val="-24"/>
        </w:rPr>
        <w:t> </w:t>
      </w:r>
      <w:r>
        <w:rPr/>
        <w:t>商誉</w:t>
      </w:r>
      <w:r>
        <w:rPr>
          <w:rFonts w:ascii="宋体" w:hAnsi="宋体" w:cs="宋体" w:eastAsia="宋体" w:hint="default"/>
          <w:w w:val="99"/>
        </w:rPr>
        <w:t> </w:t>
      </w:r>
      <w:r>
        <w:rPr>
          <w:rFonts w:ascii="宋体" w:hAnsi="宋体" w:cs="宋体" w:eastAsia="宋体" w:hint="default"/>
        </w:rPr>
        <w:t>(1).</w:t>
      </w:r>
      <w:r>
        <w:rPr/>
        <w:t>商誉账面原值</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00" w:right="1200"/>
        </w:sectPr>
      </w:pPr>
    </w:p>
    <w:p>
      <w:pPr>
        <w:pStyle w:val="BodyText"/>
        <w:spacing w:line="240" w:lineRule="auto" w:before="117"/>
        <w:ind w:left="0" w:right="112"/>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020"/>
        <w:gridCol w:w="1834"/>
        <w:gridCol w:w="1874"/>
        <w:gridCol w:w="1834"/>
        <w:gridCol w:w="1872"/>
        <w:gridCol w:w="1853"/>
        <w:gridCol w:w="1802"/>
      </w:tblGrid>
      <w:tr>
        <w:trPr>
          <w:trHeight w:val="295" w:hRule="exact"/>
        </w:trPr>
        <w:tc>
          <w:tcPr>
            <w:tcW w:w="3020" w:type="dxa"/>
            <w:vMerge w:val="restart"/>
            <w:tcBorders>
              <w:top w:val="single" w:sz="4" w:space="0" w:color="000000"/>
              <w:left w:val="single" w:sz="4" w:space="0" w:color="000000"/>
              <w:right w:val="single" w:sz="4" w:space="0" w:color="000000"/>
            </w:tcBorders>
          </w:tcPr>
          <w:p>
            <w:pPr>
              <w:pStyle w:val="TableParagraph"/>
              <w:spacing w:line="272" w:lineRule="exact" w:before="137"/>
              <w:ind w:left="1293" w:right="134" w:hanging="1155"/>
              <w:jc w:val="left"/>
              <w:rPr>
                <w:rFonts w:ascii="宋体" w:hAnsi="宋体" w:cs="宋体" w:eastAsia="宋体" w:hint="default"/>
                <w:sz w:val="21"/>
                <w:szCs w:val="21"/>
              </w:rPr>
            </w:pPr>
            <w:r>
              <w:rPr>
                <w:rFonts w:ascii="宋体" w:hAnsi="宋体" w:cs="宋体" w:eastAsia="宋体" w:hint="default"/>
                <w:spacing w:val="-2"/>
                <w:sz w:val="21"/>
                <w:szCs w:val="21"/>
              </w:rPr>
              <w:t>被投资单位名称或形成商誉的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事项</w:t>
            </w:r>
            <w:r>
              <w:rPr>
                <w:rFonts w:ascii="宋体" w:hAnsi="宋体" w:cs="宋体" w:eastAsia="宋体" w:hint="default"/>
                <w:sz w:val="21"/>
                <w:szCs w:val="21"/>
              </w:rPr>
              <w:t> </w:t>
            </w:r>
          </w:p>
        </w:tc>
        <w:tc>
          <w:tcPr>
            <w:tcW w:w="183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9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3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2" w:right="0"/>
              <w:jc w:val="center"/>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37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0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7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45" w:hRule="exact"/>
        </w:trPr>
        <w:tc>
          <w:tcPr>
            <w:tcW w:w="3020" w:type="dxa"/>
            <w:vMerge/>
            <w:tcBorders>
              <w:left w:val="single" w:sz="4" w:space="0" w:color="000000"/>
              <w:bottom w:val="single" w:sz="4" w:space="0" w:color="000000"/>
              <w:right w:val="single" w:sz="4" w:space="0" w:color="000000"/>
            </w:tcBorders>
          </w:tcPr>
          <w:p>
            <w:pPr/>
          </w:p>
        </w:tc>
        <w:tc>
          <w:tcPr>
            <w:tcW w:w="1834" w:type="dxa"/>
            <w:vMerge/>
            <w:tcBorders>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96" w:right="0"/>
              <w:jc w:val="left"/>
              <w:rPr>
                <w:rFonts w:ascii="宋体" w:hAnsi="宋体" w:cs="宋体" w:eastAsia="宋体" w:hint="default"/>
                <w:sz w:val="21"/>
                <w:szCs w:val="21"/>
              </w:rPr>
            </w:pPr>
            <w:r>
              <w:rPr>
                <w:rFonts w:ascii="宋体" w:hAnsi="宋体" w:cs="宋体" w:eastAsia="宋体" w:hint="default"/>
                <w:sz w:val="21"/>
                <w:szCs w:val="21"/>
              </w:rPr>
              <w:t>企业合并形成的</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912"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719" w:right="0"/>
              <w:jc w:val="left"/>
              <w:rPr>
                <w:rFonts w:ascii="宋体" w:hAnsi="宋体" w:cs="宋体" w:eastAsia="宋体" w:hint="default"/>
                <w:sz w:val="21"/>
                <w:szCs w:val="21"/>
              </w:rPr>
            </w:pPr>
            <w:r>
              <w:rPr>
                <w:rFonts w:ascii="宋体" w:hAnsi="宋体" w:cs="宋体" w:eastAsia="宋体" w:hint="default"/>
                <w:sz w:val="21"/>
                <w:szCs w:val="21"/>
              </w:rPr>
              <w:t>处置</w:t>
            </w:r>
            <w:r>
              <w:rPr>
                <w:rFonts w:ascii="宋体" w:hAnsi="宋体" w:cs="宋体" w:eastAsia="宋体" w:hint="default"/>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922"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802" w:type="dxa"/>
            <w:vMerge/>
            <w:tcBorders>
              <w:left w:val="single" w:sz="4" w:space="0" w:color="000000"/>
              <w:bottom w:val="single" w:sz="4" w:space="0" w:color="000000"/>
              <w:right w:val="single" w:sz="4" w:space="0" w:color="000000"/>
            </w:tcBorders>
          </w:tcPr>
          <w:p>
            <w:pPr/>
          </w:p>
        </w:tc>
      </w:tr>
      <w:tr>
        <w:trPr>
          <w:trHeight w:val="281"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泰豪软件股份有限公司</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158,457,437.48</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158,457,437.48</w:t>
            </w:r>
          </w:p>
        </w:tc>
      </w:tr>
      <w:tr>
        <w:trPr>
          <w:trHeight w:val="283"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龙岩市海德馨汽车有限公司</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97,343,881.58</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97,343,881.58</w:t>
            </w:r>
          </w:p>
        </w:tc>
      </w:tr>
      <w:tr>
        <w:trPr>
          <w:trHeight w:val="554"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莱福士电力电子设备（深圳）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34,449,904.70</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34,449,904.70</w:t>
            </w:r>
          </w:p>
        </w:tc>
      </w:tr>
      <w:tr>
        <w:trPr>
          <w:trHeight w:val="555"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上海博辕信息技术服务有限公</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506,973,784.97</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1,593,755.04</w:t>
            </w:r>
          </w:p>
        </w:tc>
        <w:tc>
          <w:tcPr>
            <w:tcW w:w="1853"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505,380,029.93</w:t>
            </w:r>
          </w:p>
        </w:tc>
      </w:tr>
      <w:tr>
        <w:trPr>
          <w:trHeight w:val="554"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上海红生信息系统工程有限公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442,240,177.95</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442,240,177.95</w:t>
            </w:r>
          </w:p>
        </w:tc>
      </w:tr>
      <w:tr>
        <w:trPr>
          <w:trHeight w:val="283"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湖南基石通信技术有限公司</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11,673,632.74</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11,673,632.74</w:t>
            </w:r>
          </w:p>
        </w:tc>
        <w:tc>
          <w:tcPr>
            <w:tcW w:w="1853"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北京泰豪装备科技有限公司</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37,720,562.43</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37,720,562.43</w:t>
            </w:r>
          </w:p>
        </w:tc>
      </w:tr>
      <w:tr>
        <w:trPr>
          <w:trHeight w:val="305"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1,288,859,381.85</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13,267,387.78</w:t>
            </w:r>
          </w:p>
        </w:tc>
        <w:tc>
          <w:tcPr>
            <w:tcW w:w="1853"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1,275,591,994.07</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6840" w:h="11910" w:orient="landscape"/>
          <w:pgMar w:header="882" w:footer="1195" w:top="1120" w:bottom="1380" w:left="1300" w:right="1220"/>
        </w:sectPr>
      </w:pPr>
    </w:p>
    <w:p>
      <w:pPr>
        <w:pStyle w:val="Heading5"/>
        <w:spacing w:line="240" w:lineRule="auto" w:before="36"/>
        <w:ind w:left="224" w:right="0"/>
        <w:jc w:val="left"/>
        <w:rPr>
          <w:rFonts w:ascii="宋体" w:hAnsi="宋体" w:cs="宋体" w:eastAsia="宋体" w:hint="default"/>
          <w:b w:val="0"/>
          <w:bCs w:val="0"/>
        </w:rPr>
      </w:pPr>
      <w:r>
        <w:rPr>
          <w:rFonts w:ascii="宋体" w:hAnsi="宋体" w:cs="宋体" w:eastAsia="宋体" w:hint="default"/>
        </w:rPr>
        <w:t>(2).</w:t>
      </w:r>
      <w:r>
        <w:rPr/>
        <w:t>商誉减值准备</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left="224"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00" w:right="1220"/>
          <w:cols w:num="2" w:equalWidth="0">
            <w:col w:w="2265" w:space="9298"/>
            <w:col w:w="2757"/>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027"/>
        <w:gridCol w:w="1829"/>
        <w:gridCol w:w="1874"/>
        <w:gridCol w:w="1832"/>
        <w:gridCol w:w="1848"/>
        <w:gridCol w:w="1928"/>
        <w:gridCol w:w="1752"/>
      </w:tblGrid>
      <w:tr>
        <w:trPr>
          <w:trHeight w:val="281" w:hRule="exact"/>
        </w:trPr>
        <w:tc>
          <w:tcPr>
            <w:tcW w:w="3027" w:type="dxa"/>
            <w:vMerge w:val="restart"/>
            <w:tcBorders>
              <w:top w:val="single" w:sz="4" w:space="0" w:color="000000"/>
              <w:left w:val="single" w:sz="4" w:space="0" w:color="000000"/>
              <w:right w:val="single" w:sz="4" w:space="0" w:color="000000"/>
            </w:tcBorders>
          </w:tcPr>
          <w:p>
            <w:pPr>
              <w:pStyle w:val="TableParagraph"/>
              <w:spacing w:line="272" w:lineRule="exact" w:before="10"/>
              <w:ind w:left="1298" w:right="139" w:hanging="1158"/>
              <w:jc w:val="left"/>
              <w:rPr>
                <w:rFonts w:ascii="宋体" w:hAnsi="宋体" w:cs="宋体" w:eastAsia="宋体" w:hint="default"/>
                <w:sz w:val="21"/>
                <w:szCs w:val="21"/>
              </w:rPr>
            </w:pPr>
            <w:r>
              <w:rPr>
                <w:rFonts w:ascii="宋体" w:hAnsi="宋体" w:cs="宋体" w:eastAsia="宋体" w:hint="default"/>
                <w:spacing w:val="-2"/>
                <w:sz w:val="21"/>
                <w:szCs w:val="21"/>
              </w:rPr>
              <w:t>被投资单位名称或形成商誉的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事项</w:t>
            </w:r>
            <w:r>
              <w:rPr>
                <w:rFonts w:ascii="宋体" w:hAnsi="宋体" w:cs="宋体" w:eastAsia="宋体" w:hint="default"/>
                <w:sz w:val="21"/>
                <w:szCs w:val="21"/>
              </w:rPr>
              <w:t> </w:t>
            </w:r>
          </w:p>
        </w:tc>
        <w:tc>
          <w:tcPr>
            <w:tcW w:w="1829" w:type="dxa"/>
            <w:vMerge w:val="restart"/>
            <w:tcBorders>
              <w:top w:val="single" w:sz="4" w:space="0" w:color="000000"/>
              <w:left w:val="single" w:sz="4" w:space="0" w:color="000000"/>
              <w:right w:val="single" w:sz="4" w:space="0" w:color="000000"/>
            </w:tcBorders>
          </w:tcPr>
          <w:p>
            <w:pPr>
              <w:pStyle w:val="TableParagraph"/>
              <w:spacing w:line="240" w:lineRule="auto" w:before="117"/>
              <w:ind w:left="48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37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37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752" w:type="dxa"/>
            <w:vMerge w:val="restart"/>
            <w:tcBorders>
              <w:top w:val="single" w:sz="4" w:space="0" w:color="000000"/>
              <w:left w:val="single" w:sz="4" w:space="0" w:color="000000"/>
              <w:right w:val="single" w:sz="4" w:space="0" w:color="000000"/>
            </w:tcBorders>
          </w:tcPr>
          <w:p>
            <w:pPr>
              <w:pStyle w:val="TableParagraph"/>
              <w:spacing w:line="240" w:lineRule="auto" w:before="117"/>
              <w:ind w:left="45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07" w:hRule="exact"/>
        </w:trPr>
        <w:tc>
          <w:tcPr>
            <w:tcW w:w="3027" w:type="dxa"/>
            <w:vMerge/>
            <w:tcBorders>
              <w:left w:val="single" w:sz="4" w:space="0" w:color="000000"/>
              <w:bottom w:val="single" w:sz="4" w:space="0" w:color="000000"/>
              <w:right w:val="single" w:sz="4" w:space="0" w:color="000000"/>
            </w:tcBorders>
          </w:tcPr>
          <w:p>
            <w:pPr/>
          </w:p>
        </w:tc>
        <w:tc>
          <w:tcPr>
            <w:tcW w:w="1829" w:type="dxa"/>
            <w:vMerge/>
            <w:tcBorders>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722"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91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707" w:right="0"/>
              <w:jc w:val="left"/>
              <w:rPr>
                <w:rFonts w:ascii="宋体" w:hAnsi="宋体" w:cs="宋体" w:eastAsia="宋体" w:hint="default"/>
                <w:sz w:val="21"/>
                <w:szCs w:val="21"/>
              </w:rPr>
            </w:pPr>
            <w:r>
              <w:rPr>
                <w:rFonts w:ascii="宋体" w:hAnsi="宋体" w:cs="宋体" w:eastAsia="宋体" w:hint="default"/>
                <w:sz w:val="21"/>
                <w:szCs w:val="21"/>
              </w:rPr>
              <w:t>处置</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5" w:right="0"/>
              <w:jc w:val="center"/>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52" w:type="dxa"/>
            <w:vMerge/>
            <w:tcBorders>
              <w:left w:val="single" w:sz="4" w:space="0" w:color="000000"/>
              <w:bottom w:val="single" w:sz="4" w:space="0" w:color="000000"/>
              <w:right w:val="single" w:sz="4" w:space="0" w:color="000000"/>
            </w:tcBorders>
          </w:tcPr>
          <w:p>
            <w:pPr/>
          </w:p>
        </w:tc>
      </w:tr>
      <w:tr>
        <w:trPr>
          <w:trHeight w:val="281"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龙岩市海德馨汽车有限公司</w:t>
            </w:r>
            <w:r>
              <w:rPr>
                <w:rFonts w:ascii="宋体" w:hAnsi="宋体" w:cs="宋体" w:eastAsia="宋体" w:hint="default"/>
                <w:sz w:val="21"/>
                <w:szCs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11,000,000.00</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11,000,000.00</w:t>
            </w:r>
          </w:p>
        </w:tc>
      </w:tr>
      <w:tr>
        <w:trPr>
          <w:trHeight w:val="283"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湖南基石通信技术有限公司</w:t>
            </w:r>
            <w:r>
              <w:rPr>
                <w:rFonts w:ascii="宋体" w:hAnsi="宋体" w:cs="宋体" w:eastAsia="宋体" w:hint="default"/>
                <w:sz w:val="21"/>
                <w:szCs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4,467,929.86</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4,467,929.86</w:t>
            </w:r>
          </w:p>
        </w:tc>
        <w:tc>
          <w:tcPr>
            <w:tcW w:w="1928"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上海博辕信息技术服务有限公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829" w:type="dxa"/>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161,320,390.83</w:t>
            </w:r>
          </w:p>
        </w:tc>
        <w:tc>
          <w:tcPr>
            <w:tcW w:w="1832"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161,320,390.83</w:t>
            </w:r>
          </w:p>
        </w:tc>
      </w:tr>
      <w:tr>
        <w:trPr>
          <w:trHeight w:val="293"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15,467,929.86</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161,320,390.83</w:t>
            </w:r>
          </w:p>
        </w:tc>
        <w:tc>
          <w:tcPr>
            <w:tcW w:w="1832"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4,467,929.86</w:t>
            </w:r>
          </w:p>
        </w:tc>
        <w:tc>
          <w:tcPr>
            <w:tcW w:w="1928"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172,320,390.83</w:t>
            </w:r>
          </w:p>
        </w:tc>
      </w:tr>
    </w:tbl>
    <w:p>
      <w:pPr>
        <w:spacing w:after="0" w:line="240" w:lineRule="auto"/>
        <w:jc w:val="right"/>
        <w:rPr>
          <w:rFonts w:ascii="Times New Roman" w:hAnsi="Times New Roman" w:cs="Times New Roman" w:eastAsia="Times New Roman" w:hint="default"/>
          <w:sz w:val="21"/>
          <w:szCs w:val="21"/>
        </w:rPr>
        <w:sectPr>
          <w:type w:val="continuous"/>
          <w:pgSz w:w="16840" w:h="11910" w:orient="landscape"/>
          <w:pgMar w:top="1120" w:bottom="1380" w:left="1300" w:right="1220"/>
        </w:sectPr>
      </w:pPr>
    </w:p>
    <w:p>
      <w:pPr>
        <w:pStyle w:val="Heading5"/>
        <w:spacing w:line="240" w:lineRule="auto" w:before="117"/>
        <w:ind w:left="164" w:right="0"/>
        <w:jc w:val="both"/>
        <w:rPr>
          <w:rFonts w:ascii="宋体" w:hAnsi="宋体" w:cs="宋体" w:eastAsia="宋体" w:hint="default"/>
          <w:b w:val="0"/>
          <w:bCs w:val="0"/>
        </w:rPr>
      </w:pPr>
      <w:r>
        <w:rPr>
          <w:rFonts w:ascii="宋体" w:hAnsi="宋体" w:cs="宋体" w:eastAsia="宋体" w:hint="default"/>
        </w:rPr>
        <w:t>(3).</w:t>
      </w:r>
      <w:r>
        <w:rPr/>
        <w:t>商誉所在资产组或资产组组合的相关信息</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left="164"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164" w:right="0"/>
        <w:jc w:val="both"/>
        <w:rPr>
          <w:rFonts w:ascii="宋体" w:hAnsi="宋体" w:cs="宋体" w:eastAsia="宋体" w:hint="default"/>
        </w:rPr>
      </w:pPr>
      <w:r>
        <w:rPr>
          <w:rFonts w:ascii="宋体"/>
        </w:rPr>
        <w:t> </w:t>
      </w:r>
    </w:p>
    <w:p>
      <w:pPr>
        <w:pStyle w:val="Heading5"/>
        <w:spacing w:line="272" w:lineRule="exact" w:before="92"/>
        <w:ind w:left="589" w:right="0" w:hanging="426"/>
        <w:jc w:val="left"/>
        <w:rPr>
          <w:rFonts w:ascii="宋体" w:hAnsi="宋体" w:cs="宋体" w:eastAsia="宋体" w:hint="default"/>
          <w:b w:val="0"/>
          <w:bCs w:val="0"/>
        </w:rPr>
      </w:pPr>
      <w:r>
        <w:rPr>
          <w:rFonts w:ascii="宋体" w:hAnsi="宋体" w:cs="宋体" w:eastAsia="宋体" w:hint="default"/>
          <w:spacing w:val="-2"/>
        </w:rPr>
        <w:t>(4).</w:t>
      </w:r>
      <w:r>
        <w:rPr>
          <w:spacing w:val="-2"/>
        </w:rPr>
        <w:t>说明商誉减值测试过程、关键参数（例如预计未来现金流量现值时的预测期增长率、稳定期增长率、利润率、折现率、预测期等，如适用）及商誉</w:t>
      </w:r>
      <w:r>
        <w:rPr>
          <w:spacing w:val="-18"/>
        </w:rPr>
        <w:t> </w:t>
      </w:r>
      <w:r>
        <w:rPr>
          <w:spacing w:val="-18"/>
        </w:rPr>
      </w:r>
      <w:r>
        <w:rPr/>
        <w:t>减值损失的确认方法</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25"/>
        <w:ind w:left="164"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37" w:lineRule="auto" w:before="6"/>
        <w:ind w:left="164" w:right="213" w:firstLine="480"/>
        <w:jc w:val="both"/>
      </w:pPr>
      <w:r>
        <w:rPr>
          <w:spacing w:val="-3"/>
        </w:rPr>
        <w:t>公司期末对与商誉相关的资产组进行了减值测试，首先将该商誉及归属于少数股东权益的商誉包括在内，调整资产组的账面价值，然后将调整后的</w:t>
      </w:r>
      <w:r>
        <w:rPr>
          <w:w w:val="100"/>
        </w:rPr>
        <w:t> </w:t>
      </w:r>
      <w:r>
        <w:rPr>
          <w:spacing w:val="-5"/>
        </w:rPr>
        <w:t>资产组账面价值与预测其可收回金额进行比较，以确定资产组（包含商誉）是否发生了减值。在预测可收回金额时，管理层利用了中铭国际资产评估（北</w:t>
      </w:r>
      <w:r>
        <w:rPr>
          <w:spacing w:val="19"/>
        </w:rPr>
        <w:t> </w:t>
      </w:r>
      <w:r>
        <w:rPr>
          <w:spacing w:val="19"/>
        </w:rPr>
      </w:r>
      <w:r>
        <w:rPr>
          <w:spacing w:val="-4"/>
        </w:rPr>
        <w:t>京）有限责任公司出具的中铭评报字</w:t>
      </w:r>
      <w:r>
        <w:rPr>
          <w:rFonts w:ascii="宋体" w:hAnsi="宋体" w:cs="宋体" w:eastAsia="宋体" w:hint="default"/>
          <w:spacing w:val="-4"/>
        </w:rPr>
        <w:t>[2020]</w:t>
      </w:r>
      <w:r>
        <w:rPr>
          <w:spacing w:val="-4"/>
        </w:rPr>
        <w:t>第 </w:t>
      </w:r>
      <w:r>
        <w:rPr>
          <w:rFonts w:ascii="宋体" w:hAnsi="宋体" w:cs="宋体" w:eastAsia="宋体" w:hint="default"/>
        </w:rPr>
        <w:t>2032 </w:t>
      </w:r>
      <w:r>
        <w:rPr>
          <w:spacing w:val="-3"/>
        </w:rPr>
        <w:t>号《泰豪科技股份有限公司减值测试事宜涉及的该公司并购龙岩市海德馨汽车有限公司特种汽车生产</w:t>
      </w:r>
      <w:r>
        <w:rPr>
          <w:spacing w:val="-90"/>
        </w:rPr>
        <w:t> </w:t>
      </w:r>
      <w:r>
        <w:rPr>
          <w:spacing w:val="-90"/>
        </w:rPr>
      </w:r>
      <w:r>
        <w:rPr>
          <w:spacing w:val="-5"/>
          <w:w w:val="100"/>
        </w:rPr>
        <w:t>销售业务所形成的与商誉相关的资产组资产评估报告》、中铭评报字</w:t>
      </w:r>
      <w:r>
        <w:rPr>
          <w:rFonts w:ascii="宋体" w:hAnsi="宋体" w:cs="宋体" w:eastAsia="宋体" w:hint="default"/>
          <w:spacing w:val="-5"/>
          <w:w w:val="100"/>
        </w:rPr>
        <w:t>[2020]</w:t>
      </w:r>
      <w:r>
        <w:rPr>
          <w:spacing w:val="-5"/>
          <w:w w:val="100"/>
        </w:rPr>
        <w:t>第</w:t>
      </w:r>
      <w:r>
        <w:rPr>
          <w:w w:val="100"/>
        </w:rPr>
        <w:t> </w:t>
      </w:r>
      <w:r>
        <w:rPr>
          <w:rFonts w:ascii="宋体" w:hAnsi="宋体" w:cs="宋体" w:eastAsia="宋体" w:hint="default"/>
          <w:spacing w:val="-1"/>
          <w:w w:val="100"/>
        </w:rPr>
        <w:t>2030</w:t>
      </w:r>
      <w:r>
        <w:rPr>
          <w:rFonts w:ascii="宋体" w:hAnsi="宋体" w:cs="宋体" w:eastAsia="宋体" w:hint="default"/>
          <w:spacing w:val="-44"/>
          <w:w w:val="100"/>
        </w:rPr>
        <w:t> </w:t>
      </w:r>
      <w:r>
        <w:rPr>
          <w:spacing w:val="-2"/>
          <w:w w:val="100"/>
        </w:rPr>
        <w:t>号《泰豪科技股份有限公司减值测试事宜涉及的该公司并购上海博辕</w:t>
      </w:r>
    </w:p>
    <w:p>
      <w:pPr>
        <w:pStyle w:val="BodyText"/>
        <w:spacing w:line="237" w:lineRule="auto"/>
        <w:ind w:left="164" w:right="214"/>
        <w:jc w:val="both"/>
      </w:pPr>
      <w:r>
        <w:rPr>
          <w:spacing w:val="-4"/>
          <w:w w:val="100"/>
        </w:rPr>
        <w:t>信息技术服务有限公司软件信息技术服务业务所形成的商誉及相关资产组可收回金额资产评估报告》、中铭评报字</w:t>
      </w:r>
      <w:r>
        <w:rPr>
          <w:rFonts w:ascii="宋体" w:hAnsi="宋体" w:cs="宋体" w:eastAsia="宋体" w:hint="default"/>
          <w:spacing w:val="-4"/>
          <w:w w:val="100"/>
        </w:rPr>
        <w:t>[2020]</w:t>
      </w:r>
      <w:r>
        <w:rPr>
          <w:spacing w:val="-4"/>
          <w:w w:val="100"/>
        </w:rPr>
        <w:t>第</w:t>
      </w:r>
      <w:r>
        <w:rPr>
          <w:spacing w:val="-22"/>
          <w:w w:val="100"/>
        </w:rPr>
        <w:t> </w:t>
      </w:r>
      <w:r>
        <w:rPr>
          <w:rFonts w:ascii="宋体" w:hAnsi="宋体" w:cs="宋体" w:eastAsia="宋体" w:hint="default"/>
          <w:spacing w:val="-1"/>
          <w:w w:val="100"/>
        </w:rPr>
        <w:t>2034</w:t>
      </w:r>
      <w:r>
        <w:rPr>
          <w:rFonts w:ascii="宋体" w:hAnsi="宋体" w:cs="宋体" w:eastAsia="宋体" w:hint="default"/>
          <w:spacing w:val="-26"/>
          <w:w w:val="100"/>
        </w:rPr>
        <w:t> </w:t>
      </w:r>
      <w:r>
        <w:rPr>
          <w:spacing w:val="-2"/>
          <w:w w:val="100"/>
        </w:rPr>
        <w:t>号《泰豪科技股份有限</w:t>
      </w:r>
      <w:r>
        <w:rPr>
          <w:spacing w:val="-97"/>
          <w:w w:val="100"/>
        </w:rPr>
        <w:t> </w:t>
      </w:r>
      <w:r>
        <w:rPr>
          <w:spacing w:val="-97"/>
          <w:w w:val="100"/>
        </w:rPr>
      </w:r>
      <w:r>
        <w:rPr>
          <w:spacing w:val="-5"/>
          <w:w w:val="100"/>
        </w:rPr>
        <w:t>公司减值测试事宜涉及的该公司并购泰豪软件股份有限公司软件技术服务及系统集成业务所形成的商誉及相关资产组可收回金额资产评估报告》；中联资</w:t>
      </w:r>
      <w:r>
        <w:rPr>
          <w:spacing w:val="-63"/>
          <w:w w:val="100"/>
        </w:rPr>
        <w:t> </w:t>
      </w:r>
      <w:r>
        <w:rPr>
          <w:spacing w:val="-63"/>
          <w:w w:val="100"/>
        </w:rPr>
      </w:r>
      <w:r>
        <w:rPr>
          <w:spacing w:val="-2"/>
        </w:rPr>
        <w:t>产评估集团有限公司出具的中联评报字</w:t>
      </w:r>
      <w:r>
        <w:rPr>
          <w:rFonts w:ascii="宋体" w:hAnsi="宋体" w:cs="宋体" w:eastAsia="宋体" w:hint="default"/>
          <w:spacing w:val="-2"/>
        </w:rPr>
        <w:t>[2020]</w:t>
      </w:r>
      <w:r>
        <w:rPr>
          <w:spacing w:val="-2"/>
        </w:rPr>
        <w:t>第</w:t>
      </w:r>
      <w:r>
        <w:rPr/>
        <w:t> </w:t>
      </w:r>
      <w:r>
        <w:rPr>
          <w:rFonts w:ascii="宋体" w:hAnsi="宋体" w:cs="宋体" w:eastAsia="宋体" w:hint="default"/>
          <w:spacing w:val="-1"/>
        </w:rPr>
        <w:t>521</w:t>
      </w:r>
      <w:r>
        <w:rPr>
          <w:rFonts w:ascii="宋体" w:hAnsi="宋体" w:cs="宋体" w:eastAsia="宋体" w:hint="default"/>
          <w:spacing w:val="27"/>
        </w:rPr>
        <w:t> </w:t>
      </w:r>
      <w:r>
        <w:rPr>
          <w:spacing w:val="-2"/>
        </w:rPr>
        <w:t>号《泰豪科技股份有限公司拟对合并上海红生系统工程有限公司股权所形成的商誉进行减值测试资</w:t>
      </w:r>
    </w:p>
    <w:p>
      <w:pPr>
        <w:pStyle w:val="BodyText"/>
        <w:spacing w:line="268" w:lineRule="exact"/>
        <w:ind w:left="164" w:right="0"/>
        <w:jc w:val="both"/>
        <w:rPr>
          <w:rFonts w:ascii="宋体" w:hAnsi="宋体" w:cs="宋体" w:eastAsia="宋体" w:hint="default"/>
        </w:rPr>
      </w:pPr>
      <w:r>
        <w:rPr>
          <w:w w:val="100"/>
        </w:rPr>
        <w:t>产评</w:t>
      </w:r>
      <w:r>
        <w:rPr>
          <w:spacing w:val="-3"/>
          <w:w w:val="100"/>
        </w:rPr>
        <w:t>估</w:t>
      </w:r>
      <w:r>
        <w:rPr>
          <w:w w:val="100"/>
        </w:rPr>
        <w:t>报</w:t>
      </w:r>
      <w:r>
        <w:rPr>
          <w:spacing w:val="-3"/>
          <w:w w:val="100"/>
        </w:rPr>
        <w:t>告</w:t>
      </w:r>
      <w:r>
        <w:rPr>
          <w:spacing w:val="-106"/>
          <w:w w:val="100"/>
        </w:rPr>
        <w:t>》</w:t>
      </w:r>
      <w:r>
        <w:rPr>
          <w:spacing w:val="-3"/>
          <w:w w:val="100"/>
        </w:rPr>
        <w:t>、</w:t>
      </w:r>
      <w:r>
        <w:rPr>
          <w:w w:val="100"/>
        </w:rPr>
        <w:t>中</w:t>
      </w:r>
      <w:r>
        <w:rPr>
          <w:spacing w:val="-3"/>
          <w:w w:val="100"/>
        </w:rPr>
        <w:t>联</w:t>
      </w:r>
      <w:r>
        <w:rPr>
          <w:w w:val="100"/>
        </w:rPr>
        <w:t>评</w:t>
      </w:r>
      <w:r>
        <w:rPr>
          <w:spacing w:val="-3"/>
          <w:w w:val="100"/>
        </w:rPr>
        <w:t>报字</w:t>
      </w:r>
      <w:r>
        <w:rPr>
          <w:rFonts w:ascii="宋体" w:hAnsi="宋体" w:cs="宋体" w:eastAsia="宋体" w:hint="default"/>
          <w:w w:val="100"/>
        </w:rPr>
        <w:t>[2020</w:t>
      </w:r>
      <w:r>
        <w:rPr>
          <w:rFonts w:ascii="宋体" w:hAnsi="宋体" w:cs="宋体" w:eastAsia="宋体" w:hint="default"/>
          <w:spacing w:val="-3"/>
          <w:w w:val="100"/>
        </w:rPr>
        <w:t>]</w:t>
      </w:r>
      <w:r>
        <w:rPr>
          <w:w w:val="100"/>
        </w:rPr>
        <w:t>第</w:t>
      </w:r>
      <w:r>
        <w:rPr>
          <w:spacing w:val="-53"/>
        </w:rPr>
        <w:t> </w:t>
      </w:r>
      <w:r>
        <w:rPr>
          <w:rFonts w:ascii="宋体" w:hAnsi="宋体" w:cs="宋体" w:eastAsia="宋体" w:hint="default"/>
          <w:spacing w:val="-3"/>
          <w:w w:val="100"/>
        </w:rPr>
        <w:t>5</w:t>
      </w:r>
      <w:r>
        <w:rPr>
          <w:rFonts w:ascii="宋体" w:hAnsi="宋体" w:cs="宋体" w:eastAsia="宋体" w:hint="default"/>
          <w:w w:val="100"/>
        </w:rPr>
        <w:t>22</w:t>
      </w:r>
      <w:r>
        <w:rPr>
          <w:rFonts w:ascii="宋体" w:hAnsi="宋体" w:cs="宋体" w:eastAsia="宋体" w:hint="default"/>
          <w:spacing w:val="-53"/>
        </w:rPr>
        <w:t> </w:t>
      </w:r>
      <w:r>
        <w:rPr>
          <w:spacing w:val="-3"/>
          <w:w w:val="100"/>
        </w:rPr>
        <w:t>号</w:t>
      </w:r>
      <w:r>
        <w:rPr>
          <w:w w:val="100"/>
        </w:rPr>
        <w:t>《</w:t>
      </w:r>
      <w:r>
        <w:rPr>
          <w:spacing w:val="-3"/>
          <w:w w:val="100"/>
        </w:rPr>
        <w:t>泰</w:t>
      </w:r>
      <w:r>
        <w:rPr>
          <w:w w:val="100"/>
        </w:rPr>
        <w:t>豪</w:t>
      </w:r>
      <w:r>
        <w:rPr>
          <w:spacing w:val="-3"/>
          <w:w w:val="100"/>
        </w:rPr>
        <w:t>科</w:t>
      </w:r>
      <w:r>
        <w:rPr>
          <w:w w:val="100"/>
        </w:rPr>
        <w:t>技股</w:t>
      </w:r>
      <w:r>
        <w:rPr>
          <w:spacing w:val="-3"/>
          <w:w w:val="100"/>
        </w:rPr>
        <w:t>份</w:t>
      </w:r>
      <w:r>
        <w:rPr>
          <w:w w:val="100"/>
        </w:rPr>
        <w:t>有</w:t>
      </w:r>
      <w:r>
        <w:rPr>
          <w:spacing w:val="-3"/>
          <w:w w:val="100"/>
        </w:rPr>
        <w:t>限</w:t>
      </w:r>
      <w:r>
        <w:rPr>
          <w:w w:val="100"/>
        </w:rPr>
        <w:t>公</w:t>
      </w:r>
      <w:r>
        <w:rPr>
          <w:spacing w:val="-3"/>
          <w:w w:val="100"/>
        </w:rPr>
        <w:t>司</w:t>
      </w:r>
      <w:r>
        <w:rPr>
          <w:w w:val="100"/>
        </w:rPr>
        <w:t>拟</w:t>
      </w:r>
      <w:r>
        <w:rPr>
          <w:spacing w:val="-3"/>
          <w:w w:val="100"/>
        </w:rPr>
        <w:t>对</w:t>
      </w:r>
      <w:r>
        <w:rPr>
          <w:w w:val="100"/>
        </w:rPr>
        <w:t>合</w:t>
      </w:r>
      <w:r>
        <w:rPr>
          <w:spacing w:val="-3"/>
          <w:w w:val="100"/>
        </w:rPr>
        <w:t>并</w:t>
      </w:r>
      <w:r>
        <w:rPr>
          <w:w w:val="100"/>
        </w:rPr>
        <w:t>北京</w:t>
      </w:r>
      <w:r>
        <w:rPr>
          <w:spacing w:val="-3"/>
          <w:w w:val="100"/>
        </w:rPr>
        <w:t>泰</w:t>
      </w:r>
      <w:r>
        <w:rPr>
          <w:w w:val="100"/>
        </w:rPr>
        <w:t>豪</w:t>
      </w:r>
      <w:r>
        <w:rPr>
          <w:spacing w:val="-3"/>
          <w:w w:val="100"/>
        </w:rPr>
        <w:t>装</w:t>
      </w:r>
      <w:r>
        <w:rPr>
          <w:w w:val="100"/>
        </w:rPr>
        <w:t>备</w:t>
      </w:r>
      <w:r>
        <w:rPr>
          <w:spacing w:val="-3"/>
          <w:w w:val="100"/>
        </w:rPr>
        <w:t>科</w:t>
      </w:r>
      <w:r>
        <w:rPr>
          <w:w w:val="100"/>
        </w:rPr>
        <w:t>技</w:t>
      </w:r>
      <w:r>
        <w:rPr>
          <w:spacing w:val="-3"/>
          <w:w w:val="100"/>
        </w:rPr>
        <w:t>有</w:t>
      </w:r>
      <w:r>
        <w:rPr>
          <w:w w:val="100"/>
        </w:rPr>
        <w:t>限</w:t>
      </w:r>
      <w:r>
        <w:rPr>
          <w:spacing w:val="-3"/>
          <w:w w:val="100"/>
        </w:rPr>
        <w:t>公</w:t>
      </w:r>
      <w:r>
        <w:rPr>
          <w:w w:val="100"/>
        </w:rPr>
        <w:t>司股</w:t>
      </w:r>
      <w:r>
        <w:rPr>
          <w:spacing w:val="-3"/>
          <w:w w:val="100"/>
        </w:rPr>
        <w:t>权</w:t>
      </w:r>
      <w:r>
        <w:rPr>
          <w:w w:val="100"/>
        </w:rPr>
        <w:t>所</w:t>
      </w:r>
      <w:r>
        <w:rPr>
          <w:spacing w:val="-3"/>
          <w:w w:val="100"/>
        </w:rPr>
        <w:t>形</w:t>
      </w:r>
      <w:r>
        <w:rPr>
          <w:w w:val="100"/>
        </w:rPr>
        <w:t>成</w:t>
      </w:r>
      <w:r>
        <w:rPr>
          <w:spacing w:val="-3"/>
          <w:w w:val="100"/>
        </w:rPr>
        <w:t>的</w:t>
      </w:r>
      <w:r>
        <w:rPr>
          <w:w w:val="100"/>
        </w:rPr>
        <w:t>商</w:t>
      </w:r>
      <w:r>
        <w:rPr>
          <w:spacing w:val="-3"/>
          <w:w w:val="100"/>
        </w:rPr>
        <w:t>誉</w:t>
      </w:r>
      <w:r>
        <w:rPr>
          <w:w w:val="100"/>
        </w:rPr>
        <w:t>进</w:t>
      </w:r>
      <w:r>
        <w:rPr>
          <w:spacing w:val="-3"/>
          <w:w w:val="100"/>
        </w:rPr>
        <w:t>行</w:t>
      </w:r>
      <w:r>
        <w:rPr>
          <w:w w:val="100"/>
        </w:rPr>
        <w:t>减值</w:t>
      </w:r>
      <w:r>
        <w:rPr>
          <w:spacing w:val="-3"/>
          <w:w w:val="100"/>
        </w:rPr>
        <w:t>测</w:t>
      </w:r>
      <w:r>
        <w:rPr>
          <w:w w:val="100"/>
        </w:rPr>
        <w:t>试</w:t>
      </w:r>
      <w:r>
        <w:rPr>
          <w:spacing w:val="-3"/>
          <w:w w:val="100"/>
        </w:rPr>
        <w:t>资</w:t>
      </w:r>
      <w:r>
        <w:rPr>
          <w:w w:val="100"/>
        </w:rPr>
        <w:t>产</w:t>
      </w:r>
      <w:r>
        <w:rPr>
          <w:spacing w:val="-3"/>
          <w:w w:val="100"/>
        </w:rPr>
        <w:t>评</w:t>
      </w:r>
      <w:r>
        <w:rPr>
          <w:w w:val="100"/>
        </w:rPr>
        <w:t>估报</w:t>
      </w:r>
      <w:r>
        <w:rPr>
          <w:spacing w:val="2"/>
          <w:w w:val="100"/>
        </w:rPr>
        <w:t>告</w:t>
      </w:r>
      <w:r>
        <w:rPr>
          <w:spacing w:val="-106"/>
          <w:w w:val="100"/>
        </w:rPr>
        <w:t>》</w:t>
      </w:r>
      <w:r>
        <w:rPr>
          <w:rFonts w:ascii="宋体" w:hAnsi="宋体" w:cs="宋体" w:eastAsia="宋体" w:hint="default"/>
          <w:w w:val="100"/>
        </w:rPr>
        <w:t> </w:t>
      </w:r>
    </w:p>
    <w:p>
      <w:pPr>
        <w:pStyle w:val="Heading3"/>
        <w:spacing w:line="237" w:lineRule="auto"/>
        <w:ind w:left="164" w:right="221" w:firstLine="480"/>
        <w:jc w:val="both"/>
        <w:rPr>
          <w:rFonts w:ascii="宋体" w:hAnsi="宋体" w:cs="宋体" w:eastAsia="宋体" w:hint="default"/>
        </w:rPr>
      </w:pPr>
      <w:r>
        <w:rPr>
          <w:spacing w:val="-1"/>
        </w:rPr>
        <w:t>商誉减值损失的确认方法：公司期末对与商誉相关的资产组进行了减值测试，首先将该商誉及归属于少数股东权益的商誉包括在</w:t>
      </w:r>
      <w:r>
        <w:rPr/>
        <w:t> </w:t>
      </w:r>
      <w:r>
        <w:rPr>
          <w:spacing w:val="-1"/>
        </w:rPr>
        <w:t>内，调整资产组的账面价值，然后将调整后的资产组账面价值与预测其可收回金额进行比较，以确定资产组（包含商誉）是否发生了</w:t>
      </w:r>
      <w:r>
        <w:rPr>
          <w:spacing w:val="-112"/>
        </w:rPr>
        <w:t> </w:t>
      </w:r>
      <w:r>
        <w:rPr>
          <w:spacing w:val="-112"/>
        </w:rPr>
      </w:r>
      <w:r>
        <w:rPr/>
        <w:t>减值。</w:t>
      </w:r>
      <w:r>
        <w:rPr>
          <w:rFonts w:ascii="宋体" w:hAnsi="宋体" w:cs="宋体" w:eastAsia="宋体" w:hint="default"/>
        </w:rPr>
        <w:t> </w:t>
      </w:r>
    </w:p>
    <w:p>
      <w:pPr>
        <w:pStyle w:val="Heading3"/>
        <w:spacing w:line="240" w:lineRule="auto" w:before="147"/>
        <w:ind w:left="164" w:right="0"/>
        <w:jc w:val="both"/>
        <w:rPr>
          <w:rFonts w:ascii="宋体" w:hAnsi="宋体" w:cs="宋体" w:eastAsia="宋体" w:hint="default"/>
        </w:rPr>
      </w:pPr>
      <w:r>
        <w:rPr/>
        <w:t>商誉减值测试过程如下</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787"/>
        <w:gridCol w:w="2326"/>
        <w:gridCol w:w="2189"/>
        <w:gridCol w:w="2326"/>
        <w:gridCol w:w="2323"/>
      </w:tblGrid>
      <w:tr>
        <w:trPr>
          <w:trHeight w:val="490" w:hRule="exact"/>
        </w:trPr>
        <w:tc>
          <w:tcPr>
            <w:tcW w:w="478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7"/>
              <w:ind w:left="111"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3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254" w:right="0"/>
              <w:jc w:val="left"/>
              <w:rPr>
                <w:rFonts w:ascii="宋体" w:hAnsi="宋体" w:cs="宋体" w:eastAsia="宋体" w:hint="default"/>
                <w:sz w:val="18"/>
                <w:szCs w:val="18"/>
              </w:rPr>
            </w:pPr>
            <w:r>
              <w:rPr>
                <w:rFonts w:ascii="宋体" w:hAnsi="宋体" w:cs="宋体" w:eastAsia="宋体" w:hint="default"/>
                <w:sz w:val="18"/>
                <w:szCs w:val="18"/>
              </w:rPr>
              <w:t>泰豪软件股份有限公司</w:t>
            </w:r>
            <w:r>
              <w:rPr>
                <w:rFonts w:ascii="宋体" w:hAnsi="宋体" w:cs="宋体" w:eastAsia="宋体" w:hint="default"/>
                <w:sz w:val="18"/>
                <w:szCs w:val="18"/>
              </w:rPr>
              <w:t> </w:t>
            </w:r>
          </w:p>
        </w:tc>
        <w:tc>
          <w:tcPr>
            <w:tcW w:w="2189"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left="2" w:right="0"/>
              <w:jc w:val="center"/>
              <w:rPr>
                <w:rFonts w:ascii="宋体" w:hAnsi="宋体" w:cs="宋体" w:eastAsia="宋体" w:hint="default"/>
                <w:sz w:val="18"/>
                <w:szCs w:val="18"/>
              </w:rPr>
            </w:pPr>
            <w:r>
              <w:rPr>
                <w:rFonts w:ascii="宋体" w:hAnsi="宋体" w:cs="宋体" w:eastAsia="宋体" w:hint="default"/>
                <w:sz w:val="18"/>
                <w:szCs w:val="18"/>
              </w:rPr>
              <w:t>龙岩市海德馨汽车有限公</w:t>
            </w:r>
          </w:p>
          <w:p>
            <w:pPr>
              <w:pStyle w:val="TableParagraph"/>
              <w:spacing w:line="234" w:lineRule="exact"/>
              <w:ind w:left="92" w:right="0"/>
              <w:jc w:val="center"/>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18"/>
                <w:szCs w:val="18"/>
              </w:rPr>
              <w:t> </w:t>
            </w:r>
          </w:p>
        </w:tc>
        <w:tc>
          <w:tcPr>
            <w:tcW w:w="2326"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上海博辕信息技术服务有限</w:t>
            </w:r>
          </w:p>
          <w:p>
            <w:pPr>
              <w:pStyle w:val="TableParagraph"/>
              <w:spacing w:line="234" w:lineRule="exact"/>
              <w:ind w:left="87" w:right="0"/>
              <w:jc w:val="center"/>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c>
          <w:tcPr>
            <w:tcW w:w="2323" w:type="dxa"/>
            <w:tcBorders>
              <w:top w:val="single" w:sz="12" w:space="0" w:color="000000"/>
              <w:left w:val="single" w:sz="6" w:space="0" w:color="000000"/>
              <w:bottom w:val="single" w:sz="6" w:space="0" w:color="000000"/>
              <w:right w:val="nil" w:sz="6" w:space="0" w:color="auto"/>
            </w:tcBorders>
          </w:tcPr>
          <w:p>
            <w:pPr>
              <w:pStyle w:val="TableParagraph"/>
              <w:spacing w:line="204" w:lineRule="exact"/>
              <w:ind w:right="11"/>
              <w:jc w:val="center"/>
              <w:rPr>
                <w:rFonts w:ascii="宋体" w:hAnsi="宋体" w:cs="宋体" w:eastAsia="宋体" w:hint="default"/>
                <w:sz w:val="18"/>
                <w:szCs w:val="18"/>
              </w:rPr>
            </w:pPr>
            <w:r>
              <w:rPr>
                <w:rFonts w:ascii="宋体" w:hAnsi="宋体" w:cs="宋体" w:eastAsia="宋体" w:hint="default"/>
                <w:sz w:val="18"/>
                <w:szCs w:val="18"/>
              </w:rPr>
              <w:t>上海红生信息系统工程有限</w:t>
            </w:r>
          </w:p>
          <w:p>
            <w:pPr>
              <w:pStyle w:val="TableParagraph"/>
              <w:spacing w:line="234" w:lineRule="exact"/>
              <w:ind w:left="78" w:right="0"/>
              <w:jc w:val="center"/>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r>
      <w:tr>
        <w:trPr>
          <w:trHeight w:val="355" w:hRule="exact"/>
        </w:trPr>
        <w:tc>
          <w:tcPr>
            <w:tcW w:w="47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45" w:right="0"/>
              <w:jc w:val="left"/>
              <w:rPr>
                <w:rFonts w:ascii="宋体" w:hAnsi="宋体" w:cs="宋体" w:eastAsia="宋体" w:hint="default"/>
                <w:sz w:val="18"/>
                <w:szCs w:val="18"/>
              </w:rPr>
            </w:pPr>
            <w:r>
              <w:rPr>
                <w:rFonts w:ascii="宋体" w:hAnsi="宋体" w:cs="宋体" w:eastAsia="宋体" w:hint="default"/>
                <w:sz w:val="18"/>
                <w:szCs w:val="18"/>
              </w:rPr>
              <w:t>商誉账面余额①</w:t>
            </w:r>
            <w:r>
              <w:rPr>
                <w:rFonts w:ascii="宋体" w:hAnsi="宋体" w:cs="宋体" w:eastAsia="宋体" w:hint="default"/>
                <w:sz w:val="18"/>
                <w:szCs w:val="18"/>
              </w:rPr>
              <w:t> </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2"/>
              <w:jc w:val="right"/>
              <w:rPr>
                <w:rFonts w:ascii="Times New Roman" w:hAnsi="Times New Roman" w:cs="Times New Roman" w:eastAsia="Times New Roman" w:hint="default"/>
                <w:sz w:val="20"/>
                <w:szCs w:val="20"/>
              </w:rPr>
            </w:pPr>
            <w:r>
              <w:rPr>
                <w:rFonts w:ascii="Times New Roman"/>
                <w:w w:val="95"/>
                <w:sz w:val="20"/>
              </w:rPr>
              <w:t>158,457,437.48</w:t>
            </w:r>
            <w:r>
              <w:rPr>
                <w:rFonts w:ascii="Times New Roman"/>
                <w:sz w:val="20"/>
              </w:rPr>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7"/>
              <w:jc w:val="right"/>
              <w:rPr>
                <w:rFonts w:ascii="Times New Roman" w:hAnsi="Times New Roman" w:cs="Times New Roman" w:eastAsia="Times New Roman" w:hint="default"/>
                <w:sz w:val="20"/>
                <w:szCs w:val="20"/>
              </w:rPr>
            </w:pPr>
            <w:r>
              <w:rPr>
                <w:rFonts w:ascii="Times New Roman"/>
                <w:w w:val="95"/>
                <w:sz w:val="20"/>
              </w:rPr>
              <w:t>97,343,881.58</w:t>
            </w:r>
            <w:r>
              <w:rPr>
                <w:rFonts w:ascii="Times New Roman"/>
                <w:sz w:val="20"/>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3"/>
              <w:jc w:val="right"/>
              <w:rPr>
                <w:rFonts w:ascii="Times New Roman" w:hAnsi="Times New Roman" w:cs="Times New Roman" w:eastAsia="Times New Roman" w:hint="default"/>
                <w:sz w:val="20"/>
                <w:szCs w:val="20"/>
              </w:rPr>
            </w:pPr>
            <w:r>
              <w:rPr>
                <w:rFonts w:ascii="Times New Roman"/>
                <w:w w:val="95"/>
                <w:sz w:val="20"/>
              </w:rPr>
              <w:t>505,380,029.93</w:t>
            </w:r>
            <w:r>
              <w:rPr>
                <w:rFonts w:ascii="Times New Roman"/>
                <w:sz w:val="20"/>
              </w:rPr>
            </w:r>
          </w:p>
        </w:tc>
        <w:tc>
          <w:tcPr>
            <w:tcW w:w="23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30"/>
              <w:jc w:val="right"/>
              <w:rPr>
                <w:rFonts w:ascii="Times New Roman" w:hAnsi="Times New Roman" w:cs="Times New Roman" w:eastAsia="Times New Roman" w:hint="default"/>
                <w:sz w:val="20"/>
                <w:szCs w:val="20"/>
              </w:rPr>
            </w:pPr>
            <w:r>
              <w:rPr>
                <w:rFonts w:ascii="Times New Roman"/>
                <w:w w:val="95"/>
                <w:sz w:val="20"/>
              </w:rPr>
              <w:t>442,240,177.95</w:t>
            </w:r>
            <w:r>
              <w:rPr>
                <w:rFonts w:ascii="Times New Roman"/>
                <w:sz w:val="20"/>
              </w:rPr>
            </w:r>
          </w:p>
        </w:tc>
      </w:tr>
      <w:tr>
        <w:trPr>
          <w:trHeight w:val="355" w:hRule="exact"/>
        </w:trPr>
        <w:tc>
          <w:tcPr>
            <w:tcW w:w="47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45" w:right="0"/>
              <w:jc w:val="left"/>
              <w:rPr>
                <w:rFonts w:ascii="宋体" w:hAnsi="宋体" w:cs="宋体" w:eastAsia="宋体" w:hint="default"/>
                <w:sz w:val="18"/>
                <w:szCs w:val="18"/>
              </w:rPr>
            </w:pPr>
            <w:r>
              <w:rPr>
                <w:rFonts w:ascii="宋体" w:hAnsi="宋体" w:cs="宋体" w:eastAsia="宋体" w:hint="default"/>
                <w:sz w:val="18"/>
                <w:szCs w:val="18"/>
              </w:rPr>
              <w:t>商誉减值准备余额②</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2326" w:type="dxa"/>
            <w:tcBorders>
              <w:top w:val="single" w:sz="6" w:space="0" w:color="000000"/>
              <w:left w:val="single" w:sz="6" w:space="0" w:color="000000"/>
              <w:bottom w:val="single" w:sz="6" w:space="0" w:color="000000"/>
              <w:right w:val="single" w:sz="6" w:space="0" w:color="000000"/>
            </w:tcBorders>
          </w:tcPr>
          <w:p>
            <w:pP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7"/>
              <w:jc w:val="right"/>
              <w:rPr>
                <w:rFonts w:ascii="Times New Roman" w:hAnsi="Times New Roman" w:cs="Times New Roman" w:eastAsia="Times New Roman" w:hint="default"/>
                <w:sz w:val="20"/>
                <w:szCs w:val="20"/>
              </w:rPr>
            </w:pPr>
            <w:r>
              <w:rPr>
                <w:rFonts w:ascii="Times New Roman"/>
                <w:w w:val="95"/>
                <w:sz w:val="20"/>
              </w:rPr>
              <w:t>11,000,000.00</w:t>
            </w:r>
            <w:r>
              <w:rPr>
                <w:rFonts w:ascii="Times New Roman"/>
                <w:sz w:val="20"/>
              </w:rPr>
            </w:r>
          </w:p>
        </w:tc>
        <w:tc>
          <w:tcPr>
            <w:tcW w:w="2326" w:type="dxa"/>
            <w:tcBorders>
              <w:top w:val="single" w:sz="6" w:space="0" w:color="000000"/>
              <w:left w:val="single" w:sz="6" w:space="0" w:color="000000"/>
              <w:bottom w:val="single" w:sz="6" w:space="0" w:color="000000"/>
              <w:right w:val="single" w:sz="6" w:space="0" w:color="000000"/>
            </w:tcBorders>
          </w:tcPr>
          <w:p>
            <w:pPr/>
          </w:p>
        </w:tc>
        <w:tc>
          <w:tcPr>
            <w:tcW w:w="2323" w:type="dxa"/>
            <w:tcBorders>
              <w:top w:val="single" w:sz="6" w:space="0" w:color="000000"/>
              <w:left w:val="single" w:sz="6" w:space="0" w:color="000000"/>
              <w:bottom w:val="single" w:sz="6" w:space="0" w:color="000000"/>
              <w:right w:val="nil" w:sz="6" w:space="0" w:color="auto"/>
            </w:tcBorders>
          </w:tcPr>
          <w:p>
            <w:pPr/>
          </w:p>
        </w:tc>
      </w:tr>
      <w:tr>
        <w:trPr>
          <w:trHeight w:val="353" w:hRule="exact"/>
        </w:trPr>
        <w:tc>
          <w:tcPr>
            <w:tcW w:w="47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45" w:right="0"/>
              <w:jc w:val="left"/>
              <w:rPr>
                <w:rFonts w:ascii="宋体" w:hAnsi="宋体" w:cs="宋体" w:eastAsia="宋体" w:hint="default"/>
                <w:sz w:val="18"/>
                <w:szCs w:val="18"/>
              </w:rPr>
            </w:pPr>
            <w:r>
              <w:rPr>
                <w:rFonts w:ascii="宋体" w:hAnsi="宋体" w:cs="宋体" w:eastAsia="宋体" w:hint="default"/>
                <w:sz w:val="18"/>
                <w:szCs w:val="18"/>
              </w:rPr>
              <w:t>商誉的账面价值③＝①</w:t>
            </w:r>
            <w:r>
              <w:rPr>
                <w:rFonts w:ascii="宋体" w:hAnsi="宋体" w:cs="宋体" w:eastAsia="宋体" w:hint="default"/>
                <w:sz w:val="18"/>
                <w:szCs w:val="18"/>
              </w:rPr>
              <w:t>-</w:t>
            </w:r>
            <w:r>
              <w:rPr>
                <w:rFonts w:ascii="宋体" w:hAnsi="宋体" w:cs="宋体" w:eastAsia="宋体" w:hint="default"/>
                <w:sz w:val="18"/>
                <w:szCs w:val="18"/>
              </w:rPr>
              <w:t>②</w:t>
            </w:r>
            <w:r>
              <w:rPr>
                <w:rFonts w:ascii="宋体" w:hAnsi="宋体" w:cs="宋体" w:eastAsia="宋体" w:hint="default"/>
                <w:spacing w:val="-2"/>
                <w:sz w:val="18"/>
                <w:szCs w:val="18"/>
              </w:rPr>
              <w:t> </w:t>
            </w:r>
            <w:r>
              <w:rPr>
                <w:rFonts w:ascii="宋体" w:hAnsi="宋体" w:cs="宋体" w:eastAsia="宋体" w:hint="default"/>
                <w:sz w:val="18"/>
                <w:szCs w:val="18"/>
              </w:rPr>
              <w:t> </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2"/>
              <w:jc w:val="right"/>
              <w:rPr>
                <w:rFonts w:ascii="Times New Roman" w:hAnsi="Times New Roman" w:cs="Times New Roman" w:eastAsia="Times New Roman" w:hint="default"/>
                <w:sz w:val="20"/>
                <w:szCs w:val="20"/>
              </w:rPr>
            </w:pPr>
            <w:r>
              <w:rPr>
                <w:rFonts w:ascii="Times New Roman"/>
                <w:w w:val="95"/>
                <w:sz w:val="20"/>
              </w:rPr>
              <w:t>158,457,437.48</w:t>
            </w:r>
            <w:r>
              <w:rPr>
                <w:rFonts w:ascii="Times New Roman"/>
                <w:sz w:val="20"/>
              </w:rPr>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7"/>
              <w:jc w:val="right"/>
              <w:rPr>
                <w:rFonts w:ascii="Times New Roman" w:hAnsi="Times New Roman" w:cs="Times New Roman" w:eastAsia="Times New Roman" w:hint="default"/>
                <w:sz w:val="20"/>
                <w:szCs w:val="20"/>
              </w:rPr>
            </w:pPr>
            <w:r>
              <w:rPr>
                <w:rFonts w:ascii="Times New Roman"/>
                <w:w w:val="95"/>
                <w:sz w:val="20"/>
              </w:rPr>
              <w:t>86,343,881.58</w:t>
            </w:r>
            <w:r>
              <w:rPr>
                <w:rFonts w:ascii="Times New Roman"/>
                <w:sz w:val="20"/>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3"/>
              <w:jc w:val="right"/>
              <w:rPr>
                <w:rFonts w:ascii="Times New Roman" w:hAnsi="Times New Roman" w:cs="Times New Roman" w:eastAsia="Times New Roman" w:hint="default"/>
                <w:sz w:val="20"/>
                <w:szCs w:val="20"/>
              </w:rPr>
            </w:pPr>
            <w:r>
              <w:rPr>
                <w:rFonts w:ascii="Times New Roman"/>
                <w:w w:val="95"/>
                <w:sz w:val="20"/>
              </w:rPr>
              <w:t>505,380,029.93</w:t>
            </w:r>
            <w:r>
              <w:rPr>
                <w:rFonts w:ascii="Times New Roman"/>
                <w:sz w:val="20"/>
              </w:rPr>
            </w:r>
          </w:p>
        </w:tc>
        <w:tc>
          <w:tcPr>
            <w:tcW w:w="23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30"/>
              <w:jc w:val="right"/>
              <w:rPr>
                <w:rFonts w:ascii="Times New Roman" w:hAnsi="Times New Roman" w:cs="Times New Roman" w:eastAsia="Times New Roman" w:hint="default"/>
                <w:sz w:val="20"/>
                <w:szCs w:val="20"/>
              </w:rPr>
            </w:pPr>
            <w:r>
              <w:rPr>
                <w:rFonts w:ascii="Times New Roman"/>
                <w:w w:val="95"/>
                <w:sz w:val="20"/>
              </w:rPr>
              <w:t>442,240,177.95</w:t>
            </w:r>
            <w:r>
              <w:rPr>
                <w:rFonts w:ascii="Times New Roman"/>
                <w:sz w:val="20"/>
              </w:rPr>
            </w:r>
          </w:p>
        </w:tc>
      </w:tr>
      <w:tr>
        <w:trPr>
          <w:trHeight w:val="355" w:hRule="exact"/>
        </w:trPr>
        <w:tc>
          <w:tcPr>
            <w:tcW w:w="47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5" w:right="0"/>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未确认归属于少数股东权益的商誉价值④</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2326" w:type="dxa"/>
            <w:tcBorders>
              <w:top w:val="single" w:sz="6" w:space="0" w:color="000000"/>
              <w:left w:val="single" w:sz="6" w:space="0" w:color="000000"/>
              <w:bottom w:val="single" w:sz="6" w:space="0" w:color="000000"/>
              <w:right w:val="single" w:sz="6" w:space="0" w:color="000000"/>
            </w:tcBorders>
          </w:tcPr>
          <w:p>
            <w:pP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7"/>
              <w:jc w:val="right"/>
              <w:rPr>
                <w:rFonts w:ascii="Times New Roman" w:hAnsi="Times New Roman" w:cs="Times New Roman" w:eastAsia="Times New Roman" w:hint="default"/>
                <w:sz w:val="20"/>
                <w:szCs w:val="20"/>
              </w:rPr>
            </w:pPr>
            <w:r>
              <w:rPr>
                <w:rFonts w:ascii="Times New Roman"/>
                <w:w w:val="95"/>
                <w:sz w:val="20"/>
              </w:rPr>
              <w:t>82,957,847.01</w:t>
            </w:r>
            <w:r>
              <w:rPr>
                <w:rFonts w:ascii="Times New Roman"/>
                <w:sz w:val="20"/>
              </w:rPr>
            </w:r>
          </w:p>
        </w:tc>
        <w:tc>
          <w:tcPr>
            <w:tcW w:w="2326" w:type="dxa"/>
            <w:tcBorders>
              <w:top w:val="single" w:sz="6" w:space="0" w:color="000000"/>
              <w:left w:val="single" w:sz="6" w:space="0" w:color="000000"/>
              <w:bottom w:val="single" w:sz="6" w:space="0" w:color="000000"/>
              <w:right w:val="single" w:sz="6" w:space="0" w:color="000000"/>
            </w:tcBorders>
          </w:tcPr>
          <w:p>
            <w:pPr/>
          </w:p>
        </w:tc>
        <w:tc>
          <w:tcPr>
            <w:tcW w:w="2323" w:type="dxa"/>
            <w:tcBorders>
              <w:top w:val="single" w:sz="6" w:space="0" w:color="000000"/>
              <w:left w:val="single" w:sz="6" w:space="0" w:color="000000"/>
              <w:bottom w:val="single" w:sz="6" w:space="0" w:color="000000"/>
              <w:right w:val="nil" w:sz="6" w:space="0" w:color="auto"/>
            </w:tcBorders>
          </w:tcPr>
          <w:p>
            <w:pPr/>
          </w:p>
        </w:tc>
      </w:tr>
      <w:tr>
        <w:trPr>
          <w:trHeight w:val="356" w:hRule="exact"/>
        </w:trPr>
        <w:tc>
          <w:tcPr>
            <w:tcW w:w="47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5" w:right="0"/>
              <w:jc w:val="left"/>
              <w:rPr>
                <w:rFonts w:ascii="宋体" w:hAnsi="宋体" w:cs="宋体" w:eastAsia="宋体" w:hint="default"/>
                <w:sz w:val="18"/>
                <w:szCs w:val="18"/>
              </w:rPr>
            </w:pPr>
            <w:r>
              <w:rPr>
                <w:rFonts w:ascii="宋体" w:hAnsi="宋体" w:cs="宋体" w:eastAsia="宋体" w:hint="default"/>
                <w:sz w:val="18"/>
                <w:szCs w:val="18"/>
              </w:rPr>
              <w:t>调整后整体商誉的账面价值⑤</w:t>
            </w:r>
            <w:r>
              <w:rPr>
                <w:rFonts w:ascii="宋体" w:hAnsi="宋体" w:cs="宋体" w:eastAsia="宋体" w:hint="default"/>
                <w:sz w:val="18"/>
                <w:szCs w:val="18"/>
              </w:rPr>
              <w:t>=</w:t>
            </w:r>
            <w:r>
              <w:rPr>
                <w:rFonts w:ascii="宋体" w:hAnsi="宋体" w:cs="宋体" w:eastAsia="宋体" w:hint="default"/>
                <w:sz w:val="18"/>
                <w:szCs w:val="18"/>
              </w:rPr>
              <w:t>④</w:t>
            </w:r>
            <w:r>
              <w:rPr>
                <w:rFonts w:ascii="宋体" w:hAnsi="宋体" w:cs="宋体" w:eastAsia="宋体" w:hint="default"/>
                <w:sz w:val="18"/>
                <w:szCs w:val="18"/>
              </w:rPr>
              <w:t>+</w:t>
            </w:r>
            <w:r>
              <w:rPr>
                <w:rFonts w:ascii="宋体" w:hAnsi="宋体" w:cs="宋体" w:eastAsia="宋体" w:hint="default"/>
                <w:sz w:val="18"/>
                <w:szCs w:val="18"/>
              </w:rPr>
              <w:t>③</w:t>
            </w:r>
            <w:r>
              <w:rPr>
                <w:rFonts w:ascii="宋体" w:hAnsi="宋体" w:cs="宋体" w:eastAsia="宋体" w:hint="default"/>
                <w:spacing w:val="-2"/>
                <w:sz w:val="18"/>
                <w:szCs w:val="18"/>
              </w:rPr>
              <w:t> </w:t>
            </w:r>
            <w:r>
              <w:rPr>
                <w:rFonts w:ascii="宋体" w:hAnsi="宋体" w:cs="宋体" w:eastAsia="宋体" w:hint="default"/>
                <w:sz w:val="18"/>
                <w:szCs w:val="18"/>
              </w:rPr>
              <w:t> </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2"/>
              <w:jc w:val="right"/>
              <w:rPr>
                <w:rFonts w:ascii="Times New Roman" w:hAnsi="Times New Roman" w:cs="Times New Roman" w:eastAsia="Times New Roman" w:hint="default"/>
                <w:sz w:val="20"/>
                <w:szCs w:val="20"/>
              </w:rPr>
            </w:pPr>
            <w:r>
              <w:rPr>
                <w:rFonts w:ascii="Times New Roman"/>
                <w:w w:val="95"/>
                <w:sz w:val="20"/>
              </w:rPr>
              <w:t>158,457,437.48</w:t>
            </w:r>
            <w:r>
              <w:rPr>
                <w:rFonts w:ascii="Times New Roman"/>
                <w:sz w:val="20"/>
              </w:rPr>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8"/>
              <w:jc w:val="right"/>
              <w:rPr>
                <w:rFonts w:ascii="Times New Roman" w:hAnsi="Times New Roman" w:cs="Times New Roman" w:eastAsia="Times New Roman" w:hint="default"/>
                <w:sz w:val="20"/>
                <w:szCs w:val="20"/>
              </w:rPr>
            </w:pPr>
            <w:r>
              <w:rPr>
                <w:rFonts w:ascii="Times New Roman"/>
                <w:w w:val="95"/>
                <w:sz w:val="20"/>
              </w:rPr>
              <w:t>169,301,728.59</w:t>
            </w:r>
            <w:r>
              <w:rPr>
                <w:rFonts w:ascii="Times New Roman"/>
                <w:sz w:val="20"/>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3"/>
              <w:jc w:val="right"/>
              <w:rPr>
                <w:rFonts w:ascii="Times New Roman" w:hAnsi="Times New Roman" w:cs="Times New Roman" w:eastAsia="Times New Roman" w:hint="default"/>
                <w:sz w:val="20"/>
                <w:szCs w:val="20"/>
              </w:rPr>
            </w:pPr>
            <w:r>
              <w:rPr>
                <w:rFonts w:ascii="Times New Roman"/>
                <w:w w:val="95"/>
                <w:sz w:val="20"/>
              </w:rPr>
              <w:t>505,380,029.93</w:t>
            </w:r>
            <w:r>
              <w:rPr>
                <w:rFonts w:ascii="Times New Roman"/>
                <w:sz w:val="20"/>
              </w:rPr>
            </w:r>
          </w:p>
        </w:tc>
        <w:tc>
          <w:tcPr>
            <w:tcW w:w="23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1"/>
              <w:ind w:right="30"/>
              <w:jc w:val="right"/>
              <w:rPr>
                <w:rFonts w:ascii="Times New Roman" w:hAnsi="Times New Roman" w:cs="Times New Roman" w:eastAsia="Times New Roman" w:hint="default"/>
                <w:sz w:val="20"/>
                <w:szCs w:val="20"/>
              </w:rPr>
            </w:pPr>
            <w:r>
              <w:rPr>
                <w:rFonts w:ascii="Times New Roman"/>
                <w:w w:val="95"/>
                <w:sz w:val="20"/>
              </w:rPr>
              <w:t>442,240,177.95</w:t>
            </w:r>
            <w:r>
              <w:rPr>
                <w:rFonts w:ascii="Times New Roman"/>
                <w:sz w:val="20"/>
              </w:rPr>
            </w:r>
          </w:p>
        </w:tc>
      </w:tr>
      <w:tr>
        <w:trPr>
          <w:trHeight w:val="355" w:hRule="exact"/>
        </w:trPr>
        <w:tc>
          <w:tcPr>
            <w:tcW w:w="47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45" w:right="0"/>
              <w:jc w:val="left"/>
              <w:rPr>
                <w:rFonts w:ascii="宋体" w:hAnsi="宋体" w:cs="宋体" w:eastAsia="宋体" w:hint="default"/>
                <w:sz w:val="18"/>
                <w:szCs w:val="18"/>
              </w:rPr>
            </w:pPr>
            <w:r>
              <w:rPr>
                <w:rFonts w:ascii="宋体" w:hAnsi="宋体" w:cs="宋体" w:eastAsia="宋体" w:hint="default"/>
                <w:sz w:val="18"/>
                <w:szCs w:val="18"/>
              </w:rPr>
              <w:t>资产组的账面价值⑥</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2"/>
              <w:jc w:val="right"/>
              <w:rPr>
                <w:rFonts w:ascii="Times New Roman" w:hAnsi="Times New Roman" w:cs="Times New Roman" w:eastAsia="Times New Roman" w:hint="default"/>
                <w:sz w:val="20"/>
                <w:szCs w:val="20"/>
              </w:rPr>
            </w:pPr>
            <w:r>
              <w:rPr>
                <w:rFonts w:ascii="Times New Roman"/>
                <w:w w:val="95"/>
                <w:sz w:val="20"/>
              </w:rPr>
              <w:t>112,030,186.52</w:t>
            </w:r>
            <w:r>
              <w:rPr>
                <w:rFonts w:ascii="Times New Roman"/>
                <w:sz w:val="20"/>
              </w:rPr>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7"/>
              <w:jc w:val="right"/>
              <w:rPr>
                <w:rFonts w:ascii="Times New Roman" w:hAnsi="Times New Roman" w:cs="Times New Roman" w:eastAsia="Times New Roman" w:hint="default"/>
                <w:sz w:val="20"/>
                <w:szCs w:val="20"/>
              </w:rPr>
            </w:pPr>
            <w:r>
              <w:rPr>
                <w:rFonts w:ascii="Times New Roman"/>
                <w:w w:val="95"/>
                <w:sz w:val="20"/>
              </w:rPr>
              <w:t>88,747,802.64</w:t>
            </w:r>
            <w:r>
              <w:rPr>
                <w:rFonts w:ascii="Times New Roman"/>
                <w:sz w:val="20"/>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3"/>
              <w:jc w:val="right"/>
              <w:rPr>
                <w:rFonts w:ascii="Times New Roman" w:hAnsi="Times New Roman" w:cs="Times New Roman" w:eastAsia="Times New Roman" w:hint="default"/>
                <w:sz w:val="20"/>
                <w:szCs w:val="20"/>
              </w:rPr>
            </w:pPr>
            <w:r>
              <w:rPr>
                <w:rFonts w:ascii="Times New Roman"/>
                <w:w w:val="95"/>
                <w:sz w:val="20"/>
              </w:rPr>
              <w:t>32,291,860.90</w:t>
            </w:r>
            <w:r>
              <w:rPr>
                <w:rFonts w:ascii="Times New Roman"/>
                <w:sz w:val="20"/>
              </w:rPr>
            </w:r>
          </w:p>
        </w:tc>
        <w:tc>
          <w:tcPr>
            <w:tcW w:w="2323" w:type="dxa"/>
            <w:tcBorders>
              <w:top w:val="single" w:sz="6" w:space="0" w:color="000000"/>
              <w:left w:val="single" w:sz="6" w:space="0" w:color="000000"/>
              <w:bottom w:val="single" w:sz="6" w:space="0" w:color="000000"/>
              <w:right w:val="nil" w:sz="6" w:space="0" w:color="auto"/>
            </w:tcBorders>
          </w:tcPr>
          <w:p>
            <w:pPr>
              <w:pStyle w:val="TableParagraph"/>
              <w:spacing w:line="226" w:lineRule="exact"/>
              <w:ind w:right="29"/>
              <w:jc w:val="right"/>
              <w:rPr>
                <w:rFonts w:ascii="Times New Roman" w:hAnsi="Times New Roman" w:cs="Times New Roman" w:eastAsia="Times New Roman" w:hint="default"/>
                <w:sz w:val="20"/>
                <w:szCs w:val="20"/>
              </w:rPr>
            </w:pPr>
            <w:r>
              <w:rPr>
                <w:rFonts w:ascii="Times New Roman"/>
                <w:w w:val="95"/>
                <w:sz w:val="20"/>
              </w:rPr>
              <w:t>1,943,930.38</w:t>
            </w:r>
            <w:r>
              <w:rPr>
                <w:rFonts w:ascii="Times New Roman"/>
                <w:sz w:val="20"/>
              </w:rPr>
            </w:r>
          </w:p>
        </w:tc>
      </w:tr>
      <w:tr>
        <w:trPr>
          <w:trHeight w:val="365" w:hRule="exact"/>
        </w:trPr>
        <w:tc>
          <w:tcPr>
            <w:tcW w:w="478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left="45" w:right="0"/>
              <w:jc w:val="left"/>
              <w:rPr>
                <w:rFonts w:ascii="宋体" w:hAnsi="宋体" w:cs="宋体" w:eastAsia="宋体" w:hint="default"/>
                <w:sz w:val="18"/>
                <w:szCs w:val="18"/>
              </w:rPr>
            </w:pPr>
            <w:r>
              <w:rPr>
                <w:rFonts w:ascii="宋体" w:hAnsi="宋体" w:cs="宋体" w:eastAsia="宋体" w:hint="default"/>
                <w:sz w:val="18"/>
                <w:szCs w:val="18"/>
              </w:rPr>
              <w:t>包含整体商誉的资产组的账面价值⑦</w:t>
            </w:r>
            <w:r>
              <w:rPr>
                <w:rFonts w:ascii="宋体" w:hAnsi="宋体" w:cs="宋体" w:eastAsia="宋体" w:hint="default"/>
                <w:sz w:val="18"/>
                <w:szCs w:val="18"/>
              </w:rPr>
              <w:t>=</w:t>
            </w:r>
            <w:r>
              <w:rPr>
                <w:rFonts w:ascii="宋体" w:hAnsi="宋体" w:cs="宋体" w:eastAsia="宋体" w:hint="default"/>
                <w:sz w:val="18"/>
                <w:szCs w:val="18"/>
              </w:rPr>
              <w:t>⑤</w:t>
            </w:r>
            <w:r>
              <w:rPr>
                <w:rFonts w:ascii="宋体" w:hAnsi="宋体" w:cs="宋体" w:eastAsia="宋体" w:hint="default"/>
                <w:sz w:val="18"/>
                <w:szCs w:val="18"/>
              </w:rPr>
              <w:t>+</w:t>
            </w:r>
            <w:r>
              <w:rPr>
                <w:rFonts w:ascii="宋体" w:hAnsi="宋体" w:cs="宋体" w:eastAsia="宋体" w:hint="default"/>
                <w:sz w:val="18"/>
                <w:szCs w:val="18"/>
              </w:rPr>
              <w:t>⑥</w:t>
            </w:r>
            <w:r>
              <w:rPr>
                <w:rFonts w:ascii="宋体" w:hAnsi="宋体" w:cs="宋体" w:eastAsia="宋体" w:hint="default"/>
                <w:spacing w:val="-2"/>
                <w:sz w:val="18"/>
                <w:szCs w:val="18"/>
              </w:rPr>
              <w:t> </w:t>
            </w:r>
            <w:r>
              <w:rPr>
                <w:rFonts w:ascii="宋体" w:hAnsi="宋体" w:cs="宋体" w:eastAsia="宋体" w:hint="default"/>
                <w:sz w:val="18"/>
                <w:szCs w:val="18"/>
              </w:rPr>
              <w:t> </w:t>
            </w:r>
          </w:p>
        </w:tc>
        <w:tc>
          <w:tcPr>
            <w:tcW w:w="23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22"/>
              <w:jc w:val="right"/>
              <w:rPr>
                <w:rFonts w:ascii="Times New Roman" w:hAnsi="Times New Roman" w:cs="Times New Roman" w:eastAsia="Times New Roman" w:hint="default"/>
                <w:sz w:val="20"/>
                <w:szCs w:val="20"/>
              </w:rPr>
            </w:pPr>
            <w:r>
              <w:rPr>
                <w:rFonts w:ascii="Times New Roman"/>
                <w:w w:val="95"/>
                <w:sz w:val="20"/>
              </w:rPr>
              <w:t>270,487,624.00</w:t>
            </w:r>
            <w:r>
              <w:rPr>
                <w:rFonts w:ascii="Times New Roman"/>
                <w:sz w:val="20"/>
              </w:rPr>
            </w:r>
          </w:p>
        </w:tc>
        <w:tc>
          <w:tcPr>
            <w:tcW w:w="21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18"/>
              <w:jc w:val="right"/>
              <w:rPr>
                <w:rFonts w:ascii="Times New Roman" w:hAnsi="Times New Roman" w:cs="Times New Roman" w:eastAsia="Times New Roman" w:hint="default"/>
                <w:sz w:val="20"/>
                <w:szCs w:val="20"/>
              </w:rPr>
            </w:pPr>
            <w:r>
              <w:rPr>
                <w:rFonts w:ascii="Times New Roman"/>
                <w:w w:val="95"/>
                <w:sz w:val="20"/>
              </w:rPr>
              <w:t>258,049,531.23</w:t>
            </w:r>
            <w:r>
              <w:rPr>
                <w:rFonts w:ascii="Times New Roman"/>
                <w:sz w:val="20"/>
              </w:rPr>
            </w:r>
          </w:p>
        </w:tc>
        <w:tc>
          <w:tcPr>
            <w:tcW w:w="23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23"/>
              <w:jc w:val="right"/>
              <w:rPr>
                <w:rFonts w:ascii="Times New Roman" w:hAnsi="Times New Roman" w:cs="Times New Roman" w:eastAsia="Times New Roman" w:hint="default"/>
                <w:sz w:val="20"/>
                <w:szCs w:val="20"/>
              </w:rPr>
            </w:pPr>
            <w:r>
              <w:rPr>
                <w:rFonts w:ascii="Times New Roman"/>
                <w:w w:val="95"/>
                <w:sz w:val="20"/>
              </w:rPr>
              <w:t>537,671,890.83</w:t>
            </w:r>
            <w:r>
              <w:rPr>
                <w:rFonts w:ascii="Times New Roman"/>
                <w:sz w:val="20"/>
              </w:rPr>
            </w:r>
          </w:p>
        </w:tc>
        <w:tc>
          <w:tcPr>
            <w:tcW w:w="232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30"/>
              <w:jc w:val="right"/>
              <w:rPr>
                <w:rFonts w:ascii="Times New Roman" w:hAnsi="Times New Roman" w:cs="Times New Roman" w:eastAsia="Times New Roman" w:hint="default"/>
                <w:sz w:val="20"/>
                <w:szCs w:val="20"/>
              </w:rPr>
            </w:pPr>
            <w:r>
              <w:rPr>
                <w:rFonts w:ascii="Times New Roman"/>
                <w:w w:val="95"/>
                <w:sz w:val="20"/>
              </w:rPr>
              <w:t>444,184,108.33</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6840" w:h="11910" w:orient="landscape"/>
          <w:pgMar w:header="882" w:footer="1195" w:top="1120" w:bottom="1380" w:left="1360" w:right="1220"/>
        </w:sectPr>
      </w:pPr>
    </w:p>
    <w:p>
      <w:pPr>
        <w:spacing w:line="240" w:lineRule="auto" w:before="7"/>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4787"/>
        <w:gridCol w:w="2326"/>
        <w:gridCol w:w="2189"/>
        <w:gridCol w:w="2326"/>
        <w:gridCol w:w="2323"/>
      </w:tblGrid>
      <w:tr>
        <w:trPr>
          <w:trHeight w:val="490" w:hRule="exact"/>
        </w:trPr>
        <w:tc>
          <w:tcPr>
            <w:tcW w:w="478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7"/>
              <w:ind w:left="111"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3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left="254" w:right="0"/>
              <w:jc w:val="left"/>
              <w:rPr>
                <w:rFonts w:ascii="宋体" w:hAnsi="宋体" w:cs="宋体" w:eastAsia="宋体" w:hint="default"/>
                <w:sz w:val="18"/>
                <w:szCs w:val="18"/>
              </w:rPr>
            </w:pPr>
            <w:r>
              <w:rPr>
                <w:rFonts w:ascii="宋体" w:hAnsi="宋体" w:cs="宋体" w:eastAsia="宋体" w:hint="default"/>
                <w:sz w:val="18"/>
                <w:szCs w:val="18"/>
              </w:rPr>
              <w:t>泰豪软件股份有限公司</w:t>
            </w:r>
            <w:r>
              <w:rPr>
                <w:rFonts w:ascii="宋体" w:hAnsi="宋体" w:cs="宋体" w:eastAsia="宋体" w:hint="default"/>
                <w:sz w:val="18"/>
                <w:szCs w:val="18"/>
              </w:rPr>
              <w:t> </w:t>
            </w:r>
          </w:p>
        </w:tc>
        <w:tc>
          <w:tcPr>
            <w:tcW w:w="2189"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left="2" w:right="0"/>
              <w:jc w:val="center"/>
              <w:rPr>
                <w:rFonts w:ascii="宋体" w:hAnsi="宋体" w:cs="宋体" w:eastAsia="宋体" w:hint="default"/>
                <w:sz w:val="18"/>
                <w:szCs w:val="18"/>
              </w:rPr>
            </w:pPr>
            <w:r>
              <w:rPr>
                <w:rFonts w:ascii="宋体" w:hAnsi="宋体" w:cs="宋体" w:eastAsia="宋体" w:hint="default"/>
                <w:sz w:val="18"/>
                <w:szCs w:val="18"/>
              </w:rPr>
              <w:t>龙岩市海德馨汽车有限公</w:t>
            </w:r>
          </w:p>
          <w:p>
            <w:pPr>
              <w:pStyle w:val="TableParagraph"/>
              <w:spacing w:line="234" w:lineRule="exact"/>
              <w:ind w:left="92" w:right="0"/>
              <w:jc w:val="center"/>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18"/>
                <w:szCs w:val="18"/>
              </w:rPr>
              <w:t> </w:t>
            </w:r>
          </w:p>
        </w:tc>
        <w:tc>
          <w:tcPr>
            <w:tcW w:w="2326"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上海博辕信息技术服务有限</w:t>
            </w:r>
          </w:p>
          <w:p>
            <w:pPr>
              <w:pStyle w:val="TableParagraph"/>
              <w:spacing w:line="234" w:lineRule="exact"/>
              <w:ind w:left="87" w:right="0"/>
              <w:jc w:val="center"/>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c>
          <w:tcPr>
            <w:tcW w:w="2323" w:type="dxa"/>
            <w:tcBorders>
              <w:top w:val="single" w:sz="12" w:space="0" w:color="000000"/>
              <w:left w:val="single" w:sz="6" w:space="0" w:color="000000"/>
              <w:bottom w:val="single" w:sz="6" w:space="0" w:color="000000"/>
              <w:right w:val="nil" w:sz="6" w:space="0" w:color="auto"/>
            </w:tcBorders>
          </w:tcPr>
          <w:p>
            <w:pPr>
              <w:pStyle w:val="TableParagraph"/>
              <w:spacing w:line="204" w:lineRule="exact"/>
              <w:ind w:right="11"/>
              <w:jc w:val="center"/>
              <w:rPr>
                <w:rFonts w:ascii="宋体" w:hAnsi="宋体" w:cs="宋体" w:eastAsia="宋体" w:hint="default"/>
                <w:sz w:val="18"/>
                <w:szCs w:val="18"/>
              </w:rPr>
            </w:pPr>
            <w:r>
              <w:rPr>
                <w:rFonts w:ascii="宋体" w:hAnsi="宋体" w:cs="宋体" w:eastAsia="宋体" w:hint="default"/>
                <w:sz w:val="18"/>
                <w:szCs w:val="18"/>
              </w:rPr>
              <w:t>上海红生信息系统工程有限</w:t>
            </w:r>
          </w:p>
          <w:p>
            <w:pPr>
              <w:pStyle w:val="TableParagraph"/>
              <w:spacing w:line="234" w:lineRule="exact"/>
              <w:ind w:left="78" w:right="0"/>
              <w:jc w:val="center"/>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r>
      <w:tr>
        <w:trPr>
          <w:trHeight w:val="355" w:hRule="exact"/>
        </w:trPr>
        <w:tc>
          <w:tcPr>
            <w:tcW w:w="47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45" w:right="0"/>
              <w:jc w:val="left"/>
              <w:rPr>
                <w:rFonts w:ascii="宋体" w:hAnsi="宋体" w:cs="宋体" w:eastAsia="宋体" w:hint="default"/>
                <w:sz w:val="18"/>
                <w:szCs w:val="18"/>
              </w:rPr>
            </w:pPr>
            <w:r>
              <w:rPr>
                <w:rFonts w:ascii="宋体" w:hAnsi="宋体" w:cs="宋体" w:eastAsia="宋体" w:hint="default"/>
                <w:sz w:val="18"/>
                <w:szCs w:val="18"/>
              </w:rPr>
              <w:t>资产组预计未来现金流量的现值（可回收金额）⑧</w:t>
            </w:r>
            <w:r>
              <w:rPr>
                <w:rFonts w:ascii="宋体" w:hAnsi="宋体" w:cs="宋体" w:eastAsia="宋体" w:hint="default"/>
                <w:sz w:val="18"/>
                <w:szCs w:val="18"/>
              </w:rPr>
              <w:t> </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36" w:right="0"/>
              <w:jc w:val="left"/>
              <w:rPr>
                <w:rFonts w:ascii="Times New Roman" w:hAnsi="Times New Roman" w:cs="Times New Roman" w:eastAsia="Times New Roman" w:hint="default"/>
                <w:sz w:val="20"/>
                <w:szCs w:val="20"/>
              </w:rPr>
            </w:pPr>
            <w:r>
              <w:rPr>
                <w:rFonts w:ascii="Times New Roman"/>
                <w:sz w:val="20"/>
              </w:rPr>
              <w:t>547,558,600.00</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905" w:right="0"/>
              <w:jc w:val="left"/>
              <w:rPr>
                <w:rFonts w:ascii="Times New Roman" w:hAnsi="Times New Roman" w:cs="Times New Roman" w:eastAsia="Times New Roman" w:hint="default"/>
                <w:sz w:val="20"/>
                <w:szCs w:val="20"/>
              </w:rPr>
            </w:pPr>
            <w:r>
              <w:rPr>
                <w:rFonts w:ascii="Times New Roman"/>
                <w:sz w:val="20"/>
              </w:rPr>
              <w:t>261,577,500.00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3"/>
              <w:jc w:val="right"/>
              <w:rPr>
                <w:rFonts w:ascii="Times New Roman" w:hAnsi="Times New Roman" w:cs="Times New Roman" w:eastAsia="Times New Roman" w:hint="default"/>
                <w:sz w:val="20"/>
                <w:szCs w:val="20"/>
              </w:rPr>
            </w:pPr>
            <w:r>
              <w:rPr>
                <w:rFonts w:ascii="Times New Roman"/>
                <w:w w:val="95"/>
                <w:sz w:val="20"/>
              </w:rPr>
              <w:t>376,351,500.00</w:t>
            </w:r>
            <w:r>
              <w:rPr>
                <w:rFonts w:ascii="Times New Roman"/>
                <w:sz w:val="20"/>
              </w:rPr>
            </w:r>
          </w:p>
        </w:tc>
        <w:tc>
          <w:tcPr>
            <w:tcW w:w="23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left="1034" w:right="0"/>
              <w:jc w:val="left"/>
              <w:rPr>
                <w:rFonts w:ascii="Times New Roman" w:hAnsi="Times New Roman" w:cs="Times New Roman" w:eastAsia="Times New Roman" w:hint="default"/>
                <w:sz w:val="20"/>
                <w:szCs w:val="20"/>
              </w:rPr>
            </w:pPr>
            <w:r>
              <w:rPr>
                <w:rFonts w:ascii="Times New Roman"/>
                <w:sz w:val="20"/>
              </w:rPr>
              <w:t>472,999,500.00</w:t>
            </w:r>
          </w:p>
        </w:tc>
      </w:tr>
      <w:tr>
        <w:trPr>
          <w:trHeight w:val="362" w:hRule="exact"/>
        </w:trPr>
        <w:tc>
          <w:tcPr>
            <w:tcW w:w="478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2"/>
              <w:ind w:left="45" w:right="0"/>
              <w:jc w:val="left"/>
              <w:rPr>
                <w:rFonts w:ascii="宋体" w:hAnsi="宋体" w:cs="宋体" w:eastAsia="宋体" w:hint="default"/>
                <w:sz w:val="18"/>
                <w:szCs w:val="18"/>
              </w:rPr>
            </w:pPr>
            <w:r>
              <w:rPr>
                <w:rFonts w:ascii="宋体" w:hAnsi="宋体" w:cs="宋体" w:eastAsia="宋体" w:hint="default"/>
                <w:sz w:val="18"/>
                <w:szCs w:val="18"/>
              </w:rPr>
              <w:t>商誉减值损失（大于</w:t>
            </w:r>
            <w:r>
              <w:rPr>
                <w:rFonts w:ascii="宋体" w:hAnsi="宋体" w:cs="宋体" w:eastAsia="宋体" w:hint="default"/>
                <w:spacing w:val="-45"/>
                <w:sz w:val="18"/>
                <w:szCs w:val="18"/>
              </w:rPr>
              <w:t> </w:t>
            </w:r>
            <w:r>
              <w:rPr>
                <w:rFonts w:ascii="宋体" w:hAnsi="宋体" w:cs="宋体" w:eastAsia="宋体" w:hint="default"/>
                <w:sz w:val="18"/>
                <w:szCs w:val="18"/>
              </w:rPr>
              <w:t>0</w:t>
            </w:r>
            <w:r>
              <w:rPr>
                <w:rFonts w:ascii="宋体" w:hAnsi="宋体" w:cs="宋体" w:eastAsia="宋体" w:hint="default"/>
                <w:spacing w:val="-45"/>
                <w:sz w:val="18"/>
                <w:szCs w:val="18"/>
              </w:rPr>
              <w:t> </w:t>
            </w:r>
            <w:r>
              <w:rPr>
                <w:rFonts w:ascii="宋体" w:hAnsi="宋体" w:cs="宋体" w:eastAsia="宋体" w:hint="default"/>
                <w:sz w:val="18"/>
                <w:szCs w:val="18"/>
              </w:rPr>
              <w:t>时）⑨</w:t>
            </w:r>
            <w:r>
              <w:rPr>
                <w:rFonts w:ascii="宋体" w:hAnsi="宋体" w:cs="宋体" w:eastAsia="宋体" w:hint="default"/>
                <w:sz w:val="18"/>
                <w:szCs w:val="18"/>
              </w:rPr>
              <w:t>=</w:t>
            </w:r>
            <w:r>
              <w:rPr>
                <w:rFonts w:ascii="宋体" w:hAnsi="宋体" w:cs="宋体" w:eastAsia="宋体" w:hint="default"/>
                <w:sz w:val="18"/>
                <w:szCs w:val="18"/>
              </w:rPr>
              <w:t>⑦</w:t>
            </w:r>
            <w:r>
              <w:rPr>
                <w:rFonts w:ascii="宋体" w:hAnsi="宋体" w:cs="宋体" w:eastAsia="宋体" w:hint="default"/>
                <w:sz w:val="18"/>
                <w:szCs w:val="18"/>
              </w:rPr>
              <w:t>-</w:t>
            </w:r>
            <w:r>
              <w:rPr>
                <w:rFonts w:ascii="宋体" w:hAnsi="宋体" w:cs="宋体" w:eastAsia="宋体" w:hint="default"/>
                <w:sz w:val="18"/>
                <w:szCs w:val="18"/>
              </w:rPr>
              <w:t>⑧</w:t>
            </w:r>
            <w:r>
              <w:rPr>
                <w:rFonts w:ascii="宋体" w:hAnsi="宋体" w:cs="宋体" w:eastAsia="宋体" w:hint="default"/>
                <w:sz w:val="18"/>
                <w:szCs w:val="18"/>
              </w:rPr>
              <w:t> </w:t>
            </w:r>
          </w:p>
        </w:tc>
        <w:tc>
          <w:tcPr>
            <w:tcW w:w="23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383" w:right="0"/>
              <w:jc w:val="left"/>
              <w:rPr>
                <w:rFonts w:ascii="宋体" w:hAnsi="宋体" w:cs="宋体" w:eastAsia="宋体" w:hint="default"/>
                <w:sz w:val="18"/>
                <w:szCs w:val="18"/>
              </w:rPr>
            </w:pPr>
            <w:r>
              <w:rPr>
                <w:rFonts w:ascii="宋体" w:hAnsi="宋体" w:cs="宋体" w:eastAsia="宋体" w:hint="default"/>
                <w:sz w:val="18"/>
                <w:szCs w:val="18"/>
              </w:rPr>
              <w:t>未减值</w:t>
            </w:r>
          </w:p>
        </w:tc>
        <w:tc>
          <w:tcPr>
            <w:tcW w:w="21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未减值</w:t>
            </w:r>
          </w:p>
        </w:tc>
        <w:tc>
          <w:tcPr>
            <w:tcW w:w="23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6"/>
              <w:ind w:right="24"/>
              <w:jc w:val="right"/>
              <w:rPr>
                <w:rFonts w:ascii="Arial" w:hAnsi="Arial" w:cs="Arial" w:eastAsia="Arial" w:hint="default"/>
                <w:sz w:val="18"/>
                <w:szCs w:val="18"/>
              </w:rPr>
            </w:pPr>
            <w:r>
              <w:rPr>
                <w:rFonts w:ascii="Arial"/>
                <w:spacing w:val="-1"/>
                <w:w w:val="80"/>
                <w:sz w:val="18"/>
              </w:rPr>
              <w:t>161,320,390.83</w:t>
            </w:r>
            <w:r>
              <w:rPr>
                <w:rFonts w:ascii="Arial"/>
                <w:spacing w:val="-1"/>
                <w:sz w:val="18"/>
              </w:rPr>
            </w:r>
          </w:p>
        </w:tc>
        <w:tc>
          <w:tcPr>
            <w:tcW w:w="2323" w:type="dxa"/>
            <w:tcBorders>
              <w:top w:val="single" w:sz="6" w:space="0" w:color="000000"/>
              <w:left w:val="single" w:sz="6" w:space="0" w:color="000000"/>
              <w:bottom w:val="single" w:sz="12" w:space="0" w:color="000000"/>
              <w:right w:val="nil" w:sz="6" w:space="0" w:color="auto"/>
            </w:tcBorders>
          </w:tcPr>
          <w:p>
            <w:pPr>
              <w:pStyle w:val="TableParagraph"/>
              <w:spacing w:line="205" w:lineRule="exact"/>
              <w:ind w:left="1063" w:right="0"/>
              <w:jc w:val="left"/>
              <w:rPr>
                <w:rFonts w:ascii="宋体" w:hAnsi="宋体" w:cs="宋体" w:eastAsia="宋体" w:hint="default"/>
                <w:sz w:val="18"/>
                <w:szCs w:val="18"/>
              </w:rPr>
            </w:pPr>
            <w:r>
              <w:rPr>
                <w:rFonts w:ascii="宋体" w:hAnsi="宋体" w:cs="宋体" w:eastAsia="宋体" w:hint="default"/>
                <w:sz w:val="18"/>
                <w:szCs w:val="18"/>
              </w:rPr>
              <w:t>未减值</w:t>
            </w:r>
          </w:p>
        </w:tc>
      </w:tr>
    </w:tbl>
    <w:p>
      <w:pPr>
        <w:pStyle w:val="BodyText"/>
        <w:spacing w:line="240" w:lineRule="exact"/>
        <w:ind w:left="584" w:right="0"/>
        <w:jc w:val="left"/>
      </w:pPr>
      <w:r>
        <w:rPr/>
        <w:t>上述资产组与购买日及以前年度商誉减值测试时所确定的资产组一致，范围包括组成资产组的固定资产、无形资产等长期资产及其他相关经营性资</w:t>
      </w:r>
    </w:p>
    <w:p>
      <w:pPr>
        <w:pStyle w:val="BodyText"/>
        <w:spacing w:line="272" w:lineRule="exact"/>
        <w:ind w:left="164" w:right="0"/>
        <w:jc w:val="left"/>
        <w:rPr>
          <w:rFonts w:ascii="宋体" w:hAnsi="宋体" w:cs="宋体" w:eastAsia="宋体" w:hint="default"/>
        </w:rPr>
      </w:pPr>
      <w:r>
        <w:rPr/>
        <w:t>产。</w:t>
      </w:r>
      <w:r>
        <w:rPr>
          <w:rFonts w:ascii="宋体" w:hAnsi="宋体" w:cs="宋体" w:eastAsia="宋体" w:hint="default"/>
        </w:rPr>
        <w:t> </w:t>
      </w:r>
    </w:p>
    <w:p>
      <w:pPr>
        <w:pStyle w:val="BodyText"/>
        <w:spacing w:line="271" w:lineRule="exact"/>
        <w:ind w:left="584" w:right="0"/>
        <w:jc w:val="left"/>
        <w:rPr>
          <w:rFonts w:ascii="宋体" w:hAnsi="宋体" w:cs="宋体" w:eastAsia="宋体" w:hint="default"/>
        </w:rPr>
      </w:pPr>
      <w:r>
        <w:rPr/>
        <w:t>商誉减值测试的相关假设及依据、关键参数：</w:t>
      </w:r>
      <w:r>
        <w:rPr>
          <w:rFonts w:ascii="宋体" w:hAnsi="宋体" w:cs="宋体" w:eastAsia="宋体" w:hint="default"/>
        </w:rPr>
        <w:t> </w:t>
      </w:r>
    </w:p>
    <w:p>
      <w:pPr>
        <w:pStyle w:val="BodyText"/>
        <w:spacing w:line="272" w:lineRule="exact"/>
        <w:ind w:left="584" w:right="0"/>
        <w:jc w:val="left"/>
        <w:rPr>
          <w:rFonts w:ascii="宋体" w:hAnsi="宋体" w:cs="宋体" w:eastAsia="宋体" w:hint="default"/>
        </w:rPr>
      </w:pPr>
      <w:r>
        <w:rPr/>
        <w:t>（</w:t>
      </w:r>
      <w:r>
        <w:rPr>
          <w:rFonts w:ascii="宋体" w:hAnsi="宋体" w:cs="宋体" w:eastAsia="宋体" w:hint="default"/>
        </w:rPr>
        <w:t>1</w:t>
      </w:r>
      <w:r>
        <w:rPr/>
        <w:t>）重要假设及依据</w:t>
      </w:r>
      <w:r>
        <w:rPr>
          <w:rFonts w:ascii="宋体" w:hAnsi="宋体" w:cs="宋体" w:eastAsia="宋体" w:hint="default"/>
        </w:rPr>
        <w:t> </w:t>
      </w:r>
    </w:p>
    <w:p>
      <w:pPr>
        <w:pStyle w:val="BodyText"/>
        <w:spacing w:line="273" w:lineRule="exact"/>
        <w:ind w:left="584" w:right="0"/>
        <w:jc w:val="left"/>
        <w:rPr>
          <w:rFonts w:ascii="宋体" w:hAnsi="宋体" w:cs="宋体" w:eastAsia="宋体" w:hint="default"/>
        </w:rPr>
      </w:pPr>
      <w:r>
        <w:rPr/>
        <w:t>①国家现行的有关法律法规及政策、国家宏观经济形势无重大变化，本次交易各方所处地区的政治、经济和社会环境无重大变化。</w:t>
      </w:r>
      <w:r>
        <w:rPr>
          <w:rFonts w:ascii="宋体" w:hAnsi="宋体" w:cs="宋体" w:eastAsia="宋体" w:hint="default"/>
        </w:rPr>
        <w:t> </w:t>
      </w:r>
    </w:p>
    <w:p>
      <w:pPr>
        <w:pStyle w:val="BodyText"/>
        <w:spacing w:line="273" w:lineRule="exact"/>
        <w:ind w:left="584" w:right="0"/>
        <w:jc w:val="left"/>
        <w:rPr>
          <w:rFonts w:ascii="宋体" w:hAnsi="宋体" w:cs="宋体" w:eastAsia="宋体" w:hint="default"/>
        </w:rPr>
      </w:pPr>
      <w:r>
        <w:rPr/>
        <w:t>②假设公司的经营者是负责的，并且管理层有能力担当其职务。</w:t>
      </w:r>
      <w:r>
        <w:rPr>
          <w:rFonts w:ascii="宋体" w:hAnsi="宋体" w:cs="宋体" w:eastAsia="宋体" w:hint="default"/>
        </w:rPr>
        <w:t> </w:t>
      </w:r>
    </w:p>
    <w:p>
      <w:pPr>
        <w:pStyle w:val="BodyText"/>
        <w:spacing w:line="272" w:lineRule="exact"/>
        <w:ind w:left="584" w:right="0"/>
        <w:jc w:val="left"/>
        <w:rPr>
          <w:rFonts w:ascii="宋体" w:hAnsi="宋体" w:cs="宋体" w:eastAsia="宋体" w:hint="default"/>
        </w:rPr>
      </w:pPr>
      <w:r>
        <w:rPr/>
        <w:t>③假设公司在现有的管理方式和管理水平的基础上，经营范围、方式与目前方向保持一致。</w:t>
      </w:r>
      <w:r>
        <w:rPr>
          <w:rFonts w:ascii="宋体" w:hAnsi="宋体" w:cs="宋体" w:eastAsia="宋体" w:hint="default"/>
        </w:rPr>
        <w:t> </w:t>
      </w:r>
    </w:p>
    <w:p>
      <w:pPr>
        <w:pStyle w:val="BodyText"/>
        <w:spacing w:line="272" w:lineRule="exact"/>
        <w:ind w:left="584" w:right="0"/>
        <w:jc w:val="left"/>
        <w:rPr>
          <w:rFonts w:ascii="宋体" w:hAnsi="宋体" w:cs="宋体" w:eastAsia="宋体" w:hint="default"/>
        </w:rPr>
      </w:pPr>
      <w:r>
        <w:rPr/>
        <w:t>④有关利率、汇率、赋税基准及税率、政策性征收费用等不发生重大变化。</w:t>
      </w:r>
      <w:r>
        <w:rPr>
          <w:rFonts w:ascii="宋体" w:hAnsi="宋体" w:cs="宋体" w:eastAsia="宋体" w:hint="default"/>
        </w:rPr>
        <w:t> </w:t>
      </w:r>
    </w:p>
    <w:p>
      <w:pPr>
        <w:pStyle w:val="BodyText"/>
        <w:spacing w:line="272" w:lineRule="exact"/>
        <w:ind w:left="584" w:right="0"/>
        <w:jc w:val="left"/>
        <w:rPr>
          <w:rFonts w:ascii="宋体" w:hAnsi="宋体" w:cs="宋体" w:eastAsia="宋体" w:hint="default"/>
        </w:rPr>
      </w:pPr>
      <w:r>
        <w:rPr/>
        <w:t>⑤无其他人力不可抗拒因素及不可预见因素对公司造成重大不利影响。</w:t>
      </w:r>
      <w:r>
        <w:rPr>
          <w:rFonts w:ascii="宋体" w:hAnsi="宋体" w:cs="宋体" w:eastAsia="宋体" w:hint="default"/>
        </w:rPr>
        <w:t> </w:t>
      </w:r>
    </w:p>
    <w:p>
      <w:pPr>
        <w:pStyle w:val="BodyText"/>
        <w:spacing w:line="273" w:lineRule="exact"/>
        <w:ind w:left="584" w:right="0"/>
        <w:jc w:val="left"/>
      </w:pPr>
      <w:r>
        <w:rPr/>
        <w:t>（</w:t>
      </w:r>
      <w:r>
        <w:rPr>
          <w:rFonts w:ascii="宋体" w:hAnsi="宋体" w:cs="宋体" w:eastAsia="宋体" w:hint="default"/>
        </w:rPr>
        <w:t>2</w:t>
      </w:r>
      <w:r>
        <w:rPr/>
        <w:t>）商誉减值关键参数如下：</w:t>
      </w:r>
    </w:p>
    <w:p>
      <w:pPr>
        <w:spacing w:line="240" w:lineRule="auto" w:before="9"/>
        <w:rPr>
          <w:rFonts w:ascii="宋体" w:hAnsi="宋体" w:cs="宋体" w:eastAsia="宋体" w:hint="default"/>
          <w:sz w:val="11"/>
          <w:szCs w:val="11"/>
        </w:rPr>
      </w:pPr>
    </w:p>
    <w:tbl>
      <w:tblPr>
        <w:tblW w:w="0" w:type="auto"/>
        <w:jc w:val="left"/>
        <w:tblInd w:w="2811" w:type="dxa"/>
        <w:tblLayout w:type="fixed"/>
        <w:tblCellMar>
          <w:top w:w="0" w:type="dxa"/>
          <w:left w:w="0" w:type="dxa"/>
          <w:bottom w:w="0" w:type="dxa"/>
          <w:right w:w="0" w:type="dxa"/>
        </w:tblCellMar>
        <w:tblLook w:val="01E0"/>
      </w:tblPr>
      <w:tblGrid>
        <w:gridCol w:w="1397"/>
        <w:gridCol w:w="1277"/>
        <w:gridCol w:w="989"/>
        <w:gridCol w:w="1030"/>
        <w:gridCol w:w="850"/>
        <w:gridCol w:w="1740"/>
        <w:gridCol w:w="1253"/>
      </w:tblGrid>
      <w:tr>
        <w:trPr>
          <w:trHeight w:val="254" w:hRule="exact"/>
        </w:trPr>
        <w:tc>
          <w:tcPr>
            <w:tcW w:w="1397" w:type="dxa"/>
            <w:vMerge w:val="restart"/>
            <w:tcBorders>
              <w:top w:val="single" w:sz="12"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7139" w:type="dxa"/>
            <w:gridSpan w:val="6"/>
            <w:tcBorders>
              <w:top w:val="single" w:sz="12" w:space="0" w:color="000000"/>
              <w:left w:val="single" w:sz="4" w:space="0" w:color="000000"/>
              <w:bottom w:val="single" w:sz="4" w:space="0" w:color="000000"/>
              <w:right w:val="nil" w:sz="6" w:space="0" w:color="auto"/>
            </w:tcBorders>
          </w:tcPr>
          <w:p>
            <w:pPr>
              <w:pStyle w:val="TableParagraph"/>
              <w:spacing w:line="205" w:lineRule="exact"/>
              <w:ind w:left="449" w:right="0"/>
              <w:jc w:val="center"/>
              <w:rPr>
                <w:rFonts w:ascii="宋体" w:hAnsi="宋体" w:cs="宋体" w:eastAsia="宋体" w:hint="default"/>
                <w:sz w:val="18"/>
                <w:szCs w:val="18"/>
              </w:rPr>
            </w:pPr>
            <w:r>
              <w:rPr>
                <w:rFonts w:ascii="宋体" w:hAnsi="宋体" w:cs="宋体" w:eastAsia="宋体" w:hint="default"/>
                <w:sz w:val="18"/>
                <w:szCs w:val="18"/>
              </w:rPr>
              <w:t>关键参数</w:t>
            </w:r>
            <w:r>
              <w:rPr>
                <w:rFonts w:ascii="宋体" w:hAnsi="宋体" w:cs="宋体" w:eastAsia="宋体" w:hint="default"/>
                <w:sz w:val="18"/>
                <w:szCs w:val="18"/>
              </w:rPr>
              <w:t> </w:t>
            </w:r>
          </w:p>
        </w:tc>
      </w:tr>
      <w:tr>
        <w:trPr>
          <w:trHeight w:val="710" w:hRule="exact"/>
        </w:trPr>
        <w:tc>
          <w:tcPr>
            <w:tcW w:w="1397" w:type="dxa"/>
            <w:vMerge/>
            <w:tcBorders>
              <w:left w:val="nil" w:sz="6" w:space="0" w:color="auto"/>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sz w:val="18"/>
                <w:szCs w:val="18"/>
              </w:rPr>
              <w:t>预测期</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09" w:right="127" w:hanging="180"/>
              <w:jc w:val="left"/>
              <w:rPr>
                <w:rFonts w:ascii="宋体" w:hAnsi="宋体" w:cs="宋体" w:eastAsia="宋体" w:hint="default"/>
                <w:sz w:val="32"/>
                <w:szCs w:val="32"/>
              </w:rPr>
            </w:pPr>
            <w:r>
              <w:rPr>
                <w:rFonts w:ascii="宋体" w:hAnsi="宋体" w:cs="宋体" w:eastAsia="宋体" w:hint="default"/>
                <w:sz w:val="18"/>
                <w:szCs w:val="18"/>
              </w:rPr>
              <w:t>预测期增 长率</w:t>
            </w:r>
            <w:r>
              <w:rPr>
                <w:rFonts w:ascii="宋体" w:hAnsi="宋体" w:cs="宋体" w:eastAsia="宋体" w:hint="default"/>
                <w:w w:val="99"/>
                <w:sz w:val="32"/>
                <w:szCs w:val="32"/>
              </w:rPr>
              <w:t> </w:t>
            </w:r>
            <w:r>
              <w:rPr>
                <w:rFonts w:ascii="宋体" w:hAnsi="宋体" w:cs="宋体" w:eastAsia="宋体" w:hint="default"/>
                <w:sz w:val="32"/>
                <w:szCs w:val="32"/>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稳定期</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51" w:right="56"/>
              <w:jc w:val="left"/>
              <w:rPr>
                <w:rFonts w:ascii="宋体" w:hAnsi="宋体" w:cs="宋体" w:eastAsia="宋体" w:hint="default"/>
                <w:sz w:val="18"/>
                <w:szCs w:val="18"/>
              </w:rPr>
            </w:pPr>
            <w:r>
              <w:rPr>
                <w:rFonts w:ascii="宋体" w:hAnsi="宋体" w:cs="宋体" w:eastAsia="宋体" w:hint="default"/>
                <w:sz w:val="18"/>
                <w:szCs w:val="18"/>
              </w:rPr>
              <w:t>稳定期 增长率</w:t>
            </w:r>
            <w:r>
              <w:rPr>
                <w:rFonts w:ascii="宋体" w:hAnsi="宋体" w:cs="宋体" w:eastAsia="宋体" w:hint="default"/>
                <w:sz w:val="18"/>
                <w:szCs w:val="18"/>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97" w:right="0"/>
              <w:jc w:val="left"/>
              <w:rPr>
                <w:rFonts w:ascii="宋体" w:hAnsi="宋体" w:cs="宋体" w:eastAsia="宋体" w:hint="default"/>
                <w:sz w:val="18"/>
                <w:szCs w:val="18"/>
              </w:rPr>
            </w:pPr>
            <w:r>
              <w:rPr>
                <w:rFonts w:ascii="宋体" w:hAnsi="宋体" w:cs="宋体" w:eastAsia="宋体" w:hint="default"/>
                <w:sz w:val="18"/>
                <w:szCs w:val="18"/>
              </w:rPr>
              <w:t>利润率</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折现率（税前</w:t>
            </w:r>
          </w:p>
          <w:p>
            <w:pPr>
              <w:pStyle w:val="TableParagraph"/>
              <w:spacing w:line="232" w:lineRule="exact" w:before="23"/>
              <w:ind w:left="103" w:right="243"/>
              <w:jc w:val="left"/>
              <w:rPr>
                <w:rFonts w:ascii="宋体" w:hAnsi="宋体" w:cs="宋体" w:eastAsia="宋体" w:hint="default"/>
                <w:sz w:val="18"/>
                <w:szCs w:val="18"/>
              </w:rPr>
            </w:pPr>
            <w:r>
              <w:rPr>
                <w:rFonts w:ascii="宋体" w:hAnsi="宋体" w:cs="宋体" w:eastAsia="宋体" w:hint="default"/>
                <w:sz w:val="18"/>
                <w:szCs w:val="18"/>
              </w:rPr>
              <w:t>加权平均资 本成本）</w:t>
            </w:r>
            <w:r>
              <w:rPr>
                <w:rFonts w:ascii="宋体" w:hAnsi="宋体" w:cs="宋体" w:eastAsia="宋体" w:hint="default"/>
                <w:sz w:val="18"/>
                <w:szCs w:val="18"/>
              </w:rPr>
              <w:t> </w:t>
            </w:r>
          </w:p>
        </w:tc>
      </w:tr>
      <w:tr>
        <w:trPr>
          <w:trHeight w:val="476" w:hRule="exact"/>
        </w:trPr>
        <w:tc>
          <w:tcPr>
            <w:tcW w:w="139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泰豪软件股份</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92" w:right="0"/>
              <w:jc w:val="center"/>
              <w:rPr>
                <w:rFonts w:ascii="宋体" w:hAnsi="宋体" w:cs="宋体" w:eastAsia="宋体" w:hint="default"/>
                <w:sz w:val="18"/>
                <w:szCs w:val="18"/>
              </w:rPr>
            </w:pPr>
            <w:r>
              <w:rPr>
                <w:rFonts w:ascii="宋体" w:hAnsi="宋体" w:cs="宋体" w:eastAsia="宋体" w:hint="default"/>
                <w:sz w:val="18"/>
                <w:szCs w:val="18"/>
              </w:rPr>
              <w:t>2020-2024</w:t>
            </w:r>
            <w:r>
              <w:rPr>
                <w:rFonts w:ascii="宋体" w:hAnsi="宋体" w:cs="宋体" w:eastAsia="宋体" w:hint="default"/>
                <w:spacing w:val="-48"/>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41"/>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1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92" w:right="0"/>
              <w:jc w:val="center"/>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82"/>
              <w:jc w:val="right"/>
              <w:rPr>
                <w:rFonts w:ascii="宋体" w:hAnsi="宋体" w:cs="宋体" w:eastAsia="宋体" w:hint="default"/>
                <w:sz w:val="18"/>
                <w:szCs w:val="18"/>
              </w:rPr>
            </w:pPr>
            <w:r>
              <w:rPr>
                <w:rFonts w:ascii="宋体"/>
                <w:sz w:val="18"/>
              </w:rPr>
              <w:t>0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left"/>
              <w:rPr>
                <w:rFonts w:ascii="宋体" w:hAnsi="宋体" w:cs="宋体" w:eastAsia="宋体" w:hint="default"/>
                <w:sz w:val="18"/>
                <w:szCs w:val="18"/>
              </w:rPr>
            </w:pPr>
            <w:r>
              <w:rPr>
                <w:rFonts w:ascii="宋体" w:hAnsi="宋体" w:cs="宋体" w:eastAsia="宋体" w:hint="default"/>
                <w:sz w:val="18"/>
                <w:szCs w:val="18"/>
              </w:rPr>
              <w:t>根据预测的收入、</w:t>
            </w:r>
          </w:p>
          <w:p>
            <w:pPr>
              <w:pStyle w:val="TableParagraph"/>
              <w:spacing w:line="234" w:lineRule="exact"/>
              <w:ind w:left="146" w:right="0"/>
              <w:jc w:val="left"/>
              <w:rPr>
                <w:rFonts w:ascii="宋体" w:hAnsi="宋体" w:cs="宋体" w:eastAsia="宋体" w:hint="default"/>
                <w:sz w:val="18"/>
                <w:szCs w:val="18"/>
              </w:rPr>
            </w:pPr>
            <w:r>
              <w:rPr>
                <w:rFonts w:ascii="宋体" w:hAnsi="宋体" w:cs="宋体" w:eastAsia="宋体" w:hint="default"/>
                <w:sz w:val="18"/>
                <w:szCs w:val="18"/>
              </w:rPr>
              <w:t>成本、费用等计算</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265"/>
              <w:jc w:val="right"/>
              <w:rPr>
                <w:rFonts w:ascii="宋体" w:hAnsi="宋体" w:cs="宋体" w:eastAsia="宋体" w:hint="default"/>
                <w:sz w:val="18"/>
                <w:szCs w:val="18"/>
              </w:rPr>
            </w:pPr>
            <w:r>
              <w:rPr>
                <w:rFonts w:ascii="宋体"/>
                <w:spacing w:val="-1"/>
                <w:sz w:val="18"/>
              </w:rPr>
              <w:t>15.27%</w:t>
            </w:r>
            <w:r>
              <w:rPr>
                <w:rFonts w:ascii="宋体"/>
                <w:sz w:val="18"/>
              </w:rPr>
              <w:t> </w:t>
            </w:r>
          </w:p>
        </w:tc>
      </w:tr>
      <w:tr>
        <w:trPr>
          <w:trHeight w:val="478" w:hRule="exact"/>
        </w:trPr>
        <w:tc>
          <w:tcPr>
            <w:tcW w:w="1397"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龙岩市海德馨</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汽车有限公司</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2" w:right="0"/>
              <w:jc w:val="center"/>
              <w:rPr>
                <w:rFonts w:ascii="宋体" w:hAnsi="宋体" w:cs="宋体" w:eastAsia="宋体" w:hint="default"/>
                <w:sz w:val="18"/>
                <w:szCs w:val="18"/>
              </w:rPr>
            </w:pPr>
            <w:r>
              <w:rPr>
                <w:rFonts w:ascii="宋体" w:hAnsi="宋体" w:cs="宋体" w:eastAsia="宋体" w:hint="default"/>
                <w:sz w:val="18"/>
                <w:szCs w:val="18"/>
              </w:rPr>
              <w:t>2020-2024</w:t>
            </w:r>
            <w:r>
              <w:rPr>
                <w:rFonts w:ascii="宋体" w:hAnsi="宋体" w:cs="宋体" w:eastAsia="宋体" w:hint="default"/>
                <w:spacing w:val="-48"/>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41"/>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2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2" w:right="0"/>
              <w:jc w:val="center"/>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82"/>
              <w:jc w:val="right"/>
              <w:rPr>
                <w:rFonts w:ascii="宋体" w:hAnsi="宋体" w:cs="宋体" w:eastAsia="宋体" w:hint="default"/>
                <w:sz w:val="18"/>
                <w:szCs w:val="18"/>
              </w:rPr>
            </w:pPr>
            <w:r>
              <w:rPr>
                <w:rFonts w:ascii="宋体"/>
                <w:sz w:val="18"/>
              </w:rPr>
              <w:t>0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hAnsi="宋体" w:cs="宋体" w:eastAsia="宋体" w:hint="default"/>
                <w:sz w:val="18"/>
                <w:szCs w:val="18"/>
              </w:rPr>
              <w:t>根据预测的收入、</w:t>
            </w: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成本、费用等计算</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265"/>
              <w:jc w:val="right"/>
              <w:rPr>
                <w:rFonts w:ascii="宋体" w:hAnsi="宋体" w:cs="宋体" w:eastAsia="宋体" w:hint="default"/>
                <w:sz w:val="18"/>
                <w:szCs w:val="18"/>
              </w:rPr>
            </w:pPr>
            <w:r>
              <w:rPr>
                <w:rFonts w:ascii="宋体"/>
                <w:spacing w:val="-1"/>
                <w:sz w:val="18"/>
              </w:rPr>
              <w:t>13.02%</w:t>
            </w:r>
            <w:r>
              <w:rPr>
                <w:rFonts w:ascii="宋体"/>
                <w:sz w:val="18"/>
              </w:rPr>
              <w:t> </w:t>
            </w:r>
          </w:p>
        </w:tc>
      </w:tr>
      <w:tr>
        <w:trPr>
          <w:trHeight w:val="710" w:hRule="exact"/>
        </w:trPr>
        <w:tc>
          <w:tcPr>
            <w:tcW w:w="1397"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上海博辕信息</w:t>
            </w:r>
          </w:p>
          <w:p>
            <w:pPr>
              <w:pStyle w:val="TableParagraph"/>
              <w:spacing w:line="240" w:lineRule="auto"/>
              <w:ind w:left="122" w:right="188"/>
              <w:jc w:val="left"/>
              <w:rPr>
                <w:rFonts w:ascii="宋体" w:hAnsi="宋体" w:cs="宋体" w:eastAsia="宋体" w:hint="default"/>
                <w:sz w:val="18"/>
                <w:szCs w:val="18"/>
              </w:rPr>
            </w:pPr>
            <w:r>
              <w:rPr>
                <w:rFonts w:ascii="宋体" w:hAnsi="宋体" w:cs="宋体" w:eastAsia="宋体" w:hint="default"/>
                <w:sz w:val="18"/>
                <w:szCs w:val="18"/>
              </w:rPr>
              <w:t>技术服务有限 公司</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sz w:val="18"/>
                <w:szCs w:val="18"/>
              </w:rPr>
              <w:t>2020-2024</w:t>
            </w:r>
            <w:r>
              <w:rPr>
                <w:rFonts w:ascii="宋体" w:hAnsi="宋体" w:cs="宋体" w:eastAsia="宋体" w:hint="default"/>
                <w:spacing w:val="-48"/>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41"/>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3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82"/>
              <w:jc w:val="right"/>
              <w:rPr>
                <w:rFonts w:ascii="宋体" w:hAnsi="宋体" w:cs="宋体" w:eastAsia="宋体" w:hint="default"/>
                <w:sz w:val="18"/>
                <w:szCs w:val="18"/>
              </w:rPr>
            </w:pPr>
            <w:r>
              <w:rPr>
                <w:rFonts w:ascii="宋体"/>
                <w:sz w:val="18"/>
              </w:rPr>
              <w:t>0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46" w:right="53"/>
              <w:jc w:val="left"/>
              <w:rPr>
                <w:rFonts w:ascii="宋体" w:hAnsi="宋体" w:cs="宋体" w:eastAsia="宋体" w:hint="default"/>
                <w:sz w:val="18"/>
                <w:szCs w:val="18"/>
              </w:rPr>
            </w:pPr>
            <w:r>
              <w:rPr>
                <w:rFonts w:ascii="宋体" w:hAnsi="宋体" w:cs="宋体" w:eastAsia="宋体" w:hint="default"/>
                <w:sz w:val="18"/>
                <w:szCs w:val="18"/>
              </w:rPr>
              <w:t>根据预测的收入、 成本、费用等计算</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65"/>
              <w:jc w:val="right"/>
              <w:rPr>
                <w:rFonts w:ascii="宋体" w:hAnsi="宋体" w:cs="宋体" w:eastAsia="宋体" w:hint="default"/>
                <w:sz w:val="18"/>
                <w:szCs w:val="18"/>
              </w:rPr>
            </w:pPr>
            <w:r>
              <w:rPr>
                <w:rFonts w:ascii="宋体"/>
                <w:spacing w:val="-1"/>
                <w:sz w:val="18"/>
              </w:rPr>
              <w:t>14.35%</w:t>
            </w:r>
            <w:r>
              <w:rPr>
                <w:rFonts w:ascii="宋体"/>
                <w:sz w:val="18"/>
              </w:rPr>
              <w:t> </w:t>
            </w:r>
          </w:p>
        </w:tc>
      </w:tr>
      <w:tr>
        <w:trPr>
          <w:trHeight w:val="720" w:hRule="exact"/>
        </w:trPr>
        <w:tc>
          <w:tcPr>
            <w:tcW w:w="1397" w:type="dxa"/>
            <w:tcBorders>
              <w:top w:val="single" w:sz="4" w:space="0" w:color="000000"/>
              <w:left w:val="nil" w:sz="6" w:space="0" w:color="auto"/>
              <w:bottom w:val="single" w:sz="12"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上海红生信息</w:t>
            </w:r>
          </w:p>
          <w:p>
            <w:pPr>
              <w:pStyle w:val="TableParagraph"/>
              <w:spacing w:line="240" w:lineRule="auto"/>
              <w:ind w:left="122" w:right="188"/>
              <w:jc w:val="left"/>
              <w:rPr>
                <w:rFonts w:ascii="宋体" w:hAnsi="宋体" w:cs="宋体" w:eastAsia="宋体" w:hint="default"/>
                <w:sz w:val="18"/>
                <w:szCs w:val="18"/>
              </w:rPr>
            </w:pPr>
            <w:r>
              <w:rPr>
                <w:rFonts w:ascii="宋体" w:hAnsi="宋体" w:cs="宋体" w:eastAsia="宋体" w:hint="default"/>
                <w:sz w:val="18"/>
                <w:szCs w:val="18"/>
              </w:rPr>
              <w:t>系统工程有限 公司</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sz w:val="18"/>
                <w:szCs w:val="18"/>
              </w:rPr>
              <w:t>2020-2024</w:t>
            </w:r>
            <w:r>
              <w:rPr>
                <w:rFonts w:ascii="宋体" w:hAnsi="宋体" w:cs="宋体" w:eastAsia="宋体" w:hint="default"/>
                <w:spacing w:val="-48"/>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9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41"/>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4 </w:t>
            </w:r>
          </w:p>
        </w:tc>
        <w:tc>
          <w:tcPr>
            <w:tcW w:w="10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82"/>
              <w:jc w:val="right"/>
              <w:rPr>
                <w:rFonts w:ascii="宋体" w:hAnsi="宋体" w:cs="宋体" w:eastAsia="宋体" w:hint="default"/>
                <w:sz w:val="18"/>
                <w:szCs w:val="18"/>
              </w:rPr>
            </w:pPr>
            <w:r>
              <w:rPr>
                <w:rFonts w:ascii="宋体"/>
                <w:sz w:val="18"/>
              </w:rPr>
              <w:t>0 </w:t>
            </w:r>
          </w:p>
        </w:tc>
        <w:tc>
          <w:tcPr>
            <w:tcW w:w="1740" w:type="dxa"/>
            <w:tcBorders>
              <w:top w:val="single" w:sz="4" w:space="0" w:color="000000"/>
              <w:left w:val="single" w:sz="4" w:space="0" w:color="000000"/>
              <w:bottom w:val="single" w:sz="12" w:space="0" w:color="000000"/>
              <w:right w:val="single" w:sz="4" w:space="0" w:color="000000"/>
            </w:tcBorders>
          </w:tcPr>
          <w:p>
            <w:pPr>
              <w:pStyle w:val="TableParagraph"/>
              <w:spacing w:line="232" w:lineRule="exact" w:before="112"/>
              <w:ind w:left="146" w:right="53"/>
              <w:jc w:val="left"/>
              <w:rPr>
                <w:rFonts w:ascii="宋体" w:hAnsi="宋体" w:cs="宋体" w:eastAsia="宋体" w:hint="default"/>
                <w:sz w:val="18"/>
                <w:szCs w:val="18"/>
              </w:rPr>
            </w:pPr>
            <w:r>
              <w:rPr>
                <w:rFonts w:ascii="宋体" w:hAnsi="宋体" w:cs="宋体" w:eastAsia="宋体" w:hint="default"/>
                <w:sz w:val="18"/>
                <w:szCs w:val="18"/>
              </w:rPr>
              <w:t>根据预测的收入、 成本、费用等计算</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65"/>
              <w:jc w:val="right"/>
              <w:rPr>
                <w:rFonts w:ascii="宋体" w:hAnsi="宋体" w:cs="宋体" w:eastAsia="宋体" w:hint="default"/>
                <w:sz w:val="18"/>
                <w:szCs w:val="18"/>
              </w:rPr>
            </w:pPr>
            <w:r>
              <w:rPr>
                <w:rFonts w:ascii="宋体"/>
                <w:spacing w:val="-1"/>
                <w:sz w:val="18"/>
              </w:rPr>
              <w:t>12.89%</w:t>
            </w:r>
            <w:r>
              <w:rPr>
                <w:rFonts w:ascii="宋体"/>
                <w:sz w:val="18"/>
              </w:rPr>
              <w:t> </w:t>
            </w:r>
          </w:p>
        </w:tc>
      </w:tr>
    </w:tbl>
    <w:p>
      <w:pPr>
        <w:spacing w:line="205" w:lineRule="exact" w:before="0"/>
        <w:ind w:left="524"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9"/>
          <w:sz w:val="18"/>
          <w:szCs w:val="18"/>
        </w:rPr>
        <w:t> </w:t>
      </w:r>
      <w:r>
        <w:rPr>
          <w:rFonts w:ascii="宋体" w:hAnsi="宋体" w:cs="宋体" w:eastAsia="宋体" w:hint="default"/>
          <w:sz w:val="18"/>
          <w:szCs w:val="18"/>
        </w:rPr>
        <w:t>1</w:t>
      </w:r>
      <w:r>
        <w:rPr>
          <w:rFonts w:ascii="宋体" w:hAnsi="宋体" w:cs="宋体" w:eastAsia="宋体" w:hint="default"/>
          <w:sz w:val="18"/>
          <w:szCs w:val="18"/>
        </w:rPr>
        <w:t>：从国家宏观经济环境、行业现状与发展趋势来看，发展势头良好，但也存在税务对软件收入的认定趋严，软件产品退税可能减少的因素。从公司稳健发展综合考虑，</w:t>
      </w:r>
    </w:p>
    <w:p>
      <w:pPr>
        <w:spacing w:line="234" w:lineRule="exact" w:before="0"/>
        <w:ind w:left="164" w:right="0" w:firstLine="0"/>
        <w:jc w:val="left"/>
        <w:rPr>
          <w:rFonts w:ascii="宋体" w:hAnsi="宋体" w:cs="宋体" w:eastAsia="宋体" w:hint="default"/>
          <w:sz w:val="18"/>
          <w:szCs w:val="18"/>
        </w:rPr>
      </w:pPr>
      <w:r>
        <w:rPr>
          <w:rFonts w:ascii="宋体" w:hAnsi="宋体" w:cs="宋体" w:eastAsia="宋体" w:hint="default"/>
          <w:sz w:val="18"/>
          <w:szCs w:val="18"/>
        </w:rPr>
        <w:t>本次预测期的业务收入增长率约为</w:t>
      </w:r>
      <w:r>
        <w:rPr>
          <w:rFonts w:ascii="宋体" w:hAnsi="宋体" w:cs="宋体" w:eastAsia="宋体" w:hint="default"/>
          <w:spacing w:val="-46"/>
          <w:sz w:val="18"/>
          <w:szCs w:val="18"/>
        </w:rPr>
        <w:t> </w:t>
      </w:r>
      <w:r>
        <w:rPr>
          <w:rFonts w:ascii="宋体" w:hAnsi="宋体" w:cs="宋体" w:eastAsia="宋体" w:hint="default"/>
          <w:sz w:val="18"/>
          <w:szCs w:val="18"/>
        </w:rPr>
        <w:t>1.48%</w:t>
      </w:r>
      <w:r>
        <w:rPr>
          <w:rFonts w:ascii="宋体" w:hAnsi="宋体" w:cs="宋体" w:eastAsia="宋体" w:hint="default"/>
          <w:sz w:val="18"/>
          <w:szCs w:val="18"/>
        </w:rPr>
        <w:t>左右。</w:t>
      </w:r>
      <w:r>
        <w:rPr>
          <w:rFonts w:ascii="宋体" w:hAnsi="宋体" w:cs="宋体" w:eastAsia="宋体" w:hint="default"/>
          <w:sz w:val="18"/>
          <w:szCs w:val="18"/>
        </w:rPr>
        <w:t> </w:t>
      </w:r>
    </w:p>
    <w:p>
      <w:pPr>
        <w:spacing w:line="232" w:lineRule="exact" w:before="23"/>
        <w:ind w:left="164" w:right="179" w:firstLine="36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7"/>
          <w:sz w:val="18"/>
          <w:szCs w:val="18"/>
        </w:rPr>
        <w:t> </w:t>
      </w:r>
      <w:r>
        <w:rPr>
          <w:rFonts w:ascii="宋体" w:hAnsi="宋体" w:cs="宋体" w:eastAsia="宋体" w:hint="default"/>
          <w:spacing w:val="-2"/>
          <w:sz w:val="18"/>
          <w:szCs w:val="18"/>
        </w:rPr>
        <w:t>2</w:t>
      </w:r>
      <w:r>
        <w:rPr>
          <w:rFonts w:ascii="宋体" w:hAnsi="宋体" w:cs="宋体" w:eastAsia="宋体" w:hint="default"/>
          <w:spacing w:val="-2"/>
          <w:sz w:val="18"/>
          <w:szCs w:val="18"/>
        </w:rPr>
        <w:t>：</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pacing w:val="-5"/>
          <w:sz w:val="18"/>
          <w:szCs w:val="18"/>
        </w:rPr>
        <w:t>公司为专业从事应急电源车（发电车）、磁悬浮飞轮储能</w:t>
      </w:r>
      <w:r>
        <w:rPr>
          <w:rFonts w:ascii="宋体" w:hAnsi="宋体" w:cs="宋体" w:eastAsia="宋体" w:hint="default"/>
          <w:spacing w:val="-36"/>
          <w:sz w:val="18"/>
          <w:szCs w:val="18"/>
        </w:rPr>
        <w:t> </w:t>
      </w:r>
      <w:r>
        <w:rPr>
          <w:rFonts w:ascii="宋体" w:hAnsi="宋体" w:cs="宋体" w:eastAsia="宋体" w:hint="default"/>
          <w:spacing w:val="-1"/>
          <w:sz w:val="18"/>
          <w:szCs w:val="18"/>
        </w:rPr>
        <w:t>UPS</w:t>
      </w:r>
      <w:r>
        <w:rPr>
          <w:rFonts w:ascii="宋体" w:hAnsi="宋体" w:cs="宋体" w:eastAsia="宋体" w:hint="default"/>
          <w:spacing w:val="-36"/>
          <w:sz w:val="18"/>
          <w:szCs w:val="18"/>
        </w:rPr>
        <w:t> </w:t>
      </w:r>
      <w:r>
        <w:rPr>
          <w:rFonts w:ascii="宋体" w:hAnsi="宋体" w:cs="宋体" w:eastAsia="宋体" w:hint="default"/>
          <w:spacing w:val="-1"/>
          <w:sz w:val="18"/>
          <w:szCs w:val="18"/>
        </w:rPr>
        <w:t>电源车、抢险救援照明车、野外生活保障车</w:t>
      </w:r>
      <w:r>
        <w:rPr>
          <w:rFonts w:ascii="宋体" w:hAnsi="宋体" w:cs="宋体" w:eastAsia="宋体" w:hint="default"/>
          <w:spacing w:val="-1"/>
          <w:sz w:val="18"/>
          <w:szCs w:val="18"/>
        </w:rPr>
        <w:t>/</w:t>
      </w:r>
      <w:r>
        <w:rPr>
          <w:rFonts w:ascii="宋体" w:hAnsi="宋体" w:cs="宋体" w:eastAsia="宋体" w:hint="default"/>
          <w:spacing w:val="-1"/>
          <w:sz w:val="18"/>
          <w:szCs w:val="18"/>
        </w:rPr>
        <w:t>后勤装备车、通信指挥车、装备车、排水配电车灯移动应急</w:t>
      </w:r>
      <w:r>
        <w:rPr>
          <w:rFonts w:ascii="宋体" w:hAnsi="宋体" w:cs="宋体" w:eastAsia="宋体" w:hint="default"/>
          <w:sz w:val="18"/>
          <w:szCs w:val="18"/>
        </w:rPr>
        <w:t> 专用汽车研发、制造、销售的国家高新技术企业。根据历史年度的经营状况，未来的战略发展规划、市场营销计划、自身经营优劣势分析以及对行业政策、市场竞争环境、目前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在手订单等方面的判断，本次预测期业务收入增长率约在</w:t>
      </w:r>
      <w:r>
        <w:rPr>
          <w:rFonts w:ascii="宋体" w:hAnsi="宋体" w:cs="宋体" w:eastAsia="宋体" w:hint="default"/>
          <w:spacing w:val="-45"/>
          <w:sz w:val="18"/>
          <w:szCs w:val="18"/>
        </w:rPr>
        <w:t> </w:t>
      </w:r>
      <w:r>
        <w:rPr>
          <w:rFonts w:ascii="宋体" w:hAnsi="宋体" w:cs="宋体" w:eastAsia="宋体" w:hint="default"/>
          <w:sz w:val="18"/>
          <w:szCs w:val="18"/>
        </w:rPr>
        <w:t>4.87%</w:t>
      </w:r>
      <w:r>
        <w:rPr>
          <w:rFonts w:ascii="宋体" w:hAnsi="宋体" w:cs="宋体" w:eastAsia="宋体" w:hint="default"/>
          <w:sz w:val="18"/>
          <w:szCs w:val="18"/>
        </w:rPr>
        <w:t>左右。</w:t>
      </w:r>
      <w:r>
        <w:rPr>
          <w:rFonts w:ascii="宋体" w:hAnsi="宋体" w:cs="宋体" w:eastAsia="宋体" w:hint="default"/>
          <w:sz w:val="18"/>
          <w:szCs w:val="18"/>
        </w:rPr>
        <w:t> </w:t>
      </w:r>
    </w:p>
    <w:p>
      <w:pPr>
        <w:spacing w:after="0" w:line="232" w:lineRule="exact"/>
        <w:jc w:val="both"/>
        <w:rPr>
          <w:rFonts w:ascii="宋体" w:hAnsi="宋体" w:cs="宋体" w:eastAsia="宋体" w:hint="default"/>
          <w:sz w:val="18"/>
          <w:szCs w:val="18"/>
        </w:rPr>
        <w:sectPr>
          <w:pgSz w:w="16840" w:h="11910" w:orient="landscape"/>
          <w:pgMar w:header="882" w:footer="1195" w:top="1120" w:bottom="1380" w:left="1360" w:right="1260"/>
        </w:sectPr>
      </w:pPr>
    </w:p>
    <w:p>
      <w:pPr>
        <w:spacing w:line="232" w:lineRule="exact" w:before="146"/>
        <w:ind w:left="224" w:right="218" w:firstLine="36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11"/>
          <w:sz w:val="18"/>
          <w:szCs w:val="18"/>
        </w:rPr>
        <w:t> </w:t>
      </w:r>
      <w:r>
        <w:rPr>
          <w:rFonts w:ascii="宋体" w:hAnsi="宋体" w:cs="宋体" w:eastAsia="宋体" w:hint="default"/>
          <w:sz w:val="18"/>
          <w:szCs w:val="18"/>
        </w:rPr>
        <w:t>3</w:t>
      </w:r>
      <w:r>
        <w:rPr>
          <w:rFonts w:ascii="宋体" w:hAnsi="宋体" w:cs="宋体" w:eastAsia="宋体" w:hint="default"/>
          <w:sz w:val="18"/>
          <w:szCs w:val="18"/>
        </w:rPr>
        <w:t>：国家电网在能源互联网领域持续增加投入，提升信息网络、数据（灾备）中心、集成服务、信息展现四部分组成的一体化信息平台，信息化建设中的专业服务需求旺 盛，同时存在系统服务商较为分散、数量众多的因素。从公司稳健发展综合考虑，本次预测期业务收入增长率分别为：</w:t>
      </w:r>
      <w:r>
        <w:rPr>
          <w:rFonts w:ascii="宋体" w:hAnsi="宋体" w:cs="宋体" w:eastAsia="宋体" w:hint="default"/>
          <w:sz w:val="18"/>
          <w:szCs w:val="18"/>
        </w:rPr>
        <w:t>-0.93% </w:t>
      </w:r>
      <w:r>
        <w:rPr>
          <w:rFonts w:ascii="宋体" w:hAnsi="宋体" w:cs="宋体" w:eastAsia="宋体" w:hint="default"/>
          <w:sz w:val="18"/>
          <w:szCs w:val="18"/>
        </w:rPr>
        <w:t>、</w:t>
      </w:r>
      <w:r>
        <w:rPr>
          <w:rFonts w:ascii="宋体" w:hAnsi="宋体" w:cs="宋体" w:eastAsia="宋体" w:hint="default"/>
          <w:sz w:val="18"/>
          <w:szCs w:val="18"/>
        </w:rPr>
        <w:t>9.90% </w:t>
      </w:r>
      <w:r>
        <w:rPr>
          <w:rFonts w:ascii="宋体" w:hAnsi="宋体" w:cs="宋体" w:eastAsia="宋体" w:hint="default"/>
          <w:sz w:val="18"/>
          <w:szCs w:val="18"/>
        </w:rPr>
        <w:t>、</w:t>
      </w:r>
      <w:r>
        <w:rPr>
          <w:rFonts w:ascii="宋体" w:hAnsi="宋体" w:cs="宋体" w:eastAsia="宋体" w:hint="default"/>
          <w:sz w:val="18"/>
          <w:szCs w:val="18"/>
        </w:rPr>
        <w:t>6.77% </w:t>
      </w:r>
      <w:r>
        <w:rPr>
          <w:rFonts w:ascii="宋体" w:hAnsi="宋体" w:cs="宋体" w:eastAsia="宋体" w:hint="default"/>
          <w:sz w:val="18"/>
          <w:szCs w:val="18"/>
        </w:rPr>
        <w:t>、</w:t>
      </w:r>
      <w:r>
        <w:rPr>
          <w:rFonts w:ascii="宋体" w:hAnsi="宋体" w:cs="宋体" w:eastAsia="宋体" w:hint="default"/>
          <w:sz w:val="18"/>
          <w:szCs w:val="18"/>
        </w:rPr>
        <w:t>3.50%</w:t>
      </w:r>
      <w:r>
        <w:rPr>
          <w:rFonts w:ascii="宋体" w:hAnsi="宋体" w:cs="宋体" w:eastAsia="宋体" w:hint="default"/>
          <w:spacing w:val="-6"/>
          <w:sz w:val="18"/>
          <w:szCs w:val="18"/>
        </w:rPr>
        <w:t> </w:t>
      </w:r>
      <w:r>
        <w:rPr>
          <w:rFonts w:ascii="宋体" w:hAnsi="宋体" w:cs="宋体" w:eastAsia="宋体" w:hint="default"/>
          <w:sz w:val="18"/>
          <w:szCs w:val="18"/>
        </w:rPr>
        <w:t>、</w:t>
      </w:r>
      <w:r>
        <w:rPr>
          <w:rFonts w:ascii="宋体" w:hAnsi="宋体" w:cs="宋体" w:eastAsia="宋体" w:hint="default"/>
          <w:sz w:val="18"/>
          <w:szCs w:val="18"/>
        </w:rPr>
        <w:t>1.00%</w:t>
      </w:r>
      <w:r>
        <w:rPr>
          <w:rFonts w:ascii="宋体" w:hAnsi="宋体" w:cs="宋体" w:eastAsia="宋体" w:hint="default"/>
          <w:spacing w:val="-2"/>
          <w:sz w:val="18"/>
          <w:szCs w:val="18"/>
        </w:rPr>
        <w:t> </w:t>
      </w:r>
      <w:r>
        <w:rPr>
          <w:rFonts w:ascii="宋体" w:hAnsi="宋体" w:cs="宋体" w:eastAsia="宋体" w:hint="default"/>
          <w:sz w:val="18"/>
          <w:szCs w:val="18"/>
        </w:rPr>
        <w:t> </w:t>
      </w:r>
    </w:p>
    <w:p>
      <w:pPr>
        <w:spacing w:line="232" w:lineRule="exact" w:before="1"/>
        <w:ind w:left="224" w:right="205" w:firstLine="36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9"/>
          <w:sz w:val="18"/>
          <w:szCs w:val="18"/>
        </w:rPr>
        <w:t> </w:t>
      </w:r>
      <w:r>
        <w:rPr>
          <w:rFonts w:ascii="宋体" w:hAnsi="宋体" w:cs="宋体" w:eastAsia="宋体" w:hint="default"/>
          <w:sz w:val="18"/>
          <w:szCs w:val="18"/>
        </w:rPr>
        <w:t>4</w:t>
      </w:r>
      <w:r>
        <w:rPr>
          <w:rFonts w:ascii="宋体" w:hAnsi="宋体" w:cs="宋体" w:eastAsia="宋体" w:hint="default"/>
          <w:sz w:val="18"/>
          <w:szCs w:val="18"/>
        </w:rPr>
        <w:t>：受益于军工行业成长性的大背景以及企业自身资质和技术优势及发展趋势，结合新产品、新客户的开发情况，以及目前在手订单统计情况，本次预测期业务收入增长 率分别为</w:t>
      </w:r>
      <w:r>
        <w:rPr>
          <w:rFonts w:ascii="宋体" w:hAnsi="宋体" w:cs="宋体" w:eastAsia="宋体" w:hint="default"/>
          <w:spacing w:val="-56"/>
          <w:sz w:val="18"/>
          <w:szCs w:val="18"/>
        </w:rPr>
        <w:t> </w:t>
      </w:r>
      <w:r>
        <w:rPr>
          <w:rFonts w:ascii="宋体" w:hAnsi="宋体" w:cs="宋体" w:eastAsia="宋体" w:hint="default"/>
          <w:sz w:val="18"/>
          <w:szCs w:val="18"/>
        </w:rPr>
        <w:t>11.71%</w:t>
      </w:r>
      <w:r>
        <w:rPr>
          <w:rFonts w:ascii="宋体" w:hAnsi="宋体" w:cs="宋体" w:eastAsia="宋体" w:hint="default"/>
          <w:sz w:val="18"/>
          <w:szCs w:val="18"/>
        </w:rPr>
        <w:t>、</w:t>
      </w:r>
      <w:r>
        <w:rPr>
          <w:rFonts w:ascii="宋体" w:hAnsi="宋体" w:cs="宋体" w:eastAsia="宋体" w:hint="default"/>
          <w:sz w:val="18"/>
          <w:szCs w:val="18"/>
        </w:rPr>
        <w:t>6.37%</w:t>
      </w:r>
      <w:r>
        <w:rPr>
          <w:rFonts w:ascii="宋体" w:hAnsi="宋体" w:cs="宋体" w:eastAsia="宋体" w:hint="default"/>
          <w:sz w:val="18"/>
          <w:szCs w:val="18"/>
        </w:rPr>
        <w:t>、</w:t>
      </w:r>
      <w:r>
        <w:rPr>
          <w:rFonts w:ascii="宋体" w:hAnsi="宋体" w:cs="宋体" w:eastAsia="宋体" w:hint="default"/>
          <w:sz w:val="18"/>
          <w:szCs w:val="18"/>
        </w:rPr>
        <w:t>4.92%</w:t>
      </w:r>
      <w:r>
        <w:rPr>
          <w:rFonts w:ascii="宋体" w:hAnsi="宋体" w:cs="宋体" w:eastAsia="宋体" w:hint="default"/>
          <w:sz w:val="18"/>
          <w:szCs w:val="18"/>
        </w:rPr>
        <w:t>、</w:t>
      </w:r>
      <w:r>
        <w:rPr>
          <w:rFonts w:ascii="宋体" w:hAnsi="宋体" w:cs="宋体" w:eastAsia="宋体" w:hint="default"/>
          <w:sz w:val="18"/>
          <w:szCs w:val="18"/>
        </w:rPr>
        <w:t>7.33%</w:t>
      </w:r>
      <w:r>
        <w:rPr>
          <w:rFonts w:ascii="宋体" w:hAnsi="宋体" w:cs="宋体" w:eastAsia="宋体" w:hint="default"/>
          <w:sz w:val="18"/>
          <w:szCs w:val="18"/>
        </w:rPr>
        <w:t>、</w:t>
      </w:r>
      <w:r>
        <w:rPr>
          <w:rFonts w:ascii="宋体" w:hAnsi="宋体" w:cs="宋体" w:eastAsia="宋体" w:hint="default"/>
          <w:sz w:val="18"/>
          <w:szCs w:val="18"/>
        </w:rPr>
        <w:t>3.68%</w:t>
      </w:r>
      <w:r>
        <w:rPr>
          <w:rFonts w:ascii="宋体" w:hAnsi="宋体" w:cs="宋体" w:eastAsia="宋体" w:hint="default"/>
          <w:sz w:val="18"/>
          <w:szCs w:val="18"/>
        </w:rPr>
        <w:t>。</w:t>
      </w:r>
      <w:r>
        <w:rPr>
          <w:rFonts w:ascii="宋体" w:hAnsi="宋体" w:cs="宋体" w:eastAsia="宋体" w:hint="default"/>
          <w:sz w:val="18"/>
          <w:szCs w:val="18"/>
        </w:rPr>
        <w:t> </w:t>
      </w:r>
    </w:p>
    <w:p>
      <w:pPr>
        <w:pStyle w:val="Heading3"/>
        <w:spacing w:line="283" w:lineRule="exact"/>
        <w:ind w:left="224" w:right="0"/>
        <w:jc w:val="left"/>
        <w:rPr>
          <w:rFonts w:ascii="宋体" w:hAnsi="宋体" w:cs="宋体" w:eastAsia="宋体" w:hint="default"/>
        </w:rPr>
      </w:pPr>
      <w:r>
        <w:rPr>
          <w:rFonts w:ascii="宋体"/>
        </w:rPr>
        <w:t> </w:t>
      </w:r>
    </w:p>
    <w:p>
      <w:pPr>
        <w:pStyle w:val="Heading5"/>
        <w:spacing w:line="240" w:lineRule="auto" w:before="61"/>
        <w:ind w:left="224" w:right="0"/>
        <w:jc w:val="left"/>
        <w:rPr>
          <w:rFonts w:ascii="宋体" w:hAnsi="宋体" w:cs="宋体" w:eastAsia="宋体" w:hint="default"/>
          <w:b w:val="0"/>
          <w:bCs w:val="0"/>
        </w:rPr>
      </w:pPr>
      <w:r>
        <w:rPr>
          <w:rFonts w:ascii="宋体" w:hAnsi="宋体" w:cs="宋体" w:eastAsia="宋体" w:hint="default"/>
        </w:rPr>
        <w:t>(5).</w:t>
      </w:r>
      <w:r>
        <w:rPr/>
        <w:t>商誉减值测试的影响</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2"/>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0" w:lineRule="exact" w:before="31"/>
        <w:ind w:left="224" w:right="0"/>
        <w:jc w:val="left"/>
        <w:rPr>
          <w:rFonts w:ascii="宋体" w:hAnsi="宋体" w:cs="宋体" w:eastAsia="宋体" w:hint="default"/>
        </w:rPr>
      </w:pPr>
      <w:r>
        <w:rPr>
          <w:rFonts w:ascii="宋体" w:hAnsi="宋体" w:cs="宋体" w:eastAsia="宋体" w:hint="default"/>
        </w:rPr>
        <w:t>  </w:t>
      </w:r>
      <w:r>
        <w:rPr/>
        <w:t>其他说明</w:t>
      </w:r>
      <w:r>
        <w:rPr>
          <w:rFonts w:ascii="宋体" w:hAnsi="宋体" w:cs="宋体" w:eastAsia="宋体" w:hint="default"/>
        </w:rPr>
        <w:t> </w:t>
      </w:r>
    </w:p>
    <w:p>
      <w:pPr>
        <w:pStyle w:val="Heading3"/>
        <w:spacing w:line="283" w:lineRule="exact"/>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224" w:right="0"/>
        <w:jc w:val="left"/>
        <w:rPr>
          <w:rFonts w:ascii="宋体" w:hAnsi="宋体" w:cs="宋体" w:eastAsia="宋体" w:hint="default"/>
        </w:rPr>
      </w:pPr>
      <w:r>
        <w:rPr>
          <w:rFonts w:ascii="宋体"/>
        </w:rPr>
        <w:t> </w:t>
      </w:r>
    </w:p>
    <w:p>
      <w:pPr>
        <w:pStyle w:val="Heading5"/>
        <w:spacing w:line="240" w:lineRule="auto" w:before="61"/>
        <w:ind w:left="224" w:right="0"/>
        <w:jc w:val="left"/>
        <w:rPr>
          <w:rFonts w:ascii="宋体" w:hAnsi="宋体" w:cs="宋体" w:eastAsia="宋体" w:hint="default"/>
          <w:b w:val="0"/>
          <w:bCs w:val="0"/>
        </w:rPr>
      </w:pPr>
      <w:r>
        <w:rPr>
          <w:rFonts w:ascii="宋体" w:hAnsi="宋体" w:cs="宋体" w:eastAsia="宋体" w:hint="default"/>
        </w:rPr>
        <w:t>28</w:t>
      </w:r>
      <w:r>
        <w:rPr/>
        <w:t>、</w:t>
      </w:r>
      <w:r>
        <w:rPr>
          <w:spacing w:val="-25"/>
        </w:rPr>
        <w:t> </w:t>
      </w:r>
      <w:r>
        <w:rPr/>
        <w:t>长期待摊费用</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1"/>
        <w:ind w:left="0" w:right="98"/>
        <w:jc w:val="right"/>
        <w:rPr>
          <w:rFonts w:ascii="宋体" w:hAnsi="宋体" w:cs="宋体" w:eastAsia="宋体" w:hint="default"/>
          <w:sz w:val="24"/>
          <w:szCs w:val="24"/>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sz w:val="24"/>
          <w:szCs w:val="24"/>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256"/>
        <w:gridCol w:w="2329"/>
        <w:gridCol w:w="2330"/>
        <w:gridCol w:w="2331"/>
        <w:gridCol w:w="2367"/>
        <w:gridCol w:w="2477"/>
      </w:tblGrid>
      <w:tr>
        <w:trPr>
          <w:trHeight w:val="283" w:hRule="exact"/>
        </w:trPr>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0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3" w:right="0"/>
              <w:jc w:val="left"/>
              <w:rPr>
                <w:rFonts w:ascii="宋体" w:hAnsi="宋体" w:cs="宋体" w:eastAsia="宋体" w:hint="default"/>
                <w:sz w:val="21"/>
                <w:szCs w:val="21"/>
              </w:rPr>
            </w:pPr>
            <w:r>
              <w:rPr>
                <w:rFonts w:ascii="宋体" w:hAnsi="宋体" w:cs="宋体" w:eastAsia="宋体" w:hint="default"/>
                <w:sz w:val="21"/>
                <w:szCs w:val="21"/>
              </w:rPr>
              <w:t>本期摊销金额</w:t>
            </w:r>
            <w:r>
              <w:rPr>
                <w:rFonts w:ascii="宋体" w:hAnsi="宋体" w:cs="宋体" w:eastAsia="宋体" w:hint="default"/>
                <w:sz w:val="21"/>
                <w:szCs w:val="21"/>
              </w:rPr>
              <w:t> </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其他减少金额</w:t>
            </w:r>
            <w:r>
              <w:rPr>
                <w:rFonts w:ascii="宋体" w:hAnsi="宋体" w:cs="宋体" w:eastAsia="宋体" w:hint="default"/>
                <w:sz w:val="21"/>
                <w:szCs w:val="21"/>
              </w:rPr>
              <w:t> </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10,914,328.69</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561,332.92</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4,150,364.27</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85,979.39</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7,239,317.95</w:t>
            </w:r>
          </w:p>
        </w:tc>
      </w:tr>
      <w:tr>
        <w:trPr>
          <w:trHeight w:val="283" w:hRule="exact"/>
        </w:trPr>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5,119,049.56</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92,400.00</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61,600.00</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3,701,053.83</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1,448,795.73</w:t>
            </w:r>
          </w:p>
        </w:tc>
      </w:tr>
      <w:tr>
        <w:trPr>
          <w:trHeight w:val="284" w:hRule="exact"/>
        </w:trPr>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0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16,033,378.25</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653,732.92</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4,211,964.27</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3,787,033.22</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8,688,113.68</w:t>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82" w:footer="1195" w:top="1120" w:bottom="1380" w:left="1300" w:right="1220"/>
        </w:sectPr>
      </w:pPr>
    </w:p>
    <w:p>
      <w:pPr>
        <w:pStyle w:val="Heading3"/>
        <w:spacing w:line="274" w:lineRule="exact"/>
        <w:ind w:left="224" w:right="0"/>
        <w:jc w:val="left"/>
        <w:rPr>
          <w:rFonts w:ascii="宋体" w:hAnsi="宋体" w:cs="宋体" w:eastAsia="宋体" w:hint="default"/>
        </w:rPr>
      </w:pPr>
      <w:r>
        <w:rPr>
          <w:rFonts w:ascii="宋体"/>
        </w:rPr>
        <w:t> </w:t>
      </w:r>
    </w:p>
    <w:p>
      <w:pPr>
        <w:pStyle w:val="Heading5"/>
        <w:spacing w:line="290" w:lineRule="auto" w:before="61"/>
        <w:ind w:left="224" w:right="0"/>
        <w:jc w:val="left"/>
        <w:rPr>
          <w:rFonts w:ascii="宋体" w:hAnsi="宋体" w:cs="宋体" w:eastAsia="宋体" w:hint="default"/>
          <w:b w:val="0"/>
          <w:bCs w:val="0"/>
        </w:rPr>
      </w:pPr>
      <w:r>
        <w:rPr>
          <w:rFonts w:ascii="宋体" w:hAnsi="宋体" w:cs="宋体" w:eastAsia="宋体" w:hint="default"/>
        </w:rPr>
        <w:t>29</w:t>
      </w:r>
      <w:r>
        <w:rPr/>
        <w:t>、 递延所得税资产</w:t>
      </w:r>
      <w:r>
        <w:rPr>
          <w:rFonts w:ascii="宋体" w:hAnsi="宋体" w:cs="宋体" w:eastAsia="宋体" w:hint="default"/>
        </w:rPr>
        <w:t>/</w:t>
      </w:r>
      <w:r>
        <w:rPr>
          <w:rFonts w:ascii="宋体" w:hAnsi="宋体" w:cs="宋体" w:eastAsia="宋体" w:hint="default"/>
          <w:spacing w:val="-25"/>
        </w:rPr>
        <w:t> </w:t>
      </w:r>
      <w:r>
        <w:rPr/>
        <w:t>递延所得税负债</w:t>
      </w:r>
      <w:r>
        <w:rPr>
          <w:rFonts w:ascii="宋体" w:hAnsi="宋体" w:cs="宋体" w:eastAsia="宋体" w:hint="default"/>
          <w:w w:val="99"/>
        </w:rPr>
        <w:t> </w:t>
      </w:r>
      <w:r>
        <w:rPr>
          <w:rFonts w:ascii="宋体" w:hAnsi="宋体" w:cs="宋体" w:eastAsia="宋体" w:hint="default"/>
        </w:rPr>
        <w:t>(1).</w:t>
      </w:r>
      <w:r>
        <w:rPr/>
        <w:t>未经抵销的递延所得税资产</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8"/>
          <w:szCs w:val="28"/>
        </w:rPr>
      </w:pPr>
    </w:p>
    <w:p>
      <w:pPr>
        <w:pStyle w:val="BodyText"/>
        <w:spacing w:line="240" w:lineRule="auto"/>
        <w:ind w:left="224" w:right="0"/>
        <w:jc w:val="left"/>
        <w:rPr>
          <w:rFonts w:ascii="宋体" w:hAnsi="宋体" w:cs="宋体" w:eastAsia="宋体" w:hint="default"/>
          <w:sz w:val="24"/>
          <w:szCs w:val="24"/>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6840" w:h="11910" w:orient="landscape"/>
          <w:pgMar w:top="1120" w:bottom="1380" w:left="1300" w:right="1220"/>
          <w:cols w:num="2" w:equalWidth="0">
            <w:col w:w="3998" w:space="7565"/>
            <w:col w:w="2757"/>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807"/>
        <w:gridCol w:w="2569"/>
        <w:gridCol w:w="2566"/>
        <w:gridCol w:w="2590"/>
        <w:gridCol w:w="2563"/>
      </w:tblGrid>
      <w:tr>
        <w:trPr>
          <w:trHeight w:val="293" w:hRule="exact"/>
        </w:trPr>
        <w:tc>
          <w:tcPr>
            <w:tcW w:w="380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8"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5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5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7" w:hRule="exact"/>
        </w:trPr>
        <w:tc>
          <w:tcPr>
            <w:tcW w:w="3807" w:type="dxa"/>
            <w:vMerge/>
            <w:tcBorders>
              <w:left w:val="single" w:sz="4" w:space="0" w:color="000000"/>
              <w:bottom w:val="single" w:sz="4" w:space="0" w:color="000000"/>
              <w:right w:val="single" w:sz="4" w:space="0" w:color="000000"/>
            </w:tcBorders>
          </w:tcPr>
          <w:p>
            <w:pP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39" w:right="0"/>
              <w:jc w:val="left"/>
              <w:rPr>
                <w:rFonts w:ascii="宋体" w:hAnsi="宋体" w:cs="宋体" w:eastAsia="宋体" w:hint="default"/>
                <w:sz w:val="21"/>
                <w:szCs w:val="21"/>
              </w:rPr>
            </w:pPr>
            <w:r>
              <w:rPr>
                <w:rFonts w:ascii="宋体" w:hAnsi="宋体" w:cs="宋体" w:eastAsia="宋体" w:hint="default"/>
                <w:sz w:val="21"/>
                <w:szCs w:val="21"/>
              </w:rPr>
              <w:t>可抵扣暂时性差异</w:t>
            </w:r>
            <w:r>
              <w:rPr>
                <w:rFonts w:ascii="宋体" w:hAnsi="宋体" w:cs="宋体" w:eastAsia="宋体" w:hint="default"/>
                <w:sz w:val="21"/>
                <w:szCs w:val="21"/>
              </w:rPr>
              <w:t> </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3" w:lineRule="exact"/>
              <w:ind w:left="110" w:right="0"/>
              <w:jc w:val="center"/>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1" w:right="0"/>
              <w:jc w:val="left"/>
              <w:rPr>
                <w:rFonts w:ascii="宋体" w:hAnsi="宋体" w:cs="宋体" w:eastAsia="宋体" w:hint="default"/>
                <w:sz w:val="21"/>
                <w:szCs w:val="21"/>
              </w:rPr>
            </w:pPr>
            <w:r>
              <w:rPr>
                <w:rFonts w:ascii="宋体" w:hAnsi="宋体" w:cs="宋体" w:eastAsia="宋体" w:hint="default"/>
                <w:sz w:val="21"/>
                <w:szCs w:val="21"/>
              </w:rPr>
              <w:t>可抵扣暂时性差异</w:t>
            </w:r>
            <w:r>
              <w:rPr>
                <w:rFonts w:ascii="宋体" w:hAnsi="宋体" w:cs="宋体" w:eastAsia="宋体" w:hint="default"/>
                <w:sz w:val="21"/>
                <w:szCs w:val="21"/>
              </w:rPr>
              <w:t> </w:t>
            </w:r>
          </w:p>
        </w:tc>
        <w:tc>
          <w:tcPr>
            <w:tcW w:w="25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3" w:lineRule="exact"/>
              <w:ind w:left="107" w:right="0"/>
              <w:jc w:val="center"/>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r>
      <w:tr>
        <w:trPr>
          <w:trHeight w:val="293"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6" w:right="0"/>
              <w:jc w:val="left"/>
              <w:rPr>
                <w:rFonts w:ascii="宋体" w:hAnsi="宋体" w:cs="宋体" w:eastAsia="宋体" w:hint="default"/>
                <w:sz w:val="21"/>
                <w:szCs w:val="21"/>
              </w:rPr>
            </w:pPr>
            <w:r>
              <w:rPr>
                <w:rFonts w:ascii="宋体" w:hAnsi="宋体" w:cs="宋体" w:eastAsia="宋体" w:hint="default"/>
                <w:sz w:val="21"/>
                <w:szCs w:val="21"/>
              </w:rPr>
              <w:t>资产减值准备</w:t>
            </w:r>
            <w:r>
              <w:rPr>
                <w:rFonts w:ascii="宋体" w:hAnsi="宋体" w:cs="宋体" w:eastAsia="宋体" w:hint="default"/>
                <w:sz w:val="21"/>
                <w:szCs w:val="21"/>
              </w:rPr>
              <w:t> </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264,416,439.79</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39,336,190.88</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166" w:right="0"/>
              <w:jc w:val="left"/>
              <w:rPr>
                <w:rFonts w:ascii="Times New Roman" w:hAnsi="Times New Roman" w:cs="Times New Roman" w:eastAsia="Times New Roman" w:hint="default"/>
                <w:sz w:val="21"/>
                <w:szCs w:val="21"/>
              </w:rPr>
            </w:pPr>
            <w:r>
              <w:rPr>
                <w:rFonts w:ascii="Times New Roman"/>
                <w:sz w:val="21"/>
              </w:rPr>
              <w:t>255,798,416.91</w:t>
            </w:r>
          </w:p>
        </w:tc>
        <w:tc>
          <w:tcPr>
            <w:tcW w:w="2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245" w:right="0"/>
              <w:jc w:val="left"/>
              <w:rPr>
                <w:rFonts w:ascii="Times New Roman" w:hAnsi="Times New Roman" w:cs="Times New Roman" w:eastAsia="Times New Roman" w:hint="default"/>
                <w:sz w:val="21"/>
                <w:szCs w:val="21"/>
              </w:rPr>
            </w:pPr>
            <w:r>
              <w:rPr>
                <w:rFonts w:ascii="Times New Roman"/>
                <w:sz w:val="21"/>
              </w:rPr>
              <w:t>38,456,185.72</w:t>
            </w:r>
          </w:p>
        </w:tc>
      </w:tr>
      <w:tr>
        <w:trPr>
          <w:trHeight w:val="295"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6"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r>
              <w:rPr>
                <w:rFonts w:ascii="宋体" w:hAnsi="宋体" w:cs="宋体" w:eastAsia="宋体" w:hint="default"/>
                <w:sz w:val="21"/>
                <w:szCs w:val="21"/>
              </w:rPr>
              <w:t> </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4,196,369.60</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629,455.44</w:t>
            </w:r>
          </w:p>
        </w:tc>
        <w:tc>
          <w:tcPr>
            <w:tcW w:w="2590" w:type="dxa"/>
            <w:tcBorders>
              <w:top w:val="single" w:sz="4" w:space="0" w:color="000000"/>
              <w:left w:val="single" w:sz="4" w:space="0" w:color="000000"/>
              <w:bottom w:val="single" w:sz="4" w:space="0" w:color="000000"/>
              <w:right w:val="single" w:sz="4" w:space="0" w:color="000000"/>
            </w:tcBorders>
          </w:tcPr>
          <w:p>
            <w:pPr/>
          </w:p>
        </w:tc>
        <w:tc>
          <w:tcPr>
            <w:tcW w:w="2563"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6"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2569" w:type="dxa"/>
            <w:tcBorders>
              <w:top w:val="single" w:sz="4" w:space="0" w:color="000000"/>
              <w:left w:val="single" w:sz="4" w:space="0" w:color="000000"/>
              <w:bottom w:val="single" w:sz="4" w:space="0" w:color="000000"/>
              <w:right w:val="single" w:sz="4" w:space="0" w:color="000000"/>
            </w:tcBorders>
          </w:tcPr>
          <w:p>
            <w:pPr/>
          </w:p>
        </w:tc>
        <w:tc>
          <w:tcPr>
            <w:tcW w:w="2566" w:type="dxa"/>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c>
          <w:tcPr>
            <w:tcW w:w="256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00" w:right="1220"/>
        </w:sectPr>
      </w:pPr>
    </w:p>
    <w:p>
      <w:pPr>
        <w:spacing w:line="240" w:lineRule="auto" w:before="7"/>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3807"/>
        <w:gridCol w:w="2569"/>
        <w:gridCol w:w="2566"/>
        <w:gridCol w:w="2590"/>
        <w:gridCol w:w="2563"/>
      </w:tblGrid>
      <w:tr>
        <w:trPr>
          <w:trHeight w:val="296"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42,923,660.56</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6,278,777.92</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44,910,006.13</w:t>
            </w:r>
          </w:p>
        </w:tc>
        <w:tc>
          <w:tcPr>
            <w:tcW w:w="2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6,544,009.56</w:t>
            </w:r>
          </w:p>
        </w:tc>
      </w:tr>
      <w:tr>
        <w:trPr>
          <w:trHeight w:val="295"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2,887,772.83</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288,777.28</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618,018.67</w:t>
            </w:r>
          </w:p>
        </w:tc>
        <w:tc>
          <w:tcPr>
            <w:tcW w:w="2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92,702.80</w:t>
            </w:r>
          </w:p>
        </w:tc>
      </w:tr>
      <w:tr>
        <w:trPr>
          <w:trHeight w:val="293"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z w:val="21"/>
                <w:szCs w:val="21"/>
              </w:rPr>
              <w:t>公允价值与计税基础差异</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315,620.87</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47,343.13</w:t>
            </w:r>
          </w:p>
        </w:tc>
        <w:tc>
          <w:tcPr>
            <w:tcW w:w="2590" w:type="dxa"/>
            <w:tcBorders>
              <w:top w:val="single" w:sz="4" w:space="0" w:color="000000"/>
              <w:left w:val="single" w:sz="4" w:space="0" w:color="000000"/>
              <w:bottom w:val="single" w:sz="4" w:space="0" w:color="000000"/>
              <w:right w:val="single" w:sz="4" w:space="0" w:color="000000"/>
            </w:tcBorders>
          </w:tcPr>
          <w:p>
            <w:pPr/>
          </w:p>
        </w:tc>
        <w:tc>
          <w:tcPr>
            <w:tcW w:w="2563"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8"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314,739,863.65</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46,580,544.65</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301,326,441.71</w:t>
            </w:r>
          </w:p>
        </w:tc>
        <w:tc>
          <w:tcPr>
            <w:tcW w:w="2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45,092,898.08</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6840" w:h="11910" w:orient="landscape"/>
          <w:pgMar w:header="882" w:footer="1195" w:top="1120" w:bottom="1380" w:left="1300" w:right="1220"/>
        </w:sectPr>
      </w:pPr>
    </w:p>
    <w:p>
      <w:pPr>
        <w:pStyle w:val="Heading5"/>
        <w:spacing w:line="240" w:lineRule="auto" w:before="36"/>
        <w:ind w:left="224" w:right="0"/>
        <w:jc w:val="left"/>
        <w:rPr>
          <w:rFonts w:ascii="宋体" w:hAnsi="宋体" w:cs="宋体" w:eastAsia="宋体" w:hint="default"/>
          <w:b w:val="0"/>
          <w:bCs w:val="0"/>
        </w:rPr>
      </w:pPr>
      <w:r>
        <w:rPr>
          <w:rFonts w:ascii="宋体" w:hAnsi="宋体" w:cs="宋体" w:eastAsia="宋体" w:hint="default"/>
        </w:rPr>
        <w:t>(2).</w:t>
      </w:r>
      <w:r>
        <w:rPr/>
        <w:t>未经抵销的递延所得税负债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2"/>
        <w:rPr>
          <w:rFonts w:ascii="宋体" w:hAnsi="宋体" w:cs="宋体" w:eastAsia="宋体" w:hint="default"/>
          <w:sz w:val="27"/>
          <w:szCs w:val="27"/>
        </w:rPr>
      </w:pPr>
    </w:p>
    <w:p>
      <w:pPr>
        <w:pStyle w:val="BodyText"/>
        <w:spacing w:line="240" w:lineRule="auto"/>
        <w:ind w:left="224" w:right="0"/>
        <w:jc w:val="left"/>
        <w:rPr>
          <w:rFonts w:ascii="宋体" w:hAnsi="宋体" w:cs="宋体" w:eastAsia="宋体" w:hint="default"/>
          <w:sz w:val="24"/>
          <w:szCs w:val="24"/>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6840" w:h="11910" w:orient="landscape"/>
          <w:pgMar w:top="1120" w:bottom="1380" w:left="1300" w:right="1220"/>
          <w:cols w:num="2" w:equalWidth="0">
            <w:col w:w="3287" w:space="8275"/>
            <w:col w:w="2758"/>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699"/>
        <w:gridCol w:w="2609"/>
        <w:gridCol w:w="2592"/>
        <w:gridCol w:w="2581"/>
        <w:gridCol w:w="2609"/>
      </w:tblGrid>
      <w:tr>
        <w:trPr>
          <w:trHeight w:val="296" w:hRule="exact"/>
        </w:trPr>
        <w:tc>
          <w:tcPr>
            <w:tcW w:w="369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52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51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6"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3699" w:type="dxa"/>
            <w:vMerge/>
            <w:tcBorders>
              <w:left w:val="single" w:sz="4" w:space="0" w:color="000000"/>
              <w:bottom w:val="single" w:sz="4" w:space="0" w:color="000000"/>
              <w:right w:val="single" w:sz="4" w:space="0" w:color="000000"/>
            </w:tcBorders>
          </w:tcPr>
          <w:p>
            <w:pP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8" w:right="0"/>
              <w:jc w:val="left"/>
              <w:rPr>
                <w:rFonts w:ascii="宋体" w:hAnsi="宋体" w:cs="宋体" w:eastAsia="宋体" w:hint="default"/>
                <w:sz w:val="21"/>
                <w:szCs w:val="21"/>
              </w:rPr>
            </w:pPr>
            <w:r>
              <w:rPr>
                <w:rFonts w:ascii="宋体" w:hAnsi="宋体" w:cs="宋体" w:eastAsia="宋体" w:hint="default"/>
                <w:sz w:val="21"/>
                <w:szCs w:val="21"/>
              </w:rPr>
              <w:t>应纳税暂时性差异</w:t>
            </w:r>
            <w:r>
              <w:rPr>
                <w:rFonts w:ascii="宋体" w:hAnsi="宋体" w:cs="宋体" w:eastAsia="宋体" w:hint="default"/>
                <w:sz w:val="21"/>
                <w:szCs w:val="21"/>
              </w:rPr>
              <w:t> </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3" w:right="0"/>
              <w:jc w:val="left"/>
              <w:rPr>
                <w:rFonts w:ascii="宋体" w:hAnsi="宋体" w:cs="宋体" w:eastAsia="宋体" w:hint="default"/>
                <w:sz w:val="21"/>
                <w:szCs w:val="21"/>
              </w:rPr>
            </w:pPr>
            <w:r>
              <w:rPr>
                <w:rFonts w:ascii="宋体" w:hAnsi="宋体" w:cs="宋体" w:eastAsia="宋体" w:hint="default"/>
                <w:sz w:val="21"/>
                <w:szCs w:val="21"/>
              </w:rPr>
              <w:t>应纳税暂时性差异</w:t>
            </w:r>
            <w:r>
              <w:rPr>
                <w:rFonts w:ascii="宋体" w:hAnsi="宋体" w:cs="宋体" w:eastAsia="宋体" w:hint="default"/>
                <w:sz w:val="21"/>
                <w:szCs w:val="21"/>
              </w:rPr>
              <w:t> </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3" w:lineRule="exact"/>
              <w:ind w:left="110" w:right="0"/>
              <w:jc w:val="center"/>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r>
      <w:tr>
        <w:trPr>
          <w:trHeight w:val="295"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非同一控制企业合并资产评估增值</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95"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其他债权投资公允价值变动</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95"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其他权益工具投资公允价值变动</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93"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可供出售金融资产公允价值变动</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130" w:right="0"/>
              <w:jc w:val="left"/>
              <w:rPr>
                <w:rFonts w:ascii="宋体" w:hAnsi="宋体" w:cs="宋体" w:eastAsia="宋体" w:hint="default"/>
                <w:sz w:val="21"/>
                <w:szCs w:val="21"/>
              </w:rPr>
            </w:pPr>
            <w:r>
              <w:rPr>
                <w:rFonts w:ascii="宋体"/>
                <w:sz w:val="21"/>
              </w:rPr>
              <w:t>43,732,635.53</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5,032,001.37</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35,783,746.37</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5,296,508.43</w:t>
            </w:r>
          </w:p>
        </w:tc>
      </w:tr>
      <w:tr>
        <w:trPr>
          <w:trHeight w:val="298" w:hRule="exact"/>
        </w:trPr>
        <w:tc>
          <w:tcPr>
            <w:tcW w:w="369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30" w:right="0"/>
              <w:jc w:val="left"/>
              <w:rPr>
                <w:rFonts w:ascii="宋体" w:hAnsi="宋体" w:cs="宋体" w:eastAsia="宋体" w:hint="default"/>
                <w:sz w:val="21"/>
                <w:szCs w:val="21"/>
              </w:rPr>
            </w:pPr>
            <w:r>
              <w:rPr>
                <w:rFonts w:ascii="宋体"/>
                <w:sz w:val="21"/>
              </w:rPr>
              <w:t>43,732,635.53</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5,032,001.37</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35,783,746.37</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6"/>
              <w:jc w:val="right"/>
              <w:rPr>
                <w:rFonts w:ascii="Times New Roman" w:hAnsi="Times New Roman" w:cs="Times New Roman" w:eastAsia="Times New Roman" w:hint="default"/>
                <w:sz w:val="21"/>
                <w:szCs w:val="21"/>
              </w:rPr>
            </w:pPr>
            <w:r>
              <w:rPr>
                <w:rFonts w:ascii="Times New Roman"/>
                <w:spacing w:val="-1"/>
                <w:sz w:val="21"/>
              </w:rPr>
              <w:t>5,296,508.43</w:t>
            </w:r>
          </w:p>
        </w:tc>
      </w:tr>
    </w:tbl>
    <w:p>
      <w:pPr>
        <w:spacing w:line="240" w:lineRule="auto" w:before="8"/>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6840" w:h="11910" w:orient="landscape"/>
          <w:pgMar w:top="1120" w:bottom="1380" w:left="1300" w:right="1220"/>
        </w:sectPr>
      </w:pPr>
    </w:p>
    <w:p>
      <w:pPr>
        <w:pStyle w:val="Heading5"/>
        <w:spacing w:line="240" w:lineRule="auto" w:before="36"/>
        <w:ind w:left="224" w:right="0"/>
        <w:jc w:val="left"/>
        <w:rPr>
          <w:rFonts w:ascii="宋体" w:hAnsi="宋体" w:cs="宋体" w:eastAsia="宋体" w:hint="default"/>
          <w:b w:val="0"/>
          <w:bCs w:val="0"/>
        </w:rPr>
      </w:pPr>
      <w:r>
        <w:rPr>
          <w:rFonts w:ascii="宋体" w:hAnsi="宋体" w:cs="宋体" w:eastAsia="宋体" w:hint="default"/>
        </w:rPr>
        <w:t>(3).</w:t>
      </w:r>
      <w:r>
        <w:rPr/>
        <w:t>以抵销后净额列示的递延所得税资产或负债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40" w:lineRule="auto" w:before="61"/>
        <w:ind w:left="224" w:right="0"/>
        <w:jc w:val="left"/>
        <w:rPr>
          <w:rFonts w:ascii="宋体" w:hAnsi="宋体" w:cs="宋体" w:eastAsia="宋体" w:hint="default"/>
          <w:b w:val="0"/>
          <w:bCs w:val="0"/>
        </w:rPr>
      </w:pPr>
      <w:r>
        <w:rPr>
          <w:rFonts w:ascii="宋体" w:hAnsi="宋体" w:cs="宋体" w:eastAsia="宋体" w:hint="default"/>
        </w:rPr>
        <w:t>(4).</w:t>
      </w:r>
      <w:r>
        <w:rPr/>
        <w:t>未确认递延所得税资产明细</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3"/>
          <w:szCs w:val="33"/>
        </w:rPr>
      </w:pPr>
    </w:p>
    <w:p>
      <w:pPr>
        <w:pStyle w:val="BodyText"/>
        <w:spacing w:line="240" w:lineRule="auto"/>
        <w:ind w:left="224" w:right="0"/>
        <w:jc w:val="left"/>
        <w:rPr>
          <w:rFonts w:ascii="宋体" w:hAnsi="宋体" w:cs="宋体" w:eastAsia="宋体" w:hint="default"/>
          <w:sz w:val="24"/>
          <w:szCs w:val="24"/>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6840" w:h="11910" w:orient="landscape"/>
          <w:pgMar w:top="1120" w:bottom="1380" w:left="1300" w:right="1220"/>
          <w:cols w:num="2" w:equalWidth="0">
            <w:col w:w="4764" w:space="6799"/>
            <w:col w:w="2757"/>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499"/>
        <w:gridCol w:w="4798"/>
        <w:gridCol w:w="4793"/>
      </w:tblGrid>
      <w:tr>
        <w:trPr>
          <w:trHeight w:val="295" w:hRule="exact"/>
        </w:trPr>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928"/>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7"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8"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5" w:hRule="exact"/>
        </w:trPr>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409,507,343.21</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402,333,007.48</w:t>
            </w:r>
          </w:p>
        </w:tc>
      </w:tr>
      <w:tr>
        <w:trPr>
          <w:trHeight w:val="295" w:hRule="exact"/>
        </w:trPr>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307,345,758.12</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294,137,564.51</w:t>
            </w:r>
          </w:p>
        </w:tc>
      </w:tr>
      <w:tr>
        <w:trPr>
          <w:trHeight w:val="296" w:hRule="exact"/>
        </w:trPr>
        <w:tc>
          <w:tcPr>
            <w:tcW w:w="449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928"/>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716,853,101.33</w:t>
            </w:r>
          </w:p>
        </w:tc>
        <w:tc>
          <w:tcPr>
            <w:tcW w:w="4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696,470,571.99</w:t>
            </w:r>
          </w:p>
        </w:tc>
      </w:tr>
    </w:tbl>
    <w:p>
      <w:pPr>
        <w:spacing w:after="0" w:line="241" w:lineRule="exact"/>
        <w:jc w:val="right"/>
        <w:rPr>
          <w:rFonts w:ascii="宋体" w:hAnsi="宋体" w:cs="宋体" w:eastAsia="宋体" w:hint="default"/>
          <w:sz w:val="21"/>
          <w:szCs w:val="21"/>
        </w:rPr>
        <w:sectPr>
          <w:type w:val="continuous"/>
          <w:pgSz w:w="16840" w:h="11910" w:orient="landscape"/>
          <w:pgMar w:top="1120" w:bottom="1380" w:left="1300" w:right="122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headerReference w:type="default" r:id="rId62"/>
          <w:footerReference w:type="default" r:id="rId63"/>
          <w:pgSz w:w="11910" w:h="16840"/>
          <w:pgMar w:header="882" w:footer="1195" w:top="1120" w:bottom="1380" w:left="1060" w:right="1560"/>
          <w:pgNumType w:start="140"/>
        </w:sectPr>
      </w:pPr>
    </w:p>
    <w:p>
      <w:pPr>
        <w:pStyle w:val="Heading5"/>
        <w:spacing w:line="240" w:lineRule="auto" w:before="36"/>
        <w:ind w:right="0"/>
        <w:jc w:val="left"/>
        <w:rPr>
          <w:rFonts w:ascii="宋体" w:hAnsi="宋体" w:cs="宋体" w:eastAsia="宋体" w:hint="default"/>
          <w:b w:val="0"/>
          <w:bCs w:val="0"/>
        </w:rPr>
      </w:pPr>
      <w:r>
        <w:rPr>
          <w:rFonts w:ascii="宋体" w:hAnsi="宋体" w:cs="宋体" w:eastAsia="宋体" w:hint="default"/>
        </w:rPr>
        <w:t>(5).</w:t>
      </w:r>
      <w:r>
        <w:rPr/>
        <w:t>未确认递延所得税资产的可抵扣亏损将于以下年度到期</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5811" w:space="656"/>
            <w:col w:w="2823"/>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84"/>
        <w:gridCol w:w="2288"/>
        <w:gridCol w:w="2324"/>
        <w:gridCol w:w="2355"/>
      </w:tblGrid>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720"/>
              <w:jc w:val="right"/>
              <w:rPr>
                <w:rFonts w:ascii="宋体" w:hAnsi="宋体" w:cs="宋体" w:eastAsia="宋体" w:hint="default"/>
                <w:sz w:val="21"/>
                <w:szCs w:val="21"/>
              </w:rPr>
            </w:pPr>
            <w:r>
              <w:rPr>
                <w:rFonts w:ascii="宋体" w:hAnsi="宋体" w:cs="宋体" w:eastAsia="宋体" w:hint="default"/>
                <w:spacing w:val="-2"/>
                <w:sz w:val="21"/>
                <w:szCs w:val="21"/>
              </w:rPr>
              <w:t>年份</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r>
              <w:rPr>
                <w:rFonts w:ascii="宋体" w:hAnsi="宋体" w:cs="宋体" w:eastAsia="宋体" w:hint="default"/>
                <w:sz w:val="21"/>
                <w:szCs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36" w:right="0"/>
              <w:jc w:val="left"/>
              <w:rPr>
                <w:rFonts w:ascii="宋体" w:hAnsi="宋体" w:cs="宋体" w:eastAsia="宋体" w:hint="default"/>
                <w:sz w:val="21"/>
                <w:szCs w:val="21"/>
              </w:rPr>
            </w:pPr>
            <w:r>
              <w:rPr>
                <w:rFonts w:ascii="宋体" w:hAnsi="宋体" w:cs="宋体" w:eastAsia="宋体" w:hint="default"/>
                <w:sz w:val="21"/>
                <w:szCs w:val="21"/>
              </w:rPr>
              <w:t>期初金额</w:t>
            </w:r>
            <w:r>
              <w:rPr>
                <w:rFonts w:ascii="宋体" w:hAnsi="宋体" w:cs="宋体" w:eastAsia="宋体" w:hint="default"/>
                <w:sz w:val="21"/>
                <w:szCs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 </w:t>
            </w:r>
          </w:p>
        </w:tc>
      </w:tr>
      <w:tr>
        <w:trPr>
          <w:trHeight w:val="28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104,207,430.97</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6,412,528.53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6,412,528.53</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15,276,879.38</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44,127,142.68</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32,933,971.88</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55,437,963.23</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68,086,002.17</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83,952,499.10</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184,636,376.16</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72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307,345,758.12</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294,137,564.51</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 </w:t>
            </w:r>
          </w:p>
        </w:tc>
      </w:tr>
    </w:tbl>
    <w:p>
      <w:pPr>
        <w:spacing w:after="0" w:line="243" w:lineRule="exact"/>
        <w:jc w:val="center"/>
        <w:rPr>
          <w:rFonts w:ascii="宋体" w:hAnsi="宋体" w:cs="宋体" w:eastAsia="宋体" w:hint="default"/>
          <w:sz w:val="21"/>
          <w:szCs w:val="21"/>
        </w:rPr>
        <w:sectPr>
          <w:type w:val="continuous"/>
          <w:pgSz w:w="11910" w:h="16840"/>
          <w:pgMar w:top="1120" w:bottom="1380" w:left="1060" w:right="1560"/>
        </w:sectPr>
      </w:pPr>
    </w:p>
    <w:p>
      <w:pPr>
        <w:pStyle w:val="BodyText"/>
        <w:spacing w:line="236" w:lineRule="exact"/>
        <w:ind w:left="216" w:right="0"/>
        <w:jc w:val="left"/>
        <w:rPr>
          <w:rFonts w:ascii="宋体" w:hAnsi="宋体" w:cs="宋体" w:eastAsia="宋体" w:hint="default"/>
        </w:rPr>
      </w:pPr>
      <w:r>
        <w:rPr/>
        <w:t>其他说明：</w:t>
      </w:r>
      <w:r>
        <w:rPr>
          <w:rFonts w:ascii="宋体" w:hAnsi="宋体" w:cs="宋体" w:eastAsia="宋体" w:hint="default"/>
        </w:rPr>
        <w:t> </w:t>
      </w:r>
    </w:p>
    <w:p>
      <w:pPr>
        <w:pStyle w:val="Heading3"/>
        <w:spacing w:line="308"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40" w:lineRule="auto" w:before="61"/>
        <w:ind w:right="0"/>
        <w:jc w:val="left"/>
        <w:rPr>
          <w:b w:val="0"/>
          <w:bCs w:val="0"/>
        </w:rPr>
      </w:pPr>
      <w:r>
        <w:rPr>
          <w:rFonts w:ascii="宋体" w:hAnsi="宋体" w:cs="宋体" w:eastAsia="宋体" w:hint="default"/>
        </w:rPr>
        <w:t>30</w:t>
      </w:r>
      <w:r>
        <w:rPr/>
        <w:t>、</w:t>
      </w:r>
      <w:r>
        <w:rPr>
          <w:spacing w:val="-23"/>
        </w:rPr>
        <w:t> </w:t>
      </w:r>
      <w:r>
        <w:rPr/>
        <w:t>其他非流动资产</w:t>
      </w:r>
      <w:r>
        <w:rPr>
          <w:b w:val="0"/>
          <w:bCs w:val="0"/>
        </w:rPr>
      </w:r>
    </w:p>
    <w:p>
      <w:pPr>
        <w:pStyle w:val="Heading3"/>
        <w:spacing w:line="240" w:lineRule="auto"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258" w:space="4264"/>
            <w:col w:w="2768"/>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16"/>
        <w:gridCol w:w="3080"/>
        <w:gridCol w:w="3001"/>
      </w:tblGrid>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5"/>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170,000,000.00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170,000,000.00</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预付设备款</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24,540,000.00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24,540,000.00</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5"/>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194,540,000.00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194,540,000.00</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060" w:right="1560"/>
        </w:sectPr>
      </w:pPr>
    </w:p>
    <w:p>
      <w:pPr>
        <w:pStyle w:val="Heading3"/>
        <w:spacing w:line="274" w:lineRule="exact"/>
        <w:ind w:right="0"/>
        <w:jc w:val="left"/>
        <w:rPr>
          <w:rFonts w:ascii="宋体" w:hAnsi="宋体" w:cs="宋体" w:eastAsia="宋体" w:hint="default"/>
        </w:rPr>
      </w:pPr>
      <w:r>
        <w:rPr>
          <w:rFonts w:ascii="宋体"/>
        </w:rPr>
        <w:t> </w:t>
      </w:r>
    </w:p>
    <w:p>
      <w:pPr>
        <w:pStyle w:val="Heading5"/>
        <w:spacing w:line="290" w:lineRule="auto" w:before="61"/>
        <w:ind w:right="0"/>
        <w:jc w:val="left"/>
        <w:rPr>
          <w:rFonts w:ascii="宋体" w:hAnsi="宋体" w:cs="宋体" w:eastAsia="宋体" w:hint="default"/>
          <w:b w:val="0"/>
          <w:bCs w:val="0"/>
        </w:rPr>
      </w:pPr>
      <w:r>
        <w:rPr>
          <w:rFonts w:ascii="宋体" w:hAnsi="宋体" w:cs="宋体" w:eastAsia="宋体" w:hint="default"/>
        </w:rPr>
        <w:t>31</w:t>
      </w:r>
      <w:r>
        <w:rPr/>
        <w:t>、</w:t>
      </w:r>
      <w:r>
        <w:rPr>
          <w:spacing w:val="-26"/>
        </w:rPr>
        <w:t> </w:t>
      </w:r>
      <w:r>
        <w:rPr/>
        <w:t>短期借款</w:t>
      </w:r>
      <w:r>
        <w:rPr>
          <w:rFonts w:ascii="宋体" w:hAnsi="宋体" w:cs="宋体" w:eastAsia="宋体" w:hint="default"/>
          <w:w w:val="99"/>
        </w:rPr>
        <w:t> </w:t>
      </w:r>
      <w:r>
        <w:rPr>
          <w:rFonts w:ascii="宋体" w:hAnsi="宋体" w:cs="宋体" w:eastAsia="宋体" w:hint="default"/>
        </w:rPr>
        <w:t>(1).</w:t>
      </w:r>
      <w:r>
        <w:rPr/>
        <w:t>短期借款分类</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258" w:space="4264"/>
            <w:col w:w="2768"/>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71"/>
        <w:gridCol w:w="3005"/>
        <w:gridCol w:w="3020"/>
      </w:tblGrid>
      <w:tr>
        <w:trPr>
          <w:trHeight w:val="28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62,983,600.00</w:t>
            </w: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15,000,000.00</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2"/>
              <w:jc w:val="right"/>
              <w:rPr>
                <w:rFonts w:ascii="Times New Roman" w:hAnsi="Times New Roman" w:cs="Times New Roman" w:eastAsia="Times New Roman" w:hint="default"/>
                <w:sz w:val="21"/>
                <w:szCs w:val="21"/>
              </w:rPr>
            </w:pPr>
            <w:r>
              <w:rPr>
                <w:rFonts w:ascii="Times New Roman"/>
                <w:spacing w:val="-1"/>
                <w:sz w:val="21"/>
              </w:rPr>
              <w:t>985,379,950.00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2"/>
              <w:jc w:val="right"/>
              <w:rPr>
                <w:rFonts w:ascii="Times New Roman" w:hAnsi="Times New Roman" w:cs="Times New Roman" w:eastAsia="Times New Roman" w:hint="default"/>
                <w:sz w:val="21"/>
                <w:szCs w:val="21"/>
              </w:rPr>
            </w:pPr>
            <w:r>
              <w:rPr>
                <w:rFonts w:ascii="Times New Roman"/>
                <w:spacing w:val="-1"/>
                <w:sz w:val="21"/>
              </w:rPr>
              <w:t>648,400,000.00</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1,478,807,600.00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713,000,000.00</w:t>
            </w:r>
          </w:p>
        </w:tc>
      </w:tr>
      <w:tr>
        <w:trPr>
          <w:trHeight w:val="28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3"/>
              <w:jc w:val="left"/>
              <w:rPr>
                <w:rFonts w:ascii="宋体" w:hAnsi="宋体" w:cs="宋体" w:eastAsia="宋体" w:hint="default"/>
                <w:sz w:val="21"/>
                <w:szCs w:val="21"/>
              </w:rPr>
            </w:pPr>
            <w:r>
              <w:rPr>
                <w:rFonts w:ascii="宋体" w:hAnsi="宋体" w:cs="宋体" w:eastAsia="宋体" w:hint="default"/>
                <w:sz w:val="21"/>
                <w:szCs w:val="21"/>
              </w:rPr>
              <w:t>应收票据贴现未终止确认借款</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451,372,788.23</w:t>
            </w: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应付利息</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2"/>
              <w:jc w:val="right"/>
              <w:rPr>
                <w:rFonts w:ascii="Times New Roman" w:hAnsi="Times New Roman" w:cs="Times New Roman" w:eastAsia="Times New Roman" w:hint="default"/>
                <w:sz w:val="21"/>
                <w:szCs w:val="21"/>
              </w:rPr>
            </w:pPr>
            <w:r>
              <w:rPr>
                <w:rFonts w:ascii="Times New Roman"/>
                <w:spacing w:val="-1"/>
                <w:sz w:val="21"/>
              </w:rPr>
              <w:t>5,657,857.70</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2"/>
              <w:jc w:val="right"/>
              <w:rPr>
                <w:rFonts w:ascii="Times New Roman" w:hAnsi="Times New Roman" w:cs="Times New Roman" w:eastAsia="Times New Roman" w:hint="default"/>
                <w:sz w:val="21"/>
                <w:szCs w:val="21"/>
              </w:rPr>
            </w:pPr>
            <w:r>
              <w:rPr>
                <w:rFonts w:ascii="Times New Roman"/>
                <w:spacing w:val="-1"/>
                <w:sz w:val="21"/>
              </w:rPr>
              <w:t>1,483,593.47</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2,984,201,795.93</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1,377,883,593.47</w:t>
            </w:r>
          </w:p>
        </w:tc>
      </w:tr>
    </w:tbl>
    <w:p>
      <w:pPr>
        <w:pStyle w:val="Heading3"/>
        <w:spacing w:line="274" w:lineRule="exact"/>
        <w:ind w:right="0"/>
        <w:jc w:val="left"/>
        <w:rPr>
          <w:rFonts w:ascii="宋体" w:hAnsi="宋体" w:cs="宋体" w:eastAsia="宋体" w:hint="default"/>
        </w:rPr>
      </w:pPr>
      <w:r>
        <w:rPr>
          <w:rFonts w:ascii="宋体"/>
        </w:rPr>
        <w:t> </w:t>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(2).</w:t>
      </w:r>
      <w:r>
        <w:rPr/>
        <w:t>已逾期未偿还的短期借款情况</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BodyText"/>
        <w:spacing w:line="271" w:lineRule="exact" w:before="1"/>
        <w:ind w:left="216" w:right="0"/>
        <w:jc w:val="left"/>
        <w:rPr>
          <w:rFonts w:ascii="宋体" w:hAnsi="宋体" w:cs="宋体" w:eastAsia="宋体" w:hint="default"/>
        </w:rPr>
      </w:pPr>
      <w:r>
        <w:rPr/>
        <w:t>其中重要的已逾期未偿还的短期借款情况如下：</w:t>
      </w:r>
      <w:r>
        <w:rPr>
          <w:rFonts w:ascii="宋体" w:hAnsi="宋体" w:cs="宋体" w:eastAsia="宋体" w:hint="default"/>
        </w:rPr>
        <w:t> </w:t>
      </w:r>
    </w:p>
    <w:p>
      <w:pPr>
        <w:pStyle w:val="Heading3"/>
        <w:spacing w:line="312" w:lineRule="exact" w:before="27"/>
        <w:ind w:right="716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t>其他说明</w:t>
      </w:r>
      <w:r>
        <w:rPr>
          <w:rFonts w:ascii="宋体" w:hAnsi="宋体" w:cs="宋体" w:eastAsia="宋体" w:hint="default"/>
        </w:rPr>
        <w:t> </w:t>
      </w:r>
    </w:p>
    <w:p>
      <w:pPr>
        <w:pStyle w:val="Heading3"/>
        <w:spacing w:line="280"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40" w:lineRule="auto"/>
        <w:ind w:right="0"/>
        <w:jc w:val="left"/>
        <w:rPr>
          <w:b w:val="0"/>
          <w:bCs w:val="0"/>
        </w:rPr>
      </w:pPr>
      <w:r>
        <w:rPr>
          <w:rFonts w:ascii="宋体" w:hAnsi="宋体" w:cs="宋体" w:eastAsia="宋体" w:hint="default"/>
        </w:rPr>
        <w:t>32</w:t>
      </w:r>
      <w:r>
        <w:rPr/>
        <w:t>、</w:t>
      </w:r>
      <w:r>
        <w:rPr>
          <w:spacing w:val="-23"/>
        </w:rPr>
        <w:t> </w:t>
      </w:r>
      <w:r>
        <w:rPr/>
        <w:t>交易性金融负债</w:t>
      </w:r>
      <w:r>
        <w:rPr>
          <w:b w:val="0"/>
          <w:bCs w:val="0"/>
        </w:rPr>
      </w:r>
    </w:p>
    <w:p>
      <w:pPr>
        <w:pStyle w:val="Heading3"/>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Heading5"/>
        <w:spacing w:line="240" w:lineRule="auto" w:before="36"/>
        <w:ind w:right="0"/>
        <w:jc w:val="left"/>
        <w:rPr>
          <w:b w:val="0"/>
          <w:bCs w:val="0"/>
        </w:rPr>
      </w:pPr>
      <w:r>
        <w:rPr>
          <w:rFonts w:ascii="宋体" w:hAnsi="宋体" w:cs="宋体" w:eastAsia="宋体" w:hint="default"/>
        </w:rPr>
        <w:t>33</w:t>
      </w:r>
      <w:r>
        <w:rPr/>
        <w:t>、</w:t>
      </w:r>
      <w:r>
        <w:rPr>
          <w:spacing w:val="-24"/>
        </w:rPr>
        <w:t> </w:t>
      </w:r>
      <w:r>
        <w:rPr/>
        <w:t>衍生金融负债</w:t>
      </w:r>
      <w:r>
        <w:rPr>
          <w:b w:val="0"/>
          <w:bCs w:val="0"/>
        </w:rPr>
      </w:r>
    </w:p>
    <w:p>
      <w:pPr>
        <w:pStyle w:val="Heading3"/>
        <w:spacing w:line="313" w:lineRule="exact"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90" w:lineRule="auto"/>
        <w:ind w:right="0"/>
        <w:jc w:val="left"/>
        <w:rPr>
          <w:rFonts w:ascii="宋体" w:hAnsi="宋体" w:cs="宋体" w:eastAsia="宋体" w:hint="default"/>
          <w:b w:val="0"/>
          <w:bCs w:val="0"/>
        </w:rPr>
      </w:pPr>
      <w:r>
        <w:rPr>
          <w:rFonts w:ascii="宋体" w:hAnsi="宋体" w:cs="宋体" w:eastAsia="宋体" w:hint="default"/>
        </w:rPr>
        <w:t>34</w:t>
      </w:r>
      <w:r>
        <w:rPr/>
        <w:t>、</w:t>
      </w:r>
      <w:r>
        <w:rPr>
          <w:spacing w:val="-25"/>
        </w:rPr>
        <w:t> </w:t>
      </w:r>
      <w:r>
        <w:rPr/>
        <w:t>应付票据</w:t>
      </w:r>
      <w:r>
        <w:rPr>
          <w:w w:val="100"/>
        </w:rPr>
        <w:t> </w:t>
      </w:r>
      <w:r>
        <w:rPr>
          <w:rFonts w:ascii="宋体" w:hAnsi="宋体" w:cs="宋体" w:eastAsia="宋体" w:hint="default"/>
        </w:rPr>
        <w:t>(1).</w:t>
      </w:r>
      <w:r>
        <w:rPr/>
        <w:t>应付票据列示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258" w:space="4264"/>
            <w:col w:w="2768"/>
          </w:cols>
        </w:sectPr>
      </w:pPr>
    </w:p>
    <w:p>
      <w:pPr>
        <w:spacing w:line="240" w:lineRule="auto" w:before="7"/>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2312"/>
        <w:gridCol w:w="3339"/>
        <w:gridCol w:w="3245"/>
      </w:tblGrid>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30"/>
              <w:jc w:val="right"/>
              <w:rPr>
                <w:rFonts w:ascii="宋体" w:hAnsi="宋体" w:cs="宋体" w:eastAsia="宋体" w:hint="default"/>
                <w:sz w:val="21"/>
                <w:szCs w:val="21"/>
              </w:rPr>
            </w:pPr>
            <w:r>
              <w:rPr>
                <w:rFonts w:ascii="宋体" w:hAnsi="宋体" w:cs="宋体" w:eastAsia="宋体" w:hint="default"/>
                <w:spacing w:val="-2"/>
                <w:sz w:val="21"/>
                <w:szCs w:val="21"/>
              </w:rPr>
              <w:t>种类</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6"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05"/>
              <w:jc w:val="right"/>
              <w:rPr>
                <w:rFonts w:ascii="宋体" w:hAnsi="宋体" w:cs="宋体" w:eastAsia="宋体" w:hint="default"/>
                <w:sz w:val="21"/>
                <w:szCs w:val="21"/>
              </w:rPr>
            </w:pPr>
            <w:r>
              <w:rPr>
                <w:rFonts w:ascii="宋体" w:hAnsi="宋体" w:cs="宋体" w:eastAsia="宋体" w:hint="default"/>
                <w:spacing w:val="-2"/>
                <w:sz w:val="21"/>
                <w:szCs w:val="21"/>
              </w:rPr>
              <w:t>商业承兑汇票</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31"/>
              <w:jc w:val="right"/>
              <w:rPr>
                <w:rFonts w:ascii="Times New Roman" w:hAnsi="Times New Roman" w:cs="Times New Roman" w:eastAsia="Times New Roman" w:hint="default"/>
                <w:sz w:val="21"/>
                <w:szCs w:val="21"/>
              </w:rPr>
            </w:pPr>
            <w:r>
              <w:rPr>
                <w:rFonts w:ascii="Times New Roman"/>
                <w:spacing w:val="-1"/>
                <w:sz w:val="21"/>
              </w:rPr>
              <w:t>373,043,281.81</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720,091,687.59</w:t>
            </w: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05"/>
              <w:jc w:val="right"/>
              <w:rPr>
                <w:rFonts w:ascii="宋体" w:hAnsi="宋体" w:cs="宋体" w:eastAsia="宋体" w:hint="default"/>
                <w:sz w:val="21"/>
                <w:szCs w:val="21"/>
              </w:rPr>
            </w:pPr>
            <w:r>
              <w:rPr>
                <w:rFonts w:ascii="宋体" w:hAnsi="宋体" w:cs="宋体" w:eastAsia="宋体" w:hint="default"/>
                <w:spacing w:val="-2"/>
                <w:sz w:val="21"/>
                <w:szCs w:val="21"/>
              </w:rPr>
              <w:t>银行承兑汇票</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31"/>
              <w:jc w:val="right"/>
              <w:rPr>
                <w:rFonts w:ascii="Times New Roman" w:hAnsi="Times New Roman" w:cs="Times New Roman" w:eastAsia="Times New Roman" w:hint="default"/>
                <w:sz w:val="21"/>
                <w:szCs w:val="21"/>
              </w:rPr>
            </w:pPr>
            <w:r>
              <w:rPr>
                <w:rFonts w:ascii="Times New Roman"/>
                <w:spacing w:val="-1"/>
                <w:sz w:val="21"/>
              </w:rPr>
              <w:t>1,663,034,804.15</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20"/>
              <w:jc w:val="right"/>
              <w:rPr>
                <w:rFonts w:ascii="Times New Roman" w:hAnsi="Times New Roman" w:cs="Times New Roman" w:eastAsia="Times New Roman" w:hint="default"/>
                <w:sz w:val="21"/>
                <w:szCs w:val="21"/>
              </w:rPr>
            </w:pPr>
            <w:r>
              <w:rPr>
                <w:rFonts w:ascii="Times New Roman"/>
                <w:spacing w:val="-1"/>
                <w:sz w:val="21"/>
              </w:rPr>
              <w:t>1,370,167,835.8</w:t>
            </w: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3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2,036,078,085.96</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2,090,259,523.39</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060" w:right="1560"/>
        </w:sectPr>
      </w:pPr>
    </w:p>
    <w:p>
      <w:pPr>
        <w:pStyle w:val="BodyText"/>
        <w:spacing w:line="237" w:lineRule="exact"/>
        <w:ind w:left="216" w:right="0"/>
        <w:jc w:val="left"/>
        <w:rPr>
          <w:rFonts w:ascii="宋体" w:hAnsi="宋体" w:cs="宋体" w:eastAsia="宋体" w:hint="default"/>
        </w:rPr>
      </w:pPr>
      <w:r>
        <w:rPr/>
        <w:t>本期末已到期未支付的应付票据总额为 </w:t>
      </w:r>
      <w:r>
        <w:rPr>
          <w:rFonts w:ascii="宋体" w:hAnsi="宋体" w:cs="宋体" w:eastAsia="宋体" w:hint="default"/>
          <w:spacing w:val="-3"/>
        </w:rPr>
        <w:t>0</w:t>
      </w:r>
      <w:r>
        <w:rPr>
          <w:rFonts w:ascii="宋体" w:hAnsi="宋体" w:cs="宋体" w:eastAsia="宋体" w:hint="default"/>
          <w:spacing w:val="-49"/>
        </w:rPr>
        <w:t> </w:t>
      </w:r>
      <w:r>
        <w:rPr>
          <w:spacing w:val="-3"/>
        </w:rPr>
        <w:t>元。</w:t>
      </w:r>
      <w:r>
        <w:rPr>
          <w:rFonts w:ascii="宋体" w:hAnsi="宋体" w:cs="宋体" w:eastAsia="宋体" w:hint="default"/>
        </w:rPr>
        <w:t> </w:t>
      </w:r>
    </w:p>
    <w:p>
      <w:pPr>
        <w:pStyle w:val="Heading3"/>
        <w:spacing w:line="311" w:lineRule="exact"/>
        <w:ind w:right="0"/>
        <w:jc w:val="left"/>
        <w:rPr>
          <w:rFonts w:ascii="宋体" w:hAnsi="宋体" w:cs="宋体" w:eastAsia="宋体" w:hint="default"/>
        </w:rPr>
      </w:pPr>
      <w:r>
        <w:rPr>
          <w:rFonts w:ascii="宋体"/>
        </w:rPr>
        <w:t> </w:t>
      </w:r>
    </w:p>
    <w:p>
      <w:pPr>
        <w:pStyle w:val="Heading5"/>
        <w:spacing w:line="290" w:lineRule="auto" w:before="61"/>
        <w:ind w:right="1345"/>
        <w:jc w:val="left"/>
        <w:rPr>
          <w:rFonts w:ascii="宋体" w:hAnsi="宋体" w:cs="宋体" w:eastAsia="宋体" w:hint="default"/>
          <w:b w:val="0"/>
          <w:bCs w:val="0"/>
        </w:rPr>
      </w:pPr>
      <w:r>
        <w:rPr>
          <w:rFonts w:ascii="宋体" w:hAnsi="宋体" w:cs="宋体" w:eastAsia="宋体" w:hint="default"/>
        </w:rPr>
        <w:t>35</w:t>
      </w:r>
      <w:r>
        <w:rPr/>
        <w:t>、</w:t>
      </w:r>
      <w:r>
        <w:rPr>
          <w:spacing w:val="-25"/>
        </w:rPr>
        <w:t> </w:t>
      </w:r>
      <w:r>
        <w:rPr/>
        <w:t>应付账款</w:t>
      </w:r>
      <w:r>
        <w:rPr>
          <w:w w:val="100"/>
        </w:rPr>
        <w:t> </w:t>
      </w:r>
      <w:r>
        <w:rPr>
          <w:rFonts w:ascii="宋体" w:hAnsi="宋体" w:cs="宋体" w:eastAsia="宋体" w:hint="default"/>
        </w:rPr>
        <w:t>(1).</w:t>
      </w:r>
      <w:r>
        <w:rPr/>
        <w:t>应付账款列示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4577" w:space="1945"/>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43"/>
        <w:gridCol w:w="2866"/>
        <w:gridCol w:w="3341"/>
      </w:tblGrid>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791,822,036.73</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2,006,469,476.64</w:t>
            </w:r>
          </w:p>
        </w:tc>
      </w:tr>
      <w:tr>
        <w:trPr>
          <w:trHeight w:val="281"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550,477,024.81</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390,981,481.80</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1,342,299,061.54</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2,397,450,958.44</w:t>
            </w:r>
          </w:p>
        </w:tc>
      </w:tr>
    </w:tbl>
    <w:p>
      <w:pPr>
        <w:spacing w:line="240" w:lineRule="auto" w:before="6"/>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120" w:bottom="1380" w:left="1060" w:right="1560"/>
        </w:sectPr>
      </w:pPr>
    </w:p>
    <w:p>
      <w:pPr>
        <w:pStyle w:val="Heading2"/>
        <w:spacing w:line="240" w:lineRule="auto" w:before="26"/>
        <w:ind w:left="216" w:right="0"/>
        <w:jc w:val="left"/>
        <w:rPr>
          <w:rFonts w:ascii="宋体" w:hAnsi="宋体" w:cs="宋体" w:eastAsia="宋体" w:hint="default"/>
          <w:b w:val="0"/>
          <w:bCs w:val="0"/>
        </w:rPr>
      </w:pPr>
      <w:r>
        <w:rPr>
          <w:rFonts w:ascii="宋体"/>
          <w:w w:val="99"/>
        </w:rPr>
        <w:t> </w:t>
      </w:r>
      <w:r>
        <w:rPr>
          <w:rFonts w:ascii="宋体"/>
          <w:b w:val="0"/>
        </w:rPr>
      </w:r>
    </w:p>
    <w:p>
      <w:pPr>
        <w:pStyle w:val="Heading5"/>
        <w:spacing w:line="240" w:lineRule="auto" w:before="61"/>
        <w:ind w:right="0"/>
        <w:jc w:val="left"/>
        <w:rPr>
          <w:rFonts w:ascii="宋体" w:hAnsi="宋体" w:cs="宋体" w:eastAsia="宋体" w:hint="default"/>
          <w:b w:val="0"/>
          <w:bCs w:val="0"/>
        </w:rPr>
      </w:pPr>
      <w:r>
        <w:rPr>
          <w:rFonts w:ascii="宋体" w:hAnsi="宋体" w:cs="宋体" w:eastAsia="宋体" w:hint="default"/>
        </w:rPr>
        <w:t>(2).</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3"/>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494" w:space="3028"/>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84"/>
        <w:gridCol w:w="2828"/>
        <w:gridCol w:w="2938"/>
      </w:tblGrid>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r>
              <w:rPr>
                <w:rFonts w:ascii="宋体" w:hAnsi="宋体" w:cs="宋体" w:eastAsia="宋体" w:hint="default"/>
                <w:sz w:val="21"/>
                <w:szCs w:val="21"/>
              </w:rPr>
              <w:t> </w:t>
            </w:r>
          </w:p>
        </w:tc>
      </w:tr>
      <w:tr>
        <w:trPr>
          <w:trHeight w:val="28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所</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102,112,768.48</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尚未结算</w:t>
            </w:r>
            <w:r>
              <w:rPr>
                <w:rFonts w:ascii="宋体" w:hAnsi="宋体" w:cs="宋体" w:eastAsia="宋体" w:hint="default"/>
                <w:sz w:val="21"/>
                <w:szCs w:val="21"/>
              </w:rPr>
              <w:t> </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厂</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56,373,370.97</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尚未结算</w:t>
            </w:r>
            <w:r>
              <w:rPr>
                <w:rFonts w:ascii="宋体" w:hAnsi="宋体" w:cs="宋体" w:eastAsia="宋体" w:hint="default"/>
                <w:sz w:val="21"/>
                <w:szCs w:val="21"/>
              </w:rPr>
              <w:t> </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深圳电器公司通创通信有限公司</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22,952,652.45</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尚未结算</w:t>
            </w:r>
            <w:r>
              <w:rPr>
                <w:rFonts w:ascii="宋体" w:hAnsi="宋体" w:cs="宋体" w:eastAsia="宋体" w:hint="default"/>
                <w:sz w:val="21"/>
                <w:szCs w:val="21"/>
              </w:rPr>
              <w:t> </w:t>
            </w:r>
          </w:p>
        </w:tc>
      </w:tr>
      <w:tr>
        <w:trPr>
          <w:trHeight w:val="28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赛特斯信息科技股份有限公司</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20,951,920.00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尚未结算</w:t>
            </w:r>
            <w:r>
              <w:rPr>
                <w:rFonts w:ascii="宋体" w:hAnsi="宋体" w:cs="宋体" w:eastAsia="宋体" w:hint="default"/>
                <w:sz w:val="21"/>
                <w:szCs w:val="21"/>
              </w:rPr>
              <w:t> </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厂</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19,373,896.60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尚未结算</w:t>
            </w:r>
            <w:r>
              <w:rPr>
                <w:rFonts w:ascii="宋体" w:hAnsi="宋体" w:cs="宋体" w:eastAsia="宋体" w:hint="default"/>
                <w:sz w:val="21"/>
                <w:szCs w:val="21"/>
              </w:rPr>
              <w:t> </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所</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16,444,704.80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尚未结算</w:t>
            </w:r>
            <w:r>
              <w:rPr>
                <w:rFonts w:ascii="宋体" w:hAnsi="宋体" w:cs="宋体" w:eastAsia="宋体" w:hint="default"/>
                <w:sz w:val="21"/>
                <w:szCs w:val="21"/>
              </w:rPr>
              <w:t> </w:t>
            </w:r>
          </w:p>
        </w:tc>
      </w:tr>
      <w:tr>
        <w:trPr>
          <w:trHeight w:val="28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238,209,313.3</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type w:val="continuous"/>
          <w:pgSz w:w="11910" w:h="16840"/>
          <w:pgMar w:top="1120" w:bottom="1380" w:left="1060" w:right="1560"/>
        </w:sectPr>
      </w:pPr>
    </w:p>
    <w:p>
      <w:pPr>
        <w:pStyle w:val="Heading3"/>
        <w:spacing w:line="273" w:lineRule="exact"/>
        <w:ind w:right="0"/>
        <w:jc w:val="left"/>
        <w:rPr>
          <w:rFonts w:ascii="宋体" w:hAnsi="宋体" w:cs="宋体" w:eastAsia="宋体" w:hint="default"/>
        </w:rPr>
      </w:pPr>
      <w:r>
        <w:rPr>
          <w:rFonts w:ascii="宋体"/>
        </w:rPr>
        <w:t> </w:t>
      </w:r>
    </w:p>
    <w:p>
      <w:pPr>
        <w:pStyle w:val="Heading3"/>
        <w:spacing w:line="312" w:lineRule="exact"/>
        <w:ind w:right="0"/>
        <w:jc w:val="left"/>
        <w:rPr>
          <w:rFonts w:ascii="宋体" w:hAnsi="宋体" w:cs="宋体" w:eastAsia="宋体" w:hint="default"/>
        </w:rPr>
      </w:pPr>
      <w:r>
        <w:rPr/>
        <w:t>其他说明</w:t>
      </w:r>
      <w:r>
        <w:rPr>
          <w:rFonts w:ascii="宋体" w:hAnsi="宋体" w:cs="宋体" w:eastAsia="宋体" w:hint="default"/>
        </w:rPr>
        <w:t> </w:t>
      </w:r>
    </w:p>
    <w:p>
      <w:pPr>
        <w:pStyle w:val="Heading3"/>
        <w:spacing w:line="311"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right="0"/>
        <w:jc w:val="left"/>
        <w:rPr>
          <w:rFonts w:ascii="宋体" w:hAnsi="宋体" w:cs="宋体" w:eastAsia="宋体" w:hint="default"/>
        </w:rPr>
      </w:pPr>
      <w:r>
        <w:rPr>
          <w:rFonts w:ascii="宋体"/>
        </w:rPr>
        <w:t> </w:t>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36</w:t>
      </w:r>
      <w:r>
        <w:rPr/>
        <w:t>、</w:t>
      </w:r>
      <w:r>
        <w:rPr>
          <w:spacing w:val="-27"/>
        </w:rPr>
        <w:t> </w:t>
      </w:r>
      <w:r>
        <w:rPr/>
        <w:t>预收款项</w:t>
      </w:r>
      <w:r>
        <w:rPr>
          <w:rFonts w:ascii="宋体" w:hAnsi="宋体" w:cs="宋体" w:eastAsia="宋体" w:hint="default"/>
          <w:w w:val="99"/>
        </w:rPr>
        <w:t> </w:t>
      </w:r>
      <w:r>
        <w:rPr>
          <w:rFonts w:ascii="宋体" w:hAnsi="宋体" w:cs="宋体" w:eastAsia="宋体" w:hint="default"/>
          <w:b w:val="0"/>
          <w:bCs w:val="0"/>
        </w:rPr>
      </w:r>
    </w:p>
    <w:p>
      <w:pPr>
        <w:pStyle w:val="Heading5"/>
        <w:spacing w:line="240" w:lineRule="auto" w:before="58"/>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预收账款项列示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5"/>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327" w:space="4195"/>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00"/>
        <w:gridCol w:w="3077"/>
        <w:gridCol w:w="3073"/>
      </w:tblGrid>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163,580,397.27</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140,745,814.64</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107,287,236.04</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123,375,043.83</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900"/>
        <w:gridCol w:w="3077"/>
        <w:gridCol w:w="3073"/>
      </w:tblGrid>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51" w:right="0"/>
              <w:jc w:val="left"/>
              <w:rPr>
                <w:rFonts w:ascii="Times New Roman" w:hAnsi="Times New Roman" w:cs="Times New Roman" w:eastAsia="Times New Roman" w:hint="default"/>
                <w:sz w:val="21"/>
                <w:szCs w:val="21"/>
              </w:rPr>
            </w:pPr>
            <w:r>
              <w:rPr>
                <w:rFonts w:ascii="Times New Roman"/>
                <w:sz w:val="21"/>
              </w:rPr>
              <w:t>270,867,633.31</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46" w:right="0"/>
              <w:jc w:val="left"/>
              <w:rPr>
                <w:rFonts w:ascii="Times New Roman" w:hAnsi="Times New Roman" w:cs="Times New Roman" w:eastAsia="Times New Roman" w:hint="default"/>
                <w:sz w:val="21"/>
                <w:szCs w:val="21"/>
              </w:rPr>
            </w:pPr>
            <w:r>
              <w:rPr>
                <w:rFonts w:ascii="Times New Roman"/>
                <w:sz w:val="21"/>
              </w:rPr>
              <w:t>264,120,858.47</w:t>
            </w:r>
          </w:p>
        </w:tc>
      </w:tr>
    </w:tbl>
    <w:p>
      <w:pPr>
        <w:spacing w:line="240" w:lineRule="auto" w:before="4"/>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82" w:footer="1195" w:top="1120" w:bottom="1380" w:left="1060" w:right="1560"/>
        </w:sectPr>
      </w:pPr>
    </w:p>
    <w:p>
      <w:pPr>
        <w:pStyle w:val="Heading3"/>
        <w:spacing w:line="240" w:lineRule="auto" w:before="26"/>
        <w:ind w:right="0"/>
        <w:jc w:val="left"/>
        <w:rPr>
          <w:rFonts w:ascii="宋体" w:hAnsi="宋体" w:cs="宋体" w:eastAsia="宋体" w:hint="default"/>
        </w:rPr>
      </w:pPr>
      <w:r>
        <w:rPr>
          <w:rFonts w:ascii="宋体"/>
        </w:rPr>
        <w:t> </w:t>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(2).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595" w:space="2927"/>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39"/>
        <w:gridCol w:w="2662"/>
        <w:gridCol w:w="3049"/>
      </w:tblGrid>
      <w:tr>
        <w:trPr>
          <w:trHeight w:val="281"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r>
              <w:rPr>
                <w:rFonts w:ascii="宋体" w:hAnsi="宋体" w:cs="宋体" w:eastAsia="宋体" w:hint="default"/>
                <w:sz w:val="21"/>
                <w:szCs w:val="21"/>
              </w:rPr>
              <w:t> </w:t>
            </w:r>
          </w:p>
        </w:tc>
      </w:tr>
      <w:tr>
        <w:trPr>
          <w:trHeight w:val="283"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集成国际矿业有限公司</w:t>
            </w:r>
            <w:r>
              <w:rPr>
                <w:rFonts w:ascii="宋体" w:hAnsi="宋体" w:cs="宋体" w:eastAsia="宋体" w:hint="default"/>
                <w:sz w:val="21"/>
                <w:szCs w:val="21"/>
              </w:rPr>
              <w:t> </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10,616,880.68</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未结算</w:t>
            </w:r>
            <w:r>
              <w:rPr>
                <w:rFonts w:ascii="宋体" w:hAnsi="宋体" w:cs="宋体" w:eastAsia="宋体" w:hint="default"/>
                <w:sz w:val="21"/>
                <w:szCs w:val="21"/>
              </w:rPr>
              <w:t> </w:t>
            </w:r>
          </w:p>
        </w:tc>
      </w:tr>
      <w:tr>
        <w:trPr>
          <w:trHeight w:val="283"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江苏宁懋工程设备有限公司</w:t>
            </w:r>
            <w:r>
              <w:rPr>
                <w:rFonts w:ascii="宋体" w:hAnsi="宋体" w:cs="宋体" w:eastAsia="宋体" w:hint="default"/>
                <w:sz w:val="21"/>
                <w:szCs w:val="21"/>
              </w:rPr>
              <w:t> </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4,271,611.00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未结算</w:t>
            </w:r>
            <w:r>
              <w:rPr>
                <w:rFonts w:ascii="宋体" w:hAnsi="宋体" w:cs="宋体" w:eastAsia="宋体" w:hint="default"/>
                <w:sz w:val="21"/>
                <w:szCs w:val="21"/>
              </w:rPr>
              <w:t> </w:t>
            </w:r>
          </w:p>
        </w:tc>
      </w:tr>
      <w:tr>
        <w:trPr>
          <w:trHeight w:val="281"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广州正峰电子产品有限公司</w:t>
            </w:r>
            <w:r>
              <w:rPr>
                <w:rFonts w:ascii="宋体" w:hAnsi="宋体" w:cs="宋体" w:eastAsia="宋体" w:hint="default"/>
                <w:sz w:val="21"/>
                <w:szCs w:val="21"/>
              </w:rPr>
              <w:t> </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4,146,000.00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未结算</w:t>
            </w:r>
            <w:r>
              <w:rPr>
                <w:rFonts w:ascii="宋体" w:hAnsi="宋体" w:cs="宋体" w:eastAsia="宋体" w:hint="default"/>
                <w:sz w:val="21"/>
                <w:szCs w:val="21"/>
              </w:rPr>
              <w:t> </w:t>
            </w:r>
          </w:p>
        </w:tc>
      </w:tr>
      <w:tr>
        <w:trPr>
          <w:trHeight w:val="283"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浙江浙大中控信息技术有限公司</w:t>
            </w:r>
            <w:r>
              <w:rPr>
                <w:rFonts w:ascii="宋体" w:hAnsi="宋体" w:cs="宋体" w:eastAsia="宋体" w:hint="default"/>
                <w:sz w:val="21"/>
                <w:szCs w:val="21"/>
              </w:rPr>
              <w:t> </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3,087,301.74</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未结算</w:t>
            </w:r>
            <w:r>
              <w:rPr>
                <w:rFonts w:ascii="宋体" w:hAnsi="宋体" w:cs="宋体" w:eastAsia="宋体" w:hint="default"/>
                <w:sz w:val="21"/>
                <w:szCs w:val="21"/>
              </w:rPr>
              <w:t> </w:t>
            </w:r>
          </w:p>
        </w:tc>
      </w:tr>
      <w:tr>
        <w:trPr>
          <w:trHeight w:val="283"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中核二七二铀业有限责任公司</w:t>
            </w:r>
            <w:r>
              <w:rPr>
                <w:rFonts w:ascii="宋体" w:hAnsi="宋体" w:cs="宋体" w:eastAsia="宋体" w:hint="default"/>
                <w:sz w:val="21"/>
                <w:szCs w:val="21"/>
              </w:rPr>
              <w:t> </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2,851,643.90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未结算</w:t>
            </w:r>
            <w:r>
              <w:rPr>
                <w:rFonts w:ascii="宋体" w:hAnsi="宋体" w:cs="宋体" w:eastAsia="宋体" w:hint="default"/>
                <w:sz w:val="21"/>
                <w:szCs w:val="21"/>
              </w:rPr>
              <w:t> </w:t>
            </w:r>
          </w:p>
        </w:tc>
      </w:tr>
      <w:tr>
        <w:trPr>
          <w:trHeight w:val="281"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海南海航国瑞投资开发有限公司</w:t>
            </w:r>
            <w:r>
              <w:rPr>
                <w:rFonts w:ascii="宋体" w:hAnsi="宋体" w:cs="宋体" w:eastAsia="宋体" w:hint="default"/>
                <w:sz w:val="21"/>
                <w:szCs w:val="21"/>
              </w:rPr>
              <w:t> </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2,546,924.55</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未结算</w:t>
            </w:r>
            <w:r>
              <w:rPr>
                <w:rFonts w:ascii="宋体" w:hAnsi="宋体" w:cs="宋体" w:eastAsia="宋体" w:hint="default"/>
                <w:sz w:val="21"/>
                <w:szCs w:val="21"/>
              </w:rPr>
              <w:t> </w:t>
            </w:r>
          </w:p>
        </w:tc>
      </w:tr>
      <w:tr>
        <w:trPr>
          <w:trHeight w:val="284"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1"/>
                <w:szCs w:val="21"/>
              </w:rPr>
            </w:pPr>
            <w:r>
              <w:rPr>
                <w:rFonts w:ascii="Times New Roman"/>
                <w:spacing w:val="-1"/>
                <w:sz w:val="21"/>
              </w:rPr>
              <w:t>27,520,361.87</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type w:val="continuous"/>
          <w:pgSz w:w="11910" w:h="16840"/>
          <w:pgMar w:top="1120" w:bottom="1380" w:left="1060" w:right="1560"/>
        </w:sectPr>
      </w:pPr>
    </w:p>
    <w:p>
      <w:pPr>
        <w:pStyle w:val="Heading3"/>
        <w:spacing w:line="274" w:lineRule="exact"/>
        <w:ind w:right="0"/>
        <w:jc w:val="left"/>
        <w:rPr>
          <w:rFonts w:ascii="宋体" w:hAnsi="宋体" w:cs="宋体" w:eastAsia="宋体" w:hint="default"/>
        </w:rPr>
      </w:pPr>
      <w:r>
        <w:rPr>
          <w:rFonts w:ascii="宋体"/>
        </w:rPr>
        <w:t> </w:t>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3"/>
        </w:rPr>
        <w:t> </w:t>
      </w:r>
      <w:r>
        <w:rPr/>
        <w:t>期末建造合同形成的已结算未完工项目情况</w:t>
      </w:r>
      <w:r>
        <w:rPr>
          <w:rFonts w:ascii="宋体" w:hAnsi="宋体" w:cs="宋体" w:eastAsia="宋体" w:hint="default"/>
          <w:w w:val="99"/>
        </w:rPr>
        <w:t> </w:t>
      </w:r>
      <w:r>
        <w:rPr>
          <w:rFonts w:ascii="宋体" w:hAnsi="宋体" w:cs="宋体" w:eastAsia="宋体" w:hint="default"/>
          <w:b w:val="0"/>
          <w:bCs w:val="0"/>
        </w:rPr>
      </w:r>
    </w:p>
    <w:p>
      <w:pPr>
        <w:pStyle w:val="Heading3"/>
        <w:spacing w:line="312" w:lineRule="exact" w:before="81"/>
        <w:ind w:right="190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t>其他说明</w:t>
      </w:r>
      <w:r>
        <w:rPr>
          <w:rFonts w:ascii="宋体" w:hAnsi="宋体" w:cs="宋体" w:eastAsia="宋体" w:hint="default"/>
        </w:rPr>
        <w:t> </w:t>
      </w:r>
    </w:p>
    <w:p>
      <w:pPr>
        <w:pStyle w:val="Heading3"/>
        <w:spacing w:line="281"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1" w:lineRule="exact"/>
        <w:ind w:right="0"/>
        <w:jc w:val="left"/>
        <w:rPr>
          <w:rFonts w:ascii="宋体" w:hAnsi="宋体" w:cs="宋体" w:eastAsia="宋体" w:hint="default"/>
        </w:rPr>
      </w:pPr>
      <w:r>
        <w:rPr>
          <w:rFonts w:ascii="宋体"/>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90" w:lineRule="auto"/>
        <w:ind w:right="1902"/>
        <w:jc w:val="left"/>
        <w:rPr>
          <w:rFonts w:ascii="宋体" w:hAnsi="宋体" w:cs="宋体" w:eastAsia="宋体" w:hint="default"/>
          <w:b w:val="0"/>
          <w:bCs w:val="0"/>
        </w:rPr>
      </w:pPr>
      <w:r>
        <w:rPr>
          <w:rFonts w:ascii="宋体" w:hAnsi="宋体" w:cs="宋体" w:eastAsia="宋体" w:hint="default"/>
        </w:rPr>
        <w:t>37</w:t>
      </w:r>
      <w:r>
        <w:rPr/>
        <w:t>、</w:t>
      </w:r>
      <w:r>
        <w:rPr>
          <w:spacing w:val="-26"/>
        </w:rPr>
        <w:t> </w:t>
      </w:r>
      <w:r>
        <w:rPr/>
        <w:t>应付职工薪酬</w:t>
      </w:r>
      <w:r>
        <w:rPr>
          <w:rFonts w:ascii="宋体" w:hAnsi="宋体" w:cs="宋体" w:eastAsia="宋体" w:hint="default"/>
          <w:w w:val="99"/>
        </w:rPr>
        <w:t> </w:t>
      </w:r>
      <w:r>
        <w:rPr>
          <w:rFonts w:ascii="宋体" w:hAnsi="宋体" w:cs="宋体" w:eastAsia="宋体" w:hint="default"/>
        </w:rPr>
        <w:t>(1).</w:t>
      </w:r>
      <w:r>
        <w:rPr/>
        <w:t>应付职工薪酬列示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9"/>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4858" w:space="1665"/>
            <w:col w:w="276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759"/>
        <w:gridCol w:w="1454"/>
        <w:gridCol w:w="1608"/>
        <w:gridCol w:w="1610"/>
        <w:gridCol w:w="1618"/>
      </w:tblGrid>
      <w:tr>
        <w:trPr>
          <w:trHeight w:val="281" w:hRule="exact"/>
        </w:trPr>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7,723,347.28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407,804,000.38</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409,271,103.33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6,256,244.33</w:t>
            </w:r>
          </w:p>
        </w:tc>
      </w:tr>
      <w:tr>
        <w:trPr>
          <w:trHeight w:val="554" w:hRule="exact"/>
        </w:trPr>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二、离职后福利</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设定提存计</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划</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639,302.80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24,589,371.77</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23,685,532.52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1,543,142.05</w:t>
            </w:r>
          </w:p>
        </w:tc>
      </w:tr>
      <w:tr>
        <w:trPr>
          <w:trHeight w:val="283" w:hRule="exact"/>
        </w:trPr>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1,097,075.00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3,203,088.04</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4,195,470.54</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104,692.50</w:t>
            </w:r>
          </w:p>
        </w:tc>
      </w:tr>
      <w:tr>
        <w:trPr>
          <w:trHeight w:val="281" w:hRule="exact"/>
        </w:trPr>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四、一年内到期的其他福利</w:t>
            </w:r>
          </w:p>
        </w:tc>
        <w:tc>
          <w:tcPr>
            <w:tcW w:w="145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9,459,725.08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435,596,460.19</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437,152,106.39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7,904,078.88</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060" w:right="1560"/>
        </w:sectPr>
      </w:pPr>
    </w:p>
    <w:p>
      <w:pPr>
        <w:pStyle w:val="Heading3"/>
        <w:spacing w:line="274" w:lineRule="exact"/>
        <w:ind w:right="0"/>
        <w:jc w:val="left"/>
        <w:rPr>
          <w:rFonts w:ascii="宋体" w:hAnsi="宋体" w:cs="宋体" w:eastAsia="宋体" w:hint="default"/>
        </w:rPr>
      </w:pPr>
      <w:r>
        <w:rPr>
          <w:rFonts w:ascii="宋体"/>
        </w:rPr>
        <w:t> </w:t>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(2).</w:t>
      </w:r>
      <w:r>
        <w:rPr/>
        <w:t>短期薪酬列示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258" w:space="4370"/>
            <w:col w:w="2662"/>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614"/>
        <w:gridCol w:w="1613"/>
        <w:gridCol w:w="1594"/>
        <w:gridCol w:w="1608"/>
        <w:gridCol w:w="1621"/>
      </w:tblGrid>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5,447,972.66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360,952,692.85</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363,365,434.69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3,035,230.82</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29,665.40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13,044,135.88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13,050,263.04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23,538.24</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308,512.89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13,251,423.84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12,872,578.77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687,357.96</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242,125.39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11,732,799.67</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11,398,698.28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576,226.78</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43,742.67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580,285.68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552,090.59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71,937.76</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22,644.83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938,338.49</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921,789.90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39,193.42</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470,187.83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9,569,808.66</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9,226,989.58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813,006.91</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1,467,008.50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10,985,939.15</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10,755,837.25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1,697,110.40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614"/>
        <w:gridCol w:w="1613"/>
        <w:gridCol w:w="1594"/>
        <w:gridCol w:w="1608"/>
        <w:gridCol w:w="1621"/>
      </w:tblGrid>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经费</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96" w:right="0"/>
              <w:jc w:val="left"/>
              <w:rPr>
                <w:rFonts w:ascii="Times New Roman" w:hAnsi="Times New Roman" w:cs="Times New Roman" w:eastAsia="Times New Roman" w:hint="default"/>
                <w:sz w:val="21"/>
                <w:szCs w:val="21"/>
              </w:rPr>
            </w:pPr>
            <w:r>
              <w:rPr>
                <w:rFonts w:ascii="Times New Roman"/>
                <w:sz w:val="21"/>
              </w:rPr>
              <w:t>7,723,347.28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5" w:right="0"/>
              <w:jc w:val="left"/>
              <w:rPr>
                <w:rFonts w:ascii="Times New Roman" w:hAnsi="Times New Roman" w:cs="Times New Roman" w:eastAsia="Times New Roman" w:hint="default"/>
                <w:sz w:val="21"/>
                <w:szCs w:val="21"/>
              </w:rPr>
            </w:pPr>
            <w:r>
              <w:rPr>
                <w:rFonts w:ascii="Times New Roman"/>
                <w:sz w:val="21"/>
              </w:rPr>
              <w:t>407,804,000.38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2" w:right="0"/>
              <w:jc w:val="left"/>
              <w:rPr>
                <w:rFonts w:ascii="Times New Roman" w:hAnsi="Times New Roman" w:cs="Times New Roman" w:eastAsia="Times New Roman" w:hint="default"/>
                <w:sz w:val="21"/>
                <w:szCs w:val="21"/>
              </w:rPr>
            </w:pPr>
            <w:r>
              <w:rPr>
                <w:rFonts w:ascii="Times New Roman"/>
                <w:sz w:val="21"/>
              </w:rPr>
              <w:t>409,271,103.33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5" w:right="0"/>
              <w:jc w:val="left"/>
              <w:rPr>
                <w:rFonts w:ascii="Times New Roman" w:hAnsi="Times New Roman" w:cs="Times New Roman" w:eastAsia="Times New Roman" w:hint="default"/>
                <w:sz w:val="21"/>
                <w:szCs w:val="21"/>
              </w:rPr>
            </w:pPr>
            <w:r>
              <w:rPr>
                <w:rFonts w:ascii="Times New Roman"/>
                <w:sz w:val="21"/>
              </w:rPr>
              <w:t>6,256,244.33</w:t>
            </w:r>
          </w:p>
        </w:tc>
      </w:tr>
    </w:tbl>
    <w:p>
      <w:pPr>
        <w:spacing w:after="0" w:line="240" w:lineRule="auto"/>
        <w:jc w:val="left"/>
        <w:rPr>
          <w:rFonts w:ascii="Times New Roman" w:hAnsi="Times New Roman" w:cs="Times New Roman" w:eastAsia="Times New Roman" w:hint="default"/>
          <w:sz w:val="21"/>
          <w:szCs w:val="21"/>
        </w:rPr>
        <w:sectPr>
          <w:pgSz w:w="11910" w:h="16840"/>
          <w:pgMar w:header="882" w:footer="1195" w:top="1120" w:bottom="1380" w:left="1060" w:right="1560"/>
        </w:sectPr>
      </w:pPr>
    </w:p>
    <w:p>
      <w:pPr>
        <w:pStyle w:val="Heading3"/>
        <w:spacing w:line="274" w:lineRule="exact"/>
        <w:ind w:right="0"/>
        <w:jc w:val="left"/>
        <w:rPr>
          <w:rFonts w:ascii="宋体" w:hAnsi="宋体" w:cs="宋体" w:eastAsia="宋体" w:hint="default"/>
        </w:rPr>
      </w:pPr>
      <w:r>
        <w:rPr>
          <w:rFonts w:ascii="宋体"/>
        </w:rPr>
        <w:t> </w:t>
      </w:r>
    </w:p>
    <w:p>
      <w:pPr>
        <w:pStyle w:val="Heading5"/>
        <w:spacing w:line="240" w:lineRule="auto" w:before="61"/>
        <w:ind w:right="0"/>
        <w:jc w:val="left"/>
        <w:rPr>
          <w:rFonts w:ascii="宋体" w:hAnsi="宋体" w:cs="宋体" w:eastAsia="宋体" w:hint="default"/>
          <w:b w:val="0"/>
          <w:bCs w:val="0"/>
        </w:rPr>
      </w:pPr>
      <w:r>
        <w:rPr>
          <w:rFonts w:ascii="宋体" w:hAnsi="宋体" w:cs="宋体" w:eastAsia="宋体" w:hint="default"/>
        </w:rPr>
        <w:t>(3).</w:t>
      </w:r>
      <w:r>
        <w:rPr/>
        <w:t>设定提存计划列示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435" w:space="4087"/>
            <w:col w:w="2768"/>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588"/>
        <w:gridCol w:w="1623"/>
        <w:gridCol w:w="1608"/>
        <w:gridCol w:w="1639"/>
        <w:gridCol w:w="1592"/>
      </w:tblGrid>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、基本养老保险</w:t>
            </w:r>
          </w:p>
        </w:tc>
        <w:tc>
          <w:tcPr>
            <w:tcW w:w="1623"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606,974.96</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23,760,133.29</w:t>
            </w:r>
          </w:p>
        </w:tc>
        <w:tc>
          <w:tcPr>
            <w:tcW w:w="163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22,888,630.15</w:t>
            </w:r>
          </w:p>
        </w:tc>
        <w:tc>
          <w:tcPr>
            <w:tcW w:w="159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1,478,478.10</w:t>
            </w:r>
          </w:p>
        </w:tc>
      </w:tr>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、失业保险费</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32,327.84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829,238.48</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796,902.37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64,663.95</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、企业年金缴费</w:t>
            </w:r>
          </w:p>
        </w:tc>
        <w:tc>
          <w:tcPr>
            <w:tcW w:w="1623"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pacing w:val="-1"/>
                <w:sz w:val="21"/>
              </w:rPr>
              <w:t>639,302.80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pacing w:val="-1"/>
                <w:sz w:val="21"/>
              </w:rPr>
              <w:t>24,589,371.77</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Times New Roman" w:hAnsi="Times New Roman" w:cs="Times New Roman" w:eastAsia="Times New Roman" w:hint="default"/>
                <w:sz w:val="21"/>
                <w:szCs w:val="21"/>
              </w:rPr>
            </w:pPr>
            <w:r>
              <w:rPr>
                <w:rFonts w:ascii="Times New Roman"/>
                <w:spacing w:val="-1"/>
                <w:sz w:val="21"/>
              </w:rPr>
              <w:t>23,685,532.52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21"/>
                <w:szCs w:val="21"/>
              </w:rPr>
            </w:pPr>
            <w:r>
              <w:rPr>
                <w:rFonts w:ascii="Times New Roman"/>
                <w:spacing w:val="-1"/>
                <w:sz w:val="21"/>
              </w:rPr>
              <w:t>1,543,142.05</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060" w:right="1560"/>
        </w:sectPr>
      </w:pPr>
    </w:p>
    <w:p>
      <w:pPr>
        <w:pStyle w:val="Heading3"/>
        <w:spacing w:line="273" w:lineRule="exact"/>
        <w:ind w:right="0"/>
        <w:jc w:val="left"/>
        <w:rPr>
          <w:rFonts w:ascii="宋体" w:hAnsi="宋体" w:cs="宋体" w:eastAsia="宋体" w:hint="default"/>
        </w:rPr>
      </w:pPr>
      <w:r>
        <w:rPr>
          <w:rFonts w:ascii="宋体"/>
        </w:rPr>
        <w:t> </w:t>
      </w:r>
    </w:p>
    <w:p>
      <w:pPr>
        <w:pStyle w:val="Heading3"/>
        <w:spacing w:line="311" w:lineRule="exact"/>
        <w:ind w:right="0"/>
        <w:jc w:val="left"/>
        <w:rPr>
          <w:rFonts w:ascii="宋体" w:hAnsi="宋体" w:cs="宋体" w:eastAsia="宋体" w:hint="default"/>
        </w:rPr>
      </w:pPr>
      <w:r>
        <w:rPr/>
        <w:t>其他说明：</w:t>
      </w:r>
      <w:r>
        <w:rPr>
          <w:rFonts w:ascii="宋体" w:hAnsi="宋体" w:cs="宋体" w:eastAsia="宋体" w:hint="default"/>
        </w:rPr>
        <w:t> </w:t>
      </w:r>
    </w:p>
    <w:p>
      <w:pPr>
        <w:pStyle w:val="Heading3"/>
        <w:spacing w:line="311"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38</w:t>
      </w:r>
      <w:r>
        <w:rPr/>
        <w:t>、</w:t>
      </w:r>
      <w:r>
        <w:rPr>
          <w:spacing w:val="-27"/>
        </w:rPr>
        <w:t> </w:t>
      </w:r>
      <w:r>
        <w:rPr/>
        <w:t>应交税费</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258" w:space="4264"/>
            <w:col w:w="2768"/>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982"/>
        <w:gridCol w:w="2955"/>
        <w:gridCol w:w="2960"/>
      </w:tblGrid>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2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129,630,460.81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144,331,434.65</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消费税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6,154,344.02</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6,154,344.02</w:t>
            </w:r>
          </w:p>
        </w:tc>
      </w:tr>
      <w:tr>
        <w:trPr>
          <w:trHeight w:val="28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43,849,874.44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47,180,711.54</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883,445.14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1,035,178.42</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7,708,426.51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6,238,150.02</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3,701,325.62</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2,604,335.72</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地方教育费附加</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1,545,839.76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1,284,982.56</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1,077,703.10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1,462,636.40</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土地使用税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682,082.07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798,932.85</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2,318,113.86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1,694,655.52</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防洪基金</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6,206,391.09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6,429,586.98</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价格基金</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3,791,736.87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4,040,244.74</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其他税费</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960,422.00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471,392.41</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208,510,165.29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223,726,585.83</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060" w:right="1560"/>
        </w:sectPr>
      </w:pPr>
    </w:p>
    <w:p>
      <w:pPr>
        <w:pStyle w:val="Heading3"/>
        <w:spacing w:line="274" w:lineRule="exact"/>
        <w:ind w:right="0"/>
        <w:jc w:val="left"/>
        <w:rPr>
          <w:rFonts w:ascii="宋体" w:hAnsi="宋体" w:cs="宋体" w:eastAsia="宋体" w:hint="default"/>
        </w:rPr>
      </w:pPr>
      <w:r>
        <w:rPr>
          <w:rFonts w:ascii="宋体"/>
        </w:rPr>
        <w:t> </w:t>
      </w:r>
    </w:p>
    <w:p>
      <w:pPr>
        <w:pStyle w:val="Heading5"/>
        <w:spacing w:line="290" w:lineRule="auto" w:before="61"/>
        <w:ind w:right="462"/>
        <w:jc w:val="left"/>
        <w:rPr>
          <w:rFonts w:ascii="宋体" w:hAnsi="宋体" w:cs="宋体" w:eastAsia="宋体" w:hint="default"/>
          <w:b w:val="0"/>
          <w:bCs w:val="0"/>
        </w:rPr>
      </w:pPr>
      <w:r>
        <w:rPr>
          <w:rFonts w:ascii="宋体" w:hAnsi="宋体" w:cs="宋体" w:eastAsia="宋体" w:hint="default"/>
        </w:rPr>
        <w:t>39</w:t>
      </w:r>
      <w:r>
        <w:rPr/>
        <w:t>、</w:t>
      </w:r>
      <w:r>
        <w:rPr>
          <w:spacing w:val="-24"/>
        </w:rPr>
        <w:t> </w:t>
      </w:r>
      <w:r>
        <w:rPr/>
        <w:t>其他应付款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258" w:space="4264"/>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646,478,542.29</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327,665,003.37</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646,478,542.29</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327,665,003.37</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1000" w:right="1520"/>
        </w:sectPr>
      </w:pPr>
    </w:p>
    <w:p>
      <w:pPr>
        <w:pStyle w:val="Heading3"/>
        <w:spacing w:line="310" w:lineRule="exact" w:before="58"/>
        <w:ind w:left="276" w:right="0"/>
        <w:jc w:val="left"/>
        <w:rPr>
          <w:rFonts w:ascii="宋体" w:hAnsi="宋体" w:cs="宋体" w:eastAsia="宋体" w:hint="default"/>
        </w:rPr>
      </w:pPr>
      <w:r>
        <w:rPr>
          <w:rFonts w:ascii="宋体" w:hAnsi="宋体" w:cs="宋体" w:eastAsia="宋体" w:hint="default"/>
        </w:rPr>
        <w:t>  </w:t>
      </w:r>
      <w:r>
        <w:rPr/>
        <w:t>其他说明：</w:t>
      </w:r>
      <w:r>
        <w:rPr>
          <w:rFonts w:ascii="宋体" w:hAnsi="宋体" w:cs="宋体" w:eastAsia="宋体" w:hint="default"/>
        </w:rPr>
        <w:t> </w:t>
      </w:r>
    </w:p>
    <w:p>
      <w:pPr>
        <w:pStyle w:val="Heading3"/>
        <w:spacing w:line="283" w:lineRule="exact"/>
        <w:ind w:left="27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276" w:right="0"/>
        <w:jc w:val="left"/>
        <w:rPr>
          <w:rFonts w:ascii="宋体" w:hAnsi="宋体" w:cs="宋体" w:eastAsia="宋体" w:hint="default"/>
        </w:rPr>
      </w:pPr>
      <w:r>
        <w:rPr>
          <w:rFonts w:ascii="宋体"/>
        </w:rPr>
        <w:t> </w:t>
      </w:r>
    </w:p>
    <w:p>
      <w:pPr>
        <w:pStyle w:val="Heading5"/>
        <w:spacing w:line="290" w:lineRule="auto" w:before="61"/>
        <w:ind w:left="276" w:right="1075"/>
        <w:jc w:val="left"/>
        <w:rPr>
          <w:rFonts w:ascii="宋体" w:hAnsi="宋体" w:cs="宋体" w:eastAsia="宋体" w:hint="default"/>
          <w:b w:val="0"/>
          <w:bCs w:val="0"/>
        </w:rPr>
      </w:pPr>
      <w:r>
        <w:rPr/>
        <w:t>应付利息</w:t>
      </w:r>
      <w:r>
        <w:rPr>
          <w:rFonts w:ascii="宋体" w:hAnsi="宋体" w:cs="宋体" w:eastAsia="宋体" w:hint="default"/>
          <w:w w:val="99"/>
        </w:rPr>
        <w:t> </w:t>
      </w:r>
      <w:r>
        <w:rPr>
          <w:rFonts w:ascii="宋体" w:hAnsi="宋体" w:cs="宋体" w:eastAsia="宋体" w:hint="default"/>
        </w:rPr>
        <w:t>(1).</w:t>
      </w:r>
      <w:r>
        <w:rPr/>
        <w:t>分类列示</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6"/>
        <w:ind w:left="27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276" w:right="0"/>
        <w:jc w:val="left"/>
        <w:rPr>
          <w:rFonts w:ascii="宋体" w:hAnsi="宋体" w:cs="宋体" w:eastAsia="宋体" w:hint="default"/>
        </w:rPr>
      </w:pPr>
      <w:r>
        <w:rPr>
          <w:rFonts w:ascii="宋体"/>
        </w:rPr>
        <w:t> </w:t>
      </w:r>
    </w:p>
    <w:p>
      <w:pPr>
        <w:pStyle w:val="Heading5"/>
        <w:spacing w:line="290" w:lineRule="auto"/>
        <w:ind w:left="276" w:right="1075"/>
        <w:jc w:val="left"/>
        <w:rPr>
          <w:rFonts w:ascii="宋体" w:hAnsi="宋体" w:cs="宋体" w:eastAsia="宋体" w:hint="default"/>
          <w:b w:val="0"/>
          <w:bCs w:val="0"/>
        </w:rPr>
      </w:pPr>
      <w:r>
        <w:rPr/>
        <w:t>应付股利</w:t>
      </w:r>
      <w:r>
        <w:rPr>
          <w:rFonts w:ascii="宋体" w:hAnsi="宋体" w:cs="宋体" w:eastAsia="宋体" w:hint="default"/>
          <w:w w:val="99"/>
        </w:rPr>
        <w:t> </w:t>
      </w:r>
      <w:r>
        <w:rPr>
          <w:rFonts w:ascii="宋体" w:hAnsi="宋体" w:cs="宋体" w:eastAsia="宋体" w:hint="default"/>
        </w:rPr>
        <w:t>(2).</w:t>
      </w:r>
      <w:r>
        <w:rPr/>
        <w:t>分类列示</w:t>
      </w:r>
      <w:r>
        <w:rPr>
          <w:rFonts w:ascii="宋体" w:hAnsi="宋体" w:cs="宋体" w:eastAsia="宋体" w:hint="default"/>
          <w:w w:val="99"/>
        </w:rPr>
        <w:t> </w:t>
      </w:r>
      <w:r>
        <w:rPr>
          <w:rFonts w:ascii="宋体" w:hAnsi="宋体" w:cs="宋体" w:eastAsia="宋体" w:hint="default"/>
          <w:b w:val="0"/>
          <w:bCs w:val="0"/>
        </w:rPr>
      </w:r>
    </w:p>
    <w:p>
      <w:pPr>
        <w:pStyle w:val="Heading3"/>
        <w:spacing w:line="312" w:lineRule="exact" w:before="8"/>
        <w:ind w:left="27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left="276" w:right="0"/>
        <w:jc w:val="left"/>
        <w:rPr>
          <w:rFonts w:ascii="宋体" w:hAnsi="宋体" w:cs="宋体" w:eastAsia="宋体" w:hint="default"/>
        </w:rPr>
      </w:pPr>
      <w:r>
        <w:rPr>
          <w:rFonts w:ascii="宋体"/>
        </w:rPr>
        <w:t> </w:t>
      </w:r>
    </w:p>
    <w:p>
      <w:pPr>
        <w:pStyle w:val="Heading5"/>
        <w:spacing w:line="240" w:lineRule="auto"/>
        <w:ind w:left="276" w:right="0"/>
        <w:jc w:val="left"/>
        <w:rPr>
          <w:rFonts w:ascii="宋体" w:hAnsi="宋体" w:cs="宋体" w:eastAsia="宋体" w:hint="default"/>
          <w:b w:val="0"/>
          <w:bCs w:val="0"/>
        </w:rPr>
      </w:pPr>
      <w:r>
        <w:rPr/>
        <w:t>其他应付款</w:t>
      </w:r>
      <w:r>
        <w:rPr>
          <w:rFonts w:ascii="宋体" w:hAnsi="宋体" w:cs="宋体" w:eastAsia="宋体" w:hint="default"/>
          <w:w w:val="99"/>
        </w:rPr>
        <w:t> </w:t>
      </w:r>
      <w:r>
        <w:rPr>
          <w:rFonts w:ascii="宋体" w:hAnsi="宋体" w:cs="宋体" w:eastAsia="宋体" w:hint="default"/>
          <w:b w:val="0"/>
          <w:bCs w:val="0"/>
        </w:rPr>
      </w:r>
    </w:p>
    <w:p>
      <w:pPr>
        <w:pStyle w:val="Heading5"/>
        <w:spacing w:line="240" w:lineRule="auto" w:before="56"/>
        <w:ind w:left="27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按款项性质列示其他应付款</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27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240" w:lineRule="auto"/>
        <w:ind w:left="27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00" w:right="1520"/>
          <w:cols w:num="2" w:equalWidth="0">
            <w:col w:w="3442" w:space="3081"/>
            <w:col w:w="2867"/>
          </w:cols>
        </w:sectPr>
      </w:pPr>
    </w:p>
    <w:p>
      <w:pPr>
        <w:spacing w:line="240" w:lineRule="auto" w:before="4"/>
        <w:rPr>
          <w:rFonts w:ascii="宋体" w:hAnsi="宋体" w:cs="宋体" w:eastAsia="宋体" w:hint="default"/>
          <w:sz w:val="2"/>
          <w:szCs w:val="2"/>
        </w:rPr>
      </w:pPr>
    </w:p>
    <w:tbl>
      <w:tblPr>
        <w:tblW w:w="0" w:type="auto"/>
        <w:jc w:val="left"/>
        <w:tblInd w:w="163" w:type="dxa"/>
        <w:tblLayout w:type="fixed"/>
        <w:tblCellMar>
          <w:top w:w="0" w:type="dxa"/>
          <w:left w:w="0" w:type="dxa"/>
          <w:bottom w:w="0" w:type="dxa"/>
          <w:right w:w="0" w:type="dxa"/>
        </w:tblCellMar>
        <w:tblLook w:val="01E0"/>
      </w:tblPr>
      <w:tblGrid>
        <w:gridCol w:w="2924"/>
        <w:gridCol w:w="3000"/>
        <w:gridCol w:w="3125"/>
      </w:tblGrid>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股权转让款</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87,352,650.00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18,000,000.00</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限制性股票激励款</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43,409,747.11</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84,249,578.52</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保证金及押金</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29,987,019.52</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28,823,196.89</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安置费</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2,695,542.18</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在建项目尾款</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4,199,996.95</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1,335,456.11</w:t>
            </w:r>
          </w:p>
        </w:tc>
      </w:tr>
      <w:tr>
        <w:trPr>
          <w:trHeight w:val="28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员工往来</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7,993,308.58</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6,530,522.24</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代收代付款</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37,210,818.16</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34,101,505.85</w:t>
            </w:r>
          </w:p>
        </w:tc>
      </w:tr>
      <w:tr>
        <w:trPr>
          <w:trHeight w:val="55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应收账款资产专项计划</w:t>
            </w:r>
            <w:r>
              <w:rPr>
                <w:rFonts w:ascii="宋体" w:hAnsi="宋体" w:cs="宋体" w:eastAsia="宋体" w:hint="default"/>
                <w:spacing w:val="-65"/>
                <w:sz w:val="21"/>
                <w:szCs w:val="21"/>
              </w:rPr>
              <w:t> </w:t>
            </w:r>
            <w:r>
              <w:rPr>
                <w:rFonts w:ascii="宋体" w:hAnsi="宋体" w:cs="宋体" w:eastAsia="宋体" w:hint="default"/>
                <w:sz w:val="21"/>
                <w:szCs w:val="21"/>
              </w:rPr>
              <w:t>ABS</w:t>
            </w:r>
            <w:r>
              <w:rPr>
                <w:rFonts w:ascii="宋体" w:hAnsi="宋体" w:cs="宋体" w:eastAsia="宋体" w:hint="default"/>
                <w:spacing w:val="-65"/>
                <w:sz w:val="21"/>
                <w:szCs w:val="21"/>
              </w:rPr>
              <w:t> </w:t>
            </w:r>
            <w:r>
              <w:rPr>
                <w:rFonts w:ascii="宋体" w:hAnsi="宋体" w:cs="宋体" w:eastAsia="宋体" w:hint="default"/>
                <w:sz w:val="21"/>
                <w:szCs w:val="21"/>
              </w:rPr>
              <w:t>归</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集款</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266,912,925.09</w:t>
            </w:r>
          </w:p>
        </w:tc>
        <w:tc>
          <w:tcPr>
            <w:tcW w:w="31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其他往来</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169,412,076.88</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151,929,201.58</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646,478,542.29</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327,665,003.37</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00" w:right="1520"/>
        </w:sectPr>
      </w:pPr>
    </w:p>
    <w:p>
      <w:pPr>
        <w:pStyle w:val="Heading5"/>
        <w:spacing w:line="240" w:lineRule="auto" w:before="36"/>
        <w:ind w:left="276" w:right="0"/>
        <w:jc w:val="left"/>
        <w:rPr>
          <w:rFonts w:ascii="宋体" w:hAnsi="宋体" w:cs="宋体" w:eastAsia="宋体" w:hint="default"/>
          <w:b w:val="0"/>
          <w:bCs w:val="0"/>
        </w:rPr>
      </w:pPr>
      <w:r>
        <w:rPr>
          <w:rFonts w:ascii="宋体" w:hAnsi="宋体" w:cs="宋体" w:eastAsia="宋体" w:hint="default"/>
        </w:rPr>
        <w:t>(2).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27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8"/>
        <w:ind w:left="27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00" w:right="1520"/>
          <w:cols w:num="2" w:equalWidth="0">
            <w:col w:w="3866" w:space="2656"/>
            <w:col w:w="2868"/>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5533"/>
        <w:gridCol w:w="1426"/>
        <w:gridCol w:w="2197"/>
      </w:tblGrid>
      <w:tr>
        <w:trPr>
          <w:trHeight w:val="283" w:hRule="exact"/>
        </w:trPr>
        <w:tc>
          <w:tcPr>
            <w:tcW w:w="5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r>
              <w:rPr>
                <w:rFonts w:ascii="宋体" w:hAnsi="宋体" w:cs="宋体" w:eastAsia="宋体" w:hint="default"/>
                <w:sz w:val="21"/>
                <w:szCs w:val="21"/>
              </w:rPr>
              <w:t> </w:t>
            </w:r>
          </w:p>
        </w:tc>
      </w:tr>
      <w:tr>
        <w:trPr>
          <w:trHeight w:val="281" w:hRule="exact"/>
        </w:trPr>
        <w:tc>
          <w:tcPr>
            <w:tcW w:w="5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限制性股票激励款</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43,409,747.11</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尚未解禁</w:t>
            </w:r>
          </w:p>
        </w:tc>
      </w:tr>
      <w:tr>
        <w:trPr>
          <w:trHeight w:val="284" w:hRule="exact"/>
        </w:trPr>
        <w:tc>
          <w:tcPr>
            <w:tcW w:w="55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浙江清华长三角研究院</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Times New Roman" w:hAnsi="Times New Roman" w:cs="Times New Roman" w:eastAsia="Times New Roman" w:hint="default"/>
                <w:sz w:val="21"/>
                <w:szCs w:val="21"/>
              </w:rPr>
            </w:pPr>
            <w:r>
              <w:rPr>
                <w:rFonts w:ascii="Times New Roman"/>
                <w:sz w:val="21"/>
              </w:rPr>
              <w:t>16,541,614.98</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项目尚未结束</w:t>
            </w:r>
          </w:p>
        </w:tc>
      </w:tr>
      <w:tr>
        <w:trPr>
          <w:trHeight w:val="283" w:hRule="exact"/>
        </w:trPr>
        <w:tc>
          <w:tcPr>
            <w:tcW w:w="5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北京科东电力控制系统有限责任公司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center"/>
              <w:rPr>
                <w:rFonts w:ascii="Times New Roman" w:hAnsi="Times New Roman" w:cs="Times New Roman" w:eastAsia="Times New Roman" w:hint="default"/>
                <w:sz w:val="21"/>
                <w:szCs w:val="21"/>
              </w:rPr>
            </w:pPr>
            <w:r>
              <w:rPr>
                <w:rFonts w:ascii="Times New Roman"/>
                <w:sz w:val="21"/>
              </w:rPr>
              <w:t>3,588,292.87</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未结算</w:t>
            </w:r>
          </w:p>
        </w:tc>
      </w:tr>
      <w:tr>
        <w:trPr>
          <w:trHeight w:val="281" w:hRule="exact"/>
        </w:trPr>
        <w:tc>
          <w:tcPr>
            <w:tcW w:w="5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贵州华清投资有限公司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center"/>
              <w:rPr>
                <w:rFonts w:ascii="Times New Roman" w:hAnsi="Times New Roman" w:cs="Times New Roman" w:eastAsia="Times New Roman" w:hint="default"/>
                <w:sz w:val="21"/>
                <w:szCs w:val="21"/>
              </w:rPr>
            </w:pPr>
            <w:r>
              <w:rPr>
                <w:rFonts w:ascii="Times New Roman"/>
                <w:sz w:val="21"/>
              </w:rPr>
              <w:t>2,940,939.34</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未结算</w:t>
            </w:r>
          </w:p>
        </w:tc>
      </w:tr>
      <w:tr>
        <w:trPr>
          <w:trHeight w:val="283" w:hRule="exact"/>
        </w:trPr>
        <w:tc>
          <w:tcPr>
            <w:tcW w:w="5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格赛斯科技（香港）有限公司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center"/>
              <w:rPr>
                <w:rFonts w:ascii="Times New Roman" w:hAnsi="Times New Roman" w:cs="Times New Roman" w:eastAsia="Times New Roman" w:hint="default"/>
                <w:sz w:val="21"/>
                <w:szCs w:val="21"/>
              </w:rPr>
            </w:pPr>
            <w:r>
              <w:rPr>
                <w:rFonts w:ascii="Times New Roman"/>
                <w:sz w:val="21"/>
              </w:rPr>
              <w:t>1,992,277.15</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未结算</w:t>
            </w:r>
          </w:p>
        </w:tc>
      </w:tr>
      <w:tr>
        <w:trPr>
          <w:trHeight w:val="283" w:hRule="exact"/>
        </w:trPr>
        <w:tc>
          <w:tcPr>
            <w:tcW w:w="553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市客车厂汽车附属分厂</w:t>
            </w:r>
            <w:r>
              <w:rPr>
                <w:rFonts w:ascii="Times New Roman" w:hAnsi="Times New Roman" w:cs="Times New Roman" w:eastAsia="Times New Roman" w:hint="default"/>
                <w:sz w:val="21"/>
                <w:szCs w:val="21"/>
              </w:rPr>
              <w:t>(</w:t>
            </w:r>
            <w:r>
              <w:rPr>
                <w:rFonts w:ascii="宋体" w:hAnsi="宋体" w:cs="宋体" w:eastAsia="宋体" w:hint="default"/>
                <w:sz w:val="21"/>
                <w:szCs w:val="21"/>
              </w:rPr>
              <w:t>衡阳市蒸湘区天添汽车内饰件厂</w:t>
            </w:r>
            <w:r>
              <w:rPr>
                <w:rFonts w:ascii="Times New Roman" w:hAnsi="Times New Roman" w:cs="Times New Roman" w:eastAsia="Times New Roman" w:hint="default"/>
                <w:sz w:val="21"/>
                <w:szCs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center"/>
              <w:rPr>
                <w:rFonts w:ascii="Times New Roman" w:hAnsi="Times New Roman" w:cs="Times New Roman" w:eastAsia="Times New Roman" w:hint="default"/>
                <w:sz w:val="21"/>
                <w:szCs w:val="21"/>
              </w:rPr>
            </w:pPr>
            <w:r>
              <w:rPr>
                <w:rFonts w:ascii="Times New Roman"/>
                <w:sz w:val="21"/>
              </w:rPr>
              <w:t>1,646,236.74</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未结算</w:t>
            </w:r>
          </w:p>
        </w:tc>
      </w:tr>
      <w:tr>
        <w:trPr>
          <w:trHeight w:val="281" w:hRule="exact"/>
        </w:trPr>
        <w:tc>
          <w:tcPr>
            <w:tcW w:w="5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中国电力科学研究院</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center"/>
              <w:rPr>
                <w:rFonts w:ascii="Times New Roman" w:hAnsi="Times New Roman" w:cs="Times New Roman" w:eastAsia="Times New Roman" w:hint="default"/>
                <w:sz w:val="21"/>
                <w:szCs w:val="21"/>
              </w:rPr>
            </w:pPr>
            <w:r>
              <w:rPr>
                <w:rFonts w:ascii="Times New Roman"/>
                <w:sz w:val="21"/>
              </w:rPr>
              <w:t>1,552,950.00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未结算</w:t>
            </w:r>
          </w:p>
        </w:tc>
      </w:tr>
      <w:tr>
        <w:trPr>
          <w:trHeight w:val="283" w:hRule="exact"/>
        </w:trPr>
        <w:tc>
          <w:tcPr>
            <w:tcW w:w="5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遵义市汇川区城市建设投资经营有限公司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center"/>
              <w:rPr>
                <w:rFonts w:ascii="Times New Roman" w:hAnsi="Times New Roman" w:cs="Times New Roman" w:eastAsia="Times New Roman" w:hint="default"/>
                <w:sz w:val="21"/>
                <w:szCs w:val="21"/>
              </w:rPr>
            </w:pPr>
            <w:r>
              <w:rPr>
                <w:rFonts w:ascii="Times New Roman"/>
                <w:sz w:val="21"/>
              </w:rPr>
              <w:t>1,221,201.11</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未结算</w:t>
            </w:r>
          </w:p>
        </w:tc>
      </w:tr>
      <w:tr>
        <w:trPr>
          <w:trHeight w:val="283" w:hRule="exact"/>
        </w:trPr>
        <w:tc>
          <w:tcPr>
            <w:tcW w:w="5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72,893,259.30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 </w:t>
            </w:r>
          </w:p>
        </w:tc>
      </w:tr>
    </w:tbl>
    <w:p>
      <w:pPr>
        <w:spacing w:line="240" w:lineRule="auto" w:before="13"/>
        <w:rPr>
          <w:rFonts w:ascii="宋体" w:hAnsi="宋体" w:cs="宋体" w:eastAsia="宋体" w:hint="default"/>
          <w:sz w:val="12"/>
          <w:szCs w:val="12"/>
        </w:rPr>
      </w:pPr>
    </w:p>
    <w:p>
      <w:pPr>
        <w:pStyle w:val="BodyText"/>
        <w:spacing w:line="271" w:lineRule="exact" w:before="36"/>
        <w:ind w:left="276" w:right="0"/>
        <w:jc w:val="left"/>
        <w:rPr>
          <w:rFonts w:ascii="宋体" w:hAnsi="宋体" w:cs="宋体" w:eastAsia="宋体" w:hint="default"/>
        </w:rPr>
      </w:pPr>
      <w:r>
        <w:rPr/>
        <w:t>其他说明：</w:t>
      </w:r>
      <w:r>
        <w:rPr>
          <w:rFonts w:ascii="宋体" w:hAnsi="宋体" w:cs="宋体" w:eastAsia="宋体" w:hint="default"/>
        </w:rPr>
        <w:t> </w:t>
      </w:r>
    </w:p>
    <w:p>
      <w:pPr>
        <w:pStyle w:val="Heading3"/>
        <w:spacing w:line="310" w:lineRule="exact"/>
        <w:ind w:left="27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310" w:lineRule="exact"/>
        <w:jc w:val="left"/>
        <w:rPr>
          <w:rFonts w:ascii="宋体" w:hAnsi="宋体" w:cs="宋体" w:eastAsia="宋体" w:hint="default"/>
        </w:rPr>
        <w:sectPr>
          <w:type w:val="continuous"/>
          <w:pgSz w:w="11910" w:h="16840"/>
          <w:pgMar w:top="1120" w:bottom="1380" w:left="1000" w:right="1520"/>
        </w:sectPr>
      </w:pPr>
    </w:p>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Heading3"/>
        <w:spacing w:line="240" w:lineRule="auto" w:before="26"/>
        <w:ind w:right="0"/>
        <w:jc w:val="left"/>
        <w:rPr>
          <w:rFonts w:ascii="宋体" w:hAnsi="宋体" w:cs="宋体" w:eastAsia="宋体" w:hint="default"/>
        </w:rPr>
      </w:pPr>
      <w:r>
        <w:rPr>
          <w:rFonts w:ascii="宋体"/>
        </w:rPr>
        <w:t> </w:t>
      </w:r>
    </w:p>
    <w:p>
      <w:pPr>
        <w:pStyle w:val="Heading5"/>
        <w:spacing w:line="240" w:lineRule="auto"/>
        <w:ind w:right="0"/>
        <w:jc w:val="left"/>
        <w:rPr>
          <w:b w:val="0"/>
          <w:bCs w:val="0"/>
        </w:rPr>
      </w:pPr>
      <w:r>
        <w:rPr>
          <w:rFonts w:ascii="宋体" w:hAnsi="宋体" w:cs="宋体" w:eastAsia="宋体" w:hint="default"/>
        </w:rPr>
        <w:t>40</w:t>
      </w:r>
      <w:r>
        <w:rPr/>
        <w:t>、</w:t>
      </w:r>
      <w:r>
        <w:rPr>
          <w:spacing w:val="-24"/>
        </w:rPr>
        <w:t> </w:t>
      </w:r>
      <w:r>
        <w:rPr/>
        <w:t>持有待售负债</w:t>
      </w:r>
      <w:r>
        <w:rPr>
          <w:b w:val="0"/>
          <w:bCs w:val="0"/>
        </w:rPr>
      </w:r>
    </w:p>
    <w:p>
      <w:pPr>
        <w:pStyle w:val="Heading3"/>
        <w:spacing w:line="313" w:lineRule="exact"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right="0"/>
        <w:jc w:val="left"/>
        <w:rPr>
          <w:rFonts w:ascii="宋体" w:hAnsi="宋体" w:cs="宋体" w:eastAsia="宋体" w:hint="default"/>
        </w:rPr>
      </w:pPr>
      <w:r>
        <w:rPr>
          <w:rFonts w:ascii="宋体"/>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40" w:lineRule="auto" w:before="61"/>
        <w:ind w:right="0"/>
        <w:jc w:val="left"/>
        <w:rPr>
          <w:rFonts w:ascii="宋体" w:hAnsi="宋体" w:cs="宋体" w:eastAsia="宋体" w:hint="default"/>
          <w:b w:val="0"/>
          <w:bCs w:val="0"/>
        </w:rPr>
      </w:pPr>
      <w:r>
        <w:rPr>
          <w:rFonts w:ascii="宋体" w:hAnsi="宋体" w:cs="宋体" w:eastAsia="宋体" w:hint="default"/>
        </w:rPr>
        <w:t>41</w:t>
      </w:r>
      <w:r>
        <w:rPr/>
        <w:t>、 </w:t>
      </w:r>
      <w:r>
        <w:rPr>
          <w:rFonts w:ascii="宋体" w:hAnsi="宋体" w:cs="宋体" w:eastAsia="宋体" w:hint="default"/>
        </w:rPr>
        <w:t>1</w:t>
      </w:r>
      <w:r>
        <w:rPr>
          <w:rFonts w:ascii="宋体" w:hAnsi="宋体" w:cs="宋体" w:eastAsia="宋体" w:hint="default"/>
          <w:spacing w:val="-78"/>
        </w:rPr>
        <w:t> </w:t>
      </w:r>
      <w:r>
        <w:rPr/>
        <w:t>年内到期的非流动负债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096" w:space="3426"/>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10"/>
        <w:gridCol w:w="3036"/>
        <w:gridCol w:w="3104"/>
      </w:tblGrid>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年内到期的长期借款</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465,190,000.00</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57,190,000.00</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660,419.45</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76,775.62</w:t>
            </w:r>
          </w:p>
        </w:tc>
      </w:tr>
      <w:tr>
        <w:trPr>
          <w:trHeight w:val="281"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年内到期的应付债券</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年内到期的长期应付款</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年内到期的租赁负债</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465,850,419.45</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57,266,775.62</w:t>
            </w:r>
          </w:p>
        </w:tc>
      </w:tr>
    </w:tbl>
    <w:p>
      <w:pPr>
        <w:spacing w:line="240" w:lineRule="auto" w:before="7"/>
        <w:rPr>
          <w:rFonts w:ascii="宋体" w:hAnsi="宋体" w:cs="宋体" w:eastAsia="宋体" w:hint="default"/>
          <w:sz w:val="17"/>
          <w:szCs w:val="17"/>
        </w:rPr>
      </w:pPr>
    </w:p>
    <w:p>
      <w:pPr>
        <w:pStyle w:val="BodyText"/>
        <w:spacing w:line="240" w:lineRule="auto" w:before="36"/>
        <w:ind w:left="216" w:right="0"/>
        <w:jc w:val="left"/>
        <w:rPr>
          <w:rFonts w:ascii="宋体" w:hAnsi="宋体" w:cs="宋体" w:eastAsia="宋体" w:hint="default"/>
        </w:rPr>
      </w:pPr>
      <w:r>
        <w:rPr/>
        <w:t>其他说明：</w:t>
      </w:r>
      <w:r>
        <w:rPr>
          <w:rFonts w:ascii="宋体" w:hAnsi="宋体" w:cs="宋体" w:eastAsia="宋体" w:hint="default"/>
        </w:rPr>
        <w:t> </w:t>
      </w:r>
    </w:p>
    <w:p>
      <w:pPr>
        <w:spacing w:line="240" w:lineRule="auto" w:before="6"/>
        <w:rPr>
          <w:rFonts w:ascii="宋体" w:hAnsi="宋体" w:cs="宋体" w:eastAsia="宋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1834"/>
        <w:gridCol w:w="2283"/>
        <w:gridCol w:w="2076"/>
        <w:gridCol w:w="2720"/>
      </w:tblGrid>
      <w:tr>
        <w:trPr>
          <w:trHeight w:val="283"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461"/>
              <w:jc w:val="right"/>
              <w:rPr>
                <w:rFonts w:ascii="宋体" w:hAnsi="宋体" w:cs="宋体" w:eastAsia="宋体" w:hint="default"/>
                <w:sz w:val="18"/>
                <w:szCs w:val="18"/>
              </w:rPr>
            </w:pPr>
            <w:r>
              <w:rPr>
                <w:rFonts w:ascii="宋体" w:hAnsi="宋体" w:cs="宋体" w:eastAsia="宋体" w:hint="default"/>
                <w:spacing w:val="-1"/>
                <w:sz w:val="18"/>
                <w:szCs w:val="18"/>
              </w:rPr>
              <w:t>借款条件</w:t>
            </w:r>
            <w:r>
              <w:rPr>
                <w:rFonts w:ascii="宋体" w:hAnsi="宋体" w:cs="宋体" w:eastAsia="宋体" w:hint="default"/>
                <w:sz w:val="18"/>
                <w:szCs w:val="18"/>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77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669"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87" w:right="0"/>
              <w:jc w:val="center"/>
              <w:rPr>
                <w:rFonts w:ascii="宋体" w:hAnsi="宋体" w:cs="宋体" w:eastAsia="宋体" w:hint="default"/>
                <w:sz w:val="18"/>
                <w:szCs w:val="18"/>
              </w:rPr>
            </w:pPr>
            <w:r>
              <w:rPr>
                <w:rFonts w:ascii="宋体" w:hAnsi="宋体" w:cs="宋体" w:eastAsia="宋体" w:hint="default"/>
                <w:sz w:val="18"/>
                <w:szCs w:val="18"/>
              </w:rPr>
              <w:t>利率区间</w:t>
            </w:r>
            <w:r>
              <w:rPr>
                <w:rFonts w:ascii="宋体" w:hAnsi="宋体" w:cs="宋体" w:eastAsia="宋体" w:hint="default"/>
                <w:sz w:val="18"/>
                <w:szCs w:val="18"/>
              </w:rPr>
              <w:t> </w:t>
            </w:r>
          </w:p>
        </w:tc>
      </w:tr>
      <w:tr>
        <w:trPr>
          <w:trHeight w:val="283"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461"/>
              <w:jc w:val="right"/>
              <w:rPr>
                <w:rFonts w:ascii="宋体" w:hAnsi="宋体" w:cs="宋体" w:eastAsia="宋体" w:hint="default"/>
                <w:sz w:val="18"/>
                <w:szCs w:val="18"/>
              </w:rPr>
            </w:pPr>
            <w:r>
              <w:rPr>
                <w:rFonts w:ascii="宋体" w:hAnsi="宋体" w:cs="宋体" w:eastAsia="宋体" w:hint="default"/>
                <w:spacing w:val="-1"/>
                <w:sz w:val="18"/>
                <w:szCs w:val="18"/>
              </w:rPr>
              <w:t>质押借款</w:t>
            </w:r>
            <w:r>
              <w:rPr>
                <w:rFonts w:ascii="宋体" w:hAnsi="宋体" w:cs="宋体" w:eastAsia="宋体" w:hint="default"/>
                <w:sz w:val="18"/>
                <w:szCs w:val="18"/>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69,160,000.00</w:t>
            </w:r>
            <w:r>
              <w:rPr>
                <w:rFonts w:ascii="Times New Roman"/>
                <w:sz w:val="20"/>
              </w:rPr>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57,190,000.00</w:t>
            </w:r>
            <w:r>
              <w:rPr>
                <w:rFonts w:ascii="Times New Roman"/>
                <w:sz w:val="20"/>
              </w:rPr>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4.75%-4.90%</w:t>
            </w:r>
          </w:p>
        </w:tc>
      </w:tr>
      <w:tr>
        <w:trPr>
          <w:trHeight w:val="283"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461"/>
              <w:jc w:val="right"/>
              <w:rPr>
                <w:rFonts w:ascii="宋体" w:hAnsi="宋体" w:cs="宋体" w:eastAsia="宋体" w:hint="default"/>
                <w:sz w:val="18"/>
                <w:szCs w:val="18"/>
              </w:rPr>
            </w:pPr>
            <w:r>
              <w:rPr>
                <w:rFonts w:ascii="宋体" w:hAnsi="宋体" w:cs="宋体" w:eastAsia="宋体" w:hint="default"/>
                <w:spacing w:val="-1"/>
                <w:sz w:val="18"/>
                <w:szCs w:val="18"/>
              </w:rPr>
              <w:t>信用借款</w:t>
            </w:r>
            <w:r>
              <w:rPr>
                <w:rFonts w:ascii="宋体" w:hAnsi="宋体" w:cs="宋体" w:eastAsia="宋体" w:hint="default"/>
                <w:sz w:val="18"/>
                <w:szCs w:val="18"/>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96,000,000.00</w:t>
            </w:r>
            <w:r>
              <w:rPr>
                <w:rFonts w:ascii="Times New Roman"/>
                <w:sz w:val="20"/>
              </w:rPr>
            </w:r>
          </w:p>
        </w:tc>
        <w:tc>
          <w:tcPr>
            <w:tcW w:w="2076" w:type="dxa"/>
            <w:tcBorders>
              <w:top w:val="single" w:sz="4" w:space="0" w:color="000000"/>
              <w:left w:val="single" w:sz="4" w:space="0" w:color="000000"/>
              <w:bottom w:val="single" w:sz="4" w:space="0" w:color="000000"/>
              <w:right w:val="single" w:sz="4" w:space="0" w:color="000000"/>
            </w:tcBorders>
          </w:tcPr>
          <w:p>
            <w:pP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5.25%</w:t>
            </w:r>
          </w:p>
        </w:tc>
      </w:tr>
      <w:tr>
        <w:trPr>
          <w:trHeight w:val="283"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461"/>
              <w:jc w:val="right"/>
              <w:rPr>
                <w:rFonts w:ascii="宋体" w:hAnsi="宋体" w:cs="宋体" w:eastAsia="宋体" w:hint="default"/>
                <w:sz w:val="18"/>
                <w:szCs w:val="18"/>
              </w:rPr>
            </w:pPr>
            <w:r>
              <w:rPr>
                <w:rFonts w:ascii="宋体" w:hAnsi="宋体" w:cs="宋体" w:eastAsia="宋体" w:hint="default"/>
                <w:spacing w:val="-1"/>
                <w:sz w:val="18"/>
                <w:szCs w:val="18"/>
              </w:rPr>
              <w:t>保证借款</w:t>
            </w:r>
            <w:r>
              <w:rPr>
                <w:rFonts w:ascii="宋体" w:hAnsi="宋体" w:cs="宋体" w:eastAsia="宋体" w:hint="default"/>
                <w:sz w:val="18"/>
                <w:szCs w:val="18"/>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300,000,000.00</w:t>
            </w:r>
            <w:r>
              <w:rPr>
                <w:rFonts w:ascii="Times New Roman"/>
                <w:sz w:val="20"/>
              </w:rPr>
            </w:r>
          </w:p>
        </w:tc>
        <w:tc>
          <w:tcPr>
            <w:tcW w:w="2076" w:type="dxa"/>
            <w:tcBorders>
              <w:top w:val="single" w:sz="4" w:space="0" w:color="000000"/>
              <w:left w:val="single" w:sz="4" w:space="0" w:color="000000"/>
              <w:bottom w:val="single" w:sz="4" w:space="0" w:color="000000"/>
              <w:right w:val="single" w:sz="4" w:space="0" w:color="000000"/>
            </w:tcBorders>
          </w:tcPr>
          <w:p>
            <w:pP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5.23%</w:t>
            </w:r>
          </w:p>
        </w:tc>
      </w:tr>
      <w:tr>
        <w:trPr>
          <w:trHeight w:val="283"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461"/>
              <w:jc w:val="right"/>
              <w:rPr>
                <w:rFonts w:ascii="宋体" w:hAnsi="宋体" w:cs="宋体" w:eastAsia="宋体" w:hint="default"/>
                <w:sz w:val="18"/>
                <w:szCs w:val="18"/>
              </w:rPr>
            </w:pPr>
            <w:r>
              <w:rPr>
                <w:rFonts w:ascii="宋体" w:hAnsi="宋体" w:cs="宋体" w:eastAsia="宋体" w:hint="default"/>
                <w:spacing w:val="-1"/>
                <w:sz w:val="18"/>
                <w:szCs w:val="18"/>
              </w:rPr>
              <w:t>应付利息</w:t>
            </w:r>
            <w:r>
              <w:rPr>
                <w:rFonts w:ascii="宋体" w:hAnsi="宋体" w:cs="宋体" w:eastAsia="宋体" w:hint="default"/>
                <w:sz w:val="18"/>
                <w:szCs w:val="18"/>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660,419.45</w:t>
            </w:r>
            <w:r>
              <w:rPr>
                <w:rFonts w:ascii="Times New Roman"/>
                <w:sz w:val="20"/>
              </w:rPr>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76,775.62</w:t>
            </w:r>
            <w:r>
              <w:rPr>
                <w:rFonts w:ascii="Times New Roman"/>
                <w:sz w:val="20"/>
              </w:rPr>
            </w:r>
          </w:p>
        </w:tc>
        <w:tc>
          <w:tcPr>
            <w:tcW w:w="27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461"/>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计</w:t>
            </w:r>
            <w:r>
              <w:rPr>
                <w:rFonts w:ascii="宋体" w:hAnsi="宋体" w:cs="宋体" w:eastAsia="宋体" w:hint="default"/>
                <w:sz w:val="18"/>
                <w:szCs w:val="18"/>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465,850,419.45</w:t>
            </w:r>
            <w:r>
              <w:rPr>
                <w:rFonts w:ascii="Times New Roman"/>
                <w:sz w:val="20"/>
              </w:rPr>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57,266,775.62</w:t>
            </w:r>
            <w:r>
              <w:rPr>
                <w:rFonts w:ascii="Times New Roman"/>
                <w:sz w:val="20"/>
              </w:rPr>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5"/>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60" w:right="1560"/>
        </w:sectPr>
      </w:pPr>
    </w:p>
    <w:p>
      <w:pPr>
        <w:spacing w:line="290" w:lineRule="auto" w:before="36"/>
        <w:ind w:left="216" w:right="0" w:firstLine="0"/>
        <w:jc w:val="left"/>
        <w:rPr>
          <w:rFonts w:ascii="宋体" w:hAnsi="宋体" w:cs="宋体" w:eastAsia="宋体" w:hint="default"/>
          <w:sz w:val="21"/>
          <w:szCs w:val="21"/>
        </w:rPr>
      </w:pPr>
      <w:r>
        <w:rPr>
          <w:rFonts w:ascii="宋体" w:hAnsi="宋体" w:cs="宋体" w:eastAsia="宋体" w:hint="default"/>
          <w:b/>
          <w:bCs/>
          <w:sz w:val="21"/>
          <w:szCs w:val="21"/>
        </w:rPr>
        <w:t>42</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其他流动负债</w:t>
      </w:r>
      <w:r>
        <w:rPr>
          <w:rFonts w:ascii="宋体" w:hAnsi="宋体" w:cs="宋体" w:eastAsia="宋体" w:hint="default"/>
          <w:b/>
          <w:bCs/>
          <w:w w:val="99"/>
          <w:sz w:val="21"/>
          <w:szCs w:val="21"/>
        </w:rPr>
        <w:t> </w:t>
      </w:r>
      <w:r>
        <w:rPr>
          <w:rFonts w:ascii="宋体" w:hAnsi="宋体" w:cs="宋体" w:eastAsia="宋体" w:hint="default"/>
          <w:sz w:val="21"/>
          <w:szCs w:val="21"/>
        </w:rPr>
        <w:t>其他流动负债情况</w:t>
      </w:r>
      <w:r>
        <w:rPr>
          <w:rFonts w:ascii="宋体" w:hAnsi="宋体" w:cs="宋体" w:eastAsia="宋体" w:hint="default"/>
          <w:sz w:val="21"/>
          <w:szCs w:val="21"/>
        </w:rPr>
        <w:t> </w:t>
      </w:r>
    </w:p>
    <w:p>
      <w:pPr>
        <w:pStyle w:val="Heading3"/>
        <w:spacing w:line="260" w:lineRule="exact"/>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5"/>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378" w:space="4144"/>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04"/>
        <w:gridCol w:w="3118"/>
        <w:gridCol w:w="3128"/>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短期应付债券</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应付退货款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已背书尚未到期的票据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89" w:right="0"/>
              <w:jc w:val="left"/>
              <w:rPr>
                <w:rFonts w:ascii="Times New Roman" w:hAnsi="Times New Roman" w:cs="Times New Roman" w:eastAsia="Times New Roman" w:hint="default"/>
                <w:sz w:val="21"/>
                <w:szCs w:val="21"/>
              </w:rPr>
            </w:pPr>
            <w:r>
              <w:rPr>
                <w:rFonts w:ascii="Times New Roman"/>
                <w:sz w:val="21"/>
              </w:rPr>
              <w:t>314,715,809.05</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89" w:right="0"/>
              <w:jc w:val="left"/>
              <w:rPr>
                <w:rFonts w:ascii="Times New Roman" w:hAnsi="Times New Roman" w:cs="Times New Roman" w:eastAsia="Times New Roman" w:hint="default"/>
                <w:sz w:val="21"/>
                <w:szCs w:val="21"/>
              </w:rPr>
            </w:pPr>
            <w:r>
              <w:rPr>
                <w:rFonts w:ascii="Times New Roman"/>
                <w:sz w:val="21"/>
              </w:rPr>
              <w:t>314,715,809.05</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line="240" w:lineRule="auto" w:before="6"/>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120" w:bottom="1380" w:left="1060" w:right="1560"/>
        </w:sectPr>
      </w:pPr>
    </w:p>
    <w:p>
      <w:pPr>
        <w:pStyle w:val="Heading3"/>
        <w:spacing w:line="240" w:lineRule="auto" w:before="26"/>
        <w:ind w:right="0"/>
        <w:jc w:val="left"/>
        <w:rPr>
          <w:rFonts w:ascii="宋体" w:hAnsi="宋体" w:cs="宋体" w:eastAsia="宋体" w:hint="default"/>
        </w:rPr>
      </w:pPr>
      <w:r>
        <w:rPr>
          <w:rFonts w:ascii="宋体"/>
        </w:rPr>
        <w:t> </w:t>
      </w:r>
    </w:p>
    <w:p>
      <w:pPr>
        <w:pStyle w:val="BodyText"/>
        <w:spacing w:line="271" w:lineRule="exact" w:before="2"/>
        <w:ind w:left="216" w:right="0"/>
        <w:jc w:val="left"/>
        <w:rPr>
          <w:rFonts w:ascii="宋体" w:hAnsi="宋体" w:cs="宋体" w:eastAsia="宋体" w:hint="default"/>
        </w:rPr>
      </w:pPr>
      <w:r>
        <w:rPr/>
        <w:t>短期应付债券的增减变动：</w:t>
      </w:r>
      <w:r>
        <w:rPr>
          <w:rFonts w:ascii="宋体" w:hAnsi="宋体" w:cs="宋体" w:eastAsia="宋体" w:hint="default"/>
        </w:rPr>
        <w:t> </w:t>
      </w:r>
    </w:p>
    <w:p>
      <w:pPr>
        <w:pStyle w:val="Heading3"/>
        <w:spacing w:line="310"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61"/>
        <w:ind w:left="216" w:right="0"/>
        <w:jc w:val="left"/>
        <w:rPr>
          <w:rFonts w:ascii="宋体" w:hAnsi="宋体" w:cs="宋体" w:eastAsia="宋体" w:hint="default"/>
        </w:rPr>
      </w:pPr>
      <w:r>
        <w:rPr/>
        <w:t>其他说明：</w:t>
      </w:r>
      <w:r>
        <w:rPr>
          <w:rFonts w:ascii="宋体" w:hAnsi="宋体" w:cs="宋体" w:eastAsia="宋体" w:hint="default"/>
        </w:rPr>
        <w:t> </w:t>
      </w:r>
    </w:p>
    <w:p>
      <w:pPr>
        <w:pStyle w:val="Heading3"/>
        <w:spacing w:line="240" w:lineRule="auto"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240" w:lineRule="auto" w:before="58"/>
        <w:ind w:right="0"/>
        <w:jc w:val="left"/>
        <w:rPr>
          <w:rFonts w:ascii="宋体" w:hAnsi="宋体" w:cs="宋体" w:eastAsia="宋体" w:hint="default"/>
        </w:rPr>
      </w:pPr>
      <w:r>
        <w:rPr>
          <w:rFonts w:ascii="宋体"/>
        </w:rPr>
        <w:t> </w:t>
      </w:r>
    </w:p>
    <w:p>
      <w:pPr>
        <w:pStyle w:val="Heading5"/>
        <w:spacing w:line="290" w:lineRule="auto" w:before="61"/>
        <w:ind w:right="0"/>
        <w:jc w:val="left"/>
        <w:rPr>
          <w:rFonts w:ascii="宋体" w:hAnsi="宋体" w:cs="宋体" w:eastAsia="宋体" w:hint="default"/>
          <w:b w:val="0"/>
          <w:bCs w:val="0"/>
        </w:rPr>
      </w:pPr>
      <w:r>
        <w:rPr>
          <w:rFonts w:ascii="宋体" w:hAnsi="宋体" w:cs="宋体" w:eastAsia="宋体" w:hint="default"/>
        </w:rPr>
        <w:t>43</w:t>
      </w:r>
      <w:r>
        <w:rPr/>
        <w:t>、 长期借款</w:t>
      </w:r>
      <w:r>
        <w:rPr>
          <w:spacing w:val="-28"/>
        </w:rPr>
        <w:t> </w:t>
      </w:r>
      <w:r>
        <w:rPr>
          <w:rFonts w:ascii="宋体" w:hAnsi="宋体" w:cs="宋体" w:eastAsia="宋体" w:hint="default"/>
          <w:spacing w:val="-28"/>
        </w:rPr>
      </w:r>
      <w:r>
        <w:rPr>
          <w:rFonts w:ascii="宋体" w:hAnsi="宋体" w:cs="宋体" w:eastAsia="宋体" w:hint="default"/>
        </w:rPr>
        <w:t>(1).</w:t>
      </w:r>
      <w:r>
        <w:rPr>
          <w:rFonts w:ascii="宋体" w:hAnsi="宋体" w:cs="宋体" w:eastAsia="宋体" w:hint="default"/>
          <w:w w:val="99"/>
        </w:rPr>
        <w:t> </w:t>
      </w:r>
      <w:r>
        <w:rPr/>
        <w:t>长期借款分类</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211"/>
        <w:ind w:left="216"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1060" w:right="1560"/>
          <w:cols w:num="2" w:equalWidth="0">
            <w:col w:w="2846" w:space="3676"/>
            <w:col w:w="2768"/>
          </w:cols>
        </w:sectPr>
      </w:pPr>
    </w:p>
    <w:p>
      <w:pPr>
        <w:spacing w:line="240" w:lineRule="auto" w:before="0"/>
        <w:rPr>
          <w:rFonts w:ascii="宋体" w:hAnsi="宋体" w:cs="宋体" w:eastAsia="宋体" w:hint="default"/>
          <w:sz w:val="24"/>
          <w:szCs w:val="24"/>
        </w:rPr>
      </w:pPr>
    </w:p>
    <w:tbl>
      <w:tblPr>
        <w:tblW w:w="0" w:type="auto"/>
        <w:jc w:val="left"/>
        <w:tblInd w:w="200" w:type="dxa"/>
        <w:tblLayout w:type="fixed"/>
        <w:tblCellMar>
          <w:top w:w="0" w:type="dxa"/>
          <w:left w:w="0" w:type="dxa"/>
          <w:bottom w:w="0" w:type="dxa"/>
          <w:right w:w="0" w:type="dxa"/>
        </w:tblCellMar>
        <w:tblLook w:val="01E0"/>
      </w:tblPr>
      <w:tblGrid>
        <w:gridCol w:w="3001"/>
        <w:gridCol w:w="2998"/>
        <w:gridCol w:w="2897"/>
      </w:tblGrid>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166,050,000.00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235,240,000.00</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300,000,000.00</w:t>
            </w: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108,000,000.00</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国债贷款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441,816</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应付利息</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222,916.44</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900,596.16</w:t>
            </w: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166,272,916.44</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644,582,412.16</w:t>
            </w:r>
          </w:p>
        </w:tc>
      </w:tr>
    </w:tbl>
    <w:p>
      <w:pPr>
        <w:spacing w:line="240" w:lineRule="auto" w:before="10"/>
        <w:rPr>
          <w:rFonts w:ascii="宋体" w:hAnsi="宋体" w:cs="宋体" w:eastAsia="宋体" w:hint="default"/>
          <w:sz w:val="17"/>
          <w:szCs w:val="17"/>
        </w:rPr>
      </w:pPr>
    </w:p>
    <w:p>
      <w:pPr>
        <w:pStyle w:val="BodyText"/>
        <w:spacing w:line="283" w:lineRule="auto" w:before="36"/>
        <w:ind w:left="236" w:right="4440"/>
        <w:jc w:val="left"/>
        <w:rPr>
          <w:rFonts w:ascii="宋体" w:hAnsi="宋体" w:cs="宋体" w:eastAsia="宋体" w:hint="default"/>
          <w:sz w:val="24"/>
          <w:szCs w:val="24"/>
        </w:rPr>
      </w:pPr>
      <w:r>
        <w:rPr/>
        <w:t>长期借款分类的说明：</w:t>
      </w:r>
      <w:r>
        <w:rPr>
          <w:rFonts w:ascii="宋体" w:hAnsi="宋体" w:cs="宋体" w:eastAsia="宋体" w:hint="default"/>
          <w:w w:val="100"/>
        </w:rPr>
        <w:t> </w:t>
      </w:r>
      <w:r>
        <w:rPr/>
        <w:t>其他说明，包括利率区间</w:t>
      </w:r>
      <w:r>
        <w:rPr>
          <w:sz w:val="24"/>
          <w:szCs w:val="24"/>
        </w:rPr>
        <w:t>：</w:t>
      </w:r>
      <w:r>
        <w:rPr>
          <w:rFonts w:ascii="宋体" w:hAnsi="宋体" w:cs="宋体" w:eastAsia="宋体" w:hint="default"/>
          <w:sz w:val="24"/>
          <w:szCs w:val="24"/>
        </w:rPr>
        <w:t> </w:t>
      </w:r>
    </w:p>
    <w:p>
      <w:pPr>
        <w:pStyle w:val="Heading3"/>
        <w:spacing w:line="269" w:lineRule="exact"/>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36" w:type="dxa"/>
        <w:tblLayout w:type="fixed"/>
        <w:tblCellMar>
          <w:top w:w="0" w:type="dxa"/>
          <w:left w:w="0" w:type="dxa"/>
          <w:bottom w:w="0" w:type="dxa"/>
          <w:right w:w="0" w:type="dxa"/>
        </w:tblCellMar>
        <w:tblLook w:val="01E0"/>
      </w:tblPr>
      <w:tblGrid>
        <w:gridCol w:w="5317"/>
        <w:gridCol w:w="3675"/>
      </w:tblGrid>
      <w:tr>
        <w:trPr>
          <w:trHeight w:val="361" w:hRule="exact"/>
        </w:trPr>
        <w:tc>
          <w:tcPr>
            <w:tcW w:w="5317" w:type="dxa"/>
            <w:tcBorders>
              <w:top w:val="single" w:sz="12" w:space="0" w:color="000000"/>
              <w:left w:val="nil" w:sz="6" w:space="0" w:color="auto"/>
              <w:bottom w:val="single" w:sz="4" w:space="0" w:color="000000"/>
              <w:right w:val="single" w:sz="4" w:space="0" w:color="000000"/>
            </w:tcBorders>
          </w:tcPr>
          <w:p>
            <w:pPr>
              <w:pStyle w:val="TableParagraph"/>
              <w:spacing w:line="274" w:lineRule="exact"/>
              <w:ind w:left="122" w:right="0"/>
              <w:jc w:val="center"/>
              <w:rPr>
                <w:rFonts w:ascii="宋体" w:hAnsi="宋体" w:cs="宋体" w:eastAsia="宋体" w:hint="default"/>
                <w:sz w:val="21"/>
                <w:szCs w:val="21"/>
              </w:rPr>
            </w:pPr>
            <w:r>
              <w:rPr>
                <w:rFonts w:ascii="宋体" w:hAnsi="宋体" w:cs="宋体" w:eastAsia="宋体" w:hint="default"/>
                <w:sz w:val="21"/>
                <w:szCs w:val="21"/>
              </w:rPr>
              <w:t>借款条件</w:t>
            </w:r>
            <w:r>
              <w:rPr>
                <w:rFonts w:ascii="宋体" w:hAnsi="宋体" w:cs="宋体" w:eastAsia="宋体" w:hint="default"/>
                <w:sz w:val="21"/>
                <w:szCs w:val="21"/>
              </w:rPr>
              <w:t> </w:t>
            </w:r>
          </w:p>
        </w:tc>
        <w:tc>
          <w:tcPr>
            <w:tcW w:w="3675" w:type="dxa"/>
            <w:tcBorders>
              <w:top w:val="single" w:sz="12" w:space="0" w:color="000000"/>
              <w:left w:val="single" w:sz="4" w:space="0" w:color="000000"/>
              <w:bottom w:val="single" w:sz="4" w:space="0" w:color="000000"/>
              <w:right w:val="nil" w:sz="6" w:space="0" w:color="auto"/>
            </w:tcBorders>
          </w:tcPr>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利率区间</w:t>
            </w:r>
            <w:r>
              <w:rPr>
                <w:rFonts w:ascii="宋体" w:hAnsi="宋体" w:cs="宋体" w:eastAsia="宋体" w:hint="default"/>
                <w:sz w:val="21"/>
                <w:szCs w:val="21"/>
              </w:rPr>
              <w:t> </w:t>
            </w:r>
          </w:p>
        </w:tc>
      </w:tr>
      <w:tr>
        <w:trPr>
          <w:trHeight w:val="350" w:hRule="exact"/>
        </w:trPr>
        <w:tc>
          <w:tcPr>
            <w:tcW w:w="5317"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质押借款</w:t>
            </w:r>
            <w:r>
              <w:rPr>
                <w:rFonts w:ascii="宋体" w:hAnsi="宋体" w:cs="宋体" w:eastAsia="宋体" w:hint="default"/>
                <w:sz w:val="21"/>
                <w:szCs w:val="21"/>
              </w:rPr>
              <w:t> </w:t>
            </w:r>
          </w:p>
        </w:tc>
        <w:tc>
          <w:tcPr>
            <w:tcW w:w="3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sz w:val="20"/>
              </w:rPr>
              <w:t>4.90%</w:t>
            </w:r>
          </w:p>
        </w:tc>
      </w:tr>
      <w:tr>
        <w:trPr>
          <w:trHeight w:val="350" w:hRule="exact"/>
        </w:trPr>
        <w:tc>
          <w:tcPr>
            <w:tcW w:w="5317"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信用借款</w:t>
            </w:r>
            <w:r>
              <w:rPr>
                <w:rFonts w:ascii="宋体" w:hAnsi="宋体" w:cs="宋体" w:eastAsia="宋体" w:hint="default"/>
                <w:sz w:val="21"/>
                <w:szCs w:val="21"/>
              </w:rPr>
              <w:t> </w:t>
            </w:r>
          </w:p>
        </w:tc>
        <w:tc>
          <w:tcPr>
            <w:tcW w:w="3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sz w:val="20"/>
              </w:rPr>
              <w:t>5.25%</w:t>
            </w:r>
          </w:p>
        </w:tc>
      </w:tr>
      <w:tr>
        <w:trPr>
          <w:trHeight w:val="360" w:hRule="exact"/>
        </w:trPr>
        <w:tc>
          <w:tcPr>
            <w:tcW w:w="5317" w:type="dxa"/>
            <w:tcBorders>
              <w:top w:val="single" w:sz="4" w:space="0" w:color="000000"/>
              <w:left w:val="nil" w:sz="6" w:space="0" w:color="auto"/>
              <w:bottom w:val="single" w:sz="12"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保证借款</w:t>
            </w:r>
            <w:r>
              <w:rPr>
                <w:rFonts w:ascii="宋体" w:hAnsi="宋体" w:cs="宋体" w:eastAsia="宋体" w:hint="default"/>
                <w:sz w:val="21"/>
                <w:szCs w:val="21"/>
              </w:rPr>
              <w:t> </w:t>
            </w:r>
          </w:p>
        </w:tc>
        <w:tc>
          <w:tcPr>
            <w:tcW w:w="367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sz w:val="20"/>
              </w:rPr>
              <w:t>5.225%</w:t>
            </w:r>
          </w:p>
        </w:tc>
      </w:tr>
    </w:tbl>
    <w:p>
      <w:pPr>
        <w:spacing w:after="0" w:line="240" w:lineRule="auto"/>
        <w:jc w:val="center"/>
        <w:rPr>
          <w:rFonts w:ascii="Times New Roman" w:hAnsi="Times New Roman" w:cs="Times New Roman" w:eastAsia="Times New Roman" w:hint="default"/>
          <w:sz w:val="20"/>
          <w:szCs w:val="20"/>
        </w:rPr>
        <w:sectPr>
          <w:pgSz w:w="11910" w:h="16840"/>
          <w:pgMar w:header="882" w:footer="1195" w:top="1120" w:bottom="1380" w:left="1040" w:right="1560"/>
        </w:sectPr>
      </w:pPr>
    </w:p>
    <w:p>
      <w:pPr>
        <w:pStyle w:val="Heading3"/>
        <w:spacing w:line="273" w:lineRule="exact"/>
        <w:ind w:left="236" w:right="0"/>
        <w:jc w:val="left"/>
        <w:rPr>
          <w:rFonts w:ascii="宋体" w:hAnsi="宋体" w:cs="宋体" w:eastAsia="宋体" w:hint="default"/>
        </w:rPr>
      </w:pPr>
      <w:r>
        <w:rPr>
          <w:rFonts w:ascii="宋体"/>
        </w:rPr>
        <w:t> </w:t>
      </w:r>
    </w:p>
    <w:p>
      <w:pPr>
        <w:pStyle w:val="Heading3"/>
        <w:spacing w:line="313" w:lineRule="exact"/>
        <w:ind w:left="236" w:right="0"/>
        <w:jc w:val="left"/>
        <w:rPr>
          <w:rFonts w:ascii="宋体" w:hAnsi="宋体" w:cs="宋体" w:eastAsia="宋体" w:hint="default"/>
        </w:rPr>
      </w:pPr>
      <w:r>
        <w:rPr>
          <w:rFonts w:ascii="宋体"/>
        </w:rPr>
        <w:t> </w:t>
      </w:r>
    </w:p>
    <w:p>
      <w:pPr>
        <w:pStyle w:val="Heading5"/>
        <w:spacing w:line="290" w:lineRule="auto" w:before="61"/>
        <w:ind w:left="236" w:right="0"/>
        <w:jc w:val="left"/>
        <w:rPr>
          <w:rFonts w:ascii="宋体" w:hAnsi="宋体" w:cs="宋体" w:eastAsia="宋体" w:hint="default"/>
          <w:b w:val="0"/>
          <w:bCs w:val="0"/>
        </w:rPr>
      </w:pPr>
      <w:r>
        <w:rPr>
          <w:rFonts w:ascii="宋体" w:hAnsi="宋体" w:cs="宋体" w:eastAsia="宋体" w:hint="default"/>
        </w:rPr>
        <w:t>44</w:t>
      </w:r>
      <w:r>
        <w:rPr/>
        <w:t>、</w:t>
      </w:r>
      <w:r>
        <w:rPr>
          <w:spacing w:val="-26"/>
        </w:rPr>
        <w:t> </w:t>
      </w:r>
      <w:r>
        <w:rPr/>
        <w:t>应付债券</w:t>
      </w:r>
      <w:r>
        <w:rPr>
          <w:rFonts w:ascii="宋体" w:hAnsi="宋体" w:cs="宋体" w:eastAsia="宋体" w:hint="default"/>
          <w:w w:val="99"/>
        </w:rPr>
        <w:t> </w:t>
      </w:r>
      <w:r>
        <w:rPr>
          <w:rFonts w:ascii="宋体" w:hAnsi="宋体" w:cs="宋体" w:eastAsia="宋体" w:hint="default"/>
        </w:rPr>
        <w:t>(1).</w:t>
      </w:r>
      <w:r>
        <w:rPr/>
        <w:t>应付债券</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8"/>
          <w:szCs w:val="28"/>
        </w:rPr>
      </w:pPr>
    </w:p>
    <w:p>
      <w:pPr>
        <w:pStyle w:val="BodyText"/>
        <w:spacing w:line="240" w:lineRule="auto"/>
        <w:ind w:left="236"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1040" w:right="1560"/>
          <w:cols w:num="2" w:equalWidth="0">
            <w:col w:w="2278" w:space="4244"/>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056"/>
        <w:gridCol w:w="3077"/>
        <w:gridCol w:w="2929"/>
      </w:tblGrid>
      <w:tr>
        <w:trPr>
          <w:trHeight w:val="283"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05"/>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6"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4"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一期公司债</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49,921,763.51</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495,687,404.96</w:t>
            </w:r>
          </w:p>
        </w:tc>
      </w:tr>
      <w:tr>
        <w:trPr>
          <w:trHeight w:val="281"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二期公司债</w:t>
            </w:r>
          </w:p>
        </w:tc>
        <w:tc>
          <w:tcPr>
            <w:tcW w:w="3077" w:type="dxa"/>
            <w:tcBorders>
              <w:top w:val="single" w:sz="4" w:space="0" w:color="000000"/>
              <w:left w:val="single" w:sz="4" w:space="0" w:color="000000"/>
              <w:bottom w:val="single" w:sz="4" w:space="0" w:color="000000"/>
              <w:right w:val="single" w:sz="4" w:space="0" w:color="000000"/>
            </w:tcBorders>
          </w:tcPr>
          <w:p>
            <w:pP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496,771,638.93</w:t>
            </w:r>
          </w:p>
        </w:tc>
      </w:tr>
      <w:tr>
        <w:trPr>
          <w:trHeight w:val="283"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中期票据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29,794,298.19</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6"/>
              <w:jc w:val="right"/>
              <w:rPr>
                <w:rFonts w:ascii="Times New Roman" w:hAnsi="Times New Roman" w:cs="Times New Roman" w:eastAsia="Times New Roman" w:hint="default"/>
                <w:sz w:val="21"/>
                <w:szCs w:val="21"/>
              </w:rPr>
            </w:pPr>
            <w:r>
              <w:rPr>
                <w:rFonts w:ascii="Times New Roman"/>
                <w:spacing w:val="-1"/>
                <w:sz w:val="21"/>
              </w:rPr>
              <w:t>288,728,154.75</w:t>
            </w:r>
          </w:p>
        </w:tc>
      </w:tr>
      <w:tr>
        <w:trPr>
          <w:trHeight w:val="283"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2,151,387.7</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27,384,109.61</w:t>
            </w:r>
          </w:p>
        </w:tc>
      </w:tr>
      <w:tr>
        <w:trPr>
          <w:trHeight w:val="281"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5"/>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81,867,449.4</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6"/>
              <w:jc w:val="right"/>
              <w:rPr>
                <w:rFonts w:ascii="Times New Roman" w:hAnsi="Times New Roman" w:cs="Times New Roman" w:eastAsia="Times New Roman" w:hint="default"/>
                <w:sz w:val="21"/>
                <w:szCs w:val="21"/>
              </w:rPr>
            </w:pPr>
            <w:r>
              <w:rPr>
                <w:rFonts w:ascii="Times New Roman"/>
                <w:spacing w:val="-1"/>
                <w:sz w:val="21"/>
              </w:rPr>
              <w:t>1,308,571,308.25</w:t>
            </w:r>
          </w:p>
        </w:tc>
      </w:tr>
    </w:tbl>
    <w:p>
      <w:pPr>
        <w:pStyle w:val="Heading3"/>
        <w:spacing w:line="274" w:lineRule="exact"/>
        <w:ind w:left="236" w:right="0"/>
        <w:jc w:val="left"/>
        <w:rPr>
          <w:rFonts w:ascii="宋体" w:hAnsi="宋体" w:cs="宋体" w:eastAsia="宋体" w:hint="default"/>
        </w:rPr>
      </w:pPr>
      <w:r>
        <w:rPr>
          <w:rFonts w:ascii="宋体"/>
        </w:rPr>
        <w:t> </w:t>
      </w:r>
    </w:p>
    <w:p>
      <w:pPr>
        <w:pStyle w:val="Heading5"/>
        <w:spacing w:line="240" w:lineRule="auto"/>
        <w:ind w:left="236" w:right="0"/>
        <w:jc w:val="left"/>
        <w:rPr>
          <w:rFonts w:ascii="宋体" w:hAnsi="宋体" w:cs="宋体" w:eastAsia="宋体" w:hint="default"/>
          <w:b w:val="0"/>
          <w:bCs w:val="0"/>
        </w:rPr>
      </w:pPr>
      <w:r>
        <w:rPr>
          <w:rFonts w:ascii="宋体" w:hAnsi="宋体" w:cs="宋体" w:eastAsia="宋体" w:hint="default"/>
          <w:w w:val="99"/>
        </w:rPr>
        <w:t>(2)</w:t>
      </w:r>
      <w:r>
        <w:rPr>
          <w:rFonts w:ascii="宋体" w:hAnsi="宋体" w:cs="宋体" w:eastAsia="宋体" w:hint="default"/>
          <w:spacing w:val="5"/>
          <w:w w:val="99"/>
        </w:rPr>
        <w:t>.</w:t>
      </w:r>
      <w:r>
        <w:rPr>
          <w:w w:val="100"/>
        </w:rPr>
        <w:t>应付债券的增减变</w:t>
      </w:r>
      <w:r>
        <w:rPr>
          <w:spacing w:val="-1"/>
          <w:w w:val="100"/>
        </w:rPr>
        <w:t>动</w:t>
      </w:r>
      <w:r>
        <w:rPr>
          <w:spacing w:val="-108"/>
          <w:w w:val="100"/>
        </w:rPr>
        <w:t>：</w:t>
      </w:r>
      <w:r>
        <w:rPr>
          <w:w w:val="100"/>
        </w:rPr>
        <w:t>（</w:t>
      </w:r>
      <w:r>
        <w:rPr>
          <w:spacing w:val="-3"/>
          <w:w w:val="100"/>
        </w:rPr>
        <w:t>不</w:t>
      </w:r>
      <w:r>
        <w:rPr>
          <w:w w:val="100"/>
        </w:rPr>
        <w:t>包括划分为金融负</w:t>
      </w:r>
      <w:r>
        <w:rPr>
          <w:spacing w:val="-3"/>
          <w:w w:val="100"/>
        </w:rPr>
        <w:t>债</w:t>
      </w:r>
      <w:r>
        <w:rPr>
          <w:w w:val="100"/>
        </w:rPr>
        <w:t>的</w:t>
      </w:r>
      <w:r>
        <w:rPr>
          <w:spacing w:val="-3"/>
          <w:w w:val="100"/>
        </w:rPr>
        <w:t>优</w:t>
      </w:r>
      <w:r>
        <w:rPr>
          <w:w w:val="100"/>
        </w:rPr>
        <w:t>先股、永续债等其</w:t>
      </w:r>
      <w:r>
        <w:rPr>
          <w:spacing w:val="-3"/>
          <w:w w:val="100"/>
        </w:rPr>
        <w:t>他</w:t>
      </w:r>
      <w:r>
        <w:rPr>
          <w:w w:val="100"/>
        </w:rPr>
        <w:t>金</w:t>
      </w:r>
      <w:r>
        <w:rPr>
          <w:spacing w:val="-3"/>
          <w:w w:val="100"/>
        </w:rPr>
        <w:t>融</w:t>
      </w:r>
      <w:r>
        <w:rPr>
          <w:w w:val="100"/>
        </w:rPr>
        <w:t>工具</w:t>
      </w:r>
      <w:r>
        <w:rPr>
          <w:spacing w:val="1"/>
          <w:w w:val="100"/>
        </w:rPr>
        <w:t>）</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sectPr>
      </w:pPr>
    </w:p>
    <w:p>
      <w:pPr>
        <w:pStyle w:val="BodyText"/>
        <w:spacing w:line="240" w:lineRule="auto" w:before="117"/>
        <w:ind w:left="0" w:right="772"/>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584"/>
        <w:gridCol w:w="866"/>
        <w:gridCol w:w="1296"/>
        <w:gridCol w:w="1299"/>
        <w:gridCol w:w="1440"/>
        <w:gridCol w:w="1731"/>
        <w:gridCol w:w="1010"/>
        <w:gridCol w:w="1733"/>
        <w:gridCol w:w="1441"/>
        <w:gridCol w:w="1586"/>
        <w:gridCol w:w="1414"/>
      </w:tblGrid>
      <w:tr>
        <w:trPr>
          <w:trHeight w:val="600"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7"/>
              <w:ind w:left="578" w:right="468"/>
              <w:jc w:val="left"/>
              <w:rPr>
                <w:rFonts w:ascii="宋体" w:hAnsi="宋体" w:cs="宋体" w:eastAsia="宋体" w:hint="default"/>
                <w:sz w:val="21"/>
                <w:szCs w:val="21"/>
              </w:rPr>
            </w:pPr>
            <w:r>
              <w:rPr>
                <w:rFonts w:ascii="宋体" w:hAnsi="宋体" w:cs="宋体" w:eastAsia="宋体" w:hint="default"/>
                <w:sz w:val="21"/>
                <w:szCs w:val="21"/>
              </w:rPr>
              <w:t>债券</w:t>
            </w:r>
            <w:r>
              <w:rPr>
                <w:rFonts w:ascii="宋体" w:hAnsi="宋体" w:cs="宋体" w:eastAsia="宋体" w:hint="default"/>
                <w:w w:val="100"/>
                <w:sz w:val="21"/>
                <w:szCs w:val="21"/>
              </w:rPr>
              <w:t> </w:t>
            </w:r>
            <w:r>
              <w:rPr>
                <w:rFonts w:ascii="宋体" w:hAnsi="宋体" w:cs="宋体" w:eastAsia="宋体" w:hint="default"/>
                <w:sz w:val="21"/>
                <w:szCs w:val="21"/>
              </w:rPr>
              <w:t>名称</w:t>
            </w:r>
            <w:r>
              <w:rPr>
                <w:rFonts w:ascii="宋体" w:hAnsi="宋体" w:cs="宋体" w:eastAsia="宋体" w:hint="default"/>
                <w:sz w:val="21"/>
                <w:szCs w:val="21"/>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10"/>
              <w:jc w:val="right"/>
              <w:rPr>
                <w:rFonts w:ascii="宋体" w:hAnsi="宋体" w:cs="宋体" w:eastAsia="宋体" w:hint="default"/>
                <w:sz w:val="21"/>
                <w:szCs w:val="21"/>
              </w:rPr>
            </w:pPr>
            <w:r>
              <w:rPr>
                <w:rFonts w:ascii="宋体" w:hAnsi="宋体" w:cs="宋体" w:eastAsia="宋体" w:hint="default"/>
                <w:spacing w:val="-2"/>
                <w:sz w:val="21"/>
                <w:szCs w:val="21"/>
              </w:rPr>
              <w:t>面值</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7"/>
              <w:ind w:left="431" w:right="326"/>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7"/>
              <w:ind w:left="434" w:right="326"/>
              <w:jc w:val="left"/>
              <w:rPr>
                <w:rFonts w:ascii="宋体" w:hAnsi="宋体" w:cs="宋体" w:eastAsia="宋体" w:hint="default"/>
                <w:sz w:val="21"/>
                <w:szCs w:val="21"/>
              </w:rPr>
            </w:pPr>
            <w:r>
              <w:rPr>
                <w:rFonts w:ascii="宋体" w:hAnsi="宋体" w:cs="宋体" w:eastAsia="宋体" w:hint="default"/>
                <w:sz w:val="21"/>
                <w:szCs w:val="21"/>
              </w:rPr>
              <w:t>债券</w:t>
            </w:r>
            <w:r>
              <w:rPr>
                <w:rFonts w:ascii="宋体" w:hAnsi="宋体" w:cs="宋体" w:eastAsia="宋体" w:hint="default"/>
                <w:w w:val="100"/>
                <w:sz w:val="21"/>
                <w:szCs w:val="21"/>
              </w:rPr>
              <w:t> </w:t>
            </w:r>
            <w:r>
              <w:rPr>
                <w:rFonts w:ascii="宋体" w:hAnsi="宋体" w:cs="宋体" w:eastAsia="宋体" w:hint="default"/>
                <w:sz w:val="21"/>
                <w:szCs w:val="21"/>
              </w:rPr>
              <w:t>期限</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7"/>
              <w:ind w:left="504" w:right="398"/>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7"/>
              <w:ind w:left="652" w:right="540"/>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7"/>
              <w:ind w:left="292" w:right="180"/>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发行</w:t>
            </w:r>
            <w:r>
              <w:rPr>
                <w:rFonts w:ascii="宋体" w:hAnsi="宋体" w:cs="宋体" w:eastAsia="宋体" w:hint="default"/>
                <w:sz w:val="21"/>
                <w:szCs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7"/>
              <w:jc w:val="right"/>
              <w:rPr>
                <w:rFonts w:ascii="宋体" w:hAnsi="宋体" w:cs="宋体" w:eastAsia="宋体" w:hint="default"/>
                <w:sz w:val="21"/>
                <w:szCs w:val="21"/>
              </w:rPr>
            </w:pPr>
            <w:r>
              <w:rPr>
                <w:rFonts w:ascii="宋体" w:hAnsi="宋体" w:cs="宋体" w:eastAsia="宋体" w:hint="default"/>
                <w:spacing w:val="-2"/>
                <w:sz w:val="21"/>
                <w:szCs w:val="21"/>
              </w:rPr>
              <w:t>按面值计提利息</w:t>
            </w:r>
            <w:r>
              <w:rPr>
                <w:rFonts w:ascii="宋体" w:hAnsi="宋体" w:cs="宋体" w:eastAsia="宋体" w:hint="default"/>
                <w:sz w:val="21"/>
                <w:szCs w:val="21"/>
              </w:rPr>
              <w:t> </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5" w:right="0"/>
              <w:jc w:val="center"/>
              <w:rPr>
                <w:rFonts w:ascii="宋体" w:hAnsi="宋体" w:cs="宋体" w:eastAsia="宋体" w:hint="default"/>
                <w:sz w:val="21"/>
                <w:szCs w:val="21"/>
              </w:rPr>
            </w:pPr>
            <w:r>
              <w:rPr>
                <w:rFonts w:ascii="宋体" w:hAnsi="宋体" w:cs="宋体" w:eastAsia="宋体" w:hint="default"/>
                <w:sz w:val="21"/>
                <w:szCs w:val="21"/>
              </w:rPr>
              <w:t>溢折价摊销</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7"/>
              <w:ind w:left="578" w:right="470"/>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偿还</w:t>
            </w:r>
            <w:r>
              <w:rPr>
                <w:rFonts w:ascii="宋体" w:hAnsi="宋体" w:cs="宋体" w:eastAsia="宋体" w:hint="default"/>
                <w:sz w:val="21"/>
                <w:szCs w:val="21"/>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7"/>
              <w:ind w:left="491" w:right="384"/>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494"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一期公司债</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3"/>
              <w:jc w:val="right"/>
              <w:rPr>
                <w:rFonts w:ascii="Times New Roman" w:hAnsi="Times New Roman" w:cs="Times New Roman" w:eastAsia="Times New Roman" w:hint="default"/>
                <w:sz w:val="21"/>
                <w:szCs w:val="21"/>
              </w:rPr>
            </w:pPr>
            <w:r>
              <w:rPr>
                <w:rFonts w:ascii="Times New Roman"/>
                <w:sz w:val="21"/>
              </w:rPr>
              <w:t>100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8"/>
              <w:jc w:val="right"/>
              <w:rPr>
                <w:rFonts w:ascii="Times New Roman" w:hAnsi="Times New Roman" w:cs="Times New Roman" w:eastAsia="Times New Roman" w:hint="default"/>
                <w:sz w:val="21"/>
                <w:szCs w:val="21"/>
              </w:rPr>
            </w:pPr>
            <w:r>
              <w:rPr>
                <w:rFonts w:ascii="Times New Roman"/>
                <w:spacing w:val="-1"/>
                <w:sz w:val="21"/>
              </w:rPr>
              <w:t>2016-3-23</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3"/>
              <w:jc w:val="right"/>
              <w:rPr>
                <w:rFonts w:ascii="Times New Roman" w:hAnsi="Times New Roman" w:cs="Times New Roman" w:eastAsia="Times New Roman" w:hint="default"/>
                <w:sz w:val="21"/>
                <w:szCs w:val="21"/>
              </w:rPr>
            </w:pPr>
            <w:r>
              <w:rPr>
                <w:rFonts w:ascii="Times New Roman"/>
                <w:spacing w:val="-1"/>
                <w:sz w:val="21"/>
              </w:rPr>
              <w:t>500,000,000</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495,687,404.96</w:t>
            </w:r>
          </w:p>
        </w:tc>
        <w:tc>
          <w:tcPr>
            <w:tcW w:w="1010"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3"/>
              <w:jc w:val="right"/>
              <w:rPr>
                <w:rFonts w:ascii="Times New Roman" w:hAnsi="Times New Roman" w:cs="Times New Roman" w:eastAsia="Times New Roman" w:hint="default"/>
                <w:sz w:val="21"/>
                <w:szCs w:val="21"/>
              </w:rPr>
            </w:pPr>
            <w:r>
              <w:rPr>
                <w:rFonts w:ascii="Times New Roman"/>
                <w:spacing w:val="-1"/>
                <w:sz w:val="21"/>
              </w:rPr>
              <w:t>7,049,026.88</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14" w:right="0"/>
              <w:jc w:val="center"/>
              <w:rPr>
                <w:rFonts w:ascii="Times New Roman" w:hAnsi="Times New Roman" w:cs="Times New Roman" w:eastAsia="Times New Roman" w:hint="default"/>
                <w:sz w:val="21"/>
                <w:szCs w:val="21"/>
              </w:rPr>
            </w:pPr>
            <w:r>
              <w:rPr>
                <w:rFonts w:ascii="Times New Roman"/>
                <w:sz w:val="21"/>
              </w:rPr>
              <w:t>3,735,358.55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3"/>
              <w:jc w:val="right"/>
              <w:rPr>
                <w:rFonts w:ascii="Times New Roman" w:hAnsi="Times New Roman" w:cs="Times New Roman" w:eastAsia="Times New Roman" w:hint="default"/>
                <w:sz w:val="21"/>
                <w:szCs w:val="21"/>
              </w:rPr>
            </w:pPr>
            <w:r>
              <w:rPr>
                <w:rFonts w:ascii="Times New Roman"/>
                <w:spacing w:val="-1"/>
                <w:sz w:val="21"/>
              </w:rPr>
              <w:t>449,501,000.00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49,921,763.5</w:t>
            </w:r>
          </w:p>
          <w:p>
            <w:pPr>
              <w:pStyle w:val="TableParagraph"/>
              <w:spacing w:line="240" w:lineRule="auto" w:before="1"/>
              <w:ind w:right="107"/>
              <w:jc w:val="right"/>
              <w:rPr>
                <w:rFonts w:ascii="Times New Roman" w:hAnsi="Times New Roman" w:cs="Times New Roman" w:eastAsia="Times New Roman" w:hint="default"/>
                <w:sz w:val="21"/>
                <w:szCs w:val="21"/>
              </w:rPr>
            </w:pPr>
            <w:r>
              <w:rPr>
                <w:rFonts w:ascii="Times New Roman"/>
                <w:w w:val="100"/>
                <w:sz w:val="21"/>
              </w:rPr>
              <w:t>1</w:t>
            </w:r>
          </w:p>
        </w:tc>
      </w:tr>
      <w:tr>
        <w:trPr>
          <w:trHeight w:val="281"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二期公司债</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z w:val="21"/>
              </w:rPr>
              <w:t>100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1"/>
                <w:szCs w:val="21"/>
              </w:rPr>
            </w:pPr>
            <w:r>
              <w:rPr>
                <w:rFonts w:ascii="Times New Roman"/>
                <w:spacing w:val="-1"/>
                <w:sz w:val="21"/>
              </w:rPr>
              <w:t>2016-8-2</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500,000,000</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496,771,638.93</w:t>
            </w:r>
          </w:p>
        </w:tc>
        <w:tc>
          <w:tcPr>
            <w:tcW w:w="1010"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07" w:right="0"/>
              <w:jc w:val="left"/>
              <w:rPr>
                <w:rFonts w:ascii="Times New Roman" w:hAnsi="Times New Roman" w:cs="Times New Roman" w:eastAsia="Times New Roman" w:hint="default"/>
                <w:sz w:val="21"/>
                <w:szCs w:val="21"/>
              </w:rPr>
            </w:pPr>
            <w:r>
              <w:rPr>
                <w:rFonts w:ascii="Times New Roman"/>
                <w:sz w:val="21"/>
              </w:rPr>
              <w:t>12,220,833.33</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4" w:right="0"/>
              <w:jc w:val="center"/>
              <w:rPr>
                <w:rFonts w:ascii="Times New Roman" w:hAnsi="Times New Roman" w:cs="Times New Roman" w:eastAsia="Times New Roman" w:hint="default"/>
                <w:sz w:val="21"/>
                <w:szCs w:val="21"/>
              </w:rPr>
            </w:pPr>
            <w:r>
              <w:rPr>
                <w:rFonts w:ascii="Times New Roman"/>
                <w:sz w:val="21"/>
              </w:rPr>
              <w:t>3,228,361.07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500,000,000.00</w:t>
            </w: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494"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中期票据</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3"/>
              <w:jc w:val="right"/>
              <w:rPr>
                <w:rFonts w:ascii="Times New Roman" w:hAnsi="Times New Roman" w:cs="Times New Roman" w:eastAsia="Times New Roman" w:hint="default"/>
                <w:sz w:val="21"/>
                <w:szCs w:val="21"/>
              </w:rPr>
            </w:pPr>
            <w:r>
              <w:rPr>
                <w:rFonts w:ascii="Times New Roman"/>
                <w:sz w:val="21"/>
              </w:rPr>
              <w:t>100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7"/>
              <w:jc w:val="right"/>
              <w:rPr>
                <w:rFonts w:ascii="Times New Roman" w:hAnsi="Times New Roman" w:cs="Times New Roman" w:eastAsia="Times New Roman" w:hint="default"/>
                <w:sz w:val="21"/>
                <w:szCs w:val="21"/>
              </w:rPr>
            </w:pPr>
            <w:r>
              <w:rPr>
                <w:rFonts w:ascii="Times New Roman"/>
                <w:spacing w:val="-1"/>
                <w:sz w:val="21"/>
              </w:rPr>
              <w:t>2016-10-19</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3"/>
              <w:jc w:val="right"/>
              <w:rPr>
                <w:rFonts w:ascii="Times New Roman" w:hAnsi="Times New Roman" w:cs="Times New Roman" w:eastAsia="Times New Roman" w:hint="default"/>
                <w:sz w:val="21"/>
                <w:szCs w:val="21"/>
              </w:rPr>
            </w:pPr>
            <w:r>
              <w:rPr>
                <w:rFonts w:ascii="Times New Roman"/>
                <w:spacing w:val="-1"/>
                <w:sz w:val="21"/>
              </w:rPr>
              <w:t>290,000,000</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288,728,154.75</w:t>
            </w:r>
          </w:p>
        </w:tc>
        <w:tc>
          <w:tcPr>
            <w:tcW w:w="1010"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07" w:right="0"/>
              <w:jc w:val="left"/>
              <w:rPr>
                <w:rFonts w:ascii="Times New Roman" w:hAnsi="Times New Roman" w:cs="Times New Roman" w:eastAsia="Times New Roman" w:hint="default"/>
                <w:sz w:val="21"/>
                <w:szCs w:val="21"/>
              </w:rPr>
            </w:pPr>
            <w:r>
              <w:rPr>
                <w:rFonts w:ascii="Times New Roman"/>
                <w:sz w:val="21"/>
              </w:rPr>
              <w:t>10,328,125.00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14" w:right="0"/>
              <w:jc w:val="center"/>
              <w:rPr>
                <w:rFonts w:ascii="Times New Roman" w:hAnsi="Times New Roman" w:cs="Times New Roman" w:eastAsia="Times New Roman" w:hint="default"/>
                <w:sz w:val="21"/>
                <w:szCs w:val="21"/>
              </w:rPr>
            </w:pPr>
            <w:r>
              <w:rPr>
                <w:rFonts w:ascii="Times New Roman"/>
                <w:sz w:val="21"/>
              </w:rPr>
              <w:t>1,066,143.44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3"/>
              <w:jc w:val="right"/>
              <w:rPr>
                <w:rFonts w:ascii="Times New Roman" w:hAnsi="Times New Roman" w:cs="Times New Roman" w:eastAsia="Times New Roman" w:hint="default"/>
                <w:sz w:val="21"/>
                <w:szCs w:val="21"/>
              </w:rPr>
            </w:pPr>
            <w:r>
              <w:rPr>
                <w:rFonts w:ascii="Times New Roman"/>
                <w:spacing w:val="-1"/>
                <w:sz w:val="21"/>
              </w:rPr>
              <w:t>260,000,000.00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29,794,298.1</w:t>
            </w:r>
          </w:p>
          <w:p>
            <w:pPr>
              <w:pStyle w:val="TableParagraph"/>
              <w:spacing w:line="240" w:lineRule="auto" w:before="1"/>
              <w:ind w:right="107"/>
              <w:jc w:val="right"/>
              <w:rPr>
                <w:rFonts w:ascii="Times New Roman" w:hAnsi="Times New Roman" w:cs="Times New Roman" w:eastAsia="Times New Roman" w:hint="default"/>
                <w:sz w:val="21"/>
                <w:szCs w:val="21"/>
              </w:rPr>
            </w:pPr>
            <w:r>
              <w:rPr>
                <w:rFonts w:ascii="Times New Roman"/>
                <w:w w:val="100"/>
                <w:sz w:val="21"/>
              </w:rPr>
              <w:t>9</w:t>
            </w:r>
          </w:p>
        </w:tc>
      </w:tr>
      <w:tr>
        <w:trPr>
          <w:trHeight w:val="493"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Times New Roman" w:hAnsi="Times New Roman" w:cs="Times New Roman" w:eastAsia="Times New Roman" w:hint="default"/>
                <w:sz w:val="21"/>
                <w:szCs w:val="21"/>
              </w:rPr>
            </w:pPr>
            <w:r>
              <w:rPr>
                <w:rFonts w:ascii="Times New Roman"/>
                <w:w w:val="100"/>
                <w:sz w:val="21"/>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3"/>
              <w:jc w:val="right"/>
              <w:rPr>
                <w:rFonts w:ascii="Times New Roman" w:hAnsi="Times New Roman" w:cs="Times New Roman" w:eastAsia="Times New Roman" w:hint="default"/>
                <w:sz w:val="21"/>
                <w:szCs w:val="21"/>
              </w:rPr>
            </w:pPr>
            <w:r>
              <w:rPr>
                <w:rFonts w:ascii="Times New Roman"/>
                <w:spacing w:val="-1"/>
                <w:sz w:val="21"/>
              </w:rPr>
              <w:t>1,290,000,000</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21"/>
                <w:szCs w:val="21"/>
              </w:rPr>
            </w:pPr>
            <w:r>
              <w:rPr>
                <w:rFonts w:ascii="Times New Roman"/>
                <w:spacing w:val="-1"/>
                <w:sz w:val="21"/>
              </w:rPr>
              <w:t>1,281,187,198.64</w:t>
            </w:r>
          </w:p>
        </w:tc>
        <w:tc>
          <w:tcPr>
            <w:tcW w:w="1010"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07" w:right="0"/>
              <w:jc w:val="left"/>
              <w:rPr>
                <w:rFonts w:ascii="Times New Roman" w:hAnsi="Times New Roman" w:cs="Times New Roman" w:eastAsia="Times New Roman" w:hint="default"/>
                <w:sz w:val="21"/>
                <w:szCs w:val="21"/>
              </w:rPr>
            </w:pPr>
            <w:r>
              <w:rPr>
                <w:rFonts w:ascii="Times New Roman"/>
                <w:sz w:val="21"/>
              </w:rPr>
              <w:t>29,597,985.21</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14" w:right="0"/>
              <w:jc w:val="center"/>
              <w:rPr>
                <w:rFonts w:ascii="Times New Roman" w:hAnsi="Times New Roman" w:cs="Times New Roman" w:eastAsia="Times New Roman" w:hint="default"/>
                <w:sz w:val="21"/>
                <w:szCs w:val="21"/>
              </w:rPr>
            </w:pPr>
            <w:r>
              <w:rPr>
                <w:rFonts w:ascii="Times New Roman"/>
                <w:sz w:val="21"/>
              </w:rPr>
              <w:t>8,029,863.06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3"/>
              <w:jc w:val="right"/>
              <w:rPr>
                <w:rFonts w:ascii="Times New Roman" w:hAnsi="Times New Roman" w:cs="Times New Roman" w:eastAsia="Times New Roman" w:hint="default"/>
                <w:sz w:val="21"/>
                <w:szCs w:val="21"/>
              </w:rPr>
            </w:pPr>
            <w:r>
              <w:rPr>
                <w:rFonts w:ascii="Times New Roman"/>
                <w:spacing w:val="-1"/>
                <w:sz w:val="21"/>
              </w:rPr>
              <w:t>1,209,501,000.</w:t>
            </w:r>
          </w:p>
          <w:p>
            <w:pPr>
              <w:pStyle w:val="TableParagraph"/>
              <w:spacing w:line="241" w:lineRule="exact"/>
              <w:ind w:right="107"/>
              <w:jc w:val="right"/>
              <w:rPr>
                <w:rFonts w:ascii="Times New Roman" w:hAnsi="Times New Roman" w:cs="Times New Roman" w:eastAsia="Times New Roman" w:hint="default"/>
                <w:sz w:val="21"/>
                <w:szCs w:val="21"/>
              </w:rPr>
            </w:pPr>
            <w:r>
              <w:rPr>
                <w:rFonts w:ascii="Times New Roman"/>
                <w:sz w:val="21"/>
              </w:rPr>
              <w:t>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3"/>
              <w:jc w:val="right"/>
              <w:rPr>
                <w:rFonts w:ascii="Times New Roman" w:hAnsi="Times New Roman" w:cs="Times New Roman" w:eastAsia="Times New Roman" w:hint="default"/>
                <w:sz w:val="21"/>
                <w:szCs w:val="21"/>
              </w:rPr>
            </w:pPr>
            <w:r>
              <w:rPr>
                <w:rFonts w:ascii="Times New Roman"/>
                <w:spacing w:val="-1"/>
                <w:sz w:val="21"/>
              </w:rPr>
              <w:t>79,716,061.7</w:t>
            </w:r>
          </w:p>
          <w:p>
            <w:pPr>
              <w:pStyle w:val="TableParagraph"/>
              <w:spacing w:line="241" w:lineRule="exact"/>
              <w:ind w:right="107"/>
              <w:jc w:val="right"/>
              <w:rPr>
                <w:rFonts w:ascii="Times New Roman" w:hAnsi="Times New Roman" w:cs="Times New Roman" w:eastAsia="Times New Roman" w:hint="default"/>
                <w:sz w:val="21"/>
                <w:szCs w:val="21"/>
              </w:rPr>
            </w:pPr>
            <w:r>
              <w:rPr>
                <w:rFonts w:ascii="Times New Roman"/>
                <w:w w:val="100"/>
                <w:sz w:val="21"/>
              </w:rPr>
              <w:t>0</w:t>
            </w:r>
          </w:p>
        </w:tc>
      </w:tr>
    </w:tbl>
    <w:p>
      <w:pPr>
        <w:pStyle w:val="Heading3"/>
        <w:spacing w:line="274" w:lineRule="exact"/>
        <w:ind w:left="884" w:right="0"/>
        <w:jc w:val="left"/>
        <w:rPr>
          <w:rFonts w:ascii="宋体" w:hAnsi="宋体" w:cs="宋体" w:eastAsia="宋体" w:hint="default"/>
        </w:rPr>
      </w:pPr>
      <w:bookmarkStart w:name="OLE_LINK18" w:id="14"/>
      <w:bookmarkEnd w:id="14"/>
      <w:r>
        <w:rPr/>
      </w:r>
      <w:bookmarkStart w:name="OLE_LINK16" w:id="15"/>
      <w:bookmarkEnd w:id="15"/>
      <w:r>
        <w:rPr/>
      </w:r>
      <w:r>
        <w:rPr>
          <w:rFonts w:ascii="宋体"/>
        </w:rPr>
        <w:t> </w:t>
      </w:r>
    </w:p>
    <w:p>
      <w:pPr>
        <w:pStyle w:val="Heading5"/>
        <w:spacing w:line="240" w:lineRule="auto"/>
        <w:ind w:left="884" w:right="0"/>
        <w:jc w:val="left"/>
        <w:rPr>
          <w:rFonts w:ascii="宋体" w:hAnsi="宋体" w:cs="宋体" w:eastAsia="宋体" w:hint="default"/>
          <w:b w:val="0"/>
          <w:bCs w:val="0"/>
        </w:rPr>
      </w:pPr>
      <w:r>
        <w:rPr>
          <w:rFonts w:ascii="宋体" w:hAnsi="宋体" w:cs="宋体" w:eastAsia="宋体" w:hint="default"/>
        </w:rPr>
        <w:t>(3).</w:t>
      </w:r>
      <w:r>
        <w:rPr/>
        <w:t>可转换公司债券的转股条件、转股时间说明</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884"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240" w:lineRule="auto" w:before="58"/>
        <w:ind w:left="884" w:right="0"/>
        <w:jc w:val="left"/>
        <w:rPr>
          <w:rFonts w:ascii="宋体" w:hAnsi="宋体" w:cs="宋体" w:eastAsia="宋体" w:hint="default"/>
        </w:rPr>
      </w:pPr>
      <w:r>
        <w:rPr>
          <w:rFonts w:ascii="宋体"/>
        </w:rPr>
        <w:t> </w:t>
      </w:r>
    </w:p>
    <w:p>
      <w:pPr>
        <w:spacing w:line="290" w:lineRule="auto" w:before="64"/>
        <w:ind w:left="884" w:right="5728"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b/>
          <w:bCs/>
          <w:w w:val="99"/>
          <w:sz w:val="21"/>
          <w:szCs w:val="21"/>
        </w:rPr>
        <w:t> </w:t>
      </w:r>
      <w:r>
        <w:rPr>
          <w:rFonts w:ascii="宋体" w:hAnsi="宋体" w:cs="宋体" w:eastAsia="宋体" w:hint="default"/>
          <w:sz w:val="21"/>
          <w:szCs w:val="21"/>
        </w:rPr>
        <w:t>期末发行在外的优先股、永续债等其他金融工具基本情况</w:t>
      </w:r>
      <w:r>
        <w:rPr>
          <w:rFonts w:ascii="宋体" w:hAnsi="宋体" w:cs="宋体" w:eastAsia="宋体" w:hint="default"/>
          <w:sz w:val="21"/>
          <w:szCs w:val="21"/>
        </w:rPr>
        <w:t> </w:t>
      </w:r>
    </w:p>
    <w:p>
      <w:pPr>
        <w:pStyle w:val="Heading3"/>
        <w:spacing w:line="260" w:lineRule="exact"/>
        <w:ind w:left="88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left="884" w:right="0"/>
        <w:jc w:val="left"/>
        <w:rPr>
          <w:rFonts w:ascii="宋体" w:hAnsi="宋体" w:cs="宋体" w:eastAsia="宋体" w:hint="default"/>
        </w:rPr>
      </w:pPr>
      <w:r>
        <w:rPr>
          <w:rFonts w:ascii="宋体"/>
        </w:rPr>
        <w:t> </w:t>
      </w:r>
    </w:p>
    <w:p>
      <w:pPr>
        <w:pStyle w:val="BodyText"/>
        <w:spacing w:line="270" w:lineRule="exact" w:before="4"/>
        <w:ind w:left="884" w:right="0"/>
        <w:jc w:val="left"/>
        <w:rPr>
          <w:rFonts w:ascii="宋体" w:hAnsi="宋体" w:cs="宋体" w:eastAsia="宋体" w:hint="default"/>
        </w:rPr>
      </w:pPr>
      <w:r>
        <w:rPr/>
        <w:t>期末发行在外的优先股、永续债等金融工具变动情况表</w:t>
      </w:r>
      <w:r>
        <w:rPr>
          <w:rFonts w:ascii="宋体" w:hAnsi="宋体" w:cs="宋体" w:eastAsia="宋体" w:hint="default"/>
        </w:rPr>
        <w:t> </w:t>
      </w:r>
    </w:p>
    <w:p>
      <w:pPr>
        <w:pStyle w:val="Heading3"/>
        <w:spacing w:line="309" w:lineRule="exact"/>
        <w:ind w:left="88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64"/>
        <w:ind w:left="884" w:right="0"/>
        <w:jc w:val="left"/>
        <w:rPr>
          <w:rFonts w:ascii="宋体" w:hAnsi="宋体" w:cs="宋体" w:eastAsia="宋体" w:hint="default"/>
        </w:rPr>
      </w:pPr>
      <w:r>
        <w:rPr/>
        <w:t>其他金融工具划分为金融负债的依据说明：</w:t>
      </w:r>
      <w:r>
        <w:rPr>
          <w:rFonts w:ascii="宋体" w:hAnsi="宋体" w:cs="宋体" w:eastAsia="宋体" w:hint="default"/>
        </w:rPr>
        <w:t> </w:t>
      </w:r>
    </w:p>
    <w:p>
      <w:pPr>
        <w:pStyle w:val="Heading3"/>
        <w:spacing w:line="240" w:lineRule="auto" w:before="52"/>
        <w:ind w:left="88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240" w:lineRule="auto" w:before="55"/>
        <w:ind w:left="884" w:right="0"/>
        <w:jc w:val="left"/>
        <w:rPr>
          <w:rFonts w:ascii="宋体" w:hAnsi="宋体" w:cs="宋体" w:eastAsia="宋体" w:hint="default"/>
        </w:rPr>
      </w:pPr>
      <w:r>
        <w:rPr>
          <w:rFonts w:ascii="宋体"/>
        </w:rPr>
        <w:t> </w:t>
      </w:r>
    </w:p>
    <w:p>
      <w:pPr>
        <w:pStyle w:val="BodyText"/>
        <w:spacing w:line="240" w:lineRule="auto" w:before="64"/>
        <w:ind w:left="884" w:right="0"/>
        <w:jc w:val="left"/>
        <w:rPr>
          <w:rFonts w:ascii="宋体" w:hAnsi="宋体" w:cs="宋体" w:eastAsia="宋体" w:hint="default"/>
        </w:rPr>
      </w:pPr>
      <w:r>
        <w:rPr/>
        <w:t>其他说明：</w:t>
      </w:r>
      <w:r>
        <w:rPr>
          <w:rFonts w:ascii="宋体" w:hAnsi="宋体" w:cs="宋体" w:eastAsia="宋体" w:hint="default"/>
        </w:rPr>
        <w:t> </w:t>
      </w:r>
    </w:p>
    <w:p>
      <w:pPr>
        <w:pStyle w:val="Heading3"/>
        <w:spacing w:line="240" w:lineRule="auto" w:before="52"/>
        <w:ind w:left="88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240" w:lineRule="auto" w:before="56"/>
        <w:ind w:left="884" w:right="0"/>
        <w:jc w:val="left"/>
        <w:rPr>
          <w:rFonts w:ascii="宋体" w:hAnsi="宋体" w:cs="宋体" w:eastAsia="宋体" w:hint="default"/>
        </w:rPr>
      </w:pPr>
      <w:r>
        <w:rPr>
          <w:rFonts w:ascii="宋体"/>
        </w:rPr>
        <w:t> </w:t>
      </w:r>
    </w:p>
    <w:p>
      <w:pPr>
        <w:pStyle w:val="Heading5"/>
        <w:spacing w:line="240" w:lineRule="auto"/>
        <w:ind w:left="884" w:right="0"/>
        <w:jc w:val="left"/>
        <w:rPr>
          <w:b w:val="0"/>
          <w:bCs w:val="0"/>
        </w:rPr>
      </w:pPr>
      <w:r>
        <w:rPr>
          <w:rFonts w:ascii="宋体" w:hAnsi="宋体" w:cs="宋体" w:eastAsia="宋体" w:hint="default"/>
        </w:rPr>
        <w:t>45</w:t>
      </w:r>
      <w:r>
        <w:rPr/>
        <w:t>、</w:t>
      </w:r>
      <w:r>
        <w:rPr>
          <w:spacing w:val="-23"/>
        </w:rPr>
        <w:t> </w:t>
      </w:r>
      <w:r>
        <w:rPr/>
        <w:t>租赁负债</w:t>
      </w:r>
      <w:r>
        <w:rPr>
          <w:b w:val="0"/>
          <w:bCs w:val="0"/>
        </w:rPr>
      </w:r>
    </w:p>
    <w:p>
      <w:pPr>
        <w:pStyle w:val="Heading3"/>
        <w:spacing w:line="240" w:lineRule="auto" w:before="50"/>
        <w:ind w:left="88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64"/>
          <w:footerReference w:type="default" r:id="rId65"/>
          <w:pgSz w:w="16840" w:h="11910" w:orient="landscape"/>
          <w:pgMar w:header="882" w:footer="1195" w:top="1120" w:bottom="1380" w:left="640" w:right="560"/>
          <w:pgNumType w:start="147"/>
        </w:sectPr>
      </w:pPr>
    </w:p>
    <w:p>
      <w:pPr>
        <w:pStyle w:val="Heading5"/>
        <w:spacing w:line="290" w:lineRule="auto" w:before="117"/>
        <w:ind w:left="224" w:right="682"/>
        <w:jc w:val="left"/>
        <w:rPr>
          <w:rFonts w:ascii="宋体" w:hAnsi="宋体" w:cs="宋体" w:eastAsia="宋体" w:hint="default"/>
          <w:b w:val="0"/>
          <w:bCs w:val="0"/>
        </w:rPr>
      </w:pPr>
      <w:r>
        <w:rPr>
          <w:rFonts w:ascii="宋体" w:hAnsi="宋体" w:cs="宋体" w:eastAsia="宋体" w:hint="default"/>
        </w:rPr>
        <w:t>46</w:t>
      </w:r>
      <w:r>
        <w:rPr/>
        <w:t>、</w:t>
      </w:r>
      <w:r>
        <w:rPr>
          <w:spacing w:val="-25"/>
        </w:rPr>
        <w:t> </w:t>
      </w:r>
      <w:r>
        <w:rPr/>
        <w:t>长期应付款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1" w:lineRule="exact" w:before="1"/>
        <w:ind w:left="224" w:right="0"/>
        <w:jc w:val="left"/>
        <w:rPr>
          <w:rFonts w:ascii="宋体" w:hAnsi="宋体" w:cs="宋体" w:eastAsia="宋体" w:hint="default"/>
        </w:rPr>
      </w:pPr>
      <w:r>
        <w:rPr/>
        <w:t>其他说明：</w:t>
      </w:r>
      <w:r>
        <w:rPr>
          <w:rFonts w:ascii="宋体" w:hAnsi="宋体" w:cs="宋体" w:eastAsia="宋体" w:hint="default"/>
        </w:rPr>
        <w:t> </w:t>
      </w:r>
    </w:p>
    <w:p>
      <w:pPr>
        <w:pStyle w:val="Heading3"/>
        <w:spacing w:line="308" w:lineRule="exact"/>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left="224" w:right="0"/>
        <w:jc w:val="left"/>
        <w:rPr>
          <w:rFonts w:ascii="宋体" w:hAnsi="宋体" w:cs="宋体" w:eastAsia="宋体" w:hint="default"/>
        </w:rPr>
      </w:pPr>
      <w:r>
        <w:rPr>
          <w:rFonts w:ascii="宋体"/>
        </w:rPr>
        <w:t> </w:t>
      </w:r>
    </w:p>
    <w:p>
      <w:pPr>
        <w:pStyle w:val="Heading5"/>
        <w:spacing w:line="290" w:lineRule="auto"/>
        <w:ind w:left="224" w:right="0"/>
        <w:jc w:val="left"/>
        <w:rPr>
          <w:rFonts w:ascii="宋体" w:hAnsi="宋体" w:cs="宋体" w:eastAsia="宋体" w:hint="default"/>
          <w:b w:val="0"/>
          <w:bCs w:val="0"/>
        </w:rPr>
      </w:pPr>
      <w:r>
        <w:rPr/>
        <w:t>长期应付款</w:t>
      </w:r>
      <w:r>
        <w:rPr>
          <w:rFonts w:ascii="宋体" w:hAnsi="宋体" w:cs="宋体" w:eastAsia="宋体" w:hint="default"/>
          <w:w w:val="99"/>
        </w:rPr>
        <w:t> </w:t>
      </w:r>
      <w:r>
        <w:rPr>
          <w:rFonts w:ascii="宋体" w:hAnsi="宋体" w:cs="宋体" w:eastAsia="宋体" w:hint="default"/>
        </w:rPr>
        <w:t>(1).</w:t>
      </w:r>
      <w:r>
        <w:rPr/>
        <w:t>按款项性质列示长期应付款</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6"/>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224" w:right="0"/>
        <w:jc w:val="left"/>
        <w:rPr>
          <w:rFonts w:ascii="宋体" w:hAnsi="宋体" w:cs="宋体" w:eastAsia="宋体" w:hint="default"/>
        </w:rPr>
      </w:pPr>
      <w:r>
        <w:rPr>
          <w:rFonts w:ascii="宋体"/>
        </w:rPr>
        <w:t> </w:t>
      </w:r>
    </w:p>
    <w:p>
      <w:pPr>
        <w:pStyle w:val="Heading5"/>
        <w:spacing w:line="290" w:lineRule="auto" w:before="61"/>
        <w:ind w:left="224" w:right="0"/>
        <w:jc w:val="left"/>
        <w:rPr>
          <w:rFonts w:ascii="宋体" w:hAnsi="宋体" w:cs="宋体" w:eastAsia="宋体" w:hint="default"/>
          <w:b w:val="0"/>
          <w:bCs w:val="0"/>
        </w:rPr>
      </w:pPr>
      <w:r>
        <w:rPr/>
        <w:t>专项应付款</w:t>
      </w:r>
      <w:r>
        <w:rPr>
          <w:rFonts w:ascii="宋体" w:hAnsi="宋体" w:cs="宋体" w:eastAsia="宋体" w:hint="default"/>
          <w:w w:val="99"/>
        </w:rPr>
        <w:t> </w:t>
      </w:r>
      <w:r>
        <w:rPr>
          <w:rFonts w:ascii="宋体" w:hAnsi="宋体" w:cs="宋体" w:eastAsia="宋体" w:hint="default"/>
        </w:rPr>
        <w:t>(2).</w:t>
      </w:r>
      <w:r>
        <w:rPr/>
        <w:t>按款项性质列示专项应付款</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40" w:lineRule="auto"/>
        <w:ind w:left="224" w:right="0"/>
        <w:jc w:val="left"/>
        <w:rPr>
          <w:b w:val="0"/>
          <w:bCs w:val="0"/>
        </w:rPr>
      </w:pPr>
      <w:r>
        <w:rPr>
          <w:rFonts w:ascii="宋体" w:hAnsi="宋体" w:cs="宋体" w:eastAsia="宋体" w:hint="default"/>
        </w:rPr>
        <w:t>47</w:t>
      </w:r>
      <w:r>
        <w:rPr/>
        <w:t>、</w:t>
      </w:r>
      <w:r>
        <w:rPr>
          <w:spacing w:val="-21"/>
        </w:rPr>
        <w:t> </w:t>
      </w:r>
      <w:r>
        <w:rPr/>
        <w:t>长期应付职工薪酬</w:t>
      </w:r>
      <w:r>
        <w:rPr>
          <w:b w:val="0"/>
          <w:bCs w:val="0"/>
        </w:rPr>
      </w:r>
    </w:p>
    <w:p>
      <w:pPr>
        <w:pStyle w:val="Heading3"/>
        <w:spacing w:line="312" w:lineRule="exact" w:before="52"/>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left="224" w:right="0"/>
        <w:jc w:val="left"/>
        <w:rPr>
          <w:rFonts w:ascii="宋体" w:hAnsi="宋体" w:cs="宋体" w:eastAsia="宋体" w:hint="default"/>
        </w:rPr>
      </w:pPr>
      <w:r>
        <w:rPr>
          <w:rFonts w:ascii="宋体"/>
        </w:rPr>
        <w:t> </w:t>
      </w:r>
    </w:p>
    <w:p>
      <w:pPr>
        <w:pStyle w:val="Heading5"/>
        <w:spacing w:line="240" w:lineRule="auto"/>
        <w:ind w:left="224" w:right="0"/>
        <w:jc w:val="left"/>
        <w:rPr>
          <w:rFonts w:ascii="宋体" w:hAnsi="宋体" w:cs="宋体" w:eastAsia="宋体" w:hint="default"/>
          <w:b w:val="0"/>
          <w:bCs w:val="0"/>
        </w:rPr>
      </w:pPr>
      <w:r>
        <w:rPr>
          <w:rFonts w:ascii="宋体" w:hAnsi="宋体" w:cs="宋体" w:eastAsia="宋体" w:hint="default"/>
        </w:rPr>
        <w:t>48</w:t>
      </w:r>
      <w:r>
        <w:rPr/>
        <w:t>、</w:t>
      </w:r>
      <w:r>
        <w:rPr>
          <w:spacing w:val="-26"/>
        </w:rPr>
        <w:t> </w:t>
      </w:r>
      <w:r>
        <w:rPr/>
        <w:t>预计负债</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224" w:right="0"/>
        <w:jc w:val="left"/>
        <w:rPr>
          <w:rFonts w:ascii="宋体" w:hAnsi="宋体" w:cs="宋体" w:eastAsia="宋体" w:hint="default"/>
        </w:rPr>
      </w:pPr>
      <w:r>
        <w:rPr>
          <w:rFonts w:ascii="宋体"/>
        </w:rPr>
        <w:t> </w:t>
      </w:r>
    </w:p>
    <w:p>
      <w:pPr>
        <w:spacing w:line="290" w:lineRule="auto" w:before="64"/>
        <w:ind w:left="224" w:right="682" w:firstLine="0"/>
        <w:jc w:val="left"/>
        <w:rPr>
          <w:rFonts w:ascii="宋体" w:hAnsi="宋体" w:cs="宋体" w:eastAsia="宋体" w:hint="default"/>
          <w:sz w:val="21"/>
          <w:szCs w:val="21"/>
        </w:rPr>
      </w:pPr>
      <w:r>
        <w:rPr>
          <w:rFonts w:ascii="宋体" w:hAnsi="宋体" w:cs="宋体" w:eastAsia="宋体" w:hint="default"/>
          <w:b/>
          <w:bCs/>
          <w:sz w:val="21"/>
          <w:szCs w:val="21"/>
        </w:rPr>
        <w:t>49</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递延收益</w:t>
      </w:r>
      <w:r>
        <w:rPr>
          <w:rFonts w:ascii="宋体" w:hAnsi="宋体" w:cs="宋体" w:eastAsia="宋体" w:hint="default"/>
          <w:b/>
          <w:bCs/>
          <w:w w:val="99"/>
          <w:sz w:val="21"/>
          <w:szCs w:val="21"/>
        </w:rPr>
        <w:t> </w:t>
      </w:r>
      <w:r>
        <w:rPr>
          <w:rFonts w:ascii="宋体" w:hAnsi="宋体" w:cs="宋体" w:eastAsia="宋体" w:hint="default"/>
          <w:sz w:val="21"/>
          <w:szCs w:val="21"/>
        </w:rPr>
        <w:t>递延收益情况</w:t>
      </w:r>
      <w:r>
        <w:rPr>
          <w:rFonts w:ascii="宋体" w:hAnsi="宋体" w:cs="宋体" w:eastAsia="宋体" w:hint="default"/>
          <w:sz w:val="21"/>
          <w:szCs w:val="21"/>
        </w:rPr>
        <w:t> </w:t>
      </w:r>
    </w:p>
    <w:p>
      <w:pPr>
        <w:pStyle w:val="BodyText"/>
        <w:spacing w:line="230" w:lineRule="exact"/>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ind w:left="224"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pgSz w:w="16840" w:h="11910" w:orient="landscape"/>
          <w:pgMar w:header="882" w:footer="1195" w:top="1120" w:bottom="1380" w:left="1300" w:right="1200"/>
          <w:cols w:num="2" w:equalWidth="0">
            <w:col w:w="3287" w:space="8275"/>
            <w:col w:w="2778"/>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381"/>
        <w:gridCol w:w="2288"/>
        <w:gridCol w:w="2309"/>
        <w:gridCol w:w="2283"/>
        <w:gridCol w:w="2357"/>
        <w:gridCol w:w="2484"/>
      </w:tblGrid>
      <w:tr>
        <w:trPr>
          <w:trHeight w:val="34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86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1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29"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15"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5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816" w:right="0"/>
              <w:jc w:val="left"/>
              <w:rPr>
                <w:rFonts w:ascii="宋体" w:hAnsi="宋体" w:cs="宋体" w:eastAsia="宋体" w:hint="default"/>
                <w:sz w:val="21"/>
                <w:szCs w:val="21"/>
              </w:rPr>
            </w:pPr>
            <w:r>
              <w:rPr>
                <w:rFonts w:ascii="宋体" w:hAnsi="宋体" w:cs="宋体" w:eastAsia="宋体" w:hint="default"/>
                <w:sz w:val="21"/>
                <w:szCs w:val="21"/>
              </w:rPr>
              <w:t>形成原因</w:t>
            </w:r>
            <w:r>
              <w:rPr>
                <w:rFonts w:ascii="宋体" w:hAnsi="宋体" w:cs="宋体" w:eastAsia="宋体" w:hint="default"/>
                <w:sz w:val="21"/>
                <w:szCs w:val="21"/>
              </w:rPr>
              <w:t> </w:t>
            </w: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4"/>
              <w:jc w:val="right"/>
              <w:rPr>
                <w:rFonts w:ascii="Times New Roman" w:hAnsi="Times New Roman" w:cs="Times New Roman" w:eastAsia="Times New Roman" w:hint="default"/>
                <w:sz w:val="21"/>
                <w:szCs w:val="21"/>
              </w:rPr>
            </w:pPr>
            <w:r>
              <w:rPr>
                <w:rFonts w:ascii="Times New Roman"/>
                <w:spacing w:val="-1"/>
                <w:sz w:val="21"/>
              </w:rPr>
              <w:t>56,743,338.62</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8,742,000.00</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13,028,345.62</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4"/>
              <w:jc w:val="right"/>
              <w:rPr>
                <w:rFonts w:ascii="Times New Roman" w:hAnsi="Times New Roman" w:cs="Times New Roman" w:eastAsia="Times New Roman" w:hint="default"/>
                <w:sz w:val="21"/>
                <w:szCs w:val="21"/>
              </w:rPr>
            </w:pPr>
            <w:r>
              <w:rPr>
                <w:rFonts w:ascii="Times New Roman"/>
                <w:spacing w:val="-1"/>
                <w:sz w:val="21"/>
              </w:rPr>
              <w:t>52,456,993.00</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收到政府补助</w:t>
            </w: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6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56,743,338.62</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8,742,000.00</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13,028,345.62</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52,456,993.00</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r>
    </w:tbl>
    <w:p>
      <w:pPr>
        <w:pStyle w:val="BodyText"/>
        <w:spacing w:line="240" w:lineRule="auto" w:before="26"/>
        <w:ind w:left="224" w:right="0"/>
        <w:jc w:val="left"/>
        <w:rPr>
          <w:rFonts w:ascii="宋体" w:hAnsi="宋体" w:cs="宋体" w:eastAsia="宋体" w:hint="default"/>
        </w:rPr>
      </w:pPr>
      <w:r>
        <w:rPr/>
        <w:t>涉及政府补助的项目：</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00" w:right="1200"/>
        </w:sectPr>
      </w:pPr>
    </w:p>
    <w:p>
      <w:pPr>
        <w:pStyle w:val="Heading3"/>
        <w:spacing w:line="240" w:lineRule="auto" w:before="111"/>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61"/>
        <w:ind w:left="0" w:right="118"/>
        <w:jc w:val="right"/>
        <w:rPr>
          <w:rFonts w:ascii="宋体" w:hAnsi="宋体" w:cs="宋体" w:eastAsia="宋体" w:hint="default"/>
          <w:sz w:val="24"/>
          <w:szCs w:val="24"/>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sz w:val="24"/>
          <w:szCs w:val="24"/>
        </w:rPr>
        <w:t> </w:t>
      </w:r>
    </w:p>
    <w:p>
      <w:pPr>
        <w:spacing w:line="240" w:lineRule="auto" w:before="1"/>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4033"/>
        <w:gridCol w:w="1709"/>
        <w:gridCol w:w="1512"/>
        <w:gridCol w:w="958"/>
        <w:gridCol w:w="1404"/>
        <w:gridCol w:w="1513"/>
        <w:gridCol w:w="1618"/>
        <w:gridCol w:w="1356"/>
      </w:tblGrid>
      <w:tr>
        <w:trPr>
          <w:trHeight w:val="1099"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负债项目</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2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39" w:right="117" w:hanging="420"/>
              <w:jc w:val="left"/>
              <w:rPr>
                <w:rFonts w:ascii="宋体" w:hAnsi="宋体" w:cs="宋体" w:eastAsia="宋体" w:hint="default"/>
                <w:sz w:val="21"/>
                <w:szCs w:val="21"/>
              </w:rPr>
            </w:pPr>
            <w:r>
              <w:rPr>
                <w:rFonts w:ascii="宋体" w:hAnsi="宋体" w:cs="宋体" w:eastAsia="宋体" w:hint="default"/>
                <w:sz w:val="21"/>
                <w:szCs w:val="21"/>
              </w:rPr>
              <w:t>本期新增补助</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8" w:right="0"/>
              <w:jc w:val="both"/>
              <w:rPr>
                <w:rFonts w:ascii="宋体" w:hAnsi="宋体" w:cs="宋体" w:eastAsia="宋体" w:hint="default"/>
                <w:sz w:val="21"/>
                <w:szCs w:val="21"/>
              </w:rPr>
            </w:pPr>
            <w:r>
              <w:rPr>
                <w:rFonts w:ascii="宋体" w:hAnsi="宋体" w:cs="宋体" w:eastAsia="宋体" w:hint="default"/>
                <w:sz w:val="21"/>
                <w:szCs w:val="21"/>
              </w:rPr>
              <w:t>本期计</w:t>
            </w:r>
          </w:p>
          <w:p>
            <w:pPr>
              <w:pStyle w:val="TableParagraph"/>
              <w:spacing w:line="237" w:lineRule="auto"/>
              <w:ind w:left="158" w:right="155"/>
              <w:jc w:val="both"/>
              <w:rPr>
                <w:rFonts w:ascii="宋体" w:hAnsi="宋体" w:cs="宋体" w:eastAsia="宋体" w:hint="default"/>
                <w:sz w:val="21"/>
                <w:szCs w:val="21"/>
              </w:rPr>
            </w:pPr>
            <w:r>
              <w:rPr>
                <w:rFonts w:ascii="宋体" w:hAnsi="宋体" w:cs="宋体" w:eastAsia="宋体" w:hint="default"/>
                <w:sz w:val="21"/>
                <w:szCs w:val="21"/>
              </w:rPr>
              <w:t>入营业</w:t>
            </w:r>
            <w:r>
              <w:rPr>
                <w:rFonts w:ascii="宋体" w:hAnsi="宋体" w:cs="宋体" w:eastAsia="宋体" w:hint="default"/>
                <w:spacing w:val="-102"/>
                <w:sz w:val="21"/>
                <w:szCs w:val="21"/>
              </w:rPr>
              <w:t> </w:t>
            </w:r>
            <w:r>
              <w:rPr>
                <w:rFonts w:ascii="宋体" w:hAnsi="宋体" w:cs="宋体" w:eastAsia="宋体" w:hint="default"/>
                <w:sz w:val="21"/>
                <w:szCs w:val="21"/>
              </w:rPr>
              <w:t>外收入</w:t>
            </w:r>
            <w:r>
              <w:rPr>
                <w:rFonts w:ascii="宋体" w:hAnsi="宋体" w:cs="宋体" w:eastAsia="宋体" w:hint="default"/>
                <w:spacing w:val="-102"/>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2" w:right="62"/>
              <w:jc w:val="left"/>
              <w:rPr>
                <w:rFonts w:ascii="宋体" w:hAnsi="宋体" w:cs="宋体" w:eastAsia="宋体" w:hint="default"/>
                <w:sz w:val="21"/>
                <w:szCs w:val="21"/>
              </w:rPr>
            </w:pPr>
            <w:r>
              <w:rPr>
                <w:rFonts w:ascii="宋体" w:hAnsi="宋体" w:cs="宋体" w:eastAsia="宋体" w:hint="default"/>
                <w:sz w:val="21"/>
                <w:szCs w:val="21"/>
              </w:rPr>
              <w:t>本期计入其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他收益金额</w:t>
            </w:r>
            <w:r>
              <w:rPr>
                <w:rFonts w:ascii="宋体" w:hAnsi="宋体" w:cs="宋体" w:eastAsia="宋体" w:hint="default"/>
                <w:sz w:val="21"/>
                <w:szCs w:val="21"/>
              </w:rPr>
              <w:t>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31"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48" w:right="0"/>
              <w:jc w:val="left"/>
              <w:rPr>
                <w:rFonts w:ascii="宋体" w:hAnsi="宋体" w:cs="宋体" w:eastAsia="宋体" w:hint="default"/>
                <w:sz w:val="21"/>
                <w:szCs w:val="21"/>
              </w:rPr>
            </w:pPr>
            <w:r>
              <w:rPr>
                <w:rFonts w:ascii="宋体" w:hAnsi="宋体" w:cs="宋体" w:eastAsia="宋体" w:hint="default"/>
                <w:sz w:val="21"/>
                <w:szCs w:val="21"/>
              </w:rPr>
              <w:t>与资产相关</w:t>
            </w:r>
          </w:p>
          <w:p>
            <w:pPr>
              <w:pStyle w:val="TableParagraph"/>
              <w:spacing w:line="240" w:lineRule="auto"/>
              <w:ind w:left="568" w:right="194" w:hanging="368"/>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与收益相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关</w:t>
            </w:r>
            <w:r>
              <w:rPr>
                <w:rFonts w:ascii="宋体" w:hAnsi="宋体" w:cs="宋体" w:eastAsia="宋体" w:hint="default"/>
                <w:sz w:val="21"/>
                <w:szCs w:val="21"/>
              </w:rPr>
              <w:t> </w:t>
            </w:r>
          </w:p>
        </w:tc>
      </w:tr>
      <w:tr>
        <w:trPr>
          <w:trHeight w:val="283"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工程项目</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6"/>
              <w:jc w:val="right"/>
              <w:rPr>
                <w:rFonts w:ascii="Times New Roman" w:hAnsi="Times New Roman" w:cs="Times New Roman" w:eastAsia="Times New Roman" w:hint="default"/>
                <w:sz w:val="20"/>
                <w:szCs w:val="20"/>
              </w:rPr>
            </w:pPr>
            <w:r>
              <w:rPr>
                <w:rFonts w:ascii="Times New Roman"/>
                <w:w w:val="95"/>
                <w:sz w:val="20"/>
              </w:rPr>
              <w:t>1,476,593.81</w:t>
            </w:r>
            <w:r>
              <w:rPr>
                <w:rFonts w:ascii="Times New Roman"/>
                <w:sz w:val="20"/>
              </w:rPr>
            </w:r>
          </w:p>
        </w:tc>
        <w:tc>
          <w:tcPr>
            <w:tcW w:w="151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415,859.64</w:t>
            </w:r>
            <w:r>
              <w:rPr>
                <w:rFonts w:ascii="Times New Roman"/>
                <w:sz w:val="20"/>
              </w:rPr>
            </w:r>
          </w:p>
        </w:tc>
        <w:tc>
          <w:tcPr>
            <w:tcW w:w="1513"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6"/>
              <w:jc w:val="right"/>
              <w:rPr>
                <w:rFonts w:ascii="Times New Roman" w:hAnsi="Times New Roman" w:cs="Times New Roman" w:eastAsia="Times New Roman" w:hint="default"/>
                <w:sz w:val="20"/>
                <w:szCs w:val="20"/>
              </w:rPr>
            </w:pPr>
            <w:r>
              <w:rPr>
                <w:rFonts w:ascii="Times New Roman"/>
                <w:w w:val="95"/>
                <w:sz w:val="20"/>
              </w:rPr>
              <w:t>1,060,734.17</w:t>
            </w:r>
            <w:r>
              <w:rPr>
                <w:rFonts w:ascii="Times New Roman"/>
                <w:sz w:val="20"/>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281"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平台项目</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6"/>
              <w:jc w:val="right"/>
              <w:rPr>
                <w:rFonts w:ascii="Times New Roman" w:hAnsi="Times New Roman" w:cs="Times New Roman" w:eastAsia="Times New Roman" w:hint="default"/>
                <w:sz w:val="20"/>
                <w:szCs w:val="20"/>
              </w:rPr>
            </w:pPr>
            <w:r>
              <w:rPr>
                <w:rFonts w:ascii="Times New Roman"/>
                <w:w w:val="95"/>
                <w:sz w:val="20"/>
              </w:rPr>
              <w:t>900,000.00</w:t>
            </w:r>
            <w:r>
              <w:rPr>
                <w:rFonts w:ascii="Times New Roman"/>
                <w:sz w:val="20"/>
              </w:rPr>
            </w:r>
          </w:p>
        </w:tc>
        <w:tc>
          <w:tcPr>
            <w:tcW w:w="151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300,000.00</w:t>
            </w:r>
            <w:r>
              <w:rPr>
                <w:rFonts w:ascii="Times New Roman"/>
                <w:sz w:val="20"/>
              </w:rPr>
            </w:r>
          </w:p>
        </w:tc>
        <w:tc>
          <w:tcPr>
            <w:tcW w:w="1513"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6"/>
              <w:jc w:val="right"/>
              <w:rPr>
                <w:rFonts w:ascii="Times New Roman" w:hAnsi="Times New Roman" w:cs="Times New Roman" w:eastAsia="Times New Roman" w:hint="default"/>
                <w:sz w:val="20"/>
                <w:szCs w:val="20"/>
              </w:rPr>
            </w:pPr>
            <w:r>
              <w:rPr>
                <w:rFonts w:ascii="Times New Roman"/>
                <w:w w:val="95"/>
                <w:sz w:val="20"/>
              </w:rPr>
              <w:t>600,000.00</w:t>
            </w:r>
            <w:r>
              <w:rPr>
                <w:rFonts w:ascii="Times New Roman"/>
                <w:sz w:val="20"/>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284"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多系统兼容卫星芯片</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6"/>
              <w:jc w:val="right"/>
              <w:rPr>
                <w:rFonts w:ascii="Times New Roman" w:hAnsi="Times New Roman" w:cs="Times New Roman" w:eastAsia="Times New Roman" w:hint="default"/>
                <w:sz w:val="20"/>
                <w:szCs w:val="20"/>
              </w:rPr>
            </w:pPr>
            <w:r>
              <w:rPr>
                <w:rFonts w:ascii="Times New Roman"/>
                <w:w w:val="95"/>
                <w:sz w:val="20"/>
              </w:rPr>
              <w:t>1,499,999.72</w:t>
            </w:r>
            <w:r>
              <w:rPr>
                <w:rFonts w:ascii="Times New Roman"/>
                <w:sz w:val="20"/>
              </w:rPr>
            </w:r>
          </w:p>
        </w:tc>
        <w:tc>
          <w:tcPr>
            <w:tcW w:w="151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500,000.04</w:t>
            </w:r>
            <w:r>
              <w:rPr>
                <w:rFonts w:ascii="Times New Roman"/>
                <w:sz w:val="20"/>
              </w:rPr>
            </w:r>
          </w:p>
        </w:tc>
        <w:tc>
          <w:tcPr>
            <w:tcW w:w="1513"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6"/>
              <w:jc w:val="right"/>
              <w:rPr>
                <w:rFonts w:ascii="Times New Roman" w:hAnsi="Times New Roman" w:cs="Times New Roman" w:eastAsia="Times New Roman" w:hint="default"/>
                <w:sz w:val="20"/>
                <w:szCs w:val="20"/>
              </w:rPr>
            </w:pPr>
            <w:r>
              <w:rPr>
                <w:rFonts w:ascii="Times New Roman"/>
                <w:w w:val="95"/>
                <w:sz w:val="20"/>
              </w:rPr>
              <w:t>999,999.68</w:t>
            </w:r>
            <w:r>
              <w:rPr>
                <w:rFonts w:ascii="Times New Roman"/>
                <w:sz w:val="20"/>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281"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产业化项目</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6"/>
              <w:jc w:val="right"/>
              <w:rPr>
                <w:rFonts w:ascii="Times New Roman" w:hAnsi="Times New Roman" w:cs="Times New Roman" w:eastAsia="Times New Roman" w:hint="default"/>
                <w:sz w:val="20"/>
                <w:szCs w:val="20"/>
              </w:rPr>
            </w:pPr>
            <w:r>
              <w:rPr>
                <w:rFonts w:ascii="Times New Roman"/>
                <w:w w:val="95"/>
                <w:sz w:val="20"/>
              </w:rPr>
              <w:t>4,333,333.15</w:t>
            </w:r>
            <w:r>
              <w:rPr>
                <w:rFonts w:ascii="Times New Roman"/>
                <w:sz w:val="20"/>
              </w:rPr>
            </w:r>
          </w:p>
        </w:tc>
        <w:tc>
          <w:tcPr>
            <w:tcW w:w="151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800,000.04</w:t>
            </w:r>
            <w:r>
              <w:rPr>
                <w:rFonts w:ascii="Times New Roman"/>
                <w:sz w:val="20"/>
              </w:rPr>
            </w:r>
          </w:p>
        </w:tc>
        <w:tc>
          <w:tcPr>
            <w:tcW w:w="1513"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6"/>
              <w:jc w:val="right"/>
              <w:rPr>
                <w:rFonts w:ascii="Times New Roman" w:hAnsi="Times New Roman" w:cs="Times New Roman" w:eastAsia="Times New Roman" w:hint="default"/>
                <w:sz w:val="20"/>
                <w:szCs w:val="20"/>
              </w:rPr>
            </w:pPr>
            <w:r>
              <w:rPr>
                <w:rFonts w:ascii="Times New Roman"/>
                <w:w w:val="95"/>
                <w:sz w:val="20"/>
              </w:rPr>
              <w:t>3,533,333.11</w:t>
            </w:r>
            <w:r>
              <w:rPr>
                <w:rFonts w:ascii="Times New Roman"/>
                <w:sz w:val="20"/>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557"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民用全固态高时空分辨率测风激光雷达项</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目经费拨款</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6"/>
              <w:jc w:val="right"/>
              <w:rPr>
                <w:rFonts w:ascii="Times New Roman" w:hAnsi="Times New Roman" w:cs="Times New Roman" w:eastAsia="Times New Roman" w:hint="default"/>
                <w:sz w:val="20"/>
                <w:szCs w:val="20"/>
              </w:rPr>
            </w:pPr>
            <w:r>
              <w:rPr>
                <w:rFonts w:ascii="Times New Roman"/>
                <w:w w:val="95"/>
                <w:sz w:val="20"/>
              </w:rPr>
              <w:t>500,000.00</w:t>
            </w:r>
            <w:r>
              <w:rPr>
                <w:rFonts w:ascii="Times New Roman"/>
                <w:sz w:val="20"/>
              </w:rPr>
            </w:r>
          </w:p>
        </w:tc>
        <w:tc>
          <w:tcPr>
            <w:tcW w:w="151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20"/>
                <w:szCs w:val="20"/>
              </w:rPr>
            </w:pPr>
            <w:r>
              <w:rPr>
                <w:rFonts w:ascii="Times New Roman"/>
                <w:w w:val="95"/>
                <w:sz w:val="20"/>
              </w:rPr>
              <w:t>500,000.00</w:t>
            </w:r>
            <w:r>
              <w:rPr>
                <w:rFonts w:ascii="Times New Roman"/>
                <w:sz w:val="20"/>
              </w:rPr>
            </w:r>
          </w:p>
        </w:tc>
        <w:tc>
          <w:tcPr>
            <w:tcW w:w="1513"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554"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基于互联网技术的智能化通信指挥车操作</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平台的研发和应用</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6"/>
              <w:jc w:val="right"/>
              <w:rPr>
                <w:rFonts w:ascii="Times New Roman" w:hAnsi="Times New Roman" w:cs="Times New Roman" w:eastAsia="Times New Roman" w:hint="default"/>
                <w:sz w:val="20"/>
                <w:szCs w:val="20"/>
              </w:rPr>
            </w:pPr>
            <w:r>
              <w:rPr>
                <w:rFonts w:ascii="Times New Roman"/>
                <w:w w:val="95"/>
                <w:sz w:val="20"/>
              </w:rPr>
              <w:t>800,000.00</w:t>
            </w:r>
            <w:r>
              <w:rPr>
                <w:rFonts w:ascii="Times New Roman"/>
                <w:sz w:val="20"/>
              </w:rPr>
            </w:r>
          </w:p>
        </w:tc>
        <w:tc>
          <w:tcPr>
            <w:tcW w:w="151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6"/>
              <w:jc w:val="right"/>
              <w:rPr>
                <w:rFonts w:ascii="Times New Roman" w:hAnsi="Times New Roman" w:cs="Times New Roman" w:eastAsia="Times New Roman" w:hint="default"/>
                <w:sz w:val="20"/>
                <w:szCs w:val="20"/>
              </w:rPr>
            </w:pPr>
            <w:r>
              <w:rPr>
                <w:rFonts w:ascii="Times New Roman"/>
                <w:w w:val="95"/>
                <w:sz w:val="20"/>
              </w:rPr>
              <w:t>800,000.00</w:t>
            </w:r>
            <w:r>
              <w:rPr>
                <w:rFonts w:ascii="Times New Roman"/>
                <w:sz w:val="20"/>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281"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双向电力变换技术项目</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9"/>
              <w:jc w:val="right"/>
              <w:rPr>
                <w:rFonts w:ascii="Times New Roman" w:hAnsi="Times New Roman" w:cs="Times New Roman" w:eastAsia="Times New Roman" w:hint="default"/>
                <w:sz w:val="20"/>
                <w:szCs w:val="20"/>
              </w:rPr>
            </w:pPr>
            <w:r>
              <w:rPr>
                <w:rFonts w:ascii="Times New Roman"/>
                <w:w w:val="95"/>
                <w:sz w:val="20"/>
              </w:rPr>
              <w:t>2,220,000.00</w:t>
            </w:r>
            <w:r>
              <w:rPr>
                <w:rFonts w:ascii="Times New Roman"/>
                <w:sz w:val="20"/>
              </w:rPr>
            </w:r>
          </w:p>
        </w:tc>
        <w:tc>
          <w:tcPr>
            <w:tcW w:w="958"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94" w:right="0"/>
              <w:jc w:val="left"/>
              <w:rPr>
                <w:rFonts w:ascii="Times New Roman" w:hAnsi="Times New Roman" w:cs="Times New Roman" w:eastAsia="Times New Roman" w:hint="default"/>
                <w:sz w:val="20"/>
                <w:szCs w:val="20"/>
              </w:rPr>
            </w:pPr>
            <w:r>
              <w:rPr>
                <w:rFonts w:ascii="Times New Roman"/>
                <w:sz w:val="20"/>
              </w:rPr>
              <w:t>300,000.00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6"/>
              <w:jc w:val="right"/>
              <w:rPr>
                <w:rFonts w:ascii="Times New Roman" w:hAnsi="Times New Roman" w:cs="Times New Roman" w:eastAsia="Times New Roman" w:hint="default"/>
                <w:sz w:val="20"/>
                <w:szCs w:val="20"/>
              </w:rPr>
            </w:pPr>
            <w:r>
              <w:rPr>
                <w:rFonts w:ascii="Times New Roman"/>
                <w:w w:val="95"/>
                <w:sz w:val="20"/>
              </w:rPr>
              <w:t>1,920,000.00</w:t>
            </w:r>
            <w:r>
              <w:rPr>
                <w:rFonts w:ascii="Times New Roman"/>
                <w:sz w:val="20"/>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283"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高性能复合材料军用方舱技术</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8"/>
              <w:jc w:val="right"/>
              <w:rPr>
                <w:rFonts w:ascii="Times New Roman" w:hAnsi="Times New Roman" w:cs="Times New Roman" w:eastAsia="Times New Roman" w:hint="default"/>
                <w:sz w:val="20"/>
                <w:szCs w:val="20"/>
              </w:rPr>
            </w:pPr>
            <w:r>
              <w:rPr>
                <w:rFonts w:ascii="Times New Roman"/>
                <w:w w:val="95"/>
                <w:sz w:val="20"/>
              </w:rPr>
              <w:t>200,000.00</w:t>
            </w:r>
            <w:r>
              <w:rPr>
                <w:rFonts w:ascii="Times New Roman"/>
                <w:sz w:val="20"/>
              </w:rPr>
            </w:r>
          </w:p>
        </w:tc>
        <w:tc>
          <w:tcPr>
            <w:tcW w:w="958"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6"/>
              <w:jc w:val="right"/>
              <w:rPr>
                <w:rFonts w:ascii="Times New Roman" w:hAnsi="Times New Roman" w:cs="Times New Roman" w:eastAsia="Times New Roman" w:hint="default"/>
                <w:sz w:val="20"/>
                <w:szCs w:val="20"/>
              </w:rPr>
            </w:pPr>
            <w:r>
              <w:rPr>
                <w:rFonts w:ascii="Times New Roman"/>
                <w:w w:val="95"/>
                <w:sz w:val="20"/>
              </w:rPr>
              <w:t>200,000.00</w:t>
            </w:r>
            <w:r>
              <w:rPr>
                <w:rFonts w:ascii="Times New Roman"/>
                <w:sz w:val="20"/>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283"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永磁逆变电源项目</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6"/>
              <w:jc w:val="right"/>
              <w:rPr>
                <w:rFonts w:ascii="Times New Roman" w:hAnsi="Times New Roman" w:cs="Times New Roman" w:eastAsia="Times New Roman" w:hint="default"/>
                <w:sz w:val="20"/>
                <w:szCs w:val="20"/>
              </w:rPr>
            </w:pPr>
            <w:r>
              <w:rPr>
                <w:rFonts w:ascii="Times New Roman"/>
                <w:w w:val="95"/>
                <w:sz w:val="20"/>
              </w:rPr>
              <w:t>5,000,000.00</w:t>
            </w:r>
            <w:r>
              <w:rPr>
                <w:rFonts w:ascii="Times New Roman"/>
                <w:sz w:val="20"/>
              </w:rPr>
            </w:r>
          </w:p>
        </w:tc>
        <w:tc>
          <w:tcPr>
            <w:tcW w:w="151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6"/>
              <w:jc w:val="right"/>
              <w:rPr>
                <w:rFonts w:ascii="Times New Roman" w:hAnsi="Times New Roman" w:cs="Times New Roman" w:eastAsia="Times New Roman" w:hint="default"/>
                <w:sz w:val="20"/>
                <w:szCs w:val="20"/>
              </w:rPr>
            </w:pPr>
            <w:r>
              <w:rPr>
                <w:rFonts w:ascii="Times New Roman"/>
                <w:w w:val="95"/>
                <w:sz w:val="20"/>
              </w:rPr>
              <w:t>5,000,000.00</w:t>
            </w:r>
            <w:r>
              <w:rPr>
                <w:rFonts w:ascii="Times New Roman"/>
                <w:sz w:val="20"/>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281"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YBM</w:t>
            </w:r>
            <w:r>
              <w:rPr>
                <w:rFonts w:ascii="宋体" w:hAnsi="宋体" w:cs="宋体" w:eastAsia="宋体" w:hint="default"/>
                <w:spacing w:val="-56"/>
                <w:sz w:val="21"/>
                <w:szCs w:val="21"/>
              </w:rPr>
              <w:t> </w:t>
            </w:r>
            <w:r>
              <w:rPr>
                <w:rFonts w:ascii="宋体" w:hAnsi="宋体" w:cs="宋体" w:eastAsia="宋体" w:hint="default"/>
                <w:sz w:val="21"/>
                <w:szCs w:val="21"/>
              </w:rPr>
              <w:t>太阳能光伏电站配电系统项目</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6"/>
              <w:jc w:val="right"/>
              <w:rPr>
                <w:rFonts w:ascii="Times New Roman" w:hAnsi="Times New Roman" w:cs="Times New Roman" w:eastAsia="Times New Roman" w:hint="default"/>
                <w:sz w:val="20"/>
                <w:szCs w:val="20"/>
              </w:rPr>
            </w:pPr>
            <w:r>
              <w:rPr>
                <w:rFonts w:ascii="Times New Roman"/>
                <w:w w:val="95"/>
                <w:sz w:val="20"/>
              </w:rPr>
              <w:t>810,000.00</w:t>
            </w:r>
            <w:r>
              <w:rPr>
                <w:rFonts w:ascii="Times New Roman"/>
                <w:sz w:val="20"/>
              </w:rPr>
            </w:r>
          </w:p>
        </w:tc>
        <w:tc>
          <w:tcPr>
            <w:tcW w:w="151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120,000.00</w:t>
            </w:r>
            <w:r>
              <w:rPr>
                <w:rFonts w:ascii="Times New Roman"/>
                <w:sz w:val="20"/>
              </w:rPr>
            </w:r>
          </w:p>
        </w:tc>
        <w:tc>
          <w:tcPr>
            <w:tcW w:w="1513"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6"/>
              <w:jc w:val="right"/>
              <w:rPr>
                <w:rFonts w:ascii="Times New Roman" w:hAnsi="Times New Roman" w:cs="Times New Roman" w:eastAsia="Times New Roman" w:hint="default"/>
                <w:sz w:val="20"/>
                <w:szCs w:val="20"/>
              </w:rPr>
            </w:pPr>
            <w:r>
              <w:rPr>
                <w:rFonts w:ascii="Times New Roman"/>
                <w:w w:val="95"/>
                <w:sz w:val="20"/>
              </w:rPr>
              <w:t>690,000.00</w:t>
            </w:r>
            <w:r>
              <w:rPr>
                <w:rFonts w:ascii="Times New Roman"/>
                <w:sz w:val="20"/>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284"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40.5kV</w:t>
            </w:r>
            <w:r>
              <w:rPr>
                <w:rFonts w:ascii="宋体" w:hAnsi="宋体" w:cs="宋体" w:eastAsia="宋体" w:hint="default"/>
                <w:spacing w:val="-59"/>
                <w:sz w:val="21"/>
                <w:szCs w:val="21"/>
              </w:rPr>
              <w:t> </w:t>
            </w:r>
            <w:r>
              <w:rPr>
                <w:rFonts w:ascii="宋体" w:hAnsi="宋体" w:cs="宋体" w:eastAsia="宋体" w:hint="default"/>
                <w:sz w:val="21"/>
                <w:szCs w:val="21"/>
              </w:rPr>
              <w:t>智能预装式箱变产品生产线项目</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6"/>
              <w:jc w:val="right"/>
              <w:rPr>
                <w:rFonts w:ascii="Times New Roman" w:hAnsi="Times New Roman" w:cs="Times New Roman" w:eastAsia="Times New Roman" w:hint="default"/>
                <w:sz w:val="20"/>
                <w:szCs w:val="20"/>
              </w:rPr>
            </w:pPr>
            <w:r>
              <w:rPr>
                <w:rFonts w:ascii="Times New Roman"/>
                <w:w w:val="95"/>
                <w:sz w:val="20"/>
              </w:rPr>
              <w:t>3,022,500.00</w:t>
            </w:r>
            <w:r>
              <w:rPr>
                <w:rFonts w:ascii="Times New Roman"/>
                <w:sz w:val="20"/>
              </w:rPr>
            </w:r>
          </w:p>
        </w:tc>
        <w:tc>
          <w:tcPr>
            <w:tcW w:w="151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309,999.98</w:t>
            </w:r>
            <w:r>
              <w:rPr>
                <w:rFonts w:ascii="Times New Roman"/>
                <w:sz w:val="20"/>
              </w:rPr>
            </w:r>
          </w:p>
        </w:tc>
        <w:tc>
          <w:tcPr>
            <w:tcW w:w="1513"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6"/>
              <w:jc w:val="right"/>
              <w:rPr>
                <w:rFonts w:ascii="Times New Roman" w:hAnsi="Times New Roman" w:cs="Times New Roman" w:eastAsia="Times New Roman" w:hint="default"/>
                <w:sz w:val="20"/>
                <w:szCs w:val="20"/>
              </w:rPr>
            </w:pPr>
            <w:r>
              <w:rPr>
                <w:rFonts w:ascii="Times New Roman"/>
                <w:w w:val="95"/>
                <w:sz w:val="20"/>
              </w:rPr>
              <w:t>2,712,500.02</w:t>
            </w:r>
            <w:r>
              <w:rPr>
                <w:rFonts w:ascii="Times New Roman"/>
                <w:sz w:val="20"/>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283"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电子信息产业发展基金资助项目</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6"/>
              <w:jc w:val="right"/>
              <w:rPr>
                <w:rFonts w:ascii="Times New Roman" w:hAnsi="Times New Roman" w:cs="Times New Roman" w:eastAsia="Times New Roman" w:hint="default"/>
                <w:sz w:val="20"/>
                <w:szCs w:val="20"/>
              </w:rPr>
            </w:pPr>
            <w:r>
              <w:rPr>
                <w:rFonts w:ascii="Times New Roman"/>
                <w:w w:val="95"/>
                <w:sz w:val="20"/>
              </w:rPr>
              <w:t>958,750.00</w:t>
            </w:r>
            <w:r>
              <w:rPr>
                <w:rFonts w:ascii="Times New Roman"/>
                <w:sz w:val="20"/>
              </w:rPr>
            </w:r>
          </w:p>
        </w:tc>
        <w:tc>
          <w:tcPr>
            <w:tcW w:w="151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195,000.00</w:t>
            </w:r>
            <w:r>
              <w:rPr>
                <w:rFonts w:ascii="Times New Roman"/>
                <w:sz w:val="20"/>
              </w:rPr>
            </w:r>
          </w:p>
        </w:tc>
        <w:tc>
          <w:tcPr>
            <w:tcW w:w="1513"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6"/>
              <w:jc w:val="right"/>
              <w:rPr>
                <w:rFonts w:ascii="Times New Roman" w:hAnsi="Times New Roman" w:cs="Times New Roman" w:eastAsia="Times New Roman" w:hint="default"/>
                <w:sz w:val="20"/>
                <w:szCs w:val="20"/>
              </w:rPr>
            </w:pPr>
            <w:r>
              <w:rPr>
                <w:rFonts w:ascii="Times New Roman"/>
                <w:w w:val="95"/>
                <w:sz w:val="20"/>
              </w:rPr>
              <w:t>763,750.00</w:t>
            </w:r>
            <w:r>
              <w:rPr>
                <w:rFonts w:ascii="Times New Roman"/>
                <w:sz w:val="20"/>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281"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物联网项目基金</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6"/>
              <w:jc w:val="right"/>
              <w:rPr>
                <w:rFonts w:ascii="Times New Roman" w:hAnsi="Times New Roman" w:cs="Times New Roman" w:eastAsia="Times New Roman" w:hint="default"/>
                <w:sz w:val="20"/>
                <w:szCs w:val="20"/>
              </w:rPr>
            </w:pPr>
            <w:r>
              <w:rPr>
                <w:rFonts w:ascii="Times New Roman"/>
                <w:w w:val="95"/>
                <w:sz w:val="20"/>
              </w:rPr>
              <w:t>791,076.85</w:t>
            </w:r>
            <w:r>
              <w:rPr>
                <w:rFonts w:ascii="Times New Roman"/>
                <w:sz w:val="20"/>
              </w:rPr>
            </w:r>
          </w:p>
        </w:tc>
        <w:tc>
          <w:tcPr>
            <w:tcW w:w="151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159,403.56</w:t>
            </w:r>
            <w:r>
              <w:rPr>
                <w:rFonts w:ascii="Times New Roman"/>
                <w:sz w:val="20"/>
              </w:rPr>
            </w:r>
          </w:p>
        </w:tc>
        <w:tc>
          <w:tcPr>
            <w:tcW w:w="1513"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6"/>
              <w:jc w:val="right"/>
              <w:rPr>
                <w:rFonts w:ascii="Times New Roman" w:hAnsi="Times New Roman" w:cs="Times New Roman" w:eastAsia="Times New Roman" w:hint="default"/>
                <w:sz w:val="20"/>
                <w:szCs w:val="20"/>
              </w:rPr>
            </w:pPr>
            <w:r>
              <w:rPr>
                <w:rFonts w:ascii="Times New Roman"/>
                <w:w w:val="95"/>
                <w:sz w:val="20"/>
              </w:rPr>
              <w:t>631,673.29</w:t>
            </w:r>
            <w:r>
              <w:rPr>
                <w:rFonts w:ascii="Times New Roman"/>
                <w:sz w:val="20"/>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283"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静音电源项目</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6"/>
              <w:jc w:val="right"/>
              <w:rPr>
                <w:rFonts w:ascii="Times New Roman" w:hAnsi="Times New Roman" w:cs="Times New Roman" w:eastAsia="Times New Roman" w:hint="default"/>
                <w:sz w:val="20"/>
                <w:szCs w:val="20"/>
              </w:rPr>
            </w:pPr>
            <w:r>
              <w:rPr>
                <w:rFonts w:ascii="Times New Roman"/>
                <w:w w:val="95"/>
                <w:sz w:val="20"/>
              </w:rPr>
              <w:t>4,599,999.72</w:t>
            </w:r>
            <w:r>
              <w:rPr>
                <w:rFonts w:ascii="Times New Roman"/>
                <w:sz w:val="20"/>
              </w:rPr>
            </w:r>
          </w:p>
        </w:tc>
        <w:tc>
          <w:tcPr>
            <w:tcW w:w="151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200,000.04</w:t>
            </w:r>
            <w:r>
              <w:rPr>
                <w:rFonts w:ascii="Times New Roman"/>
                <w:sz w:val="20"/>
              </w:rPr>
            </w:r>
          </w:p>
        </w:tc>
        <w:tc>
          <w:tcPr>
            <w:tcW w:w="1513"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6"/>
              <w:jc w:val="right"/>
              <w:rPr>
                <w:rFonts w:ascii="Times New Roman" w:hAnsi="Times New Roman" w:cs="Times New Roman" w:eastAsia="Times New Roman" w:hint="default"/>
                <w:sz w:val="20"/>
                <w:szCs w:val="20"/>
              </w:rPr>
            </w:pPr>
            <w:r>
              <w:rPr>
                <w:rFonts w:ascii="Times New Roman"/>
                <w:w w:val="95"/>
                <w:sz w:val="20"/>
              </w:rPr>
              <w:t>4,399,999.68</w:t>
            </w:r>
            <w:r>
              <w:rPr>
                <w:rFonts w:ascii="Times New Roman"/>
                <w:sz w:val="20"/>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554"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智能电网用智能化交流金属封闭配电设备</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提升项目</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6"/>
              <w:jc w:val="right"/>
              <w:rPr>
                <w:rFonts w:ascii="Times New Roman" w:hAnsi="Times New Roman" w:cs="Times New Roman" w:eastAsia="Times New Roman" w:hint="default"/>
                <w:sz w:val="20"/>
                <w:szCs w:val="20"/>
              </w:rPr>
            </w:pPr>
            <w:r>
              <w:rPr>
                <w:rFonts w:ascii="Times New Roman"/>
                <w:w w:val="95"/>
                <w:sz w:val="20"/>
              </w:rPr>
              <w:t>1,500,000.00</w:t>
            </w:r>
            <w:r>
              <w:rPr>
                <w:rFonts w:ascii="Times New Roman"/>
                <w:sz w:val="20"/>
              </w:rPr>
            </w:r>
          </w:p>
        </w:tc>
        <w:tc>
          <w:tcPr>
            <w:tcW w:w="151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20"/>
                <w:szCs w:val="20"/>
              </w:rPr>
            </w:pPr>
            <w:r>
              <w:rPr>
                <w:rFonts w:ascii="Times New Roman"/>
                <w:w w:val="95"/>
                <w:sz w:val="20"/>
              </w:rPr>
              <w:t>300,000.00</w:t>
            </w:r>
            <w:r>
              <w:rPr>
                <w:rFonts w:ascii="Times New Roman"/>
                <w:sz w:val="20"/>
              </w:rPr>
            </w:r>
          </w:p>
        </w:tc>
        <w:tc>
          <w:tcPr>
            <w:tcW w:w="1513"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6"/>
              <w:jc w:val="right"/>
              <w:rPr>
                <w:rFonts w:ascii="Times New Roman" w:hAnsi="Times New Roman" w:cs="Times New Roman" w:eastAsia="Times New Roman" w:hint="default"/>
                <w:sz w:val="20"/>
                <w:szCs w:val="20"/>
              </w:rPr>
            </w:pPr>
            <w:r>
              <w:rPr>
                <w:rFonts w:ascii="Times New Roman"/>
                <w:w w:val="95"/>
                <w:sz w:val="20"/>
              </w:rPr>
              <w:t>1,200,000.00</w:t>
            </w:r>
            <w:r>
              <w:rPr>
                <w:rFonts w:ascii="Times New Roman"/>
                <w:sz w:val="20"/>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554"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智能电网用小型智能化新型开关设备的开</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6"/>
              <w:jc w:val="right"/>
              <w:rPr>
                <w:rFonts w:ascii="Times New Roman" w:hAnsi="Times New Roman" w:cs="Times New Roman" w:eastAsia="Times New Roman" w:hint="default"/>
                <w:sz w:val="20"/>
                <w:szCs w:val="20"/>
              </w:rPr>
            </w:pPr>
            <w:r>
              <w:rPr>
                <w:rFonts w:ascii="Times New Roman"/>
                <w:w w:val="95"/>
                <w:sz w:val="20"/>
              </w:rPr>
              <w:t>1,300,000.00</w:t>
            </w:r>
            <w:r>
              <w:rPr>
                <w:rFonts w:ascii="Times New Roman"/>
                <w:sz w:val="20"/>
              </w:rPr>
            </w:r>
          </w:p>
        </w:tc>
        <w:tc>
          <w:tcPr>
            <w:tcW w:w="151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20"/>
                <w:szCs w:val="20"/>
              </w:rPr>
            </w:pPr>
            <w:r>
              <w:rPr>
                <w:rFonts w:ascii="Times New Roman"/>
                <w:w w:val="95"/>
                <w:sz w:val="20"/>
              </w:rPr>
              <w:t>150,000.00</w:t>
            </w:r>
            <w:r>
              <w:rPr>
                <w:rFonts w:ascii="Times New Roman"/>
                <w:sz w:val="20"/>
              </w:rPr>
            </w:r>
          </w:p>
        </w:tc>
        <w:tc>
          <w:tcPr>
            <w:tcW w:w="1513"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6"/>
              <w:jc w:val="right"/>
              <w:rPr>
                <w:rFonts w:ascii="Times New Roman" w:hAnsi="Times New Roman" w:cs="Times New Roman" w:eastAsia="Times New Roman" w:hint="default"/>
                <w:sz w:val="20"/>
                <w:szCs w:val="20"/>
              </w:rPr>
            </w:pPr>
            <w:r>
              <w:rPr>
                <w:rFonts w:ascii="Times New Roman"/>
                <w:w w:val="95"/>
                <w:sz w:val="20"/>
              </w:rPr>
              <w:t>1,150,000.00</w:t>
            </w:r>
            <w:r>
              <w:rPr>
                <w:rFonts w:ascii="Times New Roman"/>
                <w:sz w:val="20"/>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283"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电力配网自动化的安全</w:t>
            </w:r>
            <w:r>
              <w:rPr>
                <w:rFonts w:ascii="宋体" w:hAnsi="宋体" w:cs="宋体" w:eastAsia="宋体" w:hint="default"/>
                <w:spacing w:val="-57"/>
                <w:sz w:val="21"/>
                <w:szCs w:val="21"/>
              </w:rPr>
              <w:t> </w:t>
            </w:r>
            <w:r>
              <w:rPr>
                <w:rFonts w:ascii="宋体" w:hAnsi="宋体" w:cs="宋体" w:eastAsia="宋体" w:hint="default"/>
                <w:sz w:val="21"/>
                <w:szCs w:val="21"/>
              </w:rPr>
              <w:t>RTU</w:t>
            </w:r>
            <w:r>
              <w:rPr>
                <w:rFonts w:ascii="宋体" w:hAnsi="宋体" w:cs="宋体" w:eastAsia="宋体" w:hint="default"/>
                <w:spacing w:val="-57"/>
                <w:sz w:val="21"/>
                <w:szCs w:val="21"/>
              </w:rPr>
              <w:t> </w:t>
            </w:r>
            <w:r>
              <w:rPr>
                <w:rFonts w:ascii="宋体" w:hAnsi="宋体" w:cs="宋体" w:eastAsia="宋体" w:hint="default"/>
                <w:sz w:val="21"/>
                <w:szCs w:val="21"/>
              </w:rPr>
              <w:t>产品产业化</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6"/>
              <w:jc w:val="right"/>
              <w:rPr>
                <w:rFonts w:ascii="Times New Roman" w:hAnsi="Times New Roman" w:cs="Times New Roman" w:eastAsia="Times New Roman" w:hint="default"/>
                <w:sz w:val="20"/>
                <w:szCs w:val="20"/>
              </w:rPr>
            </w:pPr>
            <w:r>
              <w:rPr>
                <w:rFonts w:ascii="Times New Roman"/>
                <w:w w:val="95"/>
                <w:sz w:val="20"/>
              </w:rPr>
              <w:t>2,100,000.00</w:t>
            </w:r>
            <w:r>
              <w:rPr>
                <w:rFonts w:ascii="Times New Roman"/>
                <w:sz w:val="20"/>
              </w:rPr>
            </w:r>
          </w:p>
        </w:tc>
        <w:tc>
          <w:tcPr>
            <w:tcW w:w="151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300,000.00</w:t>
            </w:r>
            <w:r>
              <w:rPr>
                <w:rFonts w:ascii="Times New Roman"/>
                <w:sz w:val="20"/>
              </w:rPr>
            </w:r>
          </w:p>
        </w:tc>
        <w:tc>
          <w:tcPr>
            <w:tcW w:w="1513"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6"/>
              <w:jc w:val="right"/>
              <w:rPr>
                <w:rFonts w:ascii="Times New Roman" w:hAnsi="Times New Roman" w:cs="Times New Roman" w:eastAsia="Times New Roman" w:hint="default"/>
                <w:sz w:val="20"/>
                <w:szCs w:val="20"/>
              </w:rPr>
            </w:pPr>
            <w:r>
              <w:rPr>
                <w:rFonts w:ascii="Times New Roman"/>
                <w:w w:val="95"/>
                <w:sz w:val="20"/>
              </w:rPr>
              <w:t>1,800,000.00</w:t>
            </w:r>
            <w:r>
              <w:rPr>
                <w:rFonts w:ascii="Times New Roman"/>
                <w:sz w:val="20"/>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281"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土地返还款</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6"/>
              <w:jc w:val="right"/>
              <w:rPr>
                <w:rFonts w:ascii="Times New Roman" w:hAnsi="Times New Roman" w:cs="Times New Roman" w:eastAsia="Times New Roman" w:hint="default"/>
                <w:sz w:val="20"/>
                <w:szCs w:val="20"/>
              </w:rPr>
            </w:pPr>
            <w:r>
              <w:rPr>
                <w:rFonts w:ascii="Times New Roman"/>
                <w:w w:val="95"/>
                <w:sz w:val="20"/>
              </w:rPr>
              <w:t>2,112,818.70</w:t>
            </w:r>
            <w:r>
              <w:rPr>
                <w:rFonts w:ascii="Times New Roman"/>
                <w:sz w:val="20"/>
              </w:rPr>
            </w:r>
          </w:p>
        </w:tc>
        <w:tc>
          <w:tcPr>
            <w:tcW w:w="151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50,305.20</w:t>
            </w:r>
            <w:r>
              <w:rPr>
                <w:rFonts w:ascii="Times New Roman"/>
                <w:sz w:val="20"/>
              </w:rPr>
            </w:r>
          </w:p>
        </w:tc>
        <w:tc>
          <w:tcPr>
            <w:tcW w:w="1513"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6"/>
              <w:jc w:val="right"/>
              <w:rPr>
                <w:rFonts w:ascii="Times New Roman" w:hAnsi="Times New Roman" w:cs="Times New Roman" w:eastAsia="Times New Roman" w:hint="default"/>
                <w:sz w:val="20"/>
                <w:szCs w:val="20"/>
              </w:rPr>
            </w:pPr>
            <w:r>
              <w:rPr>
                <w:rFonts w:ascii="Times New Roman"/>
                <w:w w:val="95"/>
                <w:sz w:val="20"/>
              </w:rPr>
              <w:t>2,062,513.50</w:t>
            </w:r>
            <w:r>
              <w:rPr>
                <w:rFonts w:ascii="Times New Roman"/>
                <w:sz w:val="20"/>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283"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智能化环保气体环网柜关键技术研究项目</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6"/>
              <w:jc w:val="right"/>
              <w:rPr>
                <w:rFonts w:ascii="Times New Roman" w:hAnsi="Times New Roman" w:cs="Times New Roman" w:eastAsia="Times New Roman" w:hint="default"/>
                <w:sz w:val="20"/>
                <w:szCs w:val="20"/>
              </w:rPr>
            </w:pPr>
            <w:r>
              <w:rPr>
                <w:rFonts w:ascii="Times New Roman"/>
                <w:w w:val="95"/>
                <w:sz w:val="20"/>
              </w:rPr>
              <w:t>2,000,000.00</w:t>
            </w:r>
            <w:r>
              <w:rPr>
                <w:rFonts w:ascii="Times New Roman"/>
                <w:sz w:val="20"/>
              </w:rPr>
            </w:r>
          </w:p>
        </w:tc>
        <w:tc>
          <w:tcPr>
            <w:tcW w:w="151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83,333.33</w:t>
            </w:r>
            <w:r>
              <w:rPr>
                <w:rFonts w:ascii="Times New Roman"/>
                <w:sz w:val="20"/>
              </w:rPr>
            </w:r>
          </w:p>
        </w:tc>
        <w:tc>
          <w:tcPr>
            <w:tcW w:w="1513"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6"/>
              <w:jc w:val="right"/>
              <w:rPr>
                <w:rFonts w:ascii="Times New Roman" w:hAnsi="Times New Roman" w:cs="Times New Roman" w:eastAsia="Times New Roman" w:hint="default"/>
                <w:sz w:val="20"/>
                <w:szCs w:val="20"/>
              </w:rPr>
            </w:pPr>
            <w:r>
              <w:rPr>
                <w:rFonts w:ascii="Times New Roman"/>
                <w:w w:val="95"/>
                <w:sz w:val="20"/>
              </w:rPr>
              <w:t>1,916,666.67</w:t>
            </w:r>
            <w:r>
              <w:rPr>
                <w:rFonts w:ascii="Times New Roman"/>
                <w:sz w:val="20"/>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554"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智能化交流金属封闭开关设备重点技术攻</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关项目</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6"/>
              <w:jc w:val="right"/>
              <w:rPr>
                <w:rFonts w:ascii="Times New Roman" w:hAnsi="Times New Roman" w:cs="Times New Roman" w:eastAsia="Times New Roman" w:hint="default"/>
                <w:sz w:val="20"/>
                <w:szCs w:val="20"/>
              </w:rPr>
            </w:pPr>
            <w:r>
              <w:rPr>
                <w:rFonts w:ascii="Times New Roman"/>
                <w:w w:val="95"/>
                <w:sz w:val="20"/>
              </w:rPr>
              <w:t>1,000,000.00</w:t>
            </w:r>
            <w:r>
              <w:rPr>
                <w:rFonts w:ascii="Times New Roman"/>
                <w:sz w:val="20"/>
              </w:rPr>
            </w:r>
          </w:p>
        </w:tc>
        <w:tc>
          <w:tcPr>
            <w:tcW w:w="151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20"/>
                <w:szCs w:val="20"/>
              </w:rPr>
            </w:pPr>
            <w:r>
              <w:rPr>
                <w:rFonts w:ascii="Times New Roman"/>
                <w:w w:val="95"/>
                <w:sz w:val="20"/>
              </w:rPr>
              <w:t>25,000.00</w:t>
            </w:r>
            <w:r>
              <w:rPr>
                <w:rFonts w:ascii="Times New Roman"/>
                <w:sz w:val="20"/>
              </w:rPr>
            </w:r>
          </w:p>
        </w:tc>
        <w:tc>
          <w:tcPr>
            <w:tcW w:w="1513"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6"/>
              <w:jc w:val="right"/>
              <w:rPr>
                <w:rFonts w:ascii="Times New Roman" w:hAnsi="Times New Roman" w:cs="Times New Roman" w:eastAsia="Times New Roman" w:hint="default"/>
                <w:sz w:val="20"/>
                <w:szCs w:val="20"/>
              </w:rPr>
            </w:pPr>
            <w:r>
              <w:rPr>
                <w:rFonts w:ascii="Times New Roman"/>
                <w:w w:val="95"/>
                <w:sz w:val="20"/>
              </w:rPr>
              <w:t>975,000.00</w:t>
            </w:r>
            <w:r>
              <w:rPr>
                <w:rFonts w:ascii="Times New Roman"/>
                <w:sz w:val="20"/>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bl>
    <w:p>
      <w:pPr>
        <w:spacing w:after="0" w:line="240" w:lineRule="auto"/>
        <w:jc w:val="center"/>
        <w:rPr>
          <w:rFonts w:ascii="宋体" w:hAnsi="宋体" w:cs="宋体" w:eastAsia="宋体" w:hint="default"/>
          <w:sz w:val="21"/>
          <w:szCs w:val="21"/>
        </w:rPr>
        <w:sectPr>
          <w:pgSz w:w="16840" w:h="11910" w:orient="landscape"/>
          <w:pgMar w:header="882" w:footer="1195" w:top="1120" w:bottom="1380" w:left="1300" w:right="1200"/>
        </w:sectPr>
      </w:pPr>
    </w:p>
    <w:p>
      <w:pPr>
        <w:spacing w:line="240" w:lineRule="auto" w:before="7"/>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4033"/>
        <w:gridCol w:w="1709"/>
        <w:gridCol w:w="1512"/>
        <w:gridCol w:w="958"/>
        <w:gridCol w:w="1404"/>
        <w:gridCol w:w="1513"/>
        <w:gridCol w:w="1618"/>
        <w:gridCol w:w="1356"/>
      </w:tblGrid>
      <w:tr>
        <w:trPr>
          <w:trHeight w:val="281"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集装箱式微电网系统的研发</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6"/>
              <w:jc w:val="right"/>
              <w:rPr>
                <w:rFonts w:ascii="Times New Roman" w:hAnsi="Times New Roman" w:cs="Times New Roman" w:eastAsia="Times New Roman" w:hint="default"/>
                <w:sz w:val="20"/>
                <w:szCs w:val="20"/>
              </w:rPr>
            </w:pPr>
            <w:r>
              <w:rPr>
                <w:rFonts w:ascii="Times New Roman"/>
                <w:w w:val="95"/>
                <w:sz w:val="20"/>
              </w:rPr>
              <w:t>250,000.00</w:t>
            </w:r>
            <w:r>
              <w:rPr>
                <w:rFonts w:ascii="Times New Roman"/>
                <w:sz w:val="20"/>
              </w:rPr>
            </w:r>
          </w:p>
        </w:tc>
        <w:tc>
          <w:tcPr>
            <w:tcW w:w="151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6,250.00</w:t>
            </w:r>
            <w:r>
              <w:rPr>
                <w:rFonts w:ascii="Times New Roman"/>
                <w:sz w:val="20"/>
              </w:rPr>
            </w:r>
          </w:p>
        </w:tc>
        <w:tc>
          <w:tcPr>
            <w:tcW w:w="1513"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6"/>
              <w:jc w:val="right"/>
              <w:rPr>
                <w:rFonts w:ascii="Times New Roman" w:hAnsi="Times New Roman" w:cs="Times New Roman" w:eastAsia="Times New Roman" w:hint="default"/>
                <w:sz w:val="20"/>
                <w:szCs w:val="20"/>
              </w:rPr>
            </w:pPr>
            <w:r>
              <w:rPr>
                <w:rFonts w:ascii="Times New Roman"/>
                <w:w w:val="95"/>
                <w:sz w:val="20"/>
              </w:rPr>
              <w:t>243,750.00</w:t>
            </w:r>
            <w:r>
              <w:rPr>
                <w:rFonts w:ascii="Times New Roman"/>
                <w:sz w:val="20"/>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283"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上海张江国家自主创新未示范项目</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6"/>
              <w:jc w:val="right"/>
              <w:rPr>
                <w:rFonts w:ascii="Times New Roman" w:hAnsi="Times New Roman" w:cs="Times New Roman" w:eastAsia="Times New Roman" w:hint="default"/>
                <w:sz w:val="20"/>
                <w:szCs w:val="20"/>
              </w:rPr>
            </w:pPr>
            <w:r>
              <w:rPr>
                <w:rFonts w:ascii="Times New Roman"/>
                <w:w w:val="95"/>
                <w:sz w:val="20"/>
              </w:rPr>
              <w:t>7,108,266.67</w:t>
            </w:r>
            <w:r>
              <w:rPr>
                <w:rFonts w:ascii="Times New Roman"/>
                <w:sz w:val="20"/>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9"/>
              <w:jc w:val="right"/>
              <w:rPr>
                <w:rFonts w:ascii="Times New Roman" w:hAnsi="Times New Roman" w:cs="Times New Roman" w:eastAsia="Times New Roman" w:hint="default"/>
                <w:sz w:val="20"/>
                <w:szCs w:val="20"/>
              </w:rPr>
            </w:pPr>
            <w:r>
              <w:rPr>
                <w:rFonts w:ascii="Times New Roman"/>
                <w:w w:val="95"/>
                <w:sz w:val="20"/>
              </w:rPr>
              <w:t>1,792,000.00</w:t>
            </w:r>
            <w:r>
              <w:rPr>
                <w:rFonts w:ascii="Times New Roman"/>
                <w:sz w:val="20"/>
              </w:rPr>
            </w:r>
          </w:p>
        </w:tc>
        <w:tc>
          <w:tcPr>
            <w:tcW w:w="958"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811,950.44</w:t>
            </w:r>
            <w:r>
              <w:rPr>
                <w:rFonts w:ascii="Times New Roman"/>
                <w:sz w:val="20"/>
              </w:rPr>
            </w:r>
          </w:p>
        </w:tc>
        <w:tc>
          <w:tcPr>
            <w:tcW w:w="1513"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6"/>
              <w:jc w:val="right"/>
              <w:rPr>
                <w:rFonts w:ascii="Times New Roman" w:hAnsi="Times New Roman" w:cs="Times New Roman" w:eastAsia="Times New Roman" w:hint="default"/>
                <w:sz w:val="20"/>
                <w:szCs w:val="20"/>
              </w:rPr>
            </w:pPr>
            <w:r>
              <w:rPr>
                <w:rFonts w:ascii="Times New Roman"/>
                <w:w w:val="95"/>
                <w:sz w:val="20"/>
              </w:rPr>
              <w:t>8,088,316.23</w:t>
            </w:r>
            <w:r>
              <w:rPr>
                <w:rFonts w:ascii="Times New Roman"/>
                <w:sz w:val="20"/>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554"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基于智能化固体绝缘开关技术提升固体柜</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的技术改造项目</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6"/>
              <w:jc w:val="right"/>
              <w:rPr>
                <w:rFonts w:ascii="Times New Roman" w:hAnsi="Times New Roman" w:cs="Times New Roman" w:eastAsia="Times New Roman" w:hint="default"/>
                <w:sz w:val="20"/>
                <w:szCs w:val="20"/>
              </w:rPr>
            </w:pPr>
            <w:r>
              <w:rPr>
                <w:rFonts w:ascii="Times New Roman"/>
                <w:w w:val="95"/>
                <w:sz w:val="20"/>
              </w:rPr>
              <w:t>2,590,000.00</w:t>
            </w:r>
            <w:r>
              <w:rPr>
                <w:rFonts w:ascii="Times New Roman"/>
                <w:sz w:val="20"/>
              </w:rPr>
            </w:r>
          </w:p>
        </w:tc>
        <w:tc>
          <w:tcPr>
            <w:tcW w:w="151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3"/>
              <w:jc w:val="right"/>
              <w:rPr>
                <w:rFonts w:ascii="Times New Roman" w:hAnsi="Times New Roman" w:cs="Times New Roman" w:eastAsia="Times New Roman" w:hint="default"/>
                <w:sz w:val="20"/>
                <w:szCs w:val="20"/>
              </w:rPr>
            </w:pPr>
            <w:r>
              <w:rPr>
                <w:rFonts w:ascii="Times New Roman"/>
                <w:w w:val="95"/>
                <w:sz w:val="20"/>
              </w:rPr>
              <w:t>280,583.33</w:t>
            </w:r>
            <w:r>
              <w:rPr>
                <w:rFonts w:ascii="Times New Roman"/>
                <w:sz w:val="20"/>
              </w:rPr>
            </w:r>
          </w:p>
        </w:tc>
        <w:tc>
          <w:tcPr>
            <w:tcW w:w="1513"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6"/>
              <w:jc w:val="right"/>
              <w:rPr>
                <w:rFonts w:ascii="Times New Roman" w:hAnsi="Times New Roman" w:cs="Times New Roman" w:eastAsia="Times New Roman" w:hint="default"/>
                <w:sz w:val="20"/>
                <w:szCs w:val="20"/>
              </w:rPr>
            </w:pPr>
            <w:r>
              <w:rPr>
                <w:rFonts w:ascii="Times New Roman"/>
                <w:w w:val="95"/>
                <w:sz w:val="20"/>
              </w:rPr>
              <w:t>2,309,416.67</w:t>
            </w:r>
            <w:r>
              <w:rPr>
                <w:rFonts w:ascii="Times New Roman"/>
                <w:sz w:val="20"/>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0"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554"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特殊环境下应急电源系统研究与应用示范</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6"/>
              <w:jc w:val="right"/>
              <w:rPr>
                <w:rFonts w:ascii="Times New Roman" w:hAnsi="Times New Roman" w:cs="Times New Roman" w:eastAsia="Times New Roman" w:hint="default"/>
                <w:sz w:val="20"/>
                <w:szCs w:val="20"/>
              </w:rPr>
            </w:pPr>
            <w:r>
              <w:rPr>
                <w:rFonts w:ascii="Times New Roman"/>
                <w:w w:val="95"/>
                <w:sz w:val="20"/>
              </w:rPr>
              <w:t>12,090,000.00</w:t>
            </w:r>
            <w:r>
              <w:rPr>
                <w:rFonts w:ascii="Times New Roman"/>
                <w:sz w:val="20"/>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9"/>
              <w:jc w:val="right"/>
              <w:rPr>
                <w:rFonts w:ascii="Times New Roman" w:hAnsi="Times New Roman" w:cs="Times New Roman" w:eastAsia="Times New Roman" w:hint="default"/>
                <w:sz w:val="20"/>
                <w:szCs w:val="20"/>
              </w:rPr>
            </w:pPr>
            <w:r>
              <w:rPr>
                <w:rFonts w:ascii="Times New Roman"/>
                <w:w w:val="95"/>
                <w:sz w:val="20"/>
              </w:rPr>
              <w:t>1,880,000.00</w:t>
            </w:r>
            <w:r>
              <w:rPr>
                <w:rFonts w:ascii="Times New Roman"/>
                <w:sz w:val="20"/>
              </w:rPr>
            </w:r>
          </w:p>
        </w:tc>
        <w:tc>
          <w:tcPr>
            <w:tcW w:w="958"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7"/>
              <w:jc w:val="right"/>
              <w:rPr>
                <w:rFonts w:ascii="Times New Roman" w:hAnsi="Times New Roman" w:cs="Times New Roman" w:eastAsia="Times New Roman" w:hint="default"/>
                <w:sz w:val="20"/>
                <w:szCs w:val="20"/>
              </w:rPr>
            </w:pPr>
            <w:r>
              <w:rPr>
                <w:rFonts w:ascii="Times New Roman"/>
                <w:w w:val="95"/>
                <w:sz w:val="20"/>
              </w:rPr>
              <w:t>7,128,160.00</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6"/>
              <w:jc w:val="right"/>
              <w:rPr>
                <w:rFonts w:ascii="Times New Roman" w:hAnsi="Times New Roman" w:cs="Times New Roman" w:eastAsia="Times New Roman" w:hint="default"/>
                <w:sz w:val="20"/>
                <w:szCs w:val="20"/>
              </w:rPr>
            </w:pPr>
            <w:r>
              <w:rPr>
                <w:rFonts w:ascii="Times New Roman"/>
                <w:w w:val="95"/>
                <w:sz w:val="20"/>
              </w:rPr>
              <w:t>6,841,840.00</w:t>
            </w:r>
            <w:r>
              <w:rPr>
                <w:rFonts w:ascii="Times New Roman"/>
                <w:sz w:val="20"/>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0"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283"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新型智能化低压成套开关设备提升项目</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9"/>
              <w:jc w:val="right"/>
              <w:rPr>
                <w:rFonts w:ascii="Times New Roman" w:hAnsi="Times New Roman" w:cs="Times New Roman" w:eastAsia="Times New Roman" w:hint="default"/>
                <w:sz w:val="20"/>
                <w:szCs w:val="20"/>
              </w:rPr>
            </w:pPr>
            <w:r>
              <w:rPr>
                <w:rFonts w:ascii="Times New Roman"/>
                <w:w w:val="95"/>
                <w:sz w:val="20"/>
              </w:rPr>
              <w:t>1,850,000.00</w:t>
            </w:r>
            <w:r>
              <w:rPr>
                <w:rFonts w:ascii="Times New Roman"/>
                <w:sz w:val="20"/>
              </w:rPr>
            </w:r>
          </w:p>
        </w:tc>
        <w:tc>
          <w:tcPr>
            <w:tcW w:w="958"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92,500.02</w:t>
            </w:r>
            <w:r>
              <w:rPr>
                <w:rFonts w:ascii="Times New Roman"/>
                <w:sz w:val="20"/>
              </w:rPr>
            </w:r>
          </w:p>
        </w:tc>
        <w:tc>
          <w:tcPr>
            <w:tcW w:w="1513"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6"/>
              <w:jc w:val="right"/>
              <w:rPr>
                <w:rFonts w:ascii="Times New Roman" w:hAnsi="Times New Roman" w:cs="Times New Roman" w:eastAsia="Times New Roman" w:hint="default"/>
                <w:sz w:val="20"/>
                <w:szCs w:val="20"/>
              </w:rPr>
            </w:pPr>
            <w:r>
              <w:rPr>
                <w:rFonts w:ascii="Times New Roman"/>
                <w:w w:val="95"/>
                <w:sz w:val="20"/>
              </w:rPr>
              <w:t>1,757,499.98</w:t>
            </w:r>
            <w:r>
              <w:rPr>
                <w:rFonts w:ascii="Times New Roman"/>
                <w:sz w:val="20"/>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554"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基于多能协同的综合能源智能管控服务平</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台</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8"/>
              <w:jc w:val="right"/>
              <w:rPr>
                <w:rFonts w:ascii="Times New Roman" w:hAnsi="Times New Roman" w:cs="Times New Roman" w:eastAsia="Times New Roman" w:hint="default"/>
                <w:sz w:val="20"/>
                <w:szCs w:val="20"/>
              </w:rPr>
            </w:pPr>
            <w:r>
              <w:rPr>
                <w:rFonts w:ascii="Times New Roman"/>
                <w:w w:val="95"/>
                <w:sz w:val="20"/>
              </w:rPr>
              <w:t>800,000.00</w:t>
            </w:r>
            <w:r>
              <w:rPr>
                <w:rFonts w:ascii="Times New Roman"/>
                <w:sz w:val="20"/>
              </w:rPr>
            </w:r>
          </w:p>
        </w:tc>
        <w:tc>
          <w:tcPr>
            <w:tcW w:w="958"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6"/>
              <w:jc w:val="right"/>
              <w:rPr>
                <w:rFonts w:ascii="Times New Roman" w:hAnsi="Times New Roman" w:cs="Times New Roman" w:eastAsia="Times New Roman" w:hint="default"/>
                <w:sz w:val="20"/>
                <w:szCs w:val="20"/>
              </w:rPr>
            </w:pPr>
            <w:r>
              <w:rPr>
                <w:rFonts w:ascii="Times New Roman"/>
                <w:w w:val="95"/>
                <w:sz w:val="20"/>
              </w:rPr>
              <w:t>800,000.00</w:t>
            </w:r>
            <w:r>
              <w:rPr>
                <w:rFonts w:ascii="Times New Roman"/>
                <w:sz w:val="20"/>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0"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284" w:hRule="exact"/>
        </w:trPr>
        <w:tc>
          <w:tcPr>
            <w:tcW w:w="4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6"/>
              <w:jc w:val="right"/>
              <w:rPr>
                <w:rFonts w:ascii="Times New Roman" w:hAnsi="Times New Roman" w:cs="Times New Roman" w:eastAsia="Times New Roman" w:hint="default"/>
                <w:sz w:val="20"/>
                <w:szCs w:val="20"/>
              </w:rPr>
            </w:pPr>
            <w:r>
              <w:rPr>
                <w:rFonts w:ascii="Times New Roman"/>
                <w:w w:val="95"/>
                <w:sz w:val="20"/>
              </w:rPr>
              <w:t>56,743,338.62</w:t>
            </w:r>
            <w:r>
              <w:rPr>
                <w:rFonts w:ascii="Times New Roman"/>
                <w:sz w:val="20"/>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9"/>
              <w:jc w:val="right"/>
              <w:rPr>
                <w:rFonts w:ascii="Times New Roman" w:hAnsi="Times New Roman" w:cs="Times New Roman" w:eastAsia="Times New Roman" w:hint="default"/>
                <w:sz w:val="20"/>
                <w:szCs w:val="20"/>
              </w:rPr>
            </w:pPr>
            <w:r>
              <w:rPr>
                <w:rFonts w:ascii="Times New Roman"/>
                <w:w w:val="95"/>
                <w:sz w:val="20"/>
              </w:rPr>
              <w:t>8,742,000.00</w:t>
            </w:r>
            <w:r>
              <w:rPr>
                <w:rFonts w:ascii="Times New Roman"/>
                <w:sz w:val="20"/>
              </w:rPr>
            </w:r>
          </w:p>
        </w:tc>
        <w:tc>
          <w:tcPr>
            <w:tcW w:w="958"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5,600,185.62</w:t>
            </w:r>
            <w:r>
              <w:rPr>
                <w:rFonts w:ascii="Times New Roman"/>
                <w:sz w:val="20"/>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7"/>
              <w:jc w:val="right"/>
              <w:rPr>
                <w:rFonts w:ascii="Times New Roman" w:hAnsi="Times New Roman" w:cs="Times New Roman" w:eastAsia="Times New Roman" w:hint="default"/>
                <w:sz w:val="20"/>
                <w:szCs w:val="20"/>
              </w:rPr>
            </w:pPr>
            <w:r>
              <w:rPr>
                <w:rFonts w:ascii="Times New Roman"/>
                <w:w w:val="95"/>
                <w:sz w:val="20"/>
              </w:rPr>
              <w:t>7,428,160.00</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6"/>
              <w:jc w:val="right"/>
              <w:rPr>
                <w:rFonts w:ascii="Times New Roman" w:hAnsi="Times New Roman" w:cs="Times New Roman" w:eastAsia="Times New Roman" w:hint="default"/>
                <w:sz w:val="20"/>
                <w:szCs w:val="20"/>
              </w:rPr>
            </w:pPr>
            <w:r>
              <w:rPr>
                <w:rFonts w:ascii="Times New Roman"/>
                <w:w w:val="95"/>
                <w:sz w:val="20"/>
              </w:rPr>
              <w:t>52,456,993.00</w:t>
            </w:r>
            <w:r>
              <w:rPr>
                <w:rFonts w:ascii="Times New Roman"/>
                <w:sz w:val="20"/>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spacing w:after="0" w:line="241" w:lineRule="exact"/>
        <w:jc w:val="left"/>
        <w:rPr>
          <w:rFonts w:ascii="宋体" w:hAnsi="宋体" w:cs="宋体" w:eastAsia="宋体" w:hint="default"/>
          <w:sz w:val="21"/>
          <w:szCs w:val="21"/>
        </w:rPr>
        <w:sectPr>
          <w:footerReference w:type="default" r:id="rId66"/>
          <w:pgSz w:w="16840" w:h="11910" w:orient="landscape"/>
          <w:pgMar w:footer="1195" w:header="882" w:top="1120" w:bottom="1380" w:left="1300" w:right="1200"/>
        </w:sectPr>
      </w:pPr>
    </w:p>
    <w:p>
      <w:pPr>
        <w:pStyle w:val="Heading3"/>
        <w:spacing w:line="274" w:lineRule="exact"/>
        <w:ind w:left="224" w:right="0"/>
        <w:jc w:val="left"/>
        <w:rPr>
          <w:rFonts w:ascii="宋体" w:hAnsi="宋体" w:cs="宋体" w:eastAsia="宋体" w:hint="default"/>
        </w:rPr>
      </w:pPr>
      <w:r>
        <w:rPr>
          <w:rFonts w:ascii="宋体"/>
        </w:rPr>
        <w:t> </w:t>
      </w:r>
    </w:p>
    <w:p>
      <w:pPr>
        <w:pStyle w:val="Heading3"/>
        <w:spacing w:line="240" w:lineRule="auto" w:before="55"/>
        <w:ind w:left="224" w:right="0"/>
        <w:jc w:val="left"/>
        <w:rPr>
          <w:rFonts w:ascii="宋体" w:hAnsi="宋体" w:cs="宋体" w:eastAsia="宋体" w:hint="default"/>
        </w:rPr>
      </w:pPr>
      <w:bookmarkStart w:name="OLE_LINK84" w:id="16"/>
      <w:bookmarkEnd w:id="16"/>
      <w:r>
        <w:rPr/>
      </w:r>
      <w:bookmarkStart w:name="OLE_LINK85" w:id="17"/>
      <w:bookmarkEnd w:id="17"/>
      <w:r>
        <w:rPr/>
      </w:r>
      <w:r>
        <w:rPr/>
        <w:t>其他说明：</w:t>
      </w:r>
      <w:r>
        <w:rPr>
          <w:rFonts w:ascii="宋体" w:hAnsi="宋体" w:cs="宋体" w:eastAsia="宋体" w:hint="default"/>
        </w:rPr>
        <w:t> </w:t>
      </w:r>
    </w:p>
    <w:p>
      <w:pPr>
        <w:pStyle w:val="Heading3"/>
        <w:spacing w:line="240" w:lineRule="auto" w:before="58"/>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240" w:lineRule="auto" w:before="58"/>
        <w:ind w:left="224" w:right="0"/>
        <w:jc w:val="left"/>
        <w:rPr>
          <w:rFonts w:ascii="宋体" w:hAnsi="宋体" w:cs="宋体" w:eastAsia="宋体" w:hint="default"/>
        </w:rPr>
      </w:pPr>
      <w:r>
        <w:rPr>
          <w:rFonts w:ascii="宋体"/>
        </w:rPr>
        <w:t> </w:t>
      </w:r>
    </w:p>
    <w:p>
      <w:pPr>
        <w:pStyle w:val="Heading5"/>
        <w:spacing w:line="240" w:lineRule="auto"/>
        <w:ind w:left="224" w:right="0"/>
        <w:jc w:val="left"/>
        <w:rPr>
          <w:rFonts w:ascii="宋体" w:hAnsi="宋体" w:cs="宋体" w:eastAsia="宋体" w:hint="default"/>
          <w:b w:val="0"/>
          <w:bCs w:val="0"/>
        </w:rPr>
      </w:pPr>
      <w:r>
        <w:rPr>
          <w:rFonts w:ascii="宋体" w:hAnsi="宋体" w:cs="宋体" w:eastAsia="宋体" w:hint="default"/>
        </w:rPr>
        <w:t>50</w:t>
      </w:r>
      <w:r>
        <w:rPr/>
        <w:t>、</w:t>
      </w:r>
      <w:r>
        <w:rPr>
          <w:spacing w:val="-25"/>
        </w:rPr>
        <w:t> </w:t>
      </w:r>
      <w:r>
        <w:rPr/>
        <w:t>其他非流动负债</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224" w:right="0"/>
        <w:jc w:val="left"/>
        <w:rPr>
          <w:rFonts w:ascii="宋体" w:hAnsi="宋体" w:cs="宋体" w:eastAsia="宋体" w:hint="default"/>
        </w:rPr>
      </w:pPr>
      <w:r>
        <w:rPr>
          <w:rFonts w:ascii="宋体"/>
        </w:rPr>
        <w:t> </w:t>
      </w:r>
    </w:p>
    <w:p>
      <w:pPr>
        <w:pStyle w:val="Heading5"/>
        <w:spacing w:line="240" w:lineRule="auto" w:before="62"/>
        <w:ind w:left="224" w:right="0"/>
        <w:jc w:val="left"/>
        <w:rPr>
          <w:rFonts w:ascii="宋体" w:hAnsi="宋体" w:cs="宋体" w:eastAsia="宋体" w:hint="default"/>
          <w:b w:val="0"/>
          <w:bCs w:val="0"/>
        </w:rPr>
      </w:pPr>
      <w:r>
        <w:rPr>
          <w:rFonts w:ascii="宋体" w:hAnsi="宋体" w:cs="宋体" w:eastAsia="宋体" w:hint="default"/>
        </w:rPr>
        <w:t>51</w:t>
      </w:r>
      <w:r>
        <w:rPr/>
        <w:t>、</w:t>
      </w:r>
      <w:r>
        <w:rPr>
          <w:spacing w:val="-24"/>
        </w:rPr>
        <w:t> </w:t>
      </w:r>
      <w:r>
        <w:rPr/>
        <w:t>股本</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1"/>
          <w:szCs w:val="21"/>
        </w:rPr>
      </w:pPr>
    </w:p>
    <w:p>
      <w:pPr>
        <w:pStyle w:val="BodyText"/>
        <w:spacing w:line="240" w:lineRule="auto"/>
        <w:ind w:left="224" w:right="0"/>
        <w:jc w:val="left"/>
        <w:rPr>
          <w:rFonts w:ascii="宋体" w:hAnsi="宋体" w:cs="宋体" w:eastAsia="宋体" w:hint="default"/>
          <w:sz w:val="24"/>
          <w:szCs w:val="24"/>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6840" w:h="11910" w:orient="landscape"/>
          <w:pgMar w:top="1120" w:bottom="1380" w:left="1300" w:right="1200"/>
          <w:cols w:num="2" w:equalWidth="0">
            <w:col w:w="2311" w:space="9252"/>
            <w:col w:w="2777"/>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300"/>
        <w:gridCol w:w="2019"/>
        <w:gridCol w:w="1730"/>
        <w:gridCol w:w="1584"/>
        <w:gridCol w:w="1726"/>
        <w:gridCol w:w="1298"/>
        <w:gridCol w:w="1731"/>
        <w:gridCol w:w="1702"/>
      </w:tblGrid>
      <w:tr>
        <w:trPr>
          <w:trHeight w:val="283" w:hRule="exact"/>
        </w:trPr>
        <w:tc>
          <w:tcPr>
            <w:tcW w:w="2300" w:type="dxa"/>
            <w:vMerge w:val="restart"/>
            <w:tcBorders>
              <w:top w:val="single" w:sz="4" w:space="0" w:color="000000"/>
              <w:left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w w:val="100"/>
                <w:sz w:val="21"/>
              </w:rPr>
              <w:t> </w:t>
            </w:r>
          </w:p>
        </w:tc>
        <w:tc>
          <w:tcPr>
            <w:tcW w:w="20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8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80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 </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2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2300" w:type="dxa"/>
            <w:vMerge/>
            <w:tcBorders>
              <w:left w:val="single" w:sz="4" w:space="0" w:color="000000"/>
              <w:bottom w:val="single" w:sz="4" w:space="0" w:color="000000"/>
              <w:right w:val="single" w:sz="4" w:space="0" w:color="000000"/>
            </w:tcBorders>
          </w:tcPr>
          <w:p>
            <w:pPr/>
          </w:p>
        </w:tc>
        <w:tc>
          <w:tcPr>
            <w:tcW w:w="2019" w:type="dxa"/>
            <w:vMerge/>
            <w:tcBorders>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50" w:right="0"/>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z w:val="21"/>
                <w:szCs w:val="21"/>
              </w:rPr>
              <w:t> </w:t>
            </w:r>
          </w:p>
          <w:p>
            <w:pPr>
              <w:pStyle w:val="TableParagraph"/>
              <w:spacing w:line="273" w:lineRule="exact"/>
              <w:ind w:left="650" w:right="0"/>
              <w:jc w:val="left"/>
              <w:rPr>
                <w:rFonts w:ascii="宋体" w:hAnsi="宋体" w:cs="宋体" w:eastAsia="宋体" w:hint="default"/>
                <w:sz w:val="21"/>
                <w:szCs w:val="21"/>
              </w:rPr>
            </w:pPr>
            <w:r>
              <w:rPr>
                <w:rFonts w:ascii="宋体" w:hAnsi="宋体" w:cs="宋体" w:eastAsia="宋体" w:hint="default"/>
                <w:sz w:val="21"/>
                <w:szCs w:val="21"/>
              </w:rPr>
              <w:t>新股</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75" w:right="0"/>
              <w:jc w:val="left"/>
              <w:rPr>
                <w:rFonts w:ascii="宋体" w:hAnsi="宋体" w:cs="宋体" w:eastAsia="宋体" w:hint="default"/>
                <w:sz w:val="21"/>
                <w:szCs w:val="21"/>
              </w:rPr>
            </w:pPr>
            <w:r>
              <w:rPr>
                <w:rFonts w:ascii="宋体" w:hAnsi="宋体" w:cs="宋体" w:eastAsia="宋体" w:hint="default"/>
                <w:sz w:val="21"/>
                <w:szCs w:val="21"/>
              </w:rPr>
              <w:t>送股</w:t>
            </w:r>
            <w:r>
              <w:rPr>
                <w:rFonts w:ascii="宋体" w:hAnsi="宋体" w:cs="宋体" w:eastAsia="宋体" w:hint="default"/>
                <w:sz w:val="21"/>
                <w:szCs w:val="21"/>
              </w:rPr>
              <w:t> </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center"/>
              <w:rPr>
                <w:rFonts w:ascii="宋体" w:hAnsi="宋体" w:cs="宋体" w:eastAsia="宋体" w:hint="default"/>
                <w:sz w:val="21"/>
                <w:szCs w:val="21"/>
              </w:rPr>
            </w:pPr>
            <w:r>
              <w:rPr>
                <w:rFonts w:ascii="宋体" w:hAnsi="宋体" w:cs="宋体" w:eastAsia="宋体" w:hint="default"/>
                <w:sz w:val="21"/>
                <w:szCs w:val="21"/>
              </w:rPr>
              <w:t>公积金</w:t>
            </w:r>
            <w:r>
              <w:rPr>
                <w:rFonts w:ascii="宋体" w:hAnsi="宋体" w:cs="宋体" w:eastAsia="宋体" w:hint="default"/>
                <w:sz w:val="21"/>
                <w:szCs w:val="21"/>
              </w:rPr>
              <w:t> </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转股</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3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702" w:type="dxa"/>
            <w:vMerge/>
            <w:tcBorders>
              <w:left w:val="single" w:sz="4" w:space="0" w:color="000000"/>
              <w:bottom w:val="single" w:sz="4" w:space="0" w:color="000000"/>
              <w:right w:val="single" w:sz="4" w:space="0" w:color="000000"/>
            </w:tcBorders>
          </w:tcPr>
          <w:p>
            <w:pP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5" w:right="0"/>
              <w:jc w:val="left"/>
              <w:rPr>
                <w:rFonts w:ascii="宋体" w:hAnsi="宋体" w:cs="宋体" w:eastAsia="宋体" w:hint="default"/>
                <w:sz w:val="24"/>
                <w:szCs w:val="24"/>
              </w:rPr>
            </w:pPr>
            <w:r>
              <w:rPr>
                <w:rFonts w:ascii="宋体" w:hAnsi="宋体" w:cs="宋体" w:eastAsia="宋体" w:hint="default"/>
                <w:sz w:val="21"/>
                <w:szCs w:val="21"/>
              </w:rPr>
              <w:t>股份总数</w:t>
            </w:r>
            <w:r>
              <w:rPr>
                <w:rFonts w:ascii="宋体" w:hAnsi="宋体" w:cs="宋体" w:eastAsia="宋体" w:hint="default"/>
                <w:sz w:val="24"/>
                <w:szCs w:val="24"/>
              </w:rPr>
              <w:t> </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655" w:right="0"/>
              <w:jc w:val="left"/>
              <w:rPr>
                <w:rFonts w:ascii="Times New Roman" w:hAnsi="Times New Roman" w:cs="Times New Roman" w:eastAsia="Times New Roman" w:hint="default"/>
                <w:sz w:val="20"/>
                <w:szCs w:val="20"/>
              </w:rPr>
            </w:pPr>
            <w:r>
              <w:rPr>
                <w:rFonts w:ascii="Times New Roman"/>
                <w:sz w:val="20"/>
              </w:rPr>
              <w:t>866,298,784.00</w:t>
            </w:r>
          </w:p>
        </w:tc>
        <w:tc>
          <w:tcPr>
            <w:tcW w:w="1730"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340" w:right="0"/>
              <w:jc w:val="left"/>
              <w:rPr>
                <w:rFonts w:ascii="Times New Roman" w:hAnsi="Times New Roman" w:cs="Times New Roman" w:eastAsia="Times New Roman" w:hint="default"/>
                <w:sz w:val="20"/>
                <w:szCs w:val="20"/>
              </w:rPr>
            </w:pPr>
            <w:r>
              <w:rPr>
                <w:rFonts w:ascii="Times New Roman"/>
                <w:sz w:val="20"/>
              </w:rPr>
              <w:t>866,298,784.00</w:t>
            </w:r>
          </w:p>
        </w:tc>
      </w:tr>
    </w:tbl>
    <w:p>
      <w:pPr>
        <w:pStyle w:val="Heading3"/>
        <w:spacing w:line="240" w:lineRule="auto" w:before="19"/>
        <w:ind w:left="224"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type w:val="continuous"/>
          <w:pgSz w:w="16840" w:h="11910" w:orient="landscape"/>
          <w:pgMar w:top="1120" w:bottom="1380" w:left="1300" w:right="1200"/>
        </w:sectPr>
      </w:pPr>
    </w:p>
    <w:p>
      <w:pPr>
        <w:pStyle w:val="Heading5"/>
        <w:spacing w:line="290" w:lineRule="auto" w:before="117"/>
        <w:ind w:left="224" w:right="0"/>
        <w:jc w:val="left"/>
        <w:rPr>
          <w:rFonts w:ascii="宋体" w:hAnsi="宋体" w:cs="宋体" w:eastAsia="宋体" w:hint="default"/>
          <w:b w:val="0"/>
          <w:bCs w:val="0"/>
        </w:rPr>
      </w:pPr>
      <w:r>
        <w:rPr>
          <w:rFonts w:ascii="宋体" w:hAnsi="宋体" w:cs="宋体" w:eastAsia="宋体" w:hint="default"/>
        </w:rPr>
        <w:t>52</w:t>
      </w:r>
      <w:r>
        <w:rPr/>
        <w:t>、</w:t>
      </w:r>
      <w:r>
        <w:rPr>
          <w:spacing w:val="-24"/>
        </w:rPr>
        <w:t> </w:t>
      </w:r>
      <w:r>
        <w:rPr/>
        <w:t>其他权益工具</w:t>
      </w:r>
      <w:r>
        <w:rPr>
          <w:rFonts w:ascii="宋体" w:hAnsi="宋体" w:cs="宋体" w:eastAsia="宋体" w:hint="default"/>
          <w:w w:val="99"/>
        </w:rPr>
        <w:t> </w:t>
      </w:r>
      <w:r>
        <w:rPr>
          <w:rFonts w:ascii="宋体" w:hAnsi="宋体" w:cs="宋体" w:eastAsia="宋体" w:hint="default"/>
        </w:rPr>
        <w:t>(1).</w:t>
      </w:r>
      <w:r>
        <w:rPr/>
        <w:t>期末发行在外的优先股、永续债等其他金融工具基本情况</w:t>
      </w:r>
      <w:r>
        <w:rPr>
          <w:rFonts w:ascii="宋体" w:hAnsi="宋体" w:cs="宋体" w:eastAsia="宋体" w:hint="default"/>
          <w:w w:val="99"/>
        </w:rPr>
        <w:t> </w:t>
      </w:r>
      <w:r>
        <w:rPr>
          <w:rFonts w:ascii="宋体" w:hAnsi="宋体" w:cs="宋体" w:eastAsia="宋体" w:hint="default"/>
          <w:b w:val="0"/>
          <w:bCs w:val="0"/>
        </w:rPr>
      </w:r>
    </w:p>
    <w:p>
      <w:pPr>
        <w:pStyle w:val="Heading3"/>
        <w:spacing w:line="312" w:lineRule="exact" w:before="8"/>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left="224" w:right="0"/>
        <w:jc w:val="left"/>
        <w:rPr>
          <w:rFonts w:ascii="宋体" w:hAnsi="宋体" w:cs="宋体" w:eastAsia="宋体" w:hint="default"/>
        </w:rPr>
      </w:pPr>
      <w:r>
        <w:rPr>
          <w:rFonts w:ascii="宋体"/>
        </w:rPr>
        <w:t> </w:t>
      </w:r>
    </w:p>
    <w:p>
      <w:pPr>
        <w:pStyle w:val="Heading5"/>
        <w:spacing w:line="240" w:lineRule="auto"/>
        <w:ind w:left="224" w:right="0"/>
        <w:jc w:val="left"/>
        <w:rPr>
          <w:rFonts w:ascii="宋体" w:hAnsi="宋体" w:cs="宋体" w:eastAsia="宋体" w:hint="default"/>
          <w:b w:val="0"/>
          <w:bCs w:val="0"/>
        </w:rPr>
      </w:pPr>
      <w:r>
        <w:rPr>
          <w:rFonts w:ascii="宋体" w:hAnsi="宋体" w:cs="宋体" w:eastAsia="宋体" w:hint="default"/>
        </w:rPr>
        <w:t>(2).</w:t>
      </w:r>
      <w:r>
        <w:rPr/>
        <w:t>期末发行在外的优先股、永续债等金融工具变动情况表</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1" w:lineRule="exact" w:before="4"/>
        <w:ind w:left="224" w:right="0"/>
        <w:jc w:val="left"/>
        <w:rPr>
          <w:rFonts w:ascii="宋体" w:hAnsi="宋体" w:cs="宋体" w:eastAsia="宋体" w:hint="default"/>
        </w:rPr>
      </w:pPr>
      <w:r>
        <w:rPr/>
        <w:t>其他权益工具本期增减变动情况、变动原因说明，以及相关会计处理的依据：</w:t>
      </w:r>
      <w:r>
        <w:rPr>
          <w:rFonts w:ascii="宋体" w:hAnsi="宋体" w:cs="宋体" w:eastAsia="宋体" w:hint="default"/>
        </w:rPr>
        <w:t> </w:t>
      </w:r>
    </w:p>
    <w:p>
      <w:pPr>
        <w:pStyle w:val="Heading3"/>
        <w:spacing w:line="308" w:lineRule="exact"/>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left="224" w:right="0"/>
        <w:jc w:val="left"/>
        <w:rPr>
          <w:rFonts w:ascii="宋体" w:hAnsi="宋体" w:cs="宋体" w:eastAsia="宋体" w:hint="default"/>
        </w:rPr>
      </w:pPr>
      <w:r>
        <w:rPr>
          <w:rFonts w:ascii="宋体"/>
        </w:rPr>
        <w:t> </w:t>
      </w:r>
    </w:p>
    <w:p>
      <w:pPr>
        <w:pStyle w:val="Heading4"/>
        <w:spacing w:line="286" w:lineRule="exact"/>
        <w:ind w:right="0"/>
        <w:jc w:val="left"/>
        <w:rPr>
          <w:rFonts w:ascii="宋体" w:hAnsi="宋体" w:cs="宋体" w:eastAsia="宋体" w:hint="default"/>
        </w:rPr>
      </w:pPr>
      <w:r>
        <w:rPr/>
        <w:t>其他说明</w:t>
      </w:r>
      <w:r>
        <w:rPr>
          <w:rFonts w:ascii="宋体" w:hAnsi="宋体" w:cs="宋体" w:eastAsia="宋体" w:hint="default"/>
        </w:rPr>
        <w:t>: </w:t>
      </w:r>
    </w:p>
    <w:p>
      <w:pPr>
        <w:pStyle w:val="Heading3"/>
        <w:spacing w:line="311" w:lineRule="exact"/>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224" w:right="0"/>
        <w:jc w:val="left"/>
        <w:rPr>
          <w:rFonts w:ascii="宋体" w:hAnsi="宋体" w:cs="宋体" w:eastAsia="宋体" w:hint="default"/>
        </w:rPr>
      </w:pPr>
      <w:r>
        <w:rPr>
          <w:rFonts w:ascii="宋体"/>
        </w:rPr>
        <w:t> </w:t>
      </w:r>
    </w:p>
    <w:p>
      <w:pPr>
        <w:pStyle w:val="Heading5"/>
        <w:spacing w:line="240" w:lineRule="auto" w:before="61"/>
        <w:ind w:left="224" w:right="0"/>
        <w:jc w:val="left"/>
        <w:rPr>
          <w:rFonts w:ascii="宋体" w:hAnsi="宋体" w:cs="宋体" w:eastAsia="宋体" w:hint="default"/>
          <w:b w:val="0"/>
          <w:bCs w:val="0"/>
        </w:rPr>
      </w:pPr>
      <w:r>
        <w:rPr>
          <w:rFonts w:ascii="宋体" w:hAnsi="宋体" w:cs="宋体" w:eastAsia="宋体" w:hint="default"/>
        </w:rPr>
        <w:t>53</w:t>
      </w:r>
      <w:r>
        <w:rPr/>
        <w:t>、</w:t>
      </w:r>
      <w:r>
        <w:rPr>
          <w:spacing w:val="-26"/>
        </w:rPr>
        <w:t> </w:t>
      </w:r>
      <w:r>
        <w:rPr/>
        <w:t>资本公积</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16"/>
          <w:szCs w:val="16"/>
        </w:rPr>
      </w:pPr>
    </w:p>
    <w:p>
      <w:pPr>
        <w:pStyle w:val="BodyText"/>
        <w:spacing w:line="240" w:lineRule="auto"/>
        <w:ind w:left="224" w:right="0"/>
        <w:jc w:val="left"/>
        <w:rPr>
          <w:rFonts w:ascii="宋体" w:hAnsi="宋体" w:cs="宋体" w:eastAsia="宋体" w:hint="default"/>
          <w:sz w:val="24"/>
          <w:szCs w:val="24"/>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footerReference w:type="default" r:id="rId67"/>
          <w:pgSz w:w="16840" w:h="11910" w:orient="landscape"/>
          <w:pgMar w:footer="1195" w:header="882" w:top="1120" w:bottom="1380" w:left="1300" w:right="1200"/>
          <w:pgNumType w:start="151"/>
          <w:cols w:num="2" w:equalWidth="0">
            <w:col w:w="7476" w:space="4087"/>
            <w:col w:w="2777"/>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657"/>
        <w:gridCol w:w="2835"/>
        <w:gridCol w:w="2888"/>
        <w:gridCol w:w="2861"/>
        <w:gridCol w:w="2861"/>
      </w:tblGrid>
      <w:tr>
        <w:trPr>
          <w:trHeight w:val="283"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资本溢价（股本溢价）</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2,402,129,813.63</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22,984,951.82</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43,708,325.99</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2,381,406,439.46</w:t>
            </w:r>
          </w:p>
        </w:tc>
      </w:tr>
      <w:tr>
        <w:trPr>
          <w:trHeight w:val="283"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其他资本公积</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86,858,048.80</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28,960,221.91</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22,984,951.82</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92,833,318.89</w:t>
            </w:r>
          </w:p>
        </w:tc>
      </w:tr>
      <w:tr>
        <w:trPr>
          <w:trHeight w:val="283"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2,488,987,862.43</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51,945,173.73</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66,693,277.81</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2,474,239,758.35</w:t>
            </w:r>
          </w:p>
        </w:tc>
      </w:tr>
    </w:tbl>
    <w:p>
      <w:pPr>
        <w:spacing w:line="240" w:lineRule="auto" w:before="13"/>
        <w:rPr>
          <w:rFonts w:ascii="宋体" w:hAnsi="宋体" w:cs="宋体" w:eastAsia="宋体" w:hint="default"/>
          <w:sz w:val="12"/>
          <w:szCs w:val="12"/>
        </w:rPr>
      </w:pPr>
    </w:p>
    <w:p>
      <w:pPr>
        <w:pStyle w:val="BodyText"/>
        <w:spacing w:line="274" w:lineRule="exact" w:before="36"/>
        <w:ind w:left="224" w:right="0"/>
        <w:jc w:val="left"/>
        <w:rPr>
          <w:rFonts w:ascii="宋体" w:hAnsi="宋体" w:cs="宋体" w:eastAsia="宋体" w:hint="default"/>
        </w:rPr>
      </w:pPr>
      <w:r>
        <w:rPr/>
        <w:t>其他说明，包括本期增减变动情况、变动原因说明：</w:t>
      </w:r>
      <w:r>
        <w:rPr>
          <w:rFonts w:ascii="宋体" w:hAnsi="宋体" w:cs="宋体" w:eastAsia="宋体" w:hint="default"/>
        </w:rPr>
        <w:t> </w:t>
      </w:r>
    </w:p>
    <w:p>
      <w:pPr>
        <w:pStyle w:val="BodyText"/>
        <w:spacing w:line="272" w:lineRule="exact"/>
        <w:ind w:left="224" w:right="0"/>
        <w:jc w:val="left"/>
        <w:rPr>
          <w:rFonts w:ascii="宋体" w:hAnsi="宋体" w:cs="宋体" w:eastAsia="宋体" w:hint="default"/>
        </w:rPr>
      </w:pPr>
      <w:r>
        <w:rPr/>
        <w:t>注</w:t>
      </w:r>
      <w:r>
        <w:rPr>
          <w:spacing w:val="-56"/>
        </w:rPr>
        <w:t> </w:t>
      </w:r>
      <w:r>
        <w:rPr>
          <w:rFonts w:ascii="宋体" w:hAnsi="宋体" w:cs="宋体" w:eastAsia="宋体" w:hint="default"/>
        </w:rPr>
        <w:t>1</w:t>
      </w:r>
      <w:r>
        <w:rPr/>
        <w:t>：本期资本公积</w:t>
      </w:r>
      <w:r>
        <w:rPr>
          <w:rFonts w:ascii="宋体" w:hAnsi="宋体" w:cs="宋体" w:eastAsia="宋体" w:hint="default"/>
        </w:rPr>
        <w:t>-</w:t>
      </w:r>
      <w:r>
        <w:rPr/>
        <w:t>其他资本公积增主要为</w:t>
      </w:r>
      <w:r>
        <w:rPr>
          <w:spacing w:val="-56"/>
        </w:rPr>
        <w:t> </w:t>
      </w:r>
      <w:r>
        <w:rPr>
          <w:rFonts w:ascii="宋体" w:hAnsi="宋体" w:cs="宋体" w:eastAsia="宋体" w:hint="default"/>
        </w:rPr>
        <w:t>2019</w:t>
      </w:r>
      <w:r>
        <w:rPr>
          <w:rFonts w:ascii="宋体" w:hAnsi="宋体" w:cs="宋体" w:eastAsia="宋体" w:hint="default"/>
          <w:spacing w:val="-59"/>
        </w:rPr>
        <w:t> </w:t>
      </w:r>
      <w:r>
        <w:rPr/>
        <w:t>年股份支付费用及本公司收购子公司泰豪软件股份有限公司少数股东股权所致；</w:t>
      </w:r>
      <w:r>
        <w:rPr>
          <w:rFonts w:ascii="宋体" w:hAnsi="宋体" w:cs="宋体" w:eastAsia="宋体" w:hint="default"/>
        </w:rPr>
        <w:t> </w:t>
      </w:r>
    </w:p>
    <w:p>
      <w:pPr>
        <w:pStyle w:val="BodyText"/>
        <w:spacing w:line="240" w:lineRule="auto"/>
        <w:ind w:left="224" w:right="855"/>
        <w:jc w:val="left"/>
        <w:rPr>
          <w:rFonts w:ascii="宋体" w:hAnsi="宋体" w:cs="宋体" w:eastAsia="宋体" w:hint="default"/>
        </w:rPr>
      </w:pPr>
      <w:r>
        <w:rPr/>
        <w:t>注</w:t>
      </w:r>
      <w:r>
        <w:rPr>
          <w:spacing w:val="-56"/>
        </w:rPr>
        <w:t> </w:t>
      </w:r>
      <w:r>
        <w:rPr>
          <w:rFonts w:ascii="宋体" w:hAnsi="宋体" w:cs="宋体" w:eastAsia="宋体" w:hint="default"/>
        </w:rPr>
        <w:t>2</w:t>
      </w:r>
      <w:r>
        <w:rPr/>
        <w:t>：本期资本公积</w:t>
      </w:r>
      <w:r>
        <w:rPr>
          <w:rFonts w:ascii="宋体" w:hAnsi="宋体" w:cs="宋体" w:eastAsia="宋体" w:hint="default"/>
        </w:rPr>
        <w:t>-</w:t>
      </w:r>
      <w:r>
        <w:rPr/>
        <w:t>其他资本公积减少及资本溢价增加系股份支付本期解锁限制性股票所确认的股份支付费用由其他资本公积转入资本溢价；</w:t>
      </w:r>
      <w:r>
        <w:rPr>
          <w:rFonts w:ascii="宋体" w:hAnsi="宋体" w:cs="宋体" w:eastAsia="宋体" w:hint="default"/>
          <w:w w:val="100"/>
        </w:rPr>
        <w:t> </w:t>
      </w:r>
      <w:r>
        <w:rPr/>
        <w:t>注</w:t>
      </w:r>
      <w:r>
        <w:rPr>
          <w:spacing w:val="9"/>
        </w:rPr>
        <w:t> </w:t>
      </w:r>
      <w:r>
        <w:rPr>
          <w:rFonts w:ascii="宋体" w:hAnsi="宋体" w:cs="宋体" w:eastAsia="宋体" w:hint="default"/>
          <w:spacing w:val="-2"/>
        </w:rPr>
        <w:t>3</w:t>
      </w:r>
      <w:r>
        <w:rPr>
          <w:spacing w:val="-2"/>
        </w:rPr>
        <w:t>：本期资本公积</w:t>
      </w:r>
      <w:r>
        <w:rPr>
          <w:rFonts w:ascii="宋体" w:hAnsi="宋体" w:cs="宋体" w:eastAsia="宋体" w:hint="default"/>
          <w:spacing w:val="-2"/>
        </w:rPr>
        <w:t>-</w:t>
      </w:r>
      <w:r>
        <w:rPr>
          <w:spacing w:val="-2"/>
        </w:rPr>
        <w:t>资本溢价减少主要系股份支付激励限制性股票本期解禁。</w:t>
      </w:r>
      <w:r>
        <w:rPr>
          <w:rFonts w:ascii="宋体" w:hAnsi="宋体" w:cs="宋体" w:eastAsia="宋体" w:hint="default"/>
          <w:spacing w:val="-2"/>
        </w:rPr>
        <w:t> </w:t>
      </w:r>
    </w:p>
    <w:p>
      <w:pPr>
        <w:pStyle w:val="Heading3"/>
        <w:spacing w:line="304" w:lineRule="exact"/>
        <w:ind w:left="224" w:right="0"/>
        <w:jc w:val="left"/>
        <w:rPr>
          <w:rFonts w:ascii="宋体" w:hAnsi="宋体" w:cs="宋体" w:eastAsia="宋体" w:hint="default"/>
        </w:rPr>
      </w:pPr>
      <w:r>
        <w:rPr>
          <w:rFonts w:ascii="宋体"/>
        </w:rPr>
        <w:t> </w:t>
      </w:r>
    </w:p>
    <w:p>
      <w:pPr>
        <w:pStyle w:val="Heading5"/>
        <w:spacing w:line="240" w:lineRule="auto"/>
        <w:ind w:left="224" w:right="0"/>
        <w:jc w:val="left"/>
        <w:rPr>
          <w:rFonts w:ascii="宋体" w:hAnsi="宋体" w:cs="宋体" w:eastAsia="宋体" w:hint="default"/>
          <w:b w:val="0"/>
          <w:bCs w:val="0"/>
        </w:rPr>
      </w:pPr>
      <w:r>
        <w:rPr>
          <w:rFonts w:ascii="宋体" w:hAnsi="宋体" w:cs="宋体" w:eastAsia="宋体" w:hint="default"/>
        </w:rPr>
        <w:t>54</w:t>
      </w:r>
      <w:r>
        <w:rPr/>
        <w:t>、</w:t>
      </w:r>
      <w:r>
        <w:rPr>
          <w:spacing w:val="-23"/>
        </w:rPr>
        <w:t> </w:t>
      </w:r>
      <w:r>
        <w:rPr/>
        <w:t>库存股</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left="0" w:right="132"/>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664"/>
        <w:gridCol w:w="2816"/>
        <w:gridCol w:w="2859"/>
        <w:gridCol w:w="2881"/>
        <w:gridCol w:w="2882"/>
      </w:tblGrid>
      <w:tr>
        <w:trPr>
          <w:trHeight w:val="283" w:hRule="exact"/>
        </w:trPr>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3"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5"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bl>
    <w:p>
      <w:pPr>
        <w:spacing w:after="0" w:line="243" w:lineRule="exact"/>
        <w:jc w:val="left"/>
        <w:rPr>
          <w:rFonts w:ascii="宋体" w:hAnsi="宋体" w:cs="宋体" w:eastAsia="宋体" w:hint="default"/>
          <w:sz w:val="21"/>
          <w:szCs w:val="21"/>
        </w:rPr>
        <w:sectPr>
          <w:type w:val="continuous"/>
          <w:pgSz w:w="16840" w:h="11910" w:orient="landscape"/>
          <w:pgMar w:top="1120" w:bottom="1380" w:left="1300" w:right="1200"/>
        </w:sectPr>
      </w:pPr>
    </w:p>
    <w:p>
      <w:pPr>
        <w:spacing w:line="240" w:lineRule="auto" w:before="7"/>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2664"/>
        <w:gridCol w:w="2816"/>
        <w:gridCol w:w="2859"/>
        <w:gridCol w:w="2881"/>
        <w:gridCol w:w="2882"/>
      </w:tblGrid>
      <w:tr>
        <w:trPr>
          <w:trHeight w:val="281" w:hRule="exact"/>
        </w:trPr>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限制性股权</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174,824,068.42</w:t>
            </w:r>
          </w:p>
        </w:tc>
        <w:tc>
          <w:tcPr>
            <w:tcW w:w="2859" w:type="dxa"/>
            <w:tcBorders>
              <w:top w:val="single" w:sz="4" w:space="0" w:color="000000"/>
              <w:left w:val="single" w:sz="4" w:space="0" w:color="000000"/>
              <w:bottom w:val="single" w:sz="4" w:space="0" w:color="000000"/>
              <w:right w:val="single" w:sz="4" w:space="0" w:color="000000"/>
            </w:tcBorders>
          </w:tcPr>
          <w:p>
            <w:pP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84,050,121.96</w:t>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90,773,946.46</w:t>
            </w:r>
          </w:p>
        </w:tc>
      </w:tr>
      <w:tr>
        <w:trPr>
          <w:trHeight w:val="283" w:hRule="exact"/>
        </w:trPr>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174,824,068.42</w:t>
            </w:r>
          </w:p>
        </w:tc>
        <w:tc>
          <w:tcPr>
            <w:tcW w:w="2859" w:type="dxa"/>
            <w:tcBorders>
              <w:top w:val="single" w:sz="4" w:space="0" w:color="000000"/>
              <w:left w:val="single" w:sz="4" w:space="0" w:color="000000"/>
              <w:bottom w:val="single" w:sz="4" w:space="0" w:color="000000"/>
              <w:right w:val="single" w:sz="4" w:space="0" w:color="000000"/>
            </w:tcBorders>
          </w:tcPr>
          <w:p>
            <w:pP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84,050,121.96</w:t>
            </w:r>
          </w:p>
        </w:tc>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90,773,946.46</w:t>
            </w:r>
          </w:p>
        </w:tc>
      </w:tr>
    </w:tbl>
    <w:p>
      <w:pPr>
        <w:pStyle w:val="BodyText"/>
        <w:spacing w:line="240" w:lineRule="exact"/>
        <w:ind w:left="224" w:right="0"/>
        <w:jc w:val="left"/>
        <w:rPr>
          <w:rFonts w:ascii="宋体" w:hAnsi="宋体" w:cs="宋体" w:eastAsia="宋体" w:hint="default"/>
        </w:rPr>
      </w:pPr>
      <w:r>
        <w:rPr/>
        <w:t>其他说明，包括本期增减变动情况、变动原因说明：</w:t>
      </w:r>
      <w:r>
        <w:rPr>
          <w:rFonts w:ascii="宋体" w:hAnsi="宋体" w:cs="宋体" w:eastAsia="宋体" w:hint="default"/>
        </w:rPr>
        <w:t> </w:t>
      </w:r>
    </w:p>
    <w:p>
      <w:pPr>
        <w:pStyle w:val="BodyText"/>
        <w:spacing w:line="274" w:lineRule="exact"/>
        <w:ind w:left="644" w:right="0"/>
        <w:jc w:val="left"/>
        <w:rPr>
          <w:rFonts w:ascii="宋体" w:hAnsi="宋体" w:cs="宋体" w:eastAsia="宋体" w:hint="default"/>
          <w:sz w:val="18"/>
          <w:szCs w:val="18"/>
        </w:rPr>
      </w:pPr>
      <w:r>
        <w:rPr/>
        <w:t>注：本期减少</w:t>
      </w:r>
      <w:r>
        <w:rPr>
          <w:spacing w:val="-57"/>
        </w:rPr>
        <w:t> </w:t>
      </w:r>
      <w:r>
        <w:rPr>
          <w:rFonts w:ascii="宋体" w:hAnsi="宋体" w:cs="宋体" w:eastAsia="宋体" w:hint="default"/>
        </w:rPr>
        <w:t>84,050,121.96</w:t>
      </w:r>
      <w:r>
        <w:rPr>
          <w:rFonts w:ascii="宋体" w:hAnsi="宋体" w:cs="宋体" w:eastAsia="宋体" w:hint="default"/>
          <w:spacing w:val="-57"/>
        </w:rPr>
        <w:t> </w:t>
      </w:r>
      <w:r>
        <w:rPr/>
        <w:t>元系股权激励限制性股票解禁。</w:t>
      </w:r>
      <w:r>
        <w:rPr>
          <w:rFonts w:ascii="宋体" w:hAnsi="宋体" w:cs="宋体" w:eastAsia="宋体" w:hint="default"/>
          <w:sz w:val="18"/>
          <w:szCs w:val="18"/>
        </w:rPr>
        <w:t> </w:t>
      </w:r>
    </w:p>
    <w:p>
      <w:pPr>
        <w:pStyle w:val="Heading3"/>
        <w:spacing w:line="304" w:lineRule="exact"/>
        <w:ind w:left="224" w:right="0"/>
        <w:jc w:val="left"/>
        <w:rPr>
          <w:rFonts w:ascii="宋体" w:hAnsi="宋体" w:cs="宋体" w:eastAsia="宋体" w:hint="default"/>
        </w:rPr>
      </w:pPr>
      <w:r>
        <w:rPr>
          <w:rFonts w:ascii="宋体"/>
        </w:rPr>
        <w:t> </w:t>
      </w:r>
    </w:p>
    <w:p>
      <w:pPr>
        <w:pStyle w:val="Heading5"/>
        <w:spacing w:line="240" w:lineRule="auto"/>
        <w:ind w:left="224" w:right="0"/>
        <w:jc w:val="left"/>
        <w:rPr>
          <w:rFonts w:ascii="宋体" w:hAnsi="宋体" w:cs="宋体" w:eastAsia="宋体" w:hint="default"/>
          <w:b w:val="0"/>
          <w:bCs w:val="0"/>
        </w:rPr>
      </w:pPr>
      <w:r>
        <w:rPr>
          <w:rFonts w:ascii="宋体" w:hAnsi="宋体" w:cs="宋体" w:eastAsia="宋体" w:hint="default"/>
        </w:rPr>
        <w:t>55</w:t>
      </w:r>
      <w:r>
        <w:rPr/>
        <w:t>、</w:t>
      </w:r>
      <w:r>
        <w:rPr>
          <w:spacing w:val="-25"/>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6840" w:h="11910" w:orient="landscape"/>
          <w:pgMar w:header="882" w:footer="1195" w:top="1120" w:bottom="1380" w:left="1300" w:right="1200"/>
        </w:sectPr>
      </w:pPr>
    </w:p>
    <w:p>
      <w:pPr>
        <w:pStyle w:val="BodyText"/>
        <w:spacing w:line="240" w:lineRule="auto" w:before="117"/>
        <w:ind w:left="0" w:right="98"/>
        <w:jc w:val="right"/>
        <w:rPr>
          <w:rFonts w:ascii="宋体" w:hAnsi="宋体" w:cs="宋体" w:eastAsia="宋体" w:hint="default"/>
          <w:sz w:val="24"/>
          <w:szCs w:val="24"/>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sz w:val="24"/>
          <w:szCs w:val="24"/>
        </w:rPr>
        <w:t> </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568"/>
        <w:gridCol w:w="1565"/>
        <w:gridCol w:w="1568"/>
        <w:gridCol w:w="1565"/>
        <w:gridCol w:w="1568"/>
        <w:gridCol w:w="1567"/>
        <w:gridCol w:w="1568"/>
        <w:gridCol w:w="1570"/>
        <w:gridCol w:w="1553"/>
      </w:tblGrid>
      <w:tr>
        <w:trPr>
          <w:trHeight w:val="283" w:hRule="exact"/>
        </w:trPr>
        <w:tc>
          <w:tcPr>
            <w:tcW w:w="15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569"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568" w:right="458"/>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940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本期发生金额</w:t>
            </w:r>
            <w:r>
              <w:rPr>
                <w:rFonts w:ascii="宋体" w:hAnsi="宋体" w:cs="宋体" w:eastAsia="宋体" w:hint="default"/>
                <w:sz w:val="21"/>
                <w:szCs w:val="21"/>
              </w:rPr>
              <w:t> </w:t>
            </w:r>
          </w:p>
        </w:tc>
        <w:tc>
          <w:tcPr>
            <w:tcW w:w="15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564" w:right="451"/>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1099" w:hRule="exact"/>
        </w:trPr>
        <w:tc>
          <w:tcPr>
            <w:tcW w:w="1568" w:type="dxa"/>
            <w:vMerge/>
            <w:tcBorders>
              <w:left w:val="single" w:sz="4" w:space="0" w:color="000000"/>
              <w:bottom w:val="single" w:sz="4" w:space="0" w:color="000000"/>
              <w:right w:val="single" w:sz="4" w:space="0" w:color="000000"/>
            </w:tcBorders>
          </w:tcPr>
          <w:p>
            <w:pPr/>
          </w:p>
        </w:tc>
        <w:tc>
          <w:tcPr>
            <w:tcW w:w="1565" w:type="dxa"/>
            <w:vMerge/>
            <w:tcBorders>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63" w:right="144" w:hanging="315"/>
              <w:jc w:val="left"/>
              <w:rPr>
                <w:rFonts w:ascii="宋体" w:hAnsi="宋体" w:cs="宋体" w:eastAsia="宋体" w:hint="default"/>
                <w:sz w:val="21"/>
                <w:szCs w:val="21"/>
              </w:rPr>
            </w:pPr>
            <w:r>
              <w:rPr>
                <w:rFonts w:ascii="宋体" w:hAnsi="宋体" w:cs="宋体" w:eastAsia="宋体" w:hint="default"/>
                <w:sz w:val="21"/>
                <w:szCs w:val="21"/>
              </w:rPr>
              <w:t>本期所得税前</w:t>
            </w:r>
            <w:r>
              <w:rPr>
                <w:rFonts w:ascii="宋体" w:hAnsi="宋体" w:cs="宋体" w:eastAsia="宋体" w:hint="default"/>
                <w:w w:val="100"/>
                <w:sz w:val="21"/>
                <w:szCs w:val="21"/>
              </w:rPr>
              <w:t> </w:t>
            </w:r>
            <w:r>
              <w:rPr>
                <w:rFonts w:ascii="宋体" w:hAnsi="宋体" w:cs="宋体" w:eastAsia="宋体" w:hint="default"/>
                <w:sz w:val="21"/>
                <w:szCs w:val="21"/>
              </w:rPr>
              <w:t>发生额</w:t>
            </w:r>
            <w:r>
              <w:rPr>
                <w:rFonts w:ascii="宋体" w:hAnsi="宋体" w:cs="宋体" w:eastAsia="宋体" w:hint="default"/>
                <w:sz w:val="21"/>
                <w:szCs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48" w:right="38"/>
              <w:jc w:val="both"/>
              <w:rPr>
                <w:rFonts w:ascii="宋体" w:hAnsi="宋体" w:cs="宋体" w:eastAsia="宋体" w:hint="default"/>
                <w:sz w:val="21"/>
                <w:szCs w:val="21"/>
              </w:rPr>
            </w:pPr>
            <w:r>
              <w:rPr>
                <w:rFonts w:ascii="宋体" w:hAnsi="宋体" w:cs="宋体" w:eastAsia="宋体" w:hint="default"/>
                <w:sz w:val="21"/>
                <w:szCs w:val="21"/>
              </w:rPr>
              <w:t>减：前期计入</w:t>
            </w:r>
            <w:r>
              <w:rPr>
                <w:rFonts w:ascii="宋体" w:hAnsi="宋体" w:cs="宋体" w:eastAsia="宋体" w:hint="default"/>
                <w:w w:val="100"/>
                <w:sz w:val="21"/>
                <w:szCs w:val="21"/>
              </w:rPr>
              <w:t> </w:t>
            </w:r>
            <w:r>
              <w:rPr>
                <w:rFonts w:ascii="宋体" w:hAnsi="宋体" w:cs="宋体" w:eastAsia="宋体" w:hint="default"/>
                <w:sz w:val="21"/>
                <w:szCs w:val="21"/>
              </w:rPr>
              <w:t>其他综合收益</w:t>
            </w:r>
            <w:r>
              <w:rPr>
                <w:rFonts w:ascii="宋体" w:hAnsi="宋体" w:cs="宋体" w:eastAsia="宋体" w:hint="default"/>
                <w:w w:val="100"/>
                <w:sz w:val="21"/>
                <w:szCs w:val="21"/>
              </w:rPr>
              <w:t> </w:t>
            </w:r>
            <w:r>
              <w:rPr>
                <w:rFonts w:ascii="宋体" w:hAnsi="宋体" w:cs="宋体" w:eastAsia="宋体" w:hint="default"/>
                <w:sz w:val="21"/>
                <w:szCs w:val="21"/>
              </w:rPr>
              <w:t>当期转入损益</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 w:right="0"/>
              <w:jc w:val="center"/>
              <w:rPr>
                <w:rFonts w:ascii="宋体" w:hAnsi="宋体" w:cs="宋体" w:eastAsia="宋体" w:hint="default"/>
                <w:sz w:val="21"/>
                <w:szCs w:val="21"/>
              </w:rPr>
            </w:pPr>
            <w:r>
              <w:rPr>
                <w:rFonts w:ascii="宋体" w:hAnsi="宋体" w:cs="宋体" w:eastAsia="宋体" w:hint="default"/>
                <w:sz w:val="21"/>
                <w:szCs w:val="21"/>
              </w:rPr>
              <w:t>减：前期计入</w:t>
            </w:r>
          </w:p>
          <w:p>
            <w:pPr>
              <w:pStyle w:val="TableParagraph"/>
              <w:spacing w:line="237" w:lineRule="auto"/>
              <w:ind w:left="151" w:right="142"/>
              <w:jc w:val="center"/>
              <w:rPr>
                <w:rFonts w:ascii="宋体" w:hAnsi="宋体" w:cs="宋体" w:eastAsia="宋体" w:hint="default"/>
                <w:sz w:val="21"/>
                <w:szCs w:val="21"/>
              </w:rPr>
            </w:pPr>
            <w:r>
              <w:rPr>
                <w:rFonts w:ascii="宋体" w:hAnsi="宋体" w:cs="宋体" w:eastAsia="宋体" w:hint="default"/>
                <w:spacing w:val="-1"/>
                <w:sz w:val="21"/>
                <w:szCs w:val="21"/>
              </w:rPr>
              <w:t>其他综合收益</w:t>
            </w:r>
            <w:r>
              <w:rPr>
                <w:rFonts w:ascii="宋体" w:hAnsi="宋体" w:cs="宋体" w:eastAsia="宋体" w:hint="default"/>
                <w:w w:val="100"/>
                <w:sz w:val="21"/>
                <w:szCs w:val="21"/>
              </w:rPr>
              <w:t> </w:t>
            </w:r>
            <w:r>
              <w:rPr>
                <w:rFonts w:ascii="宋体" w:hAnsi="宋体" w:cs="宋体" w:eastAsia="宋体" w:hint="default"/>
                <w:spacing w:val="-1"/>
                <w:sz w:val="21"/>
                <w:szCs w:val="21"/>
              </w:rPr>
              <w:t>当期转入留存</w:t>
            </w:r>
            <w:r>
              <w:rPr>
                <w:rFonts w:ascii="宋体" w:hAnsi="宋体" w:cs="宋体" w:eastAsia="宋体" w:hint="default"/>
                <w:w w:val="100"/>
                <w:sz w:val="21"/>
                <w:szCs w:val="21"/>
              </w:rPr>
              <w:t> </w:t>
            </w:r>
            <w:r>
              <w:rPr>
                <w:rFonts w:ascii="宋体" w:hAnsi="宋体" w:cs="宋体" w:eastAsia="宋体" w:hint="default"/>
                <w:sz w:val="21"/>
                <w:szCs w:val="21"/>
              </w:rPr>
              <w:t>收益</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74" w:right="141" w:hanging="524"/>
              <w:jc w:val="left"/>
              <w:rPr>
                <w:rFonts w:ascii="宋体" w:hAnsi="宋体" w:cs="宋体" w:eastAsia="宋体" w:hint="default"/>
                <w:sz w:val="21"/>
                <w:szCs w:val="21"/>
              </w:rPr>
            </w:pPr>
            <w:r>
              <w:rPr>
                <w:rFonts w:ascii="宋体" w:hAnsi="宋体" w:cs="宋体" w:eastAsia="宋体" w:hint="default"/>
                <w:sz w:val="21"/>
                <w:szCs w:val="21"/>
              </w:rPr>
              <w:t>减：所得税费</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71" w:right="142" w:hanging="420"/>
              <w:jc w:val="left"/>
              <w:rPr>
                <w:rFonts w:ascii="宋体" w:hAnsi="宋体" w:cs="宋体" w:eastAsia="宋体" w:hint="default"/>
                <w:sz w:val="21"/>
                <w:szCs w:val="21"/>
              </w:rPr>
            </w:pPr>
            <w:r>
              <w:rPr>
                <w:rFonts w:ascii="宋体" w:hAnsi="宋体" w:cs="宋体" w:eastAsia="宋体" w:hint="default"/>
                <w:sz w:val="21"/>
                <w:szCs w:val="21"/>
              </w:rPr>
              <w:t>税后归属于母</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65" w:right="144" w:hanging="315"/>
              <w:jc w:val="left"/>
              <w:rPr>
                <w:rFonts w:ascii="宋体" w:hAnsi="宋体" w:cs="宋体" w:eastAsia="宋体" w:hint="default"/>
                <w:sz w:val="21"/>
                <w:szCs w:val="21"/>
              </w:rPr>
            </w:pPr>
            <w:r>
              <w:rPr>
                <w:rFonts w:ascii="宋体" w:hAnsi="宋体" w:cs="宋体" w:eastAsia="宋体" w:hint="default"/>
                <w:sz w:val="21"/>
                <w:szCs w:val="21"/>
              </w:rPr>
              <w:t>税后归属于少</w:t>
            </w:r>
            <w:r>
              <w:rPr>
                <w:rFonts w:ascii="宋体" w:hAnsi="宋体" w:cs="宋体" w:eastAsia="宋体" w:hint="default"/>
                <w:w w:val="100"/>
                <w:sz w:val="21"/>
                <w:szCs w:val="21"/>
              </w:rPr>
              <w:t> </w:t>
            </w:r>
            <w:r>
              <w:rPr>
                <w:rFonts w:ascii="宋体" w:hAnsi="宋体" w:cs="宋体" w:eastAsia="宋体" w:hint="default"/>
                <w:sz w:val="21"/>
                <w:szCs w:val="21"/>
              </w:rPr>
              <w:t>数股东</w:t>
            </w:r>
            <w:r>
              <w:rPr>
                <w:rFonts w:ascii="宋体" w:hAnsi="宋体" w:cs="宋体" w:eastAsia="宋体" w:hint="default"/>
                <w:sz w:val="21"/>
                <w:szCs w:val="21"/>
              </w:rPr>
              <w:t> </w:t>
            </w:r>
          </w:p>
        </w:tc>
        <w:tc>
          <w:tcPr>
            <w:tcW w:w="1553" w:type="dxa"/>
            <w:vMerge/>
            <w:tcBorders>
              <w:left w:val="single" w:sz="4" w:space="0" w:color="000000"/>
              <w:bottom w:val="single" w:sz="4" w:space="0" w:color="000000"/>
              <w:right w:val="single" w:sz="4" w:space="0" w:color="000000"/>
            </w:tcBorders>
          </w:tcPr>
          <w:p>
            <w:pPr/>
          </w:p>
        </w:tc>
      </w:tr>
      <w:tr>
        <w:trPr>
          <w:trHeight w:val="826"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一、</w:t>
            </w:r>
            <w:r>
              <w:rPr>
                <w:rFonts w:ascii="宋体" w:hAnsi="宋体" w:cs="宋体" w:eastAsia="宋体" w:hint="default"/>
                <w:spacing w:val="-73"/>
                <w:sz w:val="21"/>
                <w:szCs w:val="21"/>
              </w:rPr>
              <w:t> </w:t>
            </w:r>
            <w:r>
              <w:rPr>
                <w:rFonts w:ascii="宋体" w:hAnsi="宋体" w:cs="宋体" w:eastAsia="宋体" w:hint="default"/>
                <w:spacing w:val="11"/>
                <w:sz w:val="21"/>
                <w:szCs w:val="21"/>
              </w:rPr>
              <w:t>不能重分</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13"/>
                <w:sz w:val="21"/>
                <w:szCs w:val="21"/>
              </w:rPr>
              <w:t>类进损益的其</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他综合收益</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r>
      <w:tr>
        <w:trPr>
          <w:trHeight w:val="829"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其中：重新计</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13"/>
                <w:sz w:val="21"/>
                <w:szCs w:val="21"/>
              </w:rPr>
              <w:t>量设定受益计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划变动额</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r>
      <w:tr>
        <w:trPr>
          <w:trHeight w:val="828"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211"/>
              <w:jc w:val="left"/>
              <w:rPr>
                <w:rFonts w:ascii="宋体" w:hAnsi="宋体" w:cs="宋体" w:eastAsia="宋体" w:hint="default"/>
                <w:sz w:val="21"/>
                <w:szCs w:val="21"/>
              </w:rPr>
            </w:pPr>
            <w:r>
              <w:rPr>
                <w:rFonts w:ascii="宋体" w:hAnsi="宋体" w:cs="宋体" w:eastAsia="宋体" w:hint="default"/>
                <w:spacing w:val="16"/>
                <w:sz w:val="21"/>
                <w:szCs w:val="21"/>
              </w:rPr>
              <w:t>权益法下不</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13"/>
                <w:sz w:val="21"/>
                <w:szCs w:val="21"/>
              </w:rPr>
              <w:t>能转损益的其</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他综合收益</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r>
      <w:tr>
        <w:trPr>
          <w:trHeight w:val="826"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其他权益工</w:t>
            </w:r>
          </w:p>
          <w:p>
            <w:pPr>
              <w:pStyle w:val="TableParagraph"/>
              <w:spacing w:line="240" w:lineRule="auto"/>
              <w:ind w:left="103" w:right="190"/>
              <w:jc w:val="left"/>
              <w:rPr>
                <w:rFonts w:ascii="宋体" w:hAnsi="宋体" w:cs="宋体" w:eastAsia="宋体" w:hint="default"/>
                <w:sz w:val="21"/>
                <w:szCs w:val="21"/>
              </w:rPr>
            </w:pPr>
            <w:r>
              <w:rPr>
                <w:rFonts w:ascii="宋体" w:hAnsi="宋体" w:cs="宋体" w:eastAsia="宋体" w:hint="default"/>
                <w:sz w:val="21"/>
                <w:szCs w:val="21"/>
              </w:rPr>
              <w:t>具投资公允价</w:t>
            </w:r>
            <w:r>
              <w:rPr>
                <w:rFonts w:ascii="宋体" w:hAnsi="宋体" w:cs="宋体" w:eastAsia="宋体" w:hint="default"/>
                <w:w w:val="100"/>
                <w:sz w:val="21"/>
                <w:szCs w:val="21"/>
              </w:rPr>
              <w:t> </w:t>
            </w:r>
            <w:r>
              <w:rPr>
                <w:rFonts w:ascii="宋体" w:hAnsi="宋体" w:cs="宋体" w:eastAsia="宋体" w:hint="default"/>
                <w:sz w:val="21"/>
                <w:szCs w:val="21"/>
              </w:rPr>
              <w:t>值变动</w:t>
            </w:r>
            <w:r>
              <w:rPr>
                <w:rFonts w:ascii="宋体" w:hAnsi="宋体" w:cs="宋体" w:eastAsia="宋体" w:hint="default"/>
                <w:sz w:val="21"/>
                <w:szCs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r>
      <w:tr>
        <w:trPr>
          <w:trHeight w:val="828"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企业自身信</w:t>
            </w:r>
          </w:p>
          <w:p>
            <w:pPr>
              <w:pStyle w:val="TableParagraph"/>
              <w:spacing w:line="272" w:lineRule="exact" w:before="27"/>
              <w:ind w:left="103" w:right="190"/>
              <w:jc w:val="left"/>
              <w:rPr>
                <w:rFonts w:ascii="宋体" w:hAnsi="宋体" w:cs="宋体" w:eastAsia="宋体" w:hint="default"/>
                <w:sz w:val="21"/>
                <w:szCs w:val="21"/>
              </w:rPr>
            </w:pPr>
            <w:r>
              <w:rPr>
                <w:rFonts w:ascii="宋体" w:hAnsi="宋体" w:cs="宋体" w:eastAsia="宋体" w:hint="default"/>
                <w:sz w:val="21"/>
                <w:szCs w:val="21"/>
              </w:rPr>
              <w:t>用风险公允价</w:t>
            </w:r>
            <w:r>
              <w:rPr>
                <w:rFonts w:ascii="宋体" w:hAnsi="宋体" w:cs="宋体" w:eastAsia="宋体" w:hint="default"/>
                <w:w w:val="100"/>
                <w:sz w:val="21"/>
                <w:szCs w:val="21"/>
              </w:rPr>
              <w:t> </w:t>
            </w:r>
            <w:r>
              <w:rPr>
                <w:rFonts w:ascii="宋体" w:hAnsi="宋体" w:cs="宋体" w:eastAsia="宋体" w:hint="default"/>
                <w:sz w:val="21"/>
                <w:szCs w:val="21"/>
              </w:rPr>
              <w:t>值变动</w:t>
            </w:r>
            <w:r>
              <w:rPr>
                <w:rFonts w:ascii="宋体" w:hAnsi="宋体" w:cs="宋体" w:eastAsia="宋体" w:hint="default"/>
                <w:sz w:val="21"/>
                <w:szCs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r>
      <w:tr>
        <w:trPr>
          <w:trHeight w:val="826"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二、</w:t>
            </w:r>
            <w:r>
              <w:rPr>
                <w:rFonts w:ascii="宋体" w:hAnsi="宋体" w:cs="宋体" w:eastAsia="宋体" w:hint="default"/>
                <w:spacing w:val="-73"/>
                <w:sz w:val="21"/>
                <w:szCs w:val="21"/>
              </w:rPr>
              <w:t> </w:t>
            </w:r>
            <w:r>
              <w:rPr>
                <w:rFonts w:ascii="宋体" w:hAnsi="宋体" w:cs="宋体" w:eastAsia="宋体" w:hint="default"/>
                <w:spacing w:val="11"/>
                <w:sz w:val="21"/>
                <w:szCs w:val="21"/>
              </w:rPr>
              <w:t>将重分类</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13"/>
                <w:sz w:val="21"/>
                <w:szCs w:val="21"/>
              </w:rPr>
              <w:t>进损益的其他</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综合收益</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173,389.38</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-2,516.90</w:t>
            </w:r>
          </w:p>
        </w:tc>
        <w:tc>
          <w:tcPr>
            <w:tcW w:w="1565"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52" w:right="0"/>
              <w:jc w:val="left"/>
              <w:rPr>
                <w:rFonts w:ascii="Times New Roman" w:hAnsi="Times New Roman" w:cs="Times New Roman" w:eastAsia="Times New Roman" w:hint="default"/>
                <w:sz w:val="21"/>
                <w:szCs w:val="21"/>
              </w:rPr>
            </w:pPr>
            <w:r>
              <w:rPr>
                <w:rFonts w:ascii="Times New Roman"/>
                <w:sz w:val="21"/>
              </w:rPr>
              <w:t>-2,516.90</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170,872.48</w:t>
            </w:r>
          </w:p>
        </w:tc>
      </w:tr>
      <w:tr>
        <w:trPr>
          <w:trHeight w:val="828"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其中：权益法</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13"/>
                <w:sz w:val="21"/>
                <w:szCs w:val="21"/>
              </w:rPr>
              <w:t>下可转损益的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其他综合收益</w:t>
            </w:r>
          </w:p>
        </w:tc>
        <w:tc>
          <w:tcPr>
            <w:tcW w:w="1565"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其他债权投</w:t>
            </w:r>
          </w:p>
          <w:p>
            <w:pPr>
              <w:pStyle w:val="TableParagraph"/>
              <w:spacing w:line="272" w:lineRule="exact" w:before="27"/>
              <w:ind w:left="103" w:right="190"/>
              <w:jc w:val="left"/>
              <w:rPr>
                <w:rFonts w:ascii="宋体" w:hAnsi="宋体" w:cs="宋体" w:eastAsia="宋体" w:hint="default"/>
                <w:sz w:val="21"/>
                <w:szCs w:val="21"/>
              </w:rPr>
            </w:pPr>
            <w:r>
              <w:rPr>
                <w:rFonts w:ascii="宋体" w:hAnsi="宋体" w:cs="宋体" w:eastAsia="宋体" w:hint="default"/>
                <w:sz w:val="21"/>
                <w:szCs w:val="21"/>
              </w:rPr>
              <w:t>资公允价值变</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sz w:val="21"/>
                <w:szCs w:val="21"/>
              </w:rPr>
              <w:t> </w:t>
            </w:r>
          </w:p>
        </w:tc>
        <w:tc>
          <w:tcPr>
            <w:tcW w:w="1565"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金融资产重</w:t>
            </w:r>
          </w:p>
        </w:tc>
        <w:tc>
          <w:tcPr>
            <w:tcW w:w="1565"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00" w:right="1220"/>
        </w:sectPr>
      </w:pPr>
    </w:p>
    <w:p>
      <w:pPr>
        <w:spacing w:line="240" w:lineRule="auto" w:before="7"/>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568"/>
        <w:gridCol w:w="1565"/>
        <w:gridCol w:w="1568"/>
        <w:gridCol w:w="1565"/>
        <w:gridCol w:w="1568"/>
        <w:gridCol w:w="1567"/>
        <w:gridCol w:w="1568"/>
        <w:gridCol w:w="1570"/>
        <w:gridCol w:w="1553"/>
      </w:tblGrid>
      <w:tr>
        <w:trPr>
          <w:trHeight w:val="826"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分类计入其他</w:t>
            </w:r>
          </w:p>
          <w:p>
            <w:pPr>
              <w:pStyle w:val="TableParagraph"/>
              <w:spacing w:line="240" w:lineRule="auto"/>
              <w:ind w:left="103" w:right="190"/>
              <w:jc w:val="left"/>
              <w:rPr>
                <w:rFonts w:ascii="宋体" w:hAnsi="宋体" w:cs="宋体" w:eastAsia="宋体" w:hint="default"/>
                <w:sz w:val="21"/>
                <w:szCs w:val="21"/>
              </w:rPr>
            </w:pPr>
            <w:r>
              <w:rPr>
                <w:rFonts w:ascii="宋体" w:hAnsi="宋体" w:cs="宋体" w:eastAsia="宋体" w:hint="default"/>
                <w:sz w:val="21"/>
                <w:szCs w:val="21"/>
              </w:rPr>
              <w:t>综合收益的金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1565"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其他债权投</w:t>
            </w:r>
          </w:p>
          <w:p>
            <w:pPr>
              <w:pStyle w:val="TableParagraph"/>
              <w:spacing w:line="272" w:lineRule="exact" w:before="27"/>
              <w:ind w:left="103" w:right="190"/>
              <w:jc w:val="left"/>
              <w:rPr>
                <w:rFonts w:ascii="宋体" w:hAnsi="宋体" w:cs="宋体" w:eastAsia="宋体" w:hint="default"/>
                <w:sz w:val="21"/>
                <w:szCs w:val="21"/>
              </w:rPr>
            </w:pPr>
            <w:r>
              <w:rPr>
                <w:rFonts w:ascii="宋体" w:hAnsi="宋体" w:cs="宋体" w:eastAsia="宋体" w:hint="default"/>
                <w:sz w:val="21"/>
                <w:szCs w:val="21"/>
              </w:rPr>
              <w:t>资信用减值准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sz w:val="21"/>
                <w:szCs w:val="21"/>
              </w:rPr>
              <w:t> </w:t>
            </w:r>
          </w:p>
        </w:tc>
        <w:tc>
          <w:tcPr>
            <w:tcW w:w="1565"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211"/>
              <w:jc w:val="left"/>
              <w:rPr>
                <w:rFonts w:ascii="宋体" w:hAnsi="宋体" w:cs="宋体" w:eastAsia="宋体" w:hint="default"/>
                <w:sz w:val="21"/>
                <w:szCs w:val="21"/>
              </w:rPr>
            </w:pPr>
            <w:r>
              <w:rPr>
                <w:rFonts w:ascii="宋体" w:hAnsi="宋体" w:cs="宋体" w:eastAsia="宋体" w:hint="default"/>
                <w:spacing w:val="16"/>
                <w:sz w:val="21"/>
                <w:szCs w:val="21"/>
              </w:rPr>
              <w:t>现金流量套</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13"/>
                <w:sz w:val="21"/>
                <w:szCs w:val="21"/>
              </w:rPr>
              <w:t>期损益的有效</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部分</w:t>
            </w:r>
          </w:p>
        </w:tc>
        <w:tc>
          <w:tcPr>
            <w:tcW w:w="1565"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pacing w:val="16"/>
                <w:sz w:val="21"/>
                <w:szCs w:val="21"/>
              </w:rPr>
              <w:t>外币财务报</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表折算差额</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173,389.38</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-2,516.90</w:t>
            </w:r>
          </w:p>
        </w:tc>
        <w:tc>
          <w:tcPr>
            <w:tcW w:w="1565"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-2,516.90</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170,872.48</w:t>
            </w:r>
          </w:p>
        </w:tc>
      </w:tr>
      <w:tr>
        <w:trPr>
          <w:trHeight w:val="554"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其他综合收益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173,389.38</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-2,516.90</w:t>
            </w:r>
          </w:p>
        </w:tc>
        <w:tc>
          <w:tcPr>
            <w:tcW w:w="1565"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-2,516.90</w:t>
            </w:r>
          </w:p>
        </w:tc>
        <w:tc>
          <w:tcPr>
            <w:tcW w:w="1570"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170,872.48</w:t>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82" w:footer="1195" w:top="1120" w:bottom="1380" w:left="1300" w:right="1220"/>
        </w:sectPr>
      </w:pPr>
    </w:p>
    <w:p>
      <w:pPr>
        <w:pStyle w:val="Heading3"/>
        <w:spacing w:line="274" w:lineRule="exact"/>
        <w:ind w:left="224" w:right="0"/>
        <w:jc w:val="left"/>
        <w:rPr>
          <w:rFonts w:ascii="宋体" w:hAnsi="宋体" w:cs="宋体" w:eastAsia="宋体" w:hint="default"/>
        </w:rPr>
      </w:pPr>
      <w:r>
        <w:rPr>
          <w:rFonts w:ascii="宋体"/>
        </w:rPr>
        <w:t> </w:t>
      </w:r>
    </w:p>
    <w:p>
      <w:pPr>
        <w:pStyle w:val="Heading5"/>
        <w:spacing w:line="240" w:lineRule="auto"/>
        <w:ind w:left="224" w:right="0"/>
        <w:jc w:val="left"/>
        <w:rPr>
          <w:rFonts w:ascii="宋体" w:hAnsi="宋体" w:cs="宋体" w:eastAsia="宋体" w:hint="default"/>
          <w:b w:val="0"/>
          <w:bCs w:val="0"/>
        </w:rPr>
      </w:pPr>
      <w:r>
        <w:rPr>
          <w:rFonts w:ascii="宋体" w:hAnsi="宋体" w:cs="宋体" w:eastAsia="宋体" w:hint="default"/>
        </w:rPr>
        <w:t>56</w:t>
      </w:r>
      <w:r>
        <w:rPr/>
        <w:t>、</w:t>
      </w:r>
      <w:r>
        <w:rPr>
          <w:spacing w:val="-26"/>
        </w:rPr>
        <w:t> </w:t>
      </w:r>
      <w:r>
        <w:rPr/>
        <w:t>专项储备</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224" w:right="0"/>
        <w:jc w:val="left"/>
        <w:rPr>
          <w:rFonts w:ascii="宋体" w:hAnsi="宋体" w:cs="宋体" w:eastAsia="宋体" w:hint="default"/>
        </w:rPr>
      </w:pPr>
      <w:r>
        <w:rPr>
          <w:rFonts w:ascii="宋体"/>
        </w:rPr>
        <w:t> </w:t>
      </w:r>
    </w:p>
    <w:p>
      <w:pPr>
        <w:pStyle w:val="Heading5"/>
        <w:spacing w:line="240" w:lineRule="auto" w:before="62"/>
        <w:ind w:left="224" w:right="0"/>
        <w:jc w:val="left"/>
        <w:rPr>
          <w:rFonts w:ascii="宋体" w:hAnsi="宋体" w:cs="宋体" w:eastAsia="宋体" w:hint="default"/>
          <w:b w:val="0"/>
          <w:bCs w:val="0"/>
        </w:rPr>
      </w:pPr>
      <w:r>
        <w:rPr>
          <w:rFonts w:ascii="宋体" w:hAnsi="宋体" w:cs="宋体" w:eastAsia="宋体" w:hint="default"/>
        </w:rPr>
        <w:t>57</w:t>
      </w:r>
      <w:r>
        <w:rPr/>
        <w:t>、</w:t>
      </w:r>
      <w:r>
        <w:rPr>
          <w:spacing w:val="-26"/>
        </w:rPr>
        <w:t> </w:t>
      </w:r>
      <w:r>
        <w:rPr/>
        <w:t>盈余公积</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2"/>
          <w:szCs w:val="32"/>
        </w:rPr>
      </w:pPr>
    </w:p>
    <w:p>
      <w:pPr>
        <w:pStyle w:val="BodyText"/>
        <w:spacing w:line="240" w:lineRule="auto"/>
        <w:ind w:left="224" w:right="0"/>
        <w:jc w:val="left"/>
        <w:rPr>
          <w:rFonts w:ascii="宋体" w:hAnsi="宋体" w:cs="宋体" w:eastAsia="宋体" w:hint="default"/>
          <w:sz w:val="24"/>
          <w:szCs w:val="24"/>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6840" w:h="11910" w:orient="landscape"/>
          <w:pgMar w:top="1120" w:bottom="1380" w:left="1300" w:right="1220"/>
          <w:cols w:num="2" w:equalWidth="0">
            <w:col w:w="2265" w:space="9298"/>
            <w:col w:w="2757"/>
          </w:cols>
        </w:sectPr>
      </w:pPr>
    </w:p>
    <w:p>
      <w:pPr>
        <w:spacing w:line="240" w:lineRule="auto" w:before="4"/>
        <w:rPr>
          <w:rFonts w:ascii="宋体" w:hAnsi="宋体" w:cs="宋体" w:eastAsia="宋体" w:hint="default"/>
          <w:sz w:val="2"/>
          <w:szCs w:val="2"/>
        </w:rPr>
      </w:pPr>
    </w:p>
    <w:tbl>
      <w:tblPr>
        <w:tblW w:w="0" w:type="auto"/>
        <w:jc w:val="left"/>
        <w:tblInd w:w="187" w:type="dxa"/>
        <w:tblLayout w:type="fixed"/>
        <w:tblCellMar>
          <w:top w:w="0" w:type="dxa"/>
          <w:left w:w="0" w:type="dxa"/>
          <w:bottom w:w="0" w:type="dxa"/>
          <w:right w:w="0" w:type="dxa"/>
        </w:tblCellMar>
        <w:tblLook w:val="01E0"/>
      </w:tblPr>
      <w:tblGrid>
        <w:gridCol w:w="2621"/>
        <w:gridCol w:w="2818"/>
        <w:gridCol w:w="2825"/>
        <w:gridCol w:w="2845"/>
        <w:gridCol w:w="2827"/>
      </w:tblGrid>
      <w:tr>
        <w:trPr>
          <w:trHeight w:val="283"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6"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8"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r>
              <w:rPr>
                <w:rFonts w:ascii="宋体" w:hAnsi="宋体" w:cs="宋体" w:eastAsia="宋体" w:hint="default"/>
                <w:sz w:val="21"/>
                <w:szCs w:val="21"/>
              </w:rPr>
              <w:t> </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9"/>
              <w:jc w:val="right"/>
              <w:rPr>
                <w:rFonts w:ascii="Times New Roman" w:hAnsi="Times New Roman" w:cs="Times New Roman" w:eastAsia="Times New Roman" w:hint="default"/>
                <w:sz w:val="21"/>
                <w:szCs w:val="21"/>
              </w:rPr>
            </w:pPr>
            <w:r>
              <w:rPr>
                <w:rFonts w:ascii="Times New Roman"/>
                <w:spacing w:val="-1"/>
                <w:sz w:val="21"/>
              </w:rPr>
              <w:t>97,970,211.84</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9"/>
              <w:jc w:val="right"/>
              <w:rPr>
                <w:rFonts w:ascii="Times New Roman" w:hAnsi="Times New Roman" w:cs="Times New Roman" w:eastAsia="Times New Roman" w:hint="default"/>
                <w:sz w:val="21"/>
                <w:szCs w:val="21"/>
              </w:rPr>
            </w:pPr>
            <w:r>
              <w:rPr>
                <w:rFonts w:ascii="Times New Roman"/>
                <w:spacing w:val="-1"/>
                <w:sz w:val="21"/>
              </w:rPr>
              <w:t>6,080,624.74</w:t>
            </w:r>
          </w:p>
        </w:tc>
        <w:tc>
          <w:tcPr>
            <w:tcW w:w="2845" w:type="dxa"/>
            <w:tcBorders>
              <w:top w:val="single" w:sz="4" w:space="0" w:color="000000"/>
              <w:left w:val="single" w:sz="4" w:space="0" w:color="000000"/>
              <w:bottom w:val="single" w:sz="4" w:space="0" w:color="000000"/>
              <w:right w:val="single" w:sz="4" w:space="0" w:color="000000"/>
            </w:tcBorders>
          </w:tcPr>
          <w:p>
            <w:pP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9"/>
              <w:jc w:val="right"/>
              <w:rPr>
                <w:rFonts w:ascii="Times New Roman" w:hAnsi="Times New Roman" w:cs="Times New Roman" w:eastAsia="Times New Roman" w:hint="default"/>
                <w:sz w:val="21"/>
                <w:szCs w:val="21"/>
              </w:rPr>
            </w:pPr>
            <w:r>
              <w:rPr>
                <w:rFonts w:ascii="Times New Roman"/>
                <w:spacing w:val="-1"/>
                <w:sz w:val="21"/>
              </w:rPr>
              <w:t>104,050,836.58</w:t>
            </w:r>
          </w:p>
        </w:tc>
      </w:tr>
      <w:tr>
        <w:trPr>
          <w:trHeight w:val="283"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r>
              <w:rPr>
                <w:rFonts w:ascii="宋体" w:hAnsi="宋体" w:cs="宋体" w:eastAsia="宋体" w:hint="default"/>
                <w:sz w:val="21"/>
                <w:szCs w:val="21"/>
              </w:rPr>
              <w:t> </w:t>
            </w:r>
          </w:p>
        </w:tc>
        <w:tc>
          <w:tcPr>
            <w:tcW w:w="2818"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c>
          <w:tcPr>
            <w:tcW w:w="2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r>
              <w:rPr>
                <w:rFonts w:ascii="宋体" w:hAnsi="宋体" w:cs="宋体" w:eastAsia="宋体" w:hint="default"/>
                <w:sz w:val="21"/>
                <w:szCs w:val="21"/>
              </w:rPr>
              <w:t> </w:t>
            </w:r>
          </w:p>
        </w:tc>
        <w:tc>
          <w:tcPr>
            <w:tcW w:w="2818"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c>
          <w:tcPr>
            <w:tcW w:w="282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r>
              <w:rPr>
                <w:rFonts w:ascii="宋体" w:hAnsi="宋体" w:cs="宋体" w:eastAsia="宋体" w:hint="default"/>
                <w:sz w:val="21"/>
                <w:szCs w:val="21"/>
              </w:rPr>
              <w:t> </w:t>
            </w:r>
          </w:p>
        </w:tc>
        <w:tc>
          <w:tcPr>
            <w:tcW w:w="2818"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c>
          <w:tcPr>
            <w:tcW w:w="28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18"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c>
          <w:tcPr>
            <w:tcW w:w="282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99"/>
              <w:jc w:val="right"/>
              <w:rPr>
                <w:rFonts w:ascii="Times New Roman" w:hAnsi="Times New Roman" w:cs="Times New Roman" w:eastAsia="Times New Roman" w:hint="default"/>
                <w:sz w:val="21"/>
                <w:szCs w:val="21"/>
              </w:rPr>
            </w:pPr>
            <w:r>
              <w:rPr>
                <w:rFonts w:ascii="Times New Roman"/>
                <w:spacing w:val="-1"/>
                <w:sz w:val="21"/>
              </w:rPr>
              <w:t>97,970,211.84</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99"/>
              <w:jc w:val="right"/>
              <w:rPr>
                <w:rFonts w:ascii="Times New Roman" w:hAnsi="Times New Roman" w:cs="Times New Roman" w:eastAsia="Times New Roman" w:hint="default"/>
                <w:sz w:val="21"/>
                <w:szCs w:val="21"/>
              </w:rPr>
            </w:pPr>
            <w:r>
              <w:rPr>
                <w:rFonts w:ascii="Times New Roman"/>
                <w:spacing w:val="-1"/>
                <w:sz w:val="21"/>
              </w:rPr>
              <w:t>6,080,624.74</w:t>
            </w:r>
          </w:p>
        </w:tc>
        <w:tc>
          <w:tcPr>
            <w:tcW w:w="2845" w:type="dxa"/>
            <w:tcBorders>
              <w:top w:val="single" w:sz="4" w:space="0" w:color="000000"/>
              <w:left w:val="single" w:sz="4" w:space="0" w:color="000000"/>
              <w:bottom w:val="single" w:sz="4" w:space="0" w:color="000000"/>
              <w:right w:val="single" w:sz="4" w:space="0" w:color="000000"/>
            </w:tcBorders>
          </w:tcPr>
          <w:p>
            <w:pP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99"/>
              <w:jc w:val="right"/>
              <w:rPr>
                <w:rFonts w:ascii="Times New Roman" w:hAnsi="Times New Roman" w:cs="Times New Roman" w:eastAsia="Times New Roman" w:hint="default"/>
                <w:sz w:val="21"/>
                <w:szCs w:val="21"/>
              </w:rPr>
            </w:pPr>
            <w:r>
              <w:rPr>
                <w:rFonts w:ascii="Times New Roman"/>
                <w:spacing w:val="-1"/>
                <w:sz w:val="21"/>
              </w:rPr>
              <w:t>104,050,836.58</w:t>
            </w:r>
          </w:p>
        </w:tc>
      </w:tr>
    </w:tbl>
    <w:p>
      <w:pPr>
        <w:spacing w:after="0" w:line="236" w:lineRule="exact"/>
        <w:jc w:val="right"/>
        <w:rPr>
          <w:rFonts w:ascii="Times New Roman" w:hAnsi="Times New Roman" w:cs="Times New Roman" w:eastAsia="Times New Roman" w:hint="default"/>
          <w:sz w:val="21"/>
          <w:szCs w:val="21"/>
        </w:rPr>
        <w:sectPr>
          <w:type w:val="continuous"/>
          <w:pgSz w:w="16840" w:h="11910" w:orient="landscape"/>
          <w:pgMar w:top="1120" w:bottom="1380" w:left="1300" w:right="1220"/>
        </w:sectPr>
      </w:pPr>
    </w:p>
    <w:p>
      <w:pPr>
        <w:spacing w:line="240" w:lineRule="auto" w:before="10"/>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6840" w:h="11910" w:orient="landscape"/>
          <w:pgMar w:header="882" w:footer="1195" w:top="1120" w:bottom="1380" w:left="1300" w:right="1200"/>
        </w:sectPr>
      </w:pPr>
    </w:p>
    <w:p>
      <w:pPr>
        <w:pStyle w:val="Heading5"/>
        <w:spacing w:line="240" w:lineRule="auto" w:before="36"/>
        <w:ind w:left="224" w:right="0"/>
        <w:jc w:val="left"/>
        <w:rPr>
          <w:rFonts w:ascii="宋体" w:hAnsi="宋体" w:cs="宋体" w:eastAsia="宋体" w:hint="default"/>
          <w:b w:val="0"/>
          <w:bCs w:val="0"/>
        </w:rPr>
      </w:pPr>
      <w:r>
        <w:rPr>
          <w:rFonts w:ascii="宋体" w:hAnsi="宋体" w:cs="宋体" w:eastAsia="宋体" w:hint="default"/>
        </w:rPr>
        <w:t>58</w:t>
      </w:r>
      <w:r>
        <w:rPr/>
        <w:t>、</w:t>
      </w:r>
      <w:r>
        <w:rPr>
          <w:spacing w:val="-26"/>
        </w:rPr>
        <w:t> </w:t>
      </w:r>
      <w:r>
        <w:rPr/>
        <w:t>未分配利润</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2"/>
        <w:rPr>
          <w:rFonts w:ascii="宋体" w:hAnsi="宋体" w:cs="宋体" w:eastAsia="宋体" w:hint="default"/>
          <w:sz w:val="27"/>
          <w:szCs w:val="27"/>
        </w:rPr>
      </w:pPr>
    </w:p>
    <w:p>
      <w:pPr>
        <w:pStyle w:val="BodyText"/>
        <w:spacing w:line="240" w:lineRule="auto"/>
        <w:ind w:left="224" w:right="0"/>
        <w:jc w:val="left"/>
        <w:rPr>
          <w:rFonts w:ascii="宋体" w:hAnsi="宋体" w:cs="宋体" w:eastAsia="宋体" w:hint="default"/>
          <w:sz w:val="24"/>
          <w:szCs w:val="24"/>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6840" w:h="11910" w:orient="landscape"/>
          <w:pgMar w:top="1120" w:bottom="1380" w:left="1300" w:right="1200"/>
          <w:cols w:num="2" w:equalWidth="0">
            <w:col w:w="2265" w:space="9298"/>
            <w:col w:w="2777"/>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8147"/>
        <w:gridCol w:w="2945"/>
        <w:gridCol w:w="3010"/>
      </w:tblGrid>
      <w:tr>
        <w:trPr>
          <w:trHeight w:val="283" w:hRule="exact"/>
        </w:trPr>
        <w:tc>
          <w:tcPr>
            <w:tcW w:w="8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z w:val="21"/>
                <w:szCs w:val="21"/>
              </w:rPr>
              <w:t> </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上期</w:t>
            </w:r>
            <w:r>
              <w:rPr>
                <w:rFonts w:ascii="宋体" w:hAnsi="宋体" w:cs="宋体" w:eastAsia="宋体" w:hint="default"/>
                <w:sz w:val="21"/>
                <w:szCs w:val="21"/>
              </w:rPr>
              <w:t> </w:t>
            </w:r>
          </w:p>
        </w:tc>
      </w:tr>
      <w:tr>
        <w:trPr>
          <w:trHeight w:val="283" w:hRule="exact"/>
        </w:trPr>
        <w:tc>
          <w:tcPr>
            <w:tcW w:w="8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729,556,091.90</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746,450,757.63</w:t>
            </w:r>
          </w:p>
        </w:tc>
      </w:tr>
      <w:tr>
        <w:trPr>
          <w:trHeight w:val="281" w:hRule="exact"/>
        </w:trPr>
        <w:tc>
          <w:tcPr>
            <w:tcW w:w="814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Times New Roman" w:hAnsi="Times New Roman" w:cs="Times New Roman" w:eastAsia="Times New Roman" w:hint="default"/>
                <w:sz w:val="21"/>
                <w:szCs w:val="21"/>
              </w:rPr>
              <w:t>+</w:t>
            </w:r>
            <w:r>
              <w:rPr>
                <w:rFonts w:ascii="宋体" w:hAnsi="宋体" w:cs="宋体" w:eastAsia="宋体" w:hint="default"/>
                <w:sz w:val="21"/>
                <w:szCs w:val="21"/>
              </w:rPr>
              <w:t>，调减－）</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-237,216,300.18</w:t>
            </w:r>
          </w:p>
        </w:tc>
        <w:tc>
          <w:tcPr>
            <w:tcW w:w="30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492,339,791.72</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746,450,757.63</w:t>
            </w:r>
          </w:p>
        </w:tc>
      </w:tr>
      <w:tr>
        <w:trPr>
          <w:trHeight w:val="283" w:hRule="exact"/>
        </w:trPr>
        <w:tc>
          <w:tcPr>
            <w:tcW w:w="8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r>
              <w:rPr>
                <w:rFonts w:ascii="宋体" w:hAnsi="宋体" w:cs="宋体" w:eastAsia="宋体" w:hint="default"/>
                <w:sz w:val="21"/>
                <w:szCs w:val="21"/>
              </w:rPr>
              <w:t> </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144,049,459.21</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262,178,814.19</w:t>
            </w:r>
          </w:p>
        </w:tc>
      </w:tr>
      <w:tr>
        <w:trPr>
          <w:trHeight w:val="281" w:hRule="exact"/>
        </w:trPr>
        <w:tc>
          <w:tcPr>
            <w:tcW w:w="8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r>
              <w:rPr>
                <w:rFonts w:ascii="宋体" w:hAnsi="宋体" w:cs="宋体" w:eastAsia="宋体" w:hint="default"/>
                <w:sz w:val="21"/>
                <w:szCs w:val="21"/>
              </w:rPr>
              <w:t> </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6,080,624.74</w:t>
            </w:r>
          </w:p>
        </w:tc>
        <w:tc>
          <w:tcPr>
            <w:tcW w:w="30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提取任意盈余公积</w:t>
            </w:r>
            <w:r>
              <w:rPr>
                <w:rFonts w:ascii="宋体" w:hAnsi="宋体" w:cs="宋体" w:eastAsia="宋体" w:hint="default"/>
                <w:sz w:val="21"/>
                <w:szCs w:val="21"/>
              </w:rPr>
              <w:t> </w:t>
            </w:r>
          </w:p>
        </w:tc>
        <w:tc>
          <w:tcPr>
            <w:tcW w:w="2945" w:type="dxa"/>
            <w:tcBorders>
              <w:top w:val="single" w:sz="4" w:space="0" w:color="000000"/>
              <w:left w:val="single" w:sz="4" w:space="0" w:color="000000"/>
              <w:bottom w:val="single" w:sz="4" w:space="0" w:color="000000"/>
              <w:right w:val="single" w:sz="4" w:space="0" w:color="000000"/>
            </w:tcBorders>
          </w:tcPr>
          <w:p>
            <w:pPr/>
          </w:p>
        </w:tc>
        <w:tc>
          <w:tcPr>
            <w:tcW w:w="301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8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提取一般风险准备</w:t>
            </w:r>
            <w:r>
              <w:rPr>
                <w:rFonts w:ascii="宋体" w:hAnsi="宋体" w:cs="宋体" w:eastAsia="宋体" w:hint="default"/>
                <w:sz w:val="21"/>
                <w:szCs w:val="21"/>
              </w:rPr>
              <w:t> </w:t>
            </w:r>
          </w:p>
        </w:tc>
        <w:tc>
          <w:tcPr>
            <w:tcW w:w="2945" w:type="dxa"/>
            <w:tcBorders>
              <w:top w:val="single" w:sz="4" w:space="0" w:color="000000"/>
              <w:left w:val="single" w:sz="4" w:space="0" w:color="000000"/>
              <w:bottom w:val="single" w:sz="4" w:space="0" w:color="000000"/>
              <w:right w:val="single" w:sz="4" w:space="0" w:color="000000"/>
            </w:tcBorders>
          </w:tcPr>
          <w:p>
            <w:pPr/>
          </w:p>
        </w:tc>
        <w:tc>
          <w:tcPr>
            <w:tcW w:w="30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8" w:right="0"/>
              <w:jc w:val="left"/>
              <w:rPr>
                <w:rFonts w:ascii="宋体" w:hAnsi="宋体" w:cs="宋体" w:eastAsia="宋体" w:hint="default"/>
                <w:sz w:val="21"/>
                <w:szCs w:val="21"/>
              </w:rPr>
            </w:pPr>
            <w:r>
              <w:rPr>
                <w:rFonts w:ascii="宋体" w:hAnsi="宋体" w:cs="宋体" w:eastAsia="宋体" w:hint="default"/>
                <w:sz w:val="21"/>
                <w:szCs w:val="21"/>
              </w:rPr>
              <w:t>应付普通股股利</w:t>
            </w:r>
            <w:r>
              <w:rPr>
                <w:rFonts w:ascii="宋体" w:hAnsi="宋体" w:cs="宋体" w:eastAsia="宋体" w:hint="default"/>
                <w:sz w:val="21"/>
                <w:szCs w:val="21"/>
              </w:rPr>
              <w:t> </w:t>
            </w:r>
          </w:p>
        </w:tc>
        <w:tc>
          <w:tcPr>
            <w:tcW w:w="2945" w:type="dxa"/>
            <w:tcBorders>
              <w:top w:val="single" w:sz="4" w:space="0" w:color="000000"/>
              <w:left w:val="single" w:sz="4" w:space="0" w:color="000000"/>
              <w:bottom w:val="single" w:sz="4" w:space="0" w:color="000000"/>
              <w:right w:val="single" w:sz="4" w:space="0" w:color="000000"/>
            </w:tcBorders>
          </w:tcPr>
          <w:p>
            <w:pP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10"/>
              <w:jc w:val="right"/>
              <w:rPr>
                <w:rFonts w:ascii="Times New Roman" w:hAnsi="Times New Roman" w:cs="Times New Roman" w:eastAsia="Times New Roman" w:hint="default"/>
                <w:sz w:val="21"/>
                <w:szCs w:val="21"/>
              </w:rPr>
            </w:pPr>
            <w:r>
              <w:rPr>
                <w:rFonts w:ascii="Times New Roman"/>
                <w:spacing w:val="-1"/>
                <w:sz w:val="21"/>
              </w:rPr>
              <w:t>79,735,279.92</w:t>
            </w:r>
          </w:p>
        </w:tc>
      </w:tr>
      <w:tr>
        <w:trPr>
          <w:trHeight w:val="283" w:hRule="exact"/>
        </w:trPr>
        <w:tc>
          <w:tcPr>
            <w:tcW w:w="8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r>
              <w:rPr>
                <w:rFonts w:ascii="宋体" w:hAnsi="宋体" w:cs="宋体" w:eastAsia="宋体" w:hint="default"/>
                <w:sz w:val="21"/>
                <w:szCs w:val="21"/>
              </w:rPr>
              <w:t> </w:t>
            </w:r>
          </w:p>
        </w:tc>
        <w:tc>
          <w:tcPr>
            <w:tcW w:w="2945" w:type="dxa"/>
            <w:tcBorders>
              <w:top w:val="single" w:sz="4" w:space="0" w:color="000000"/>
              <w:left w:val="single" w:sz="4" w:space="0" w:color="000000"/>
              <w:bottom w:val="single" w:sz="4" w:space="0" w:color="000000"/>
              <w:right w:val="single" w:sz="4" w:space="0" w:color="000000"/>
            </w:tcBorders>
          </w:tcPr>
          <w:p>
            <w:pP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199,338,200.00</w:t>
            </w:r>
          </w:p>
        </w:tc>
      </w:tr>
      <w:tr>
        <w:trPr>
          <w:trHeight w:val="283" w:hRule="exact"/>
        </w:trPr>
        <w:tc>
          <w:tcPr>
            <w:tcW w:w="8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期末未分配利润</w:t>
            </w:r>
            <w:r>
              <w:rPr>
                <w:rFonts w:ascii="宋体" w:hAnsi="宋体" w:cs="宋体" w:eastAsia="宋体" w:hint="default"/>
                <w:sz w:val="21"/>
                <w:szCs w:val="21"/>
              </w:rPr>
              <w:t> </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630,308,626.19</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729,556,091.90</w:t>
            </w:r>
          </w:p>
        </w:tc>
      </w:tr>
    </w:tbl>
    <w:p>
      <w:pPr>
        <w:spacing w:line="240" w:lineRule="auto" w:before="13"/>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6840" w:h="11910" w:orient="landscape"/>
          <w:pgMar w:top="1120" w:bottom="1380" w:left="1300" w:right="1200"/>
        </w:sectPr>
      </w:pPr>
    </w:p>
    <w:p>
      <w:pPr>
        <w:pStyle w:val="BodyText"/>
        <w:spacing w:line="240" w:lineRule="auto" w:before="36"/>
        <w:ind w:left="224" w:right="0"/>
        <w:jc w:val="left"/>
        <w:rPr>
          <w:rFonts w:ascii="宋体" w:hAnsi="宋体" w:cs="宋体" w:eastAsia="宋体" w:hint="default"/>
        </w:rPr>
      </w:pPr>
      <w:r>
        <w:rPr/>
        <w:t>调整期初未分配利润明细：</w:t>
      </w:r>
      <w:r>
        <w:rPr>
          <w:rFonts w:ascii="宋体" w:hAnsi="宋体" w:cs="宋体" w:eastAsia="宋体" w:hint="default"/>
          <w:w w:val="100"/>
        </w:rPr>
        <w:t> </w:t>
      </w:r>
      <w:r>
        <w:rPr>
          <w:rFonts w:ascii="宋体" w:hAnsi="宋体" w:cs="宋体" w:eastAsia="宋体" w:hint="default"/>
        </w:rPr>
        <w:t>1</w:t>
      </w:r>
      <w:r>
        <w:rPr/>
        <w:t>、由于《企业会计准则》及其相关新规定进行追溯调整，影响期初未分配利润 </w:t>
      </w:r>
      <w:r>
        <w:rPr>
          <w:rFonts w:ascii="宋体" w:hAnsi="宋体" w:cs="宋体" w:eastAsia="宋体" w:hint="default"/>
        </w:rPr>
        <w:t>0</w:t>
      </w:r>
      <w:r>
        <w:rPr>
          <w:rFonts w:ascii="宋体" w:hAnsi="宋体" w:cs="宋体" w:eastAsia="宋体" w:hint="default"/>
          <w:spacing w:val="-62"/>
        </w:rPr>
        <w:t> </w:t>
      </w:r>
      <w:r>
        <w:rPr/>
        <w:t>元。</w:t>
      </w:r>
      <w:r>
        <w:rPr>
          <w:rFonts w:ascii="宋体" w:hAnsi="宋体" w:cs="宋体" w:eastAsia="宋体" w:hint="default"/>
        </w:rPr>
        <w:t> </w:t>
      </w:r>
    </w:p>
    <w:p>
      <w:pPr>
        <w:pStyle w:val="BodyText"/>
        <w:spacing w:line="271" w:lineRule="exact"/>
        <w:ind w:left="224" w:right="0"/>
        <w:jc w:val="left"/>
        <w:rPr>
          <w:rFonts w:ascii="宋体" w:hAnsi="宋体" w:cs="宋体" w:eastAsia="宋体" w:hint="default"/>
        </w:rPr>
      </w:pPr>
      <w:r>
        <w:rPr>
          <w:rFonts w:ascii="宋体" w:hAnsi="宋体" w:cs="宋体" w:eastAsia="宋体" w:hint="default"/>
        </w:rPr>
        <w:t>2</w:t>
      </w:r>
      <w:r>
        <w:rPr/>
        <w:t>、由于会计政策变更，影响期初未分配利润</w:t>
      </w:r>
      <w:r>
        <w:rPr>
          <w:rFonts w:ascii="宋体" w:hAnsi="宋体" w:cs="宋体" w:eastAsia="宋体" w:hint="default"/>
        </w:rPr>
        <w:t>-237,216,300.18</w:t>
      </w:r>
      <w:r>
        <w:rPr>
          <w:rFonts w:ascii="宋体" w:hAnsi="宋体" w:cs="宋体" w:eastAsia="宋体" w:hint="default"/>
          <w:spacing w:val="-11"/>
        </w:rPr>
        <w:t> </w:t>
      </w:r>
      <w:r>
        <w:rPr/>
        <w:t>元。</w:t>
      </w:r>
      <w:r>
        <w:rPr>
          <w:rFonts w:ascii="宋体" w:hAnsi="宋体" w:cs="宋体" w:eastAsia="宋体" w:hint="default"/>
        </w:rPr>
        <w:t> </w:t>
      </w:r>
    </w:p>
    <w:p>
      <w:pPr>
        <w:pStyle w:val="BodyText"/>
        <w:spacing w:line="273" w:lineRule="exact"/>
        <w:ind w:left="224" w:right="0"/>
        <w:jc w:val="left"/>
        <w:rPr>
          <w:rFonts w:ascii="宋体" w:hAnsi="宋体" w:cs="宋体" w:eastAsia="宋体" w:hint="default"/>
        </w:rPr>
      </w:pPr>
      <w:r>
        <w:rPr>
          <w:rFonts w:ascii="宋体" w:hAnsi="宋体" w:cs="宋体" w:eastAsia="宋体" w:hint="default"/>
        </w:rPr>
        <w:t>3</w:t>
      </w:r>
      <w:r>
        <w:rPr/>
        <w:t>、由于重大会计差错更正，影响期初未分配利润 </w:t>
      </w:r>
      <w:r>
        <w:rPr>
          <w:rFonts w:ascii="宋体" w:hAnsi="宋体" w:cs="宋体" w:eastAsia="宋体" w:hint="default"/>
          <w:spacing w:val="-3"/>
        </w:rPr>
        <w:t>0</w:t>
      </w:r>
      <w:r>
        <w:rPr>
          <w:rFonts w:ascii="宋体" w:hAnsi="宋体" w:cs="宋体" w:eastAsia="宋体" w:hint="default"/>
          <w:spacing w:val="-59"/>
        </w:rPr>
        <w:t> </w:t>
      </w:r>
      <w:r>
        <w:rPr/>
        <w:t>元。</w:t>
      </w:r>
      <w:r>
        <w:rPr>
          <w:rFonts w:ascii="宋体" w:hAnsi="宋体" w:cs="宋体" w:eastAsia="宋体" w:hint="default"/>
        </w:rPr>
        <w:t> </w:t>
      </w:r>
    </w:p>
    <w:p>
      <w:pPr>
        <w:pStyle w:val="BodyText"/>
        <w:spacing w:line="272" w:lineRule="exact"/>
        <w:ind w:left="224" w:right="0"/>
        <w:jc w:val="left"/>
        <w:rPr>
          <w:rFonts w:ascii="宋体" w:hAnsi="宋体" w:cs="宋体" w:eastAsia="宋体" w:hint="default"/>
        </w:rPr>
      </w:pPr>
      <w:r>
        <w:rPr>
          <w:rFonts w:ascii="宋体" w:hAnsi="宋体" w:cs="宋体" w:eastAsia="宋体" w:hint="default"/>
        </w:rPr>
        <w:t>4</w:t>
      </w:r>
      <w:r>
        <w:rPr/>
        <w:t>、由于同一控制导致的合并范围变更，影响期初未分配利润 </w:t>
      </w:r>
      <w:r>
        <w:rPr>
          <w:rFonts w:ascii="宋体" w:hAnsi="宋体" w:cs="宋体" w:eastAsia="宋体" w:hint="default"/>
          <w:spacing w:val="-3"/>
        </w:rPr>
        <w:t>0</w:t>
      </w:r>
      <w:r>
        <w:rPr>
          <w:rFonts w:ascii="宋体" w:hAnsi="宋体" w:cs="宋体" w:eastAsia="宋体" w:hint="default"/>
          <w:spacing w:val="-54"/>
        </w:rPr>
        <w:t> </w:t>
      </w:r>
      <w:r>
        <w:rPr>
          <w:spacing w:val="-3"/>
        </w:rPr>
        <w:t>元。</w:t>
      </w:r>
      <w:r>
        <w:rPr>
          <w:rFonts w:ascii="宋体" w:hAnsi="宋体" w:cs="宋体" w:eastAsia="宋体" w:hint="default"/>
        </w:rPr>
        <w:t> </w:t>
      </w:r>
    </w:p>
    <w:p>
      <w:pPr>
        <w:pStyle w:val="BodyText"/>
        <w:spacing w:line="269" w:lineRule="exact"/>
        <w:ind w:left="224" w:right="0"/>
        <w:jc w:val="left"/>
        <w:rPr>
          <w:rFonts w:ascii="宋体" w:hAnsi="宋体" w:cs="宋体" w:eastAsia="宋体" w:hint="default"/>
        </w:rPr>
      </w:pPr>
      <w:r>
        <w:rPr>
          <w:rFonts w:ascii="宋体" w:hAnsi="宋体" w:cs="宋体" w:eastAsia="宋体" w:hint="default"/>
        </w:rPr>
        <w:t>5</w:t>
      </w:r>
      <w:r>
        <w:rPr/>
        <w:t>、其他调整合计影响期初未分配利润 </w:t>
      </w:r>
      <w:r>
        <w:rPr>
          <w:rFonts w:ascii="宋体" w:hAnsi="宋体" w:cs="宋体" w:eastAsia="宋体" w:hint="default"/>
        </w:rPr>
        <w:t>0</w:t>
      </w:r>
      <w:r>
        <w:rPr>
          <w:rFonts w:ascii="宋体" w:hAnsi="宋体" w:cs="宋体" w:eastAsia="宋体" w:hint="default"/>
          <w:spacing w:val="-59"/>
        </w:rPr>
        <w:t> </w:t>
      </w:r>
      <w:r>
        <w:rPr/>
        <w:t>元。</w:t>
      </w:r>
      <w:r>
        <w:rPr>
          <w:rFonts w:ascii="宋体" w:hAnsi="宋体" w:cs="宋体" w:eastAsia="宋体" w:hint="default"/>
        </w:rPr>
        <w:t> </w:t>
      </w:r>
    </w:p>
    <w:p>
      <w:pPr>
        <w:pStyle w:val="Heading3"/>
        <w:spacing w:line="309" w:lineRule="exact"/>
        <w:ind w:left="224" w:right="0"/>
        <w:jc w:val="left"/>
        <w:rPr>
          <w:rFonts w:ascii="宋体" w:hAnsi="宋体" w:cs="宋体" w:eastAsia="宋体" w:hint="default"/>
        </w:rPr>
      </w:pPr>
      <w:r>
        <w:rPr>
          <w:rFonts w:ascii="宋体"/>
        </w:rPr>
        <w:t> </w:t>
      </w:r>
    </w:p>
    <w:p>
      <w:pPr>
        <w:pStyle w:val="Heading5"/>
        <w:spacing w:line="290" w:lineRule="auto"/>
        <w:ind w:left="224" w:right="2912"/>
        <w:jc w:val="left"/>
        <w:rPr>
          <w:rFonts w:ascii="宋体" w:hAnsi="宋体" w:cs="宋体" w:eastAsia="宋体" w:hint="default"/>
          <w:b w:val="0"/>
          <w:bCs w:val="0"/>
        </w:rPr>
      </w:pPr>
      <w:r>
        <w:rPr>
          <w:rFonts w:ascii="宋体" w:hAnsi="宋体" w:cs="宋体" w:eastAsia="宋体" w:hint="default"/>
        </w:rPr>
        <w:t>59</w:t>
      </w:r>
      <w:r>
        <w:rPr/>
        <w:t>、</w:t>
      </w:r>
      <w:r>
        <w:rPr>
          <w:spacing w:val="-24"/>
        </w:rPr>
        <w:t> </w:t>
      </w:r>
      <w:r>
        <w:rPr/>
        <w:t>营业收入和营业成本</w:t>
      </w:r>
      <w:r>
        <w:rPr>
          <w:spacing w:val="-103"/>
        </w:rPr>
        <w:t> </w:t>
      </w:r>
      <w:r>
        <w:rPr>
          <w:spacing w:val="-103"/>
        </w:rPr>
      </w:r>
      <w:r>
        <w:rPr>
          <w:rFonts w:ascii="宋体" w:hAnsi="宋体" w:cs="宋体" w:eastAsia="宋体" w:hint="default"/>
        </w:rPr>
        <w:t>(1).</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91"/>
        <w:ind w:left="224" w:right="0"/>
        <w:jc w:val="left"/>
        <w:rPr>
          <w:rFonts w:ascii="宋体" w:hAnsi="宋体" w:cs="宋体" w:eastAsia="宋体" w:hint="default"/>
          <w:sz w:val="24"/>
          <w:szCs w:val="24"/>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6840" w:h="11910" w:orient="landscape"/>
          <w:pgMar w:top="1120" w:bottom="1380" w:left="1300" w:right="1200"/>
          <w:cols w:num="2" w:equalWidth="0">
            <w:col w:w="8261" w:space="3302"/>
            <w:col w:w="2777"/>
          </w:cols>
        </w:sectPr>
      </w:pPr>
    </w:p>
    <w:p>
      <w:pPr>
        <w:spacing w:line="240" w:lineRule="auto" w:before="7"/>
        <w:rPr>
          <w:rFonts w:ascii="宋体" w:hAnsi="宋体" w:cs="宋体" w:eastAsia="宋体" w:hint="default"/>
          <w:sz w:val="2"/>
          <w:szCs w:val="2"/>
        </w:rPr>
      </w:pPr>
    </w:p>
    <w:tbl>
      <w:tblPr>
        <w:tblW w:w="0" w:type="auto"/>
        <w:jc w:val="left"/>
        <w:tblInd w:w="233" w:type="dxa"/>
        <w:tblLayout w:type="fixed"/>
        <w:tblCellMar>
          <w:top w:w="0" w:type="dxa"/>
          <w:left w:w="0" w:type="dxa"/>
          <w:bottom w:w="0" w:type="dxa"/>
          <w:right w:w="0" w:type="dxa"/>
        </w:tblCellMar>
        <w:tblLook w:val="01E0"/>
      </w:tblPr>
      <w:tblGrid>
        <w:gridCol w:w="2237"/>
        <w:gridCol w:w="2902"/>
        <w:gridCol w:w="2924"/>
        <w:gridCol w:w="2919"/>
        <w:gridCol w:w="2921"/>
      </w:tblGrid>
      <w:tr>
        <w:trPr>
          <w:trHeight w:val="281" w:hRule="exact"/>
        </w:trPr>
        <w:tc>
          <w:tcPr>
            <w:tcW w:w="2237" w:type="dxa"/>
            <w:vMerge w:val="restart"/>
            <w:tcBorders>
              <w:top w:val="single" w:sz="4" w:space="0" w:color="000000"/>
              <w:left w:val="single" w:sz="4" w:space="0" w:color="000000"/>
              <w:right w:val="single" w:sz="4" w:space="0" w:color="000000"/>
            </w:tcBorders>
          </w:tcPr>
          <w:p>
            <w:pPr>
              <w:pStyle w:val="TableParagraph"/>
              <w:spacing w:line="240" w:lineRule="auto" w:before="108"/>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58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5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2237" w:type="dxa"/>
            <w:vMerge/>
            <w:tcBorders>
              <w:left w:val="single" w:sz="4" w:space="0" w:color="000000"/>
              <w:bottom w:val="single" w:sz="4" w:space="0" w:color="000000"/>
              <w:right w:val="single" w:sz="4" w:space="0" w:color="000000"/>
            </w:tcBorders>
          </w:tcPr>
          <w:p>
            <w:pP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283"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5,229,176,389.51</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4,022,629,536.15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6,057,375,023.56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4,828,705,018.83</w:t>
            </w:r>
          </w:p>
        </w:tc>
      </w:tr>
      <w:tr>
        <w:trPr>
          <w:trHeight w:val="283"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75,283,654.06</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15,884,551.86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70,010,094.93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18,903,564.22</w:t>
            </w:r>
          </w:p>
        </w:tc>
      </w:tr>
    </w:tbl>
    <w:p>
      <w:pPr>
        <w:spacing w:after="0" w:line="235" w:lineRule="exact"/>
        <w:jc w:val="right"/>
        <w:rPr>
          <w:rFonts w:ascii="Times New Roman" w:hAnsi="Times New Roman" w:cs="Times New Roman" w:eastAsia="Times New Roman" w:hint="default"/>
          <w:sz w:val="21"/>
          <w:szCs w:val="21"/>
        </w:rPr>
        <w:sectPr>
          <w:type w:val="continuous"/>
          <w:pgSz w:w="16840" w:h="11910" w:orient="landscape"/>
          <w:pgMar w:top="1120" w:bottom="1380" w:left="1300" w:right="1200"/>
        </w:sectPr>
      </w:pPr>
    </w:p>
    <w:p>
      <w:pPr>
        <w:spacing w:line="240" w:lineRule="auto" w:before="7"/>
        <w:rPr>
          <w:rFonts w:ascii="宋体" w:hAnsi="宋体" w:cs="宋体" w:eastAsia="宋体" w:hint="default"/>
          <w:sz w:val="11"/>
          <w:szCs w:val="11"/>
        </w:rPr>
      </w:pPr>
    </w:p>
    <w:tbl>
      <w:tblPr>
        <w:tblW w:w="0" w:type="auto"/>
        <w:jc w:val="left"/>
        <w:tblInd w:w="153" w:type="dxa"/>
        <w:tblLayout w:type="fixed"/>
        <w:tblCellMar>
          <w:top w:w="0" w:type="dxa"/>
          <w:left w:w="0" w:type="dxa"/>
          <w:bottom w:w="0" w:type="dxa"/>
          <w:right w:w="0" w:type="dxa"/>
        </w:tblCellMar>
        <w:tblLook w:val="01E0"/>
      </w:tblPr>
      <w:tblGrid>
        <w:gridCol w:w="2237"/>
        <w:gridCol w:w="2902"/>
        <w:gridCol w:w="2924"/>
        <w:gridCol w:w="2919"/>
        <w:gridCol w:w="2921"/>
      </w:tblGrid>
      <w:tr>
        <w:trPr>
          <w:trHeight w:val="281"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20" w:right="0"/>
              <w:jc w:val="left"/>
              <w:rPr>
                <w:rFonts w:ascii="Times New Roman" w:hAnsi="Times New Roman" w:cs="Times New Roman" w:eastAsia="Times New Roman" w:hint="default"/>
                <w:sz w:val="21"/>
                <w:szCs w:val="21"/>
              </w:rPr>
            </w:pPr>
            <w:r>
              <w:rPr>
                <w:rFonts w:ascii="Times New Roman"/>
                <w:sz w:val="21"/>
              </w:rPr>
              <w:t>5,304,460,043.57</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39" w:right="0"/>
              <w:jc w:val="left"/>
              <w:rPr>
                <w:rFonts w:ascii="Times New Roman" w:hAnsi="Times New Roman" w:cs="Times New Roman" w:eastAsia="Times New Roman" w:hint="default"/>
                <w:sz w:val="21"/>
                <w:szCs w:val="21"/>
              </w:rPr>
            </w:pPr>
            <w:r>
              <w:rPr>
                <w:rFonts w:ascii="Times New Roman"/>
                <w:sz w:val="21"/>
              </w:rPr>
              <w:t>4,038,514,088.01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34" w:right="0"/>
              <w:jc w:val="left"/>
              <w:rPr>
                <w:rFonts w:ascii="Times New Roman" w:hAnsi="Times New Roman" w:cs="Times New Roman" w:eastAsia="Times New Roman" w:hint="default"/>
                <w:sz w:val="21"/>
                <w:szCs w:val="21"/>
              </w:rPr>
            </w:pPr>
            <w:r>
              <w:rPr>
                <w:rFonts w:ascii="Times New Roman"/>
                <w:sz w:val="21"/>
              </w:rPr>
              <w:t>6,127,385,118.49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36" w:right="0"/>
              <w:jc w:val="left"/>
              <w:rPr>
                <w:rFonts w:ascii="Times New Roman" w:hAnsi="Times New Roman" w:cs="Times New Roman" w:eastAsia="Times New Roman" w:hint="default"/>
                <w:sz w:val="21"/>
                <w:szCs w:val="21"/>
              </w:rPr>
            </w:pPr>
            <w:r>
              <w:rPr>
                <w:rFonts w:ascii="Times New Roman"/>
                <w:sz w:val="21"/>
              </w:rPr>
              <w:t>4,847,608,583.05</w:t>
            </w:r>
          </w:p>
        </w:tc>
      </w:tr>
    </w:tbl>
    <w:p>
      <w:pPr>
        <w:pStyle w:val="Heading3"/>
        <w:spacing w:line="274" w:lineRule="exact"/>
        <w:ind w:left="144" w:right="0"/>
        <w:jc w:val="left"/>
        <w:rPr>
          <w:rFonts w:ascii="宋体" w:hAnsi="宋体" w:cs="宋体" w:eastAsia="宋体" w:hint="default"/>
        </w:rPr>
      </w:pPr>
      <w:r>
        <w:rPr>
          <w:rFonts w:ascii="宋体"/>
        </w:rPr>
        <w:t> </w:t>
      </w:r>
    </w:p>
    <w:p>
      <w:pPr>
        <w:pStyle w:val="BodyText"/>
        <w:spacing w:line="240" w:lineRule="auto" w:before="64"/>
        <w:ind w:left="144" w:right="0"/>
        <w:jc w:val="left"/>
        <w:rPr>
          <w:rFonts w:ascii="宋体" w:hAnsi="宋体" w:cs="宋体" w:eastAsia="宋体" w:hint="default"/>
        </w:rPr>
      </w:pPr>
      <w:r>
        <w:rPr/>
        <w:t>其他说明：</w:t>
      </w:r>
      <w:r>
        <w:rPr>
          <w:rFonts w:ascii="宋体" w:hAnsi="宋体" w:cs="宋体" w:eastAsia="宋体" w:hint="default"/>
        </w:rPr>
        <w:t> </w:t>
      </w:r>
    </w:p>
    <w:p>
      <w:pPr>
        <w:spacing w:line="240" w:lineRule="auto" w:before="1"/>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3605"/>
        <w:gridCol w:w="2578"/>
        <w:gridCol w:w="2578"/>
        <w:gridCol w:w="2578"/>
        <w:gridCol w:w="2578"/>
      </w:tblGrid>
      <w:tr>
        <w:trPr>
          <w:trHeight w:val="254" w:hRule="exact"/>
        </w:trPr>
        <w:tc>
          <w:tcPr>
            <w:tcW w:w="3605" w:type="dxa"/>
            <w:vMerge w:val="restart"/>
            <w:tcBorders>
              <w:top w:val="single" w:sz="12" w:space="0" w:color="000000"/>
              <w:left w:val="nil" w:sz="6" w:space="0" w:color="auto"/>
              <w:right w:val="single" w:sz="4" w:space="0" w:color="000000"/>
            </w:tcBorders>
          </w:tcPr>
          <w:p>
            <w:pPr>
              <w:pStyle w:val="TableParagraph"/>
              <w:spacing w:line="240" w:lineRule="auto" w:before="94"/>
              <w:ind w:left="114"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5156" w:type="dxa"/>
            <w:gridSpan w:val="2"/>
            <w:tcBorders>
              <w:top w:val="single" w:sz="12" w:space="0" w:color="000000"/>
              <w:left w:val="single" w:sz="4" w:space="0" w:color="000000"/>
              <w:bottom w:val="single" w:sz="6"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5156" w:type="dxa"/>
            <w:gridSpan w:val="2"/>
            <w:tcBorders>
              <w:top w:val="single" w:sz="12" w:space="0" w:color="000000"/>
              <w:left w:val="single" w:sz="4" w:space="0" w:color="000000"/>
              <w:bottom w:val="single" w:sz="6" w:space="0" w:color="000000"/>
              <w:right w:val="nil" w:sz="6" w:space="0" w:color="auto"/>
            </w:tcBorders>
          </w:tcPr>
          <w:p>
            <w:pPr>
              <w:pStyle w:val="TableParagraph"/>
              <w:spacing w:line="205" w:lineRule="exact"/>
              <w:ind w:left="88" w:right="0"/>
              <w:jc w:val="center"/>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247" w:hRule="exact"/>
        </w:trPr>
        <w:tc>
          <w:tcPr>
            <w:tcW w:w="3605" w:type="dxa"/>
            <w:vMerge/>
            <w:tcBorders>
              <w:left w:val="nil" w:sz="6" w:space="0" w:color="auto"/>
              <w:bottom w:val="single" w:sz="4" w:space="0" w:color="000000"/>
              <w:right w:val="single" w:sz="4" w:space="0" w:color="000000"/>
            </w:tcBorders>
          </w:tcPr>
          <w:p>
            <w:pPr/>
          </w:p>
        </w:tc>
        <w:tc>
          <w:tcPr>
            <w:tcW w:w="2578" w:type="dxa"/>
            <w:tcBorders>
              <w:top w:val="single" w:sz="6" w:space="0" w:color="000000"/>
              <w:left w:val="single" w:sz="4" w:space="0" w:color="000000"/>
              <w:bottom w:val="single" w:sz="4" w:space="0" w:color="000000"/>
              <w:right w:val="single" w:sz="6" w:space="0" w:color="000000"/>
            </w:tcBorders>
          </w:tcPr>
          <w:p>
            <w:pPr>
              <w:pStyle w:val="TableParagraph"/>
              <w:spacing w:line="208" w:lineRule="exact"/>
              <w:ind w:left="92" w:right="0"/>
              <w:jc w:val="center"/>
              <w:rPr>
                <w:rFonts w:ascii="宋体" w:hAnsi="宋体" w:cs="宋体" w:eastAsia="宋体" w:hint="default"/>
                <w:sz w:val="18"/>
                <w:szCs w:val="18"/>
              </w:rPr>
            </w:pPr>
            <w:r>
              <w:rPr>
                <w:rFonts w:ascii="宋体" w:hAnsi="宋体" w:cs="宋体" w:eastAsia="宋体" w:hint="default"/>
                <w:sz w:val="18"/>
                <w:szCs w:val="18"/>
              </w:rPr>
              <w:t>收入</w:t>
            </w:r>
            <w:r>
              <w:rPr>
                <w:rFonts w:ascii="宋体" w:hAnsi="宋体" w:cs="宋体" w:eastAsia="宋体" w:hint="default"/>
                <w:sz w:val="18"/>
                <w:szCs w:val="18"/>
              </w:rPr>
              <w:t> </w:t>
            </w:r>
          </w:p>
        </w:tc>
        <w:tc>
          <w:tcPr>
            <w:tcW w:w="2578" w:type="dxa"/>
            <w:tcBorders>
              <w:top w:val="single" w:sz="6" w:space="0" w:color="000000"/>
              <w:left w:val="single" w:sz="6" w:space="0" w:color="000000"/>
              <w:bottom w:val="single" w:sz="4" w:space="0" w:color="000000"/>
              <w:right w:val="single" w:sz="4" w:space="0" w:color="000000"/>
            </w:tcBorders>
          </w:tcPr>
          <w:p>
            <w:pPr>
              <w:pStyle w:val="TableParagraph"/>
              <w:spacing w:line="208" w:lineRule="exact"/>
              <w:ind w:left="92" w:right="0"/>
              <w:jc w:val="center"/>
              <w:rPr>
                <w:rFonts w:ascii="宋体" w:hAnsi="宋体" w:cs="宋体" w:eastAsia="宋体" w:hint="default"/>
                <w:sz w:val="18"/>
                <w:szCs w:val="18"/>
              </w:rPr>
            </w:pPr>
            <w:r>
              <w:rPr>
                <w:rFonts w:ascii="宋体" w:hAnsi="宋体" w:cs="宋体" w:eastAsia="宋体" w:hint="default"/>
                <w:sz w:val="18"/>
                <w:szCs w:val="18"/>
              </w:rPr>
              <w:t>成本</w:t>
            </w:r>
            <w:r>
              <w:rPr>
                <w:rFonts w:ascii="宋体" w:hAnsi="宋体" w:cs="宋体" w:eastAsia="宋体" w:hint="default"/>
                <w:sz w:val="18"/>
                <w:szCs w:val="18"/>
              </w:rPr>
              <w:t> </w:t>
            </w:r>
          </w:p>
        </w:tc>
        <w:tc>
          <w:tcPr>
            <w:tcW w:w="2578" w:type="dxa"/>
            <w:tcBorders>
              <w:top w:val="single" w:sz="6" w:space="0" w:color="000000"/>
              <w:left w:val="single" w:sz="4" w:space="0" w:color="000000"/>
              <w:bottom w:val="single" w:sz="4" w:space="0" w:color="000000"/>
              <w:right w:val="single" w:sz="6" w:space="0" w:color="000000"/>
            </w:tcBorders>
          </w:tcPr>
          <w:p>
            <w:pPr>
              <w:pStyle w:val="TableParagraph"/>
              <w:spacing w:line="208" w:lineRule="exact"/>
              <w:ind w:left="96" w:right="0"/>
              <w:jc w:val="center"/>
              <w:rPr>
                <w:rFonts w:ascii="宋体" w:hAnsi="宋体" w:cs="宋体" w:eastAsia="宋体" w:hint="default"/>
                <w:sz w:val="18"/>
                <w:szCs w:val="18"/>
              </w:rPr>
            </w:pPr>
            <w:r>
              <w:rPr>
                <w:rFonts w:ascii="宋体" w:hAnsi="宋体" w:cs="宋体" w:eastAsia="宋体" w:hint="default"/>
                <w:sz w:val="18"/>
                <w:szCs w:val="18"/>
              </w:rPr>
              <w:t>收入</w:t>
            </w:r>
            <w:r>
              <w:rPr>
                <w:rFonts w:ascii="宋体" w:hAnsi="宋体" w:cs="宋体" w:eastAsia="宋体" w:hint="default"/>
                <w:sz w:val="18"/>
                <w:szCs w:val="18"/>
              </w:rPr>
              <w:t> </w:t>
            </w:r>
          </w:p>
        </w:tc>
        <w:tc>
          <w:tcPr>
            <w:tcW w:w="2578" w:type="dxa"/>
            <w:tcBorders>
              <w:top w:val="single" w:sz="6" w:space="0" w:color="000000"/>
              <w:left w:val="single" w:sz="6" w:space="0" w:color="000000"/>
              <w:bottom w:val="single" w:sz="4" w:space="0" w:color="000000"/>
              <w:right w:val="nil" w:sz="6" w:space="0" w:color="auto"/>
            </w:tcBorders>
          </w:tcPr>
          <w:p>
            <w:pPr>
              <w:pStyle w:val="TableParagraph"/>
              <w:spacing w:line="208" w:lineRule="exact"/>
              <w:ind w:left="87" w:right="0"/>
              <w:jc w:val="center"/>
              <w:rPr>
                <w:rFonts w:ascii="宋体" w:hAnsi="宋体" w:cs="宋体" w:eastAsia="宋体" w:hint="default"/>
                <w:sz w:val="18"/>
                <w:szCs w:val="18"/>
              </w:rPr>
            </w:pPr>
            <w:r>
              <w:rPr>
                <w:rFonts w:ascii="宋体" w:hAnsi="宋体" w:cs="宋体" w:eastAsia="宋体" w:hint="default"/>
                <w:sz w:val="18"/>
                <w:szCs w:val="18"/>
              </w:rPr>
              <w:t>成本</w:t>
            </w:r>
            <w:r>
              <w:rPr>
                <w:rFonts w:ascii="宋体" w:hAnsi="宋体" w:cs="宋体" w:eastAsia="宋体" w:hint="default"/>
                <w:sz w:val="18"/>
                <w:szCs w:val="18"/>
              </w:rPr>
              <w:t> </w:t>
            </w:r>
          </w:p>
        </w:tc>
      </w:tr>
      <w:tr>
        <w:trPr>
          <w:trHeight w:val="350"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4" w:right="0"/>
              <w:jc w:val="left"/>
              <w:rPr>
                <w:rFonts w:ascii="宋体" w:hAnsi="宋体" w:cs="宋体" w:eastAsia="宋体" w:hint="default"/>
                <w:sz w:val="18"/>
                <w:szCs w:val="18"/>
              </w:rPr>
            </w:pPr>
            <w:r>
              <w:rPr>
                <w:rFonts w:ascii="宋体" w:hAnsi="宋体" w:cs="宋体" w:eastAsia="宋体" w:hint="default"/>
                <w:sz w:val="18"/>
                <w:szCs w:val="18"/>
              </w:rPr>
              <w:t>一、主营业务小计</w:t>
            </w:r>
            <w:r>
              <w:rPr>
                <w:rFonts w:ascii="宋体" w:hAnsi="宋体" w:cs="宋体" w:eastAsia="宋体" w:hint="default"/>
                <w:sz w:val="18"/>
                <w:szCs w:val="18"/>
              </w:rPr>
              <w:t> </w:t>
            </w:r>
          </w:p>
        </w:tc>
        <w:tc>
          <w:tcPr>
            <w:tcW w:w="257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48"/>
              <w:ind w:right="99"/>
              <w:jc w:val="right"/>
              <w:rPr>
                <w:rFonts w:ascii="Times New Roman" w:hAnsi="Times New Roman" w:cs="Times New Roman" w:eastAsia="Times New Roman" w:hint="default"/>
                <w:sz w:val="20"/>
                <w:szCs w:val="20"/>
              </w:rPr>
            </w:pPr>
            <w:r>
              <w:rPr>
                <w:rFonts w:ascii="Times New Roman"/>
                <w:spacing w:val="-1"/>
                <w:sz w:val="20"/>
              </w:rPr>
              <w:t>5,229,176,389.51</w:t>
            </w:r>
          </w:p>
        </w:tc>
        <w:tc>
          <w:tcPr>
            <w:tcW w:w="257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20"/>
                <w:szCs w:val="20"/>
              </w:rPr>
            </w:pPr>
            <w:r>
              <w:rPr>
                <w:rFonts w:ascii="Times New Roman"/>
                <w:spacing w:val="-1"/>
                <w:sz w:val="20"/>
              </w:rPr>
              <w:t>4,022,629,536.15</w:t>
            </w:r>
          </w:p>
        </w:tc>
        <w:tc>
          <w:tcPr>
            <w:tcW w:w="257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48"/>
              <w:ind w:right="98"/>
              <w:jc w:val="right"/>
              <w:rPr>
                <w:rFonts w:ascii="Times New Roman" w:hAnsi="Times New Roman" w:cs="Times New Roman" w:eastAsia="Times New Roman" w:hint="default"/>
                <w:sz w:val="20"/>
                <w:szCs w:val="20"/>
              </w:rPr>
            </w:pPr>
            <w:r>
              <w:rPr>
                <w:rFonts w:ascii="Times New Roman"/>
                <w:spacing w:val="-1"/>
                <w:sz w:val="20"/>
              </w:rPr>
              <w:t>6,057,375,023.56</w:t>
            </w:r>
          </w:p>
        </w:tc>
        <w:tc>
          <w:tcPr>
            <w:tcW w:w="2578"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spacing w:val="-1"/>
                <w:sz w:val="20"/>
              </w:rPr>
              <w:t>4,828,705,018.83</w:t>
            </w:r>
          </w:p>
        </w:tc>
      </w:tr>
      <w:tr>
        <w:trPr>
          <w:trHeight w:val="350"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4" w:right="0"/>
              <w:jc w:val="left"/>
              <w:rPr>
                <w:rFonts w:ascii="宋体" w:hAnsi="宋体" w:cs="宋体" w:eastAsia="宋体" w:hint="default"/>
                <w:sz w:val="18"/>
                <w:szCs w:val="18"/>
              </w:rPr>
            </w:pPr>
            <w:r>
              <w:rPr>
                <w:rFonts w:ascii="宋体" w:hAnsi="宋体" w:cs="宋体" w:eastAsia="宋体" w:hint="default"/>
                <w:sz w:val="18"/>
                <w:szCs w:val="18"/>
              </w:rPr>
              <w:t>智能电力业务</w:t>
            </w:r>
          </w:p>
        </w:tc>
        <w:tc>
          <w:tcPr>
            <w:tcW w:w="257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48"/>
              <w:ind w:right="99"/>
              <w:jc w:val="right"/>
              <w:rPr>
                <w:rFonts w:ascii="Times New Roman" w:hAnsi="Times New Roman" w:cs="Times New Roman" w:eastAsia="Times New Roman" w:hint="default"/>
                <w:sz w:val="20"/>
                <w:szCs w:val="20"/>
              </w:rPr>
            </w:pPr>
            <w:r>
              <w:rPr>
                <w:rFonts w:ascii="Times New Roman"/>
                <w:spacing w:val="-1"/>
                <w:sz w:val="20"/>
              </w:rPr>
              <w:t>3,978,951,787.14</w:t>
            </w:r>
          </w:p>
        </w:tc>
        <w:tc>
          <w:tcPr>
            <w:tcW w:w="257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20"/>
                <w:szCs w:val="20"/>
              </w:rPr>
            </w:pPr>
            <w:r>
              <w:rPr>
                <w:rFonts w:ascii="Times New Roman"/>
                <w:spacing w:val="-1"/>
                <w:sz w:val="20"/>
              </w:rPr>
              <w:t>3,066,520,815.10</w:t>
            </w:r>
          </w:p>
        </w:tc>
        <w:tc>
          <w:tcPr>
            <w:tcW w:w="257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48"/>
              <w:ind w:right="98"/>
              <w:jc w:val="right"/>
              <w:rPr>
                <w:rFonts w:ascii="Times New Roman" w:hAnsi="Times New Roman" w:cs="Times New Roman" w:eastAsia="Times New Roman" w:hint="default"/>
                <w:sz w:val="20"/>
                <w:szCs w:val="20"/>
              </w:rPr>
            </w:pPr>
            <w:r>
              <w:rPr>
                <w:rFonts w:ascii="Times New Roman"/>
                <w:spacing w:val="-1"/>
                <w:sz w:val="20"/>
              </w:rPr>
              <w:t>4,898,942,286.35</w:t>
            </w:r>
          </w:p>
        </w:tc>
        <w:tc>
          <w:tcPr>
            <w:tcW w:w="2578"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spacing w:val="-1"/>
                <w:sz w:val="20"/>
              </w:rPr>
              <w:t>3,933,214,496.89</w:t>
            </w:r>
          </w:p>
        </w:tc>
      </w:tr>
      <w:tr>
        <w:trPr>
          <w:trHeight w:val="348"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4" w:right="0"/>
              <w:jc w:val="left"/>
              <w:rPr>
                <w:rFonts w:ascii="宋体" w:hAnsi="宋体" w:cs="宋体" w:eastAsia="宋体" w:hint="default"/>
                <w:sz w:val="18"/>
                <w:szCs w:val="18"/>
              </w:rPr>
            </w:pPr>
            <w:r>
              <w:rPr>
                <w:rFonts w:ascii="宋体" w:hAnsi="宋体" w:cs="宋体" w:eastAsia="宋体" w:hint="default"/>
                <w:sz w:val="18"/>
                <w:szCs w:val="18"/>
              </w:rPr>
              <w:t>军工装备业务</w:t>
            </w:r>
          </w:p>
        </w:tc>
        <w:tc>
          <w:tcPr>
            <w:tcW w:w="257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48"/>
              <w:ind w:right="99"/>
              <w:jc w:val="right"/>
              <w:rPr>
                <w:rFonts w:ascii="Times New Roman" w:hAnsi="Times New Roman" w:cs="Times New Roman" w:eastAsia="Times New Roman" w:hint="default"/>
                <w:sz w:val="20"/>
                <w:szCs w:val="20"/>
              </w:rPr>
            </w:pPr>
            <w:r>
              <w:rPr>
                <w:rFonts w:ascii="Times New Roman"/>
                <w:spacing w:val="-1"/>
                <w:sz w:val="20"/>
              </w:rPr>
              <w:t>1,250,224,602.37</w:t>
            </w:r>
          </w:p>
        </w:tc>
        <w:tc>
          <w:tcPr>
            <w:tcW w:w="257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20"/>
                <w:szCs w:val="20"/>
              </w:rPr>
            </w:pPr>
            <w:r>
              <w:rPr>
                <w:rFonts w:ascii="Times New Roman"/>
                <w:w w:val="95"/>
                <w:sz w:val="20"/>
              </w:rPr>
              <w:t>956,108,721.05</w:t>
            </w:r>
            <w:r>
              <w:rPr>
                <w:rFonts w:ascii="Times New Roman"/>
                <w:sz w:val="20"/>
              </w:rPr>
            </w:r>
          </w:p>
        </w:tc>
        <w:tc>
          <w:tcPr>
            <w:tcW w:w="257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48"/>
              <w:ind w:right="98"/>
              <w:jc w:val="right"/>
              <w:rPr>
                <w:rFonts w:ascii="Times New Roman" w:hAnsi="Times New Roman" w:cs="Times New Roman" w:eastAsia="Times New Roman" w:hint="default"/>
                <w:sz w:val="20"/>
                <w:szCs w:val="20"/>
              </w:rPr>
            </w:pPr>
            <w:r>
              <w:rPr>
                <w:rFonts w:ascii="Times New Roman"/>
                <w:spacing w:val="-1"/>
                <w:sz w:val="20"/>
              </w:rPr>
              <w:t>1,158,432,737.21</w:t>
            </w:r>
          </w:p>
        </w:tc>
        <w:tc>
          <w:tcPr>
            <w:tcW w:w="2578"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895,490,521.94</w:t>
            </w:r>
            <w:r>
              <w:rPr>
                <w:rFonts w:ascii="Times New Roman"/>
                <w:sz w:val="20"/>
              </w:rPr>
            </w:r>
          </w:p>
        </w:tc>
      </w:tr>
      <w:tr>
        <w:trPr>
          <w:trHeight w:val="351"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z w:val="18"/>
                <w:szCs w:val="18"/>
              </w:rPr>
              <w:t>二、其他业务小计</w:t>
            </w:r>
            <w:r>
              <w:rPr>
                <w:rFonts w:ascii="宋体" w:hAnsi="宋体" w:cs="宋体" w:eastAsia="宋体" w:hint="default"/>
                <w:sz w:val="18"/>
                <w:szCs w:val="18"/>
              </w:rPr>
              <w:t> </w:t>
            </w:r>
          </w:p>
        </w:tc>
        <w:tc>
          <w:tcPr>
            <w:tcW w:w="257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20"/>
                <w:szCs w:val="20"/>
              </w:rPr>
            </w:pPr>
            <w:r>
              <w:rPr>
                <w:rFonts w:ascii="Times New Roman"/>
                <w:w w:val="95"/>
                <w:sz w:val="20"/>
              </w:rPr>
              <w:t>75,283,654.06</w:t>
            </w:r>
            <w:r>
              <w:rPr>
                <w:rFonts w:ascii="Times New Roman"/>
                <w:sz w:val="20"/>
              </w:rPr>
            </w:r>
          </w:p>
        </w:tc>
        <w:tc>
          <w:tcPr>
            <w:tcW w:w="257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20"/>
                <w:szCs w:val="20"/>
              </w:rPr>
            </w:pPr>
            <w:r>
              <w:rPr>
                <w:rFonts w:ascii="Times New Roman"/>
                <w:w w:val="95"/>
                <w:sz w:val="20"/>
              </w:rPr>
              <w:t>15,884,551.86</w:t>
            </w:r>
            <w:r>
              <w:rPr>
                <w:rFonts w:ascii="Times New Roman"/>
                <w:sz w:val="20"/>
              </w:rPr>
            </w:r>
          </w:p>
        </w:tc>
        <w:tc>
          <w:tcPr>
            <w:tcW w:w="257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51"/>
              <w:ind w:right="97"/>
              <w:jc w:val="right"/>
              <w:rPr>
                <w:rFonts w:ascii="Times New Roman" w:hAnsi="Times New Roman" w:cs="Times New Roman" w:eastAsia="Times New Roman" w:hint="default"/>
                <w:sz w:val="20"/>
                <w:szCs w:val="20"/>
              </w:rPr>
            </w:pPr>
            <w:r>
              <w:rPr>
                <w:rFonts w:ascii="Times New Roman"/>
                <w:w w:val="95"/>
                <w:sz w:val="20"/>
              </w:rPr>
              <w:t>70,010,094.93</w:t>
            </w:r>
            <w:r>
              <w:rPr>
                <w:rFonts w:ascii="Times New Roman"/>
                <w:sz w:val="20"/>
              </w:rPr>
            </w:r>
          </w:p>
        </w:tc>
        <w:tc>
          <w:tcPr>
            <w:tcW w:w="2578"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51"/>
              <w:ind w:right="104"/>
              <w:jc w:val="right"/>
              <w:rPr>
                <w:rFonts w:ascii="Times New Roman" w:hAnsi="Times New Roman" w:cs="Times New Roman" w:eastAsia="Times New Roman" w:hint="default"/>
                <w:sz w:val="20"/>
                <w:szCs w:val="20"/>
              </w:rPr>
            </w:pPr>
            <w:r>
              <w:rPr>
                <w:rFonts w:ascii="Times New Roman"/>
                <w:w w:val="95"/>
                <w:sz w:val="20"/>
              </w:rPr>
              <w:t>18,903,564.22</w:t>
            </w:r>
            <w:r>
              <w:rPr>
                <w:rFonts w:ascii="Times New Roman"/>
                <w:sz w:val="20"/>
              </w:rPr>
            </w:r>
          </w:p>
        </w:tc>
      </w:tr>
      <w:tr>
        <w:trPr>
          <w:trHeight w:val="350"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4" w:right="0"/>
              <w:jc w:val="left"/>
              <w:rPr>
                <w:rFonts w:ascii="宋体" w:hAnsi="宋体" w:cs="宋体" w:eastAsia="宋体" w:hint="default"/>
                <w:sz w:val="18"/>
                <w:szCs w:val="18"/>
              </w:rPr>
            </w:pPr>
            <w:r>
              <w:rPr>
                <w:rFonts w:ascii="宋体" w:hAnsi="宋体" w:cs="宋体" w:eastAsia="宋体" w:hint="default"/>
                <w:sz w:val="18"/>
                <w:szCs w:val="18"/>
              </w:rPr>
              <w:t>房租及物业管理类</w:t>
            </w:r>
          </w:p>
        </w:tc>
        <w:tc>
          <w:tcPr>
            <w:tcW w:w="257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48"/>
              <w:ind w:right="99"/>
              <w:jc w:val="right"/>
              <w:rPr>
                <w:rFonts w:ascii="Times New Roman" w:hAnsi="Times New Roman" w:cs="Times New Roman" w:eastAsia="Times New Roman" w:hint="default"/>
                <w:sz w:val="20"/>
                <w:szCs w:val="20"/>
              </w:rPr>
            </w:pPr>
            <w:r>
              <w:rPr>
                <w:rFonts w:ascii="Times New Roman"/>
                <w:w w:val="95"/>
                <w:sz w:val="20"/>
              </w:rPr>
              <w:t>36,374,213.57</w:t>
            </w:r>
            <w:r>
              <w:rPr>
                <w:rFonts w:ascii="Times New Roman"/>
                <w:sz w:val="20"/>
              </w:rPr>
            </w:r>
          </w:p>
        </w:tc>
        <w:tc>
          <w:tcPr>
            <w:tcW w:w="257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20"/>
                <w:szCs w:val="20"/>
              </w:rPr>
            </w:pPr>
            <w:r>
              <w:rPr>
                <w:rFonts w:ascii="Times New Roman"/>
                <w:w w:val="95"/>
                <w:sz w:val="20"/>
              </w:rPr>
              <w:t>5,896,469.70</w:t>
            </w:r>
            <w:r>
              <w:rPr>
                <w:rFonts w:ascii="Times New Roman"/>
                <w:sz w:val="20"/>
              </w:rPr>
            </w:r>
          </w:p>
        </w:tc>
        <w:tc>
          <w:tcPr>
            <w:tcW w:w="257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48"/>
              <w:ind w:right="97"/>
              <w:jc w:val="right"/>
              <w:rPr>
                <w:rFonts w:ascii="Times New Roman" w:hAnsi="Times New Roman" w:cs="Times New Roman" w:eastAsia="Times New Roman" w:hint="default"/>
                <w:sz w:val="20"/>
                <w:szCs w:val="20"/>
              </w:rPr>
            </w:pPr>
            <w:r>
              <w:rPr>
                <w:rFonts w:ascii="Times New Roman"/>
                <w:w w:val="95"/>
                <w:sz w:val="20"/>
              </w:rPr>
              <w:t>41,193,088.35</w:t>
            </w:r>
            <w:r>
              <w:rPr>
                <w:rFonts w:ascii="Times New Roman"/>
                <w:sz w:val="20"/>
              </w:rPr>
            </w:r>
          </w:p>
        </w:tc>
        <w:tc>
          <w:tcPr>
            <w:tcW w:w="2578"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7,813,079.13</w:t>
            </w:r>
            <w:r>
              <w:rPr>
                <w:rFonts w:ascii="Times New Roman"/>
                <w:sz w:val="20"/>
              </w:rPr>
            </w:r>
          </w:p>
        </w:tc>
      </w:tr>
      <w:tr>
        <w:trPr>
          <w:trHeight w:val="350"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4" w:right="0"/>
              <w:jc w:val="left"/>
              <w:rPr>
                <w:rFonts w:ascii="宋体" w:hAnsi="宋体" w:cs="宋体" w:eastAsia="宋体" w:hint="default"/>
                <w:sz w:val="18"/>
                <w:szCs w:val="18"/>
              </w:rPr>
            </w:pPr>
            <w:r>
              <w:rPr>
                <w:rFonts w:ascii="宋体" w:hAnsi="宋体" w:cs="宋体" w:eastAsia="宋体" w:hint="default"/>
                <w:sz w:val="18"/>
                <w:szCs w:val="18"/>
              </w:rPr>
              <w:t>材料让售</w:t>
            </w:r>
          </w:p>
        </w:tc>
        <w:tc>
          <w:tcPr>
            <w:tcW w:w="257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48"/>
              <w:ind w:right="99"/>
              <w:jc w:val="right"/>
              <w:rPr>
                <w:rFonts w:ascii="Times New Roman" w:hAnsi="Times New Roman" w:cs="Times New Roman" w:eastAsia="Times New Roman" w:hint="default"/>
                <w:sz w:val="20"/>
                <w:szCs w:val="20"/>
              </w:rPr>
            </w:pPr>
            <w:r>
              <w:rPr>
                <w:rFonts w:ascii="Times New Roman"/>
                <w:w w:val="95"/>
                <w:sz w:val="20"/>
              </w:rPr>
              <w:t>341,285.64</w:t>
            </w:r>
            <w:r>
              <w:rPr>
                <w:rFonts w:ascii="Times New Roman"/>
                <w:sz w:val="20"/>
              </w:rPr>
            </w:r>
          </w:p>
        </w:tc>
        <w:tc>
          <w:tcPr>
            <w:tcW w:w="2578" w:type="dxa"/>
            <w:tcBorders>
              <w:top w:val="single" w:sz="4" w:space="0" w:color="000000"/>
              <w:left w:val="single" w:sz="6" w:space="0" w:color="000000"/>
              <w:bottom w:val="single" w:sz="4" w:space="0" w:color="000000"/>
              <w:right w:val="single" w:sz="4" w:space="0" w:color="000000"/>
            </w:tcBorders>
          </w:tcPr>
          <w:p>
            <w:pPr/>
          </w:p>
        </w:tc>
        <w:tc>
          <w:tcPr>
            <w:tcW w:w="257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48"/>
              <w:ind w:right="97"/>
              <w:jc w:val="right"/>
              <w:rPr>
                <w:rFonts w:ascii="Times New Roman" w:hAnsi="Times New Roman" w:cs="Times New Roman" w:eastAsia="Times New Roman" w:hint="default"/>
                <w:sz w:val="20"/>
                <w:szCs w:val="20"/>
              </w:rPr>
            </w:pPr>
            <w:r>
              <w:rPr>
                <w:rFonts w:ascii="Times New Roman"/>
                <w:w w:val="95"/>
                <w:sz w:val="20"/>
              </w:rPr>
              <w:t>2,427,464.88</w:t>
            </w:r>
            <w:r>
              <w:rPr>
                <w:rFonts w:ascii="Times New Roman"/>
                <w:sz w:val="20"/>
              </w:rPr>
            </w:r>
          </w:p>
        </w:tc>
        <w:tc>
          <w:tcPr>
            <w:tcW w:w="2578"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20"/>
                <w:szCs w:val="20"/>
              </w:rPr>
            </w:pPr>
            <w:r>
              <w:rPr>
                <w:rFonts w:ascii="Times New Roman"/>
                <w:w w:val="95"/>
                <w:sz w:val="20"/>
              </w:rPr>
              <w:t>293,041.85</w:t>
            </w:r>
            <w:r>
              <w:rPr>
                <w:rFonts w:ascii="Times New Roman"/>
                <w:sz w:val="20"/>
              </w:rPr>
            </w:r>
          </w:p>
        </w:tc>
      </w:tr>
      <w:tr>
        <w:trPr>
          <w:trHeight w:val="350"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4" w:right="0"/>
              <w:jc w:val="left"/>
              <w:rPr>
                <w:rFonts w:ascii="宋体" w:hAnsi="宋体" w:cs="宋体" w:eastAsia="宋体" w:hint="default"/>
                <w:sz w:val="18"/>
                <w:szCs w:val="18"/>
              </w:rPr>
            </w:pPr>
            <w:r>
              <w:rPr>
                <w:rFonts w:ascii="宋体" w:hAnsi="宋体" w:cs="宋体" w:eastAsia="宋体" w:hint="default"/>
                <w:sz w:val="18"/>
                <w:szCs w:val="18"/>
              </w:rPr>
              <w:t>售后服务</w:t>
            </w:r>
          </w:p>
        </w:tc>
        <w:tc>
          <w:tcPr>
            <w:tcW w:w="257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48"/>
              <w:ind w:right="99"/>
              <w:jc w:val="right"/>
              <w:rPr>
                <w:rFonts w:ascii="Times New Roman" w:hAnsi="Times New Roman" w:cs="Times New Roman" w:eastAsia="Times New Roman" w:hint="default"/>
                <w:sz w:val="20"/>
                <w:szCs w:val="20"/>
              </w:rPr>
            </w:pPr>
            <w:r>
              <w:rPr>
                <w:rFonts w:ascii="Times New Roman"/>
                <w:w w:val="95"/>
                <w:sz w:val="20"/>
              </w:rPr>
              <w:t>27,517,833.47</w:t>
            </w:r>
            <w:r>
              <w:rPr>
                <w:rFonts w:ascii="Times New Roman"/>
                <w:sz w:val="20"/>
              </w:rPr>
            </w:r>
          </w:p>
        </w:tc>
        <w:tc>
          <w:tcPr>
            <w:tcW w:w="2578"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20"/>
                <w:szCs w:val="20"/>
              </w:rPr>
            </w:pPr>
            <w:r>
              <w:rPr>
                <w:rFonts w:ascii="Times New Roman"/>
                <w:w w:val="95"/>
                <w:sz w:val="20"/>
              </w:rPr>
              <w:t>9,988,082.16</w:t>
            </w:r>
            <w:r>
              <w:rPr>
                <w:rFonts w:ascii="Times New Roman"/>
                <w:sz w:val="20"/>
              </w:rPr>
            </w:r>
          </w:p>
        </w:tc>
        <w:tc>
          <w:tcPr>
            <w:tcW w:w="257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48"/>
              <w:ind w:right="97"/>
              <w:jc w:val="right"/>
              <w:rPr>
                <w:rFonts w:ascii="Times New Roman" w:hAnsi="Times New Roman" w:cs="Times New Roman" w:eastAsia="Times New Roman" w:hint="default"/>
                <w:sz w:val="20"/>
                <w:szCs w:val="20"/>
              </w:rPr>
            </w:pPr>
            <w:r>
              <w:rPr>
                <w:rFonts w:ascii="Times New Roman"/>
                <w:w w:val="95"/>
                <w:sz w:val="20"/>
              </w:rPr>
              <w:t>16,520,044.85</w:t>
            </w:r>
            <w:r>
              <w:rPr>
                <w:rFonts w:ascii="Times New Roman"/>
                <w:sz w:val="20"/>
              </w:rPr>
            </w:r>
          </w:p>
        </w:tc>
        <w:tc>
          <w:tcPr>
            <w:tcW w:w="2578"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10,797,443.24</w:t>
            </w:r>
            <w:r>
              <w:rPr>
                <w:rFonts w:ascii="Times New Roman"/>
                <w:sz w:val="20"/>
              </w:rPr>
            </w:r>
          </w:p>
        </w:tc>
      </w:tr>
      <w:tr>
        <w:trPr>
          <w:trHeight w:val="350"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4" w:right="0"/>
              <w:jc w:val="left"/>
              <w:rPr>
                <w:rFonts w:ascii="宋体" w:hAnsi="宋体" w:cs="宋体" w:eastAsia="宋体" w:hint="default"/>
                <w:sz w:val="18"/>
                <w:szCs w:val="18"/>
              </w:rPr>
            </w:pPr>
            <w:r>
              <w:rPr>
                <w:rFonts w:ascii="宋体" w:hAnsi="宋体" w:cs="宋体" w:eastAsia="宋体" w:hint="default"/>
                <w:sz w:val="18"/>
                <w:szCs w:val="18"/>
              </w:rPr>
              <w:t>委托贷款利息收入</w:t>
            </w:r>
          </w:p>
        </w:tc>
        <w:tc>
          <w:tcPr>
            <w:tcW w:w="257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48"/>
              <w:ind w:right="99"/>
              <w:jc w:val="right"/>
              <w:rPr>
                <w:rFonts w:ascii="Times New Roman" w:hAnsi="Times New Roman" w:cs="Times New Roman" w:eastAsia="Times New Roman" w:hint="default"/>
                <w:sz w:val="20"/>
                <w:szCs w:val="20"/>
              </w:rPr>
            </w:pPr>
            <w:r>
              <w:rPr>
                <w:rFonts w:ascii="Times New Roman"/>
                <w:w w:val="95"/>
                <w:sz w:val="20"/>
              </w:rPr>
              <w:t>10,303,459.13</w:t>
            </w:r>
            <w:r>
              <w:rPr>
                <w:rFonts w:ascii="Times New Roman"/>
                <w:sz w:val="20"/>
              </w:rPr>
            </w:r>
          </w:p>
        </w:tc>
        <w:tc>
          <w:tcPr>
            <w:tcW w:w="2578" w:type="dxa"/>
            <w:tcBorders>
              <w:top w:val="single" w:sz="4" w:space="0" w:color="000000"/>
              <w:left w:val="single" w:sz="6" w:space="0" w:color="000000"/>
              <w:bottom w:val="single" w:sz="4" w:space="0" w:color="000000"/>
              <w:right w:val="single" w:sz="4" w:space="0" w:color="000000"/>
            </w:tcBorders>
          </w:tcPr>
          <w:p>
            <w:pPr/>
          </w:p>
        </w:tc>
        <w:tc>
          <w:tcPr>
            <w:tcW w:w="257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48"/>
              <w:ind w:right="97"/>
              <w:jc w:val="right"/>
              <w:rPr>
                <w:rFonts w:ascii="Times New Roman" w:hAnsi="Times New Roman" w:cs="Times New Roman" w:eastAsia="Times New Roman" w:hint="default"/>
                <w:sz w:val="20"/>
                <w:szCs w:val="20"/>
              </w:rPr>
            </w:pPr>
            <w:r>
              <w:rPr>
                <w:rFonts w:ascii="Times New Roman"/>
                <w:w w:val="95"/>
                <w:sz w:val="20"/>
              </w:rPr>
              <w:t>9,756,289.31</w:t>
            </w:r>
            <w:r>
              <w:rPr>
                <w:rFonts w:ascii="Times New Roman"/>
                <w:sz w:val="20"/>
              </w:rPr>
            </w:r>
          </w:p>
        </w:tc>
        <w:tc>
          <w:tcPr>
            <w:tcW w:w="2578" w:type="dxa"/>
            <w:tcBorders>
              <w:top w:val="single" w:sz="4" w:space="0" w:color="000000"/>
              <w:left w:val="single" w:sz="6" w:space="0" w:color="000000"/>
              <w:bottom w:val="single" w:sz="4" w:space="0" w:color="000000"/>
              <w:right w:val="nil" w:sz="6" w:space="0" w:color="auto"/>
            </w:tcBorders>
          </w:tcPr>
          <w:p>
            <w:pPr/>
          </w:p>
        </w:tc>
      </w:tr>
      <w:tr>
        <w:trPr>
          <w:trHeight w:val="348" w:hRule="exact"/>
        </w:trPr>
        <w:tc>
          <w:tcPr>
            <w:tcW w:w="36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7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48"/>
              <w:ind w:right="99"/>
              <w:jc w:val="right"/>
              <w:rPr>
                <w:rFonts w:ascii="Times New Roman" w:hAnsi="Times New Roman" w:cs="Times New Roman" w:eastAsia="Times New Roman" w:hint="default"/>
                <w:sz w:val="20"/>
                <w:szCs w:val="20"/>
              </w:rPr>
            </w:pPr>
            <w:r>
              <w:rPr>
                <w:rFonts w:ascii="Times New Roman"/>
                <w:w w:val="95"/>
                <w:sz w:val="20"/>
              </w:rPr>
              <w:t>746,862.25</w:t>
            </w:r>
            <w:r>
              <w:rPr>
                <w:rFonts w:ascii="Times New Roman"/>
                <w:sz w:val="20"/>
              </w:rPr>
            </w:r>
          </w:p>
        </w:tc>
        <w:tc>
          <w:tcPr>
            <w:tcW w:w="2578" w:type="dxa"/>
            <w:tcBorders>
              <w:top w:val="single" w:sz="4" w:space="0" w:color="000000"/>
              <w:left w:val="single" w:sz="6" w:space="0" w:color="000000"/>
              <w:bottom w:val="single" w:sz="4" w:space="0" w:color="000000"/>
              <w:right w:val="single" w:sz="4" w:space="0" w:color="000000"/>
            </w:tcBorders>
          </w:tcPr>
          <w:p>
            <w:pPr/>
          </w:p>
        </w:tc>
        <w:tc>
          <w:tcPr>
            <w:tcW w:w="2578"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48"/>
              <w:ind w:right="97"/>
              <w:jc w:val="right"/>
              <w:rPr>
                <w:rFonts w:ascii="Times New Roman" w:hAnsi="Times New Roman" w:cs="Times New Roman" w:eastAsia="Times New Roman" w:hint="default"/>
                <w:sz w:val="20"/>
                <w:szCs w:val="20"/>
              </w:rPr>
            </w:pPr>
            <w:r>
              <w:rPr>
                <w:rFonts w:ascii="Times New Roman"/>
                <w:w w:val="95"/>
                <w:sz w:val="20"/>
              </w:rPr>
              <w:t>113,207.54</w:t>
            </w:r>
            <w:r>
              <w:rPr>
                <w:rFonts w:ascii="Times New Roman"/>
                <w:sz w:val="20"/>
              </w:rPr>
            </w:r>
          </w:p>
        </w:tc>
        <w:tc>
          <w:tcPr>
            <w:tcW w:w="2578" w:type="dxa"/>
            <w:tcBorders>
              <w:top w:val="single" w:sz="4" w:space="0" w:color="000000"/>
              <w:left w:val="single" w:sz="6" w:space="0" w:color="000000"/>
              <w:bottom w:val="single" w:sz="4" w:space="0" w:color="000000"/>
              <w:right w:val="nil" w:sz="6" w:space="0" w:color="auto"/>
            </w:tcBorders>
          </w:tcPr>
          <w:p>
            <w:pPr/>
          </w:p>
        </w:tc>
      </w:tr>
      <w:tr>
        <w:trPr>
          <w:trHeight w:val="362" w:hRule="exact"/>
        </w:trPr>
        <w:tc>
          <w:tcPr>
            <w:tcW w:w="360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5"/>
              <w:ind w:left="114"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578" w:type="dxa"/>
            <w:tcBorders>
              <w:top w:val="single" w:sz="4" w:space="0" w:color="000000"/>
              <w:left w:val="single" w:sz="4" w:space="0" w:color="000000"/>
              <w:bottom w:val="single" w:sz="12" w:space="0" w:color="000000"/>
              <w:right w:val="single" w:sz="6" w:space="0" w:color="000000"/>
            </w:tcBorders>
          </w:tcPr>
          <w:p>
            <w:pPr>
              <w:pStyle w:val="TableParagraph"/>
              <w:spacing w:line="240" w:lineRule="auto" w:before="51"/>
              <w:ind w:right="99"/>
              <w:jc w:val="right"/>
              <w:rPr>
                <w:rFonts w:ascii="Times New Roman" w:hAnsi="Times New Roman" w:cs="Times New Roman" w:eastAsia="Times New Roman" w:hint="default"/>
                <w:sz w:val="20"/>
                <w:szCs w:val="20"/>
              </w:rPr>
            </w:pPr>
            <w:r>
              <w:rPr>
                <w:rFonts w:ascii="Times New Roman"/>
                <w:spacing w:val="-1"/>
                <w:sz w:val="20"/>
              </w:rPr>
              <w:t>5,304,460,043.57</w:t>
            </w:r>
          </w:p>
        </w:tc>
        <w:tc>
          <w:tcPr>
            <w:tcW w:w="2578" w:type="dxa"/>
            <w:tcBorders>
              <w:top w:val="single" w:sz="4" w:space="0" w:color="000000"/>
              <w:left w:val="single" w:sz="6" w:space="0" w:color="000000"/>
              <w:bottom w:val="single" w:sz="12"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20"/>
                <w:szCs w:val="20"/>
              </w:rPr>
            </w:pPr>
            <w:r>
              <w:rPr>
                <w:rFonts w:ascii="Times New Roman"/>
                <w:spacing w:val="-1"/>
                <w:sz w:val="20"/>
              </w:rPr>
              <w:t>4,038,514,088.01</w:t>
            </w:r>
          </w:p>
        </w:tc>
        <w:tc>
          <w:tcPr>
            <w:tcW w:w="2578" w:type="dxa"/>
            <w:tcBorders>
              <w:top w:val="single" w:sz="4" w:space="0" w:color="000000"/>
              <w:left w:val="single" w:sz="4" w:space="0" w:color="000000"/>
              <w:bottom w:val="single" w:sz="12"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20"/>
                <w:szCs w:val="20"/>
              </w:rPr>
            </w:pPr>
            <w:r>
              <w:rPr>
                <w:rFonts w:ascii="Times New Roman"/>
                <w:spacing w:val="-1"/>
                <w:sz w:val="20"/>
              </w:rPr>
              <w:t>6,127,385,118.49</w:t>
            </w:r>
          </w:p>
        </w:tc>
        <w:tc>
          <w:tcPr>
            <w:tcW w:w="2578"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51"/>
              <w:ind w:right="104"/>
              <w:jc w:val="right"/>
              <w:rPr>
                <w:rFonts w:ascii="Times New Roman" w:hAnsi="Times New Roman" w:cs="Times New Roman" w:eastAsia="Times New Roman" w:hint="default"/>
                <w:sz w:val="20"/>
                <w:szCs w:val="20"/>
              </w:rPr>
            </w:pPr>
            <w:r>
              <w:rPr>
                <w:rFonts w:ascii="Times New Roman"/>
                <w:spacing w:val="-1"/>
                <w:sz w:val="20"/>
              </w:rPr>
              <w:t>4,847,608,583.05</w:t>
            </w:r>
          </w:p>
        </w:tc>
      </w:tr>
    </w:tbl>
    <w:p>
      <w:pPr>
        <w:spacing w:line="240" w:lineRule="auto" w:before="4"/>
        <w:rPr>
          <w:rFonts w:ascii="宋体" w:hAnsi="宋体" w:cs="宋体" w:eastAsia="宋体" w:hint="default"/>
          <w:sz w:val="13"/>
          <w:szCs w:val="13"/>
        </w:rPr>
      </w:pPr>
    </w:p>
    <w:p>
      <w:pPr>
        <w:pStyle w:val="Heading3"/>
        <w:spacing w:line="313" w:lineRule="exact" w:before="26"/>
        <w:ind w:left="144" w:right="0"/>
        <w:jc w:val="left"/>
        <w:rPr>
          <w:rFonts w:ascii="宋体" w:hAnsi="宋体" w:cs="宋体" w:eastAsia="宋体" w:hint="default"/>
        </w:rPr>
      </w:pPr>
      <w:r>
        <w:rPr>
          <w:rFonts w:ascii="宋体"/>
        </w:rPr>
        <w:t> </w:t>
      </w:r>
    </w:p>
    <w:p>
      <w:pPr>
        <w:pStyle w:val="Heading3"/>
        <w:spacing w:line="312" w:lineRule="exact"/>
        <w:ind w:left="144" w:right="0"/>
        <w:jc w:val="left"/>
        <w:rPr>
          <w:rFonts w:ascii="宋体" w:hAnsi="宋体" w:cs="宋体" w:eastAsia="宋体" w:hint="default"/>
        </w:rPr>
      </w:pPr>
      <w:r>
        <w:rPr>
          <w:rFonts w:ascii="宋体"/>
        </w:rPr>
        <w:t> </w:t>
      </w:r>
    </w:p>
    <w:p>
      <w:pPr>
        <w:pStyle w:val="Heading3"/>
        <w:spacing w:line="311" w:lineRule="exact"/>
        <w:ind w:left="144" w:right="0"/>
        <w:jc w:val="left"/>
        <w:rPr>
          <w:rFonts w:ascii="宋体" w:hAnsi="宋体" w:cs="宋体" w:eastAsia="宋体" w:hint="default"/>
        </w:rPr>
      </w:pPr>
      <w:r>
        <w:rPr>
          <w:rFonts w:ascii="宋体"/>
        </w:rPr>
        <w:t> </w:t>
      </w:r>
    </w:p>
    <w:p>
      <w:pPr>
        <w:pStyle w:val="Heading3"/>
        <w:spacing w:line="311" w:lineRule="exact"/>
        <w:ind w:left="144" w:right="0"/>
        <w:jc w:val="left"/>
        <w:rPr>
          <w:rFonts w:ascii="宋体" w:hAnsi="宋体" w:cs="宋体" w:eastAsia="宋体" w:hint="default"/>
        </w:rPr>
      </w:pPr>
      <w:r>
        <w:rPr>
          <w:rFonts w:ascii="宋体"/>
        </w:rPr>
        <w:t> </w:t>
      </w:r>
    </w:p>
    <w:p>
      <w:pPr>
        <w:pStyle w:val="Heading3"/>
        <w:spacing w:line="312" w:lineRule="exact"/>
        <w:ind w:left="144" w:right="0"/>
        <w:jc w:val="left"/>
        <w:rPr>
          <w:rFonts w:ascii="宋体" w:hAnsi="宋体" w:cs="宋体" w:eastAsia="宋体" w:hint="default"/>
        </w:rPr>
      </w:pPr>
      <w:r>
        <w:rPr>
          <w:rFonts w:ascii="宋体"/>
        </w:rPr>
        <w:t> </w:t>
      </w:r>
    </w:p>
    <w:p>
      <w:pPr>
        <w:pStyle w:val="Heading3"/>
        <w:spacing w:line="311" w:lineRule="exact"/>
        <w:ind w:left="144" w:right="0"/>
        <w:jc w:val="left"/>
        <w:rPr>
          <w:rFonts w:ascii="宋体" w:hAnsi="宋体" w:cs="宋体" w:eastAsia="宋体" w:hint="default"/>
        </w:rPr>
      </w:pPr>
      <w:r>
        <w:rPr>
          <w:rFonts w:ascii="宋体"/>
        </w:rPr>
        <w:t> </w:t>
      </w:r>
    </w:p>
    <w:p>
      <w:pPr>
        <w:pStyle w:val="Heading3"/>
        <w:spacing w:line="311" w:lineRule="exact"/>
        <w:ind w:left="144" w:right="0"/>
        <w:jc w:val="left"/>
        <w:rPr>
          <w:rFonts w:ascii="宋体" w:hAnsi="宋体" w:cs="宋体" w:eastAsia="宋体" w:hint="default"/>
        </w:rPr>
      </w:pPr>
      <w:r>
        <w:rPr>
          <w:rFonts w:ascii="宋体"/>
        </w:rPr>
        <w:t> </w:t>
      </w:r>
    </w:p>
    <w:p>
      <w:pPr>
        <w:pStyle w:val="Heading3"/>
        <w:spacing w:line="312" w:lineRule="exact"/>
        <w:ind w:left="144" w:right="0"/>
        <w:jc w:val="left"/>
        <w:rPr>
          <w:rFonts w:ascii="宋体" w:hAnsi="宋体" w:cs="宋体" w:eastAsia="宋体" w:hint="default"/>
        </w:rPr>
      </w:pPr>
      <w:r>
        <w:rPr>
          <w:rFonts w:ascii="宋体"/>
        </w:rPr>
        <w:t> </w:t>
      </w:r>
    </w:p>
    <w:p>
      <w:pPr>
        <w:pStyle w:val="Heading3"/>
        <w:spacing w:line="313" w:lineRule="exact"/>
        <w:ind w:left="144"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pgSz w:w="16840" w:h="11910" w:orient="landscape"/>
          <w:pgMar w:header="882" w:footer="1195" w:top="1120" w:bottom="1380" w:left="1380" w:right="1280"/>
        </w:sectPr>
      </w:pP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headerReference w:type="default" r:id="rId68"/>
          <w:footerReference w:type="default" r:id="rId69"/>
          <w:pgSz w:w="11910" w:h="16840"/>
          <w:pgMar w:header="882" w:footer="1195" w:top="1120" w:bottom="1380" w:left="1040" w:right="1560"/>
          <w:pgNumType w:start="157"/>
        </w:sectPr>
      </w:pPr>
    </w:p>
    <w:p>
      <w:pPr>
        <w:pStyle w:val="Heading5"/>
        <w:spacing w:line="240" w:lineRule="auto" w:before="36"/>
        <w:ind w:left="236" w:right="0"/>
        <w:jc w:val="left"/>
        <w:rPr>
          <w:rFonts w:ascii="宋体" w:hAnsi="宋体" w:cs="宋体" w:eastAsia="宋体" w:hint="default"/>
          <w:b w:val="0"/>
          <w:bCs w:val="0"/>
        </w:rPr>
      </w:pPr>
      <w:r>
        <w:rPr>
          <w:rFonts w:ascii="宋体" w:hAnsi="宋体" w:cs="宋体" w:eastAsia="宋体" w:hint="default"/>
        </w:rPr>
        <w:t>60</w:t>
      </w:r>
      <w:r>
        <w:rPr/>
        <w:t>、</w:t>
      </w:r>
      <w:r>
        <w:rPr>
          <w:spacing w:val="-27"/>
        </w:rPr>
        <w:t> </w:t>
      </w:r>
      <w:r>
        <w:rPr/>
        <w:t>税金及附加</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278" w:space="4244"/>
            <w:col w:w="2788"/>
          </w:cols>
        </w:sectPr>
      </w:pPr>
    </w:p>
    <w:p>
      <w:pPr>
        <w:spacing w:line="240" w:lineRule="auto" w:before="7"/>
        <w:rPr>
          <w:rFonts w:ascii="宋体" w:hAnsi="宋体" w:cs="宋体" w:eastAsia="宋体" w:hint="default"/>
          <w:b/>
          <w:bCs/>
          <w:sz w:val="2"/>
          <w:szCs w:val="2"/>
        </w:rPr>
      </w:pPr>
    </w:p>
    <w:tbl>
      <w:tblPr>
        <w:tblW w:w="0" w:type="auto"/>
        <w:jc w:val="left"/>
        <w:tblInd w:w="116" w:type="dxa"/>
        <w:tblLayout w:type="fixed"/>
        <w:tblCellMar>
          <w:top w:w="0" w:type="dxa"/>
          <w:left w:w="0" w:type="dxa"/>
          <w:bottom w:w="0" w:type="dxa"/>
          <w:right w:w="0" w:type="dxa"/>
        </w:tblCellMar>
        <w:tblLook w:val="01E0"/>
      </w:tblPr>
      <w:tblGrid>
        <w:gridCol w:w="2910"/>
        <w:gridCol w:w="3075"/>
        <w:gridCol w:w="3077"/>
      </w:tblGrid>
      <w:tr>
        <w:trPr>
          <w:trHeight w:val="32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28" w:right="0"/>
              <w:jc w:val="left"/>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28" w:right="0"/>
              <w:jc w:val="left"/>
              <w:rPr>
                <w:rFonts w:ascii="宋体" w:hAnsi="宋体" w:cs="宋体" w:eastAsia="宋体" w:hint="default"/>
                <w:sz w:val="24"/>
                <w:szCs w:val="24"/>
              </w:rPr>
            </w:pPr>
            <w:r>
              <w:rPr>
                <w:rFonts w:ascii="宋体" w:hAnsi="宋体" w:cs="宋体" w:eastAsia="宋体" w:hint="default"/>
                <w:sz w:val="24"/>
                <w:szCs w:val="24"/>
              </w:rPr>
              <w:t>上期发生额</w:t>
            </w:r>
            <w:r>
              <w:rPr>
                <w:rFonts w:ascii="宋体" w:hAnsi="宋体" w:cs="宋体" w:eastAsia="宋体" w:hint="default"/>
                <w:sz w:val="24"/>
                <w:szCs w:val="24"/>
              </w:rPr>
              <w:t> </w:t>
            </w:r>
          </w:p>
        </w:tc>
      </w:tr>
      <w:tr>
        <w:trPr>
          <w:trHeight w:val="32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消费税</w:t>
            </w:r>
            <w:r>
              <w:rPr>
                <w:rFonts w:ascii="宋体" w:hAnsi="宋体" w:cs="宋体" w:eastAsia="宋体" w:hint="default"/>
                <w:sz w:val="24"/>
                <w:szCs w:val="24"/>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 </w:t>
            </w:r>
          </w:p>
        </w:tc>
      </w:tr>
      <w:tr>
        <w:trPr>
          <w:trHeight w:val="324"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营业税</w:t>
            </w:r>
            <w:r>
              <w:rPr>
                <w:rFonts w:ascii="宋体" w:hAnsi="宋体" w:cs="宋体" w:eastAsia="宋体" w:hint="default"/>
                <w:sz w:val="24"/>
                <w:szCs w:val="24"/>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 </w:t>
            </w:r>
          </w:p>
        </w:tc>
      </w:tr>
      <w:tr>
        <w:trPr>
          <w:trHeight w:val="32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城市维护建设税</w:t>
            </w:r>
            <w:r>
              <w:rPr>
                <w:rFonts w:ascii="宋体" w:hAnsi="宋体" w:cs="宋体" w:eastAsia="宋体" w:hint="default"/>
                <w:sz w:val="24"/>
                <w:szCs w:val="24"/>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11,722,089.03</w:t>
            </w:r>
            <w:r>
              <w:rPr>
                <w:rFonts w:ascii="Times New Roman"/>
                <w:sz w:val="20"/>
              </w:rPr>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903" w:right="0"/>
              <w:jc w:val="left"/>
              <w:rPr>
                <w:rFonts w:ascii="Times New Roman" w:hAnsi="Times New Roman" w:cs="Times New Roman" w:eastAsia="Times New Roman" w:hint="default"/>
                <w:sz w:val="20"/>
                <w:szCs w:val="20"/>
              </w:rPr>
            </w:pPr>
            <w:r>
              <w:rPr>
                <w:rFonts w:ascii="Times New Roman"/>
                <w:sz w:val="20"/>
              </w:rPr>
              <w:t>8,771,733.91</w:t>
            </w:r>
          </w:p>
        </w:tc>
      </w:tr>
      <w:tr>
        <w:trPr>
          <w:trHeight w:val="32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教育费附加</w:t>
            </w:r>
            <w:r>
              <w:rPr>
                <w:rFonts w:ascii="宋体" w:hAnsi="宋体" w:cs="宋体" w:eastAsia="宋体" w:hint="default"/>
                <w:sz w:val="24"/>
                <w:szCs w:val="24"/>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8,799,909.79</w:t>
            </w:r>
            <w:r>
              <w:rPr>
                <w:rFonts w:ascii="Times New Roman"/>
                <w:sz w:val="20"/>
              </w:rPr>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903" w:right="0"/>
              <w:jc w:val="left"/>
              <w:rPr>
                <w:rFonts w:ascii="Times New Roman" w:hAnsi="Times New Roman" w:cs="Times New Roman" w:eastAsia="Times New Roman" w:hint="default"/>
                <w:sz w:val="20"/>
                <w:szCs w:val="20"/>
              </w:rPr>
            </w:pPr>
            <w:r>
              <w:rPr>
                <w:rFonts w:ascii="Times New Roman"/>
                <w:sz w:val="20"/>
              </w:rPr>
              <w:t>6,665,413.23</w:t>
            </w:r>
          </w:p>
        </w:tc>
      </w:tr>
      <w:tr>
        <w:trPr>
          <w:trHeight w:val="32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资源税</w:t>
            </w:r>
            <w:r>
              <w:rPr>
                <w:rFonts w:ascii="宋体" w:hAnsi="宋体" w:cs="宋体" w:eastAsia="宋体" w:hint="default"/>
                <w:sz w:val="24"/>
                <w:szCs w:val="24"/>
              </w:rPr>
              <w:t> </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房产税</w:t>
            </w:r>
            <w:r>
              <w:rPr>
                <w:rFonts w:ascii="宋体" w:hAnsi="宋体" w:cs="宋体" w:eastAsia="宋体" w:hint="default"/>
                <w:sz w:val="24"/>
                <w:szCs w:val="24"/>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04"/>
              <w:jc w:val="right"/>
              <w:rPr>
                <w:rFonts w:ascii="Times New Roman" w:hAnsi="Times New Roman" w:cs="Times New Roman" w:eastAsia="Times New Roman" w:hint="default"/>
                <w:sz w:val="20"/>
                <w:szCs w:val="20"/>
              </w:rPr>
            </w:pPr>
            <w:r>
              <w:rPr>
                <w:rFonts w:ascii="Times New Roman"/>
                <w:w w:val="95"/>
                <w:sz w:val="20"/>
              </w:rPr>
              <w:t>5,779,603.76</w:t>
            </w:r>
            <w:r>
              <w:rPr>
                <w:rFonts w:ascii="Times New Roman"/>
                <w:sz w:val="20"/>
              </w:rPr>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903" w:right="0"/>
              <w:jc w:val="left"/>
              <w:rPr>
                <w:rFonts w:ascii="Times New Roman" w:hAnsi="Times New Roman" w:cs="Times New Roman" w:eastAsia="Times New Roman" w:hint="default"/>
                <w:sz w:val="20"/>
                <w:szCs w:val="20"/>
              </w:rPr>
            </w:pPr>
            <w:r>
              <w:rPr>
                <w:rFonts w:ascii="Times New Roman"/>
                <w:sz w:val="20"/>
              </w:rPr>
              <w:t>6,662,402.36</w:t>
            </w:r>
          </w:p>
        </w:tc>
      </w:tr>
      <w:tr>
        <w:trPr>
          <w:trHeight w:val="32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土地使用税</w:t>
            </w:r>
            <w:r>
              <w:rPr>
                <w:rFonts w:ascii="宋体" w:hAnsi="宋体" w:cs="宋体" w:eastAsia="宋体" w:hint="default"/>
                <w:sz w:val="24"/>
                <w:szCs w:val="24"/>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04"/>
              <w:jc w:val="right"/>
              <w:rPr>
                <w:rFonts w:ascii="Times New Roman" w:hAnsi="Times New Roman" w:cs="Times New Roman" w:eastAsia="Times New Roman" w:hint="default"/>
                <w:sz w:val="20"/>
                <w:szCs w:val="20"/>
              </w:rPr>
            </w:pPr>
            <w:r>
              <w:rPr>
                <w:rFonts w:ascii="Times New Roman"/>
                <w:w w:val="95"/>
                <w:sz w:val="20"/>
              </w:rPr>
              <w:t>4,474,846.27</w:t>
            </w:r>
            <w:r>
              <w:rPr>
                <w:rFonts w:ascii="Times New Roman"/>
                <w:sz w:val="20"/>
              </w:rPr>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903" w:right="0"/>
              <w:jc w:val="left"/>
              <w:rPr>
                <w:rFonts w:ascii="Times New Roman" w:hAnsi="Times New Roman" w:cs="Times New Roman" w:eastAsia="Times New Roman" w:hint="default"/>
                <w:sz w:val="20"/>
                <w:szCs w:val="20"/>
              </w:rPr>
            </w:pPr>
            <w:r>
              <w:rPr>
                <w:rFonts w:ascii="Times New Roman"/>
                <w:sz w:val="20"/>
              </w:rPr>
              <w:t>4,802,556.47</w:t>
            </w:r>
          </w:p>
        </w:tc>
      </w:tr>
      <w:tr>
        <w:trPr>
          <w:trHeight w:val="327"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车船使用税</w:t>
            </w:r>
            <w:r>
              <w:rPr>
                <w:rFonts w:ascii="宋体" w:hAnsi="宋体" w:cs="宋体" w:eastAsia="宋体" w:hint="default"/>
                <w:sz w:val="24"/>
                <w:szCs w:val="24"/>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04"/>
              <w:jc w:val="right"/>
              <w:rPr>
                <w:rFonts w:ascii="Times New Roman" w:hAnsi="Times New Roman" w:cs="Times New Roman" w:eastAsia="Times New Roman" w:hint="default"/>
                <w:sz w:val="20"/>
                <w:szCs w:val="20"/>
              </w:rPr>
            </w:pPr>
            <w:r>
              <w:rPr>
                <w:rFonts w:ascii="Times New Roman"/>
                <w:w w:val="95"/>
                <w:sz w:val="20"/>
              </w:rPr>
              <w:t>6,276.50</w:t>
            </w:r>
            <w:r>
              <w:rPr>
                <w:rFonts w:ascii="Times New Roman"/>
                <w:sz w:val="20"/>
              </w:rPr>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06"/>
              <w:jc w:val="right"/>
              <w:rPr>
                <w:rFonts w:ascii="Times New Roman" w:hAnsi="Times New Roman" w:cs="Times New Roman" w:eastAsia="Times New Roman" w:hint="default"/>
                <w:sz w:val="20"/>
                <w:szCs w:val="20"/>
              </w:rPr>
            </w:pPr>
            <w:r>
              <w:rPr>
                <w:rFonts w:ascii="Times New Roman"/>
                <w:w w:val="95"/>
                <w:sz w:val="20"/>
              </w:rPr>
              <w:t>14,863.60</w:t>
            </w:r>
            <w:r>
              <w:rPr>
                <w:rFonts w:ascii="Times New Roman"/>
                <w:sz w:val="20"/>
              </w:rPr>
            </w:r>
          </w:p>
        </w:tc>
      </w:tr>
      <w:tr>
        <w:trPr>
          <w:trHeight w:val="32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印花税</w:t>
            </w:r>
            <w:r>
              <w:rPr>
                <w:rFonts w:ascii="宋体" w:hAnsi="宋体" w:cs="宋体" w:eastAsia="宋体" w:hint="default"/>
                <w:sz w:val="24"/>
                <w:szCs w:val="24"/>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04"/>
              <w:jc w:val="right"/>
              <w:rPr>
                <w:rFonts w:ascii="Times New Roman" w:hAnsi="Times New Roman" w:cs="Times New Roman" w:eastAsia="Times New Roman" w:hint="default"/>
                <w:sz w:val="20"/>
                <w:szCs w:val="20"/>
              </w:rPr>
            </w:pPr>
            <w:r>
              <w:rPr>
                <w:rFonts w:ascii="Times New Roman"/>
                <w:w w:val="95"/>
                <w:sz w:val="20"/>
              </w:rPr>
              <w:t>3,701,794.82</w:t>
            </w:r>
            <w:r>
              <w:rPr>
                <w:rFonts w:ascii="Times New Roman"/>
                <w:sz w:val="20"/>
              </w:rPr>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903" w:right="0"/>
              <w:jc w:val="left"/>
              <w:rPr>
                <w:rFonts w:ascii="Times New Roman" w:hAnsi="Times New Roman" w:cs="Times New Roman" w:eastAsia="Times New Roman" w:hint="default"/>
                <w:sz w:val="20"/>
                <w:szCs w:val="20"/>
              </w:rPr>
            </w:pPr>
            <w:r>
              <w:rPr>
                <w:rFonts w:ascii="Times New Roman"/>
                <w:sz w:val="20"/>
              </w:rPr>
              <w:t>3,514,048.36</w:t>
            </w:r>
          </w:p>
        </w:tc>
      </w:tr>
      <w:tr>
        <w:trPr>
          <w:trHeight w:val="32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其他税费</w:t>
            </w:r>
            <w:r>
              <w:rPr>
                <w:rFonts w:ascii="宋体" w:hAnsi="宋体" w:cs="宋体" w:eastAsia="宋体" w:hint="default"/>
                <w:sz w:val="24"/>
                <w:szCs w:val="24"/>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04"/>
              <w:jc w:val="right"/>
              <w:rPr>
                <w:rFonts w:ascii="Times New Roman" w:hAnsi="Times New Roman" w:cs="Times New Roman" w:eastAsia="Times New Roman" w:hint="default"/>
                <w:sz w:val="20"/>
                <w:szCs w:val="20"/>
              </w:rPr>
            </w:pPr>
            <w:r>
              <w:rPr>
                <w:rFonts w:ascii="Times New Roman"/>
                <w:w w:val="95"/>
                <w:sz w:val="20"/>
              </w:rPr>
              <w:t>548,658.73</w:t>
            </w:r>
            <w:r>
              <w:rPr>
                <w:rFonts w:ascii="Times New Roman"/>
                <w:sz w:val="20"/>
              </w:rPr>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06"/>
              <w:jc w:val="right"/>
              <w:rPr>
                <w:rFonts w:ascii="Times New Roman" w:hAnsi="Times New Roman" w:cs="Times New Roman" w:eastAsia="Times New Roman" w:hint="default"/>
                <w:sz w:val="20"/>
                <w:szCs w:val="20"/>
              </w:rPr>
            </w:pPr>
            <w:r>
              <w:rPr>
                <w:rFonts w:ascii="Times New Roman"/>
                <w:w w:val="95"/>
                <w:sz w:val="20"/>
              </w:rPr>
              <w:t>685,669.87</w:t>
            </w:r>
            <w:r>
              <w:rPr>
                <w:rFonts w:ascii="Times New Roman"/>
                <w:sz w:val="20"/>
              </w:rPr>
            </w:r>
          </w:p>
        </w:tc>
      </w:tr>
      <w:tr>
        <w:trPr>
          <w:trHeight w:val="32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04"/>
              <w:jc w:val="right"/>
              <w:rPr>
                <w:rFonts w:ascii="Times New Roman" w:hAnsi="Times New Roman" w:cs="Times New Roman" w:eastAsia="Times New Roman" w:hint="default"/>
                <w:sz w:val="20"/>
                <w:szCs w:val="20"/>
              </w:rPr>
            </w:pPr>
            <w:r>
              <w:rPr>
                <w:rFonts w:ascii="Times New Roman"/>
                <w:w w:val="95"/>
                <w:sz w:val="20"/>
              </w:rPr>
              <w:t>35,033,178.90</w:t>
            </w:r>
            <w:r>
              <w:rPr>
                <w:rFonts w:ascii="Times New Roman"/>
                <w:sz w:val="20"/>
              </w:rPr>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1804" w:right="0"/>
              <w:jc w:val="left"/>
              <w:rPr>
                <w:rFonts w:ascii="Times New Roman" w:hAnsi="Times New Roman" w:cs="Times New Roman" w:eastAsia="Times New Roman" w:hint="default"/>
                <w:sz w:val="20"/>
                <w:szCs w:val="20"/>
              </w:rPr>
            </w:pPr>
            <w:r>
              <w:rPr>
                <w:rFonts w:ascii="Times New Roman"/>
                <w:sz w:val="20"/>
              </w:rPr>
              <w:t>31,116,687.80</w:t>
            </w:r>
          </w:p>
        </w:tc>
      </w:tr>
    </w:tbl>
    <w:p>
      <w:pPr>
        <w:spacing w:after="0" w:line="223" w:lineRule="exact"/>
        <w:jc w:val="left"/>
        <w:rPr>
          <w:rFonts w:ascii="Times New Roman" w:hAnsi="Times New Roman" w:cs="Times New Roman" w:eastAsia="Times New Roman" w:hint="default"/>
          <w:sz w:val="20"/>
          <w:szCs w:val="20"/>
        </w:rPr>
        <w:sectPr>
          <w:type w:val="continuous"/>
          <w:pgSz w:w="11910" w:h="16840"/>
          <w:pgMar w:top="1120" w:bottom="1380" w:left="1040" w:right="1560"/>
        </w:sectPr>
      </w:pPr>
    </w:p>
    <w:p>
      <w:pPr>
        <w:pStyle w:val="Heading3"/>
        <w:spacing w:line="274" w:lineRule="exact"/>
        <w:ind w:left="236" w:right="0"/>
        <w:jc w:val="left"/>
        <w:rPr>
          <w:rFonts w:ascii="宋体" w:hAnsi="宋体" w:cs="宋体" w:eastAsia="宋体" w:hint="default"/>
        </w:rPr>
      </w:pPr>
      <w:r>
        <w:rPr>
          <w:rFonts w:ascii="宋体"/>
        </w:rPr>
        <w:t> </w:t>
      </w:r>
    </w:p>
    <w:p>
      <w:pPr>
        <w:pStyle w:val="Heading5"/>
        <w:spacing w:line="240" w:lineRule="auto"/>
        <w:ind w:left="236" w:right="0"/>
        <w:jc w:val="left"/>
        <w:rPr>
          <w:rFonts w:ascii="宋体" w:hAnsi="宋体" w:cs="宋体" w:eastAsia="宋体" w:hint="default"/>
          <w:b w:val="0"/>
          <w:bCs w:val="0"/>
        </w:rPr>
      </w:pPr>
      <w:r>
        <w:rPr>
          <w:rFonts w:ascii="宋体" w:hAnsi="宋体" w:cs="宋体" w:eastAsia="宋体" w:hint="default"/>
        </w:rPr>
        <w:t>61</w:t>
      </w:r>
      <w:r>
        <w:rPr/>
        <w:t>、</w:t>
      </w:r>
      <w:r>
        <w:rPr>
          <w:spacing w:val="-27"/>
        </w:rPr>
        <w:t> </w:t>
      </w:r>
      <w:r>
        <w:rPr/>
        <w:t>销售费用</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278" w:space="4244"/>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32"/>
        <w:gridCol w:w="2861"/>
        <w:gridCol w:w="2857"/>
      </w:tblGrid>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9"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23" w:right="0"/>
              <w:jc w:val="left"/>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20" w:right="0"/>
              <w:jc w:val="left"/>
              <w:rPr>
                <w:rFonts w:ascii="宋体" w:hAnsi="宋体" w:cs="宋体" w:eastAsia="宋体" w:hint="default"/>
                <w:sz w:val="24"/>
                <w:szCs w:val="24"/>
              </w:rPr>
            </w:pPr>
            <w:r>
              <w:rPr>
                <w:rFonts w:ascii="宋体" w:hAnsi="宋体" w:cs="宋体" w:eastAsia="宋体" w:hint="default"/>
                <w:sz w:val="24"/>
                <w:szCs w:val="24"/>
              </w:rPr>
              <w:t>上期发生额</w:t>
            </w:r>
            <w:r>
              <w:rPr>
                <w:rFonts w:ascii="宋体" w:hAnsi="宋体" w:cs="宋体" w:eastAsia="宋体" w:hint="default"/>
                <w:sz w:val="24"/>
                <w:szCs w:val="24"/>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工资薪酬</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77,228,375.95</w:t>
            </w:r>
            <w:r>
              <w:rPr>
                <w:rFonts w:ascii="Times New Roman"/>
                <w:sz w:val="20"/>
              </w:rPr>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71,463,056.92</w:t>
            </w:r>
            <w:r>
              <w:rPr>
                <w:rFonts w:ascii="Times New Roman"/>
                <w:sz w:val="20"/>
              </w:rPr>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3,537,693.95</w:t>
            </w:r>
            <w:r>
              <w:rPr>
                <w:rFonts w:ascii="Times New Roman"/>
                <w:sz w:val="20"/>
              </w:rPr>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1,638,460.48</w:t>
            </w:r>
            <w:r>
              <w:rPr>
                <w:rFonts w:ascii="Times New Roman"/>
                <w:sz w:val="20"/>
              </w:rPr>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办公、差旅费、会议费、电讯费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33,251,070.72</w:t>
            </w:r>
            <w:r>
              <w:rPr>
                <w:rFonts w:ascii="Times New Roman"/>
                <w:sz w:val="20"/>
              </w:rPr>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31,379,324.88</w:t>
            </w:r>
            <w:r>
              <w:rPr>
                <w:rFonts w:ascii="Times New Roman"/>
                <w:sz w:val="20"/>
              </w:rPr>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运输及杂费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12,292,173.76</w:t>
            </w:r>
            <w:r>
              <w:rPr>
                <w:rFonts w:ascii="Times New Roman"/>
                <w:sz w:val="20"/>
              </w:rPr>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10,434,694.45</w:t>
            </w:r>
            <w:r>
              <w:rPr>
                <w:rFonts w:ascii="Times New Roman"/>
                <w:sz w:val="20"/>
              </w:rPr>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业务招待及宣传费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33,325,562.47</w:t>
            </w:r>
            <w:r>
              <w:rPr>
                <w:rFonts w:ascii="Times New Roman"/>
                <w:sz w:val="20"/>
              </w:rPr>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28,682,562.58</w:t>
            </w:r>
            <w:r>
              <w:rPr>
                <w:rFonts w:ascii="Times New Roman"/>
                <w:sz w:val="20"/>
              </w:rPr>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35,663,959.88</w:t>
            </w:r>
            <w:r>
              <w:rPr>
                <w:rFonts w:ascii="Times New Roman"/>
                <w:sz w:val="20"/>
              </w:rPr>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58,000,585.00</w:t>
            </w:r>
            <w:r>
              <w:rPr>
                <w:rFonts w:ascii="Times New Roman"/>
                <w:sz w:val="20"/>
              </w:rPr>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195,298,836.73</w:t>
            </w:r>
            <w:r>
              <w:rPr>
                <w:rFonts w:ascii="Times New Roman"/>
                <w:sz w:val="20"/>
              </w:rPr>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201,598,684.31</w:t>
            </w:r>
            <w:r>
              <w:rPr>
                <w:rFonts w:ascii="Times New Roman"/>
                <w:sz w:val="20"/>
              </w:rPr>
            </w:r>
          </w:p>
        </w:tc>
      </w:tr>
    </w:tbl>
    <w:p>
      <w:pPr>
        <w:spacing w:after="0" w:line="223" w:lineRule="exact"/>
        <w:jc w:val="right"/>
        <w:rPr>
          <w:rFonts w:ascii="Times New Roman" w:hAnsi="Times New Roman" w:cs="Times New Roman" w:eastAsia="Times New Roman" w:hint="default"/>
          <w:sz w:val="20"/>
          <w:szCs w:val="20"/>
        </w:rPr>
        <w:sectPr>
          <w:type w:val="continuous"/>
          <w:pgSz w:w="11910" w:h="16840"/>
          <w:pgMar w:top="1120" w:bottom="1380" w:left="1040" w:right="1560"/>
        </w:sectPr>
      </w:pPr>
    </w:p>
    <w:p>
      <w:pPr>
        <w:pStyle w:val="Heading3"/>
        <w:spacing w:line="274" w:lineRule="exact"/>
        <w:ind w:left="236" w:right="0"/>
        <w:jc w:val="left"/>
        <w:rPr>
          <w:rFonts w:ascii="宋体" w:hAnsi="宋体" w:cs="宋体" w:eastAsia="宋体" w:hint="default"/>
        </w:rPr>
      </w:pPr>
      <w:r>
        <w:rPr>
          <w:rFonts w:ascii="宋体"/>
        </w:rPr>
        <w:t> </w:t>
      </w:r>
    </w:p>
    <w:p>
      <w:pPr>
        <w:pStyle w:val="Heading5"/>
        <w:spacing w:line="240" w:lineRule="auto"/>
        <w:ind w:left="236" w:right="0"/>
        <w:jc w:val="left"/>
        <w:rPr>
          <w:b w:val="0"/>
          <w:bCs w:val="0"/>
        </w:rPr>
      </w:pPr>
      <w:r>
        <w:rPr>
          <w:rFonts w:ascii="宋体" w:hAnsi="宋体" w:cs="宋体" w:eastAsia="宋体" w:hint="default"/>
        </w:rPr>
        <w:t>62</w:t>
      </w:r>
      <w:r>
        <w:rPr/>
        <w:t>、</w:t>
      </w:r>
      <w:r>
        <w:rPr>
          <w:spacing w:val="-24"/>
        </w:rPr>
        <w:t> </w:t>
      </w:r>
      <w:r>
        <w:rPr/>
        <w:t>管理费用</w:t>
      </w:r>
      <w:r>
        <w:rPr>
          <w:b w:val="0"/>
          <w:bCs w:val="0"/>
        </w:rPr>
      </w:r>
    </w:p>
    <w:p>
      <w:pPr>
        <w:pStyle w:val="Heading3"/>
        <w:spacing w:line="240" w:lineRule="auto" w:before="50"/>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6"/>
          <w:szCs w:val="26"/>
        </w:rPr>
      </w:pPr>
    </w:p>
    <w:p>
      <w:pPr>
        <w:pStyle w:val="Heading3"/>
        <w:spacing w:line="240" w:lineRule="auto"/>
        <w:ind w:left="23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278" w:space="3916"/>
            <w:col w:w="3116"/>
          </w:cols>
        </w:sectPr>
      </w:pPr>
    </w:p>
    <w:p>
      <w:pPr>
        <w:spacing w:line="240" w:lineRule="auto" w:before="12"/>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007"/>
        <w:gridCol w:w="2604"/>
        <w:gridCol w:w="2439"/>
      </w:tblGrid>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93" w:right="0"/>
              <w:jc w:val="left"/>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12" w:right="0"/>
              <w:jc w:val="left"/>
              <w:rPr>
                <w:rFonts w:ascii="宋体" w:hAnsi="宋体" w:cs="宋体" w:eastAsia="宋体" w:hint="default"/>
                <w:sz w:val="24"/>
                <w:szCs w:val="24"/>
              </w:rPr>
            </w:pPr>
            <w:r>
              <w:rPr>
                <w:rFonts w:ascii="宋体" w:hAnsi="宋体" w:cs="宋体" w:eastAsia="宋体" w:hint="default"/>
                <w:sz w:val="24"/>
                <w:szCs w:val="24"/>
              </w:rPr>
              <w:t>上期发生额</w:t>
            </w:r>
            <w:r>
              <w:rPr>
                <w:rFonts w:ascii="宋体" w:hAnsi="宋体" w:cs="宋体" w:eastAsia="宋体" w:hint="default"/>
                <w:sz w:val="24"/>
                <w:szCs w:val="24"/>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工资薪酬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115,422,345.95</w:t>
            </w:r>
            <w:r>
              <w:rPr>
                <w:rFonts w:ascii="Times New Roman"/>
                <w:sz w:val="20"/>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88,492,771.38</w:t>
            </w:r>
            <w:r>
              <w:rPr>
                <w:rFonts w:ascii="Times New Roman"/>
                <w:sz w:val="20"/>
              </w:rPr>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82,452,929.93</w:t>
            </w:r>
            <w:r>
              <w:rPr>
                <w:rFonts w:ascii="Times New Roman"/>
                <w:sz w:val="20"/>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68,039,555.74</w:t>
            </w:r>
            <w:r>
              <w:rPr>
                <w:rFonts w:ascii="Times New Roman"/>
                <w:sz w:val="20"/>
              </w:rPr>
            </w:r>
          </w:p>
        </w:tc>
      </w:tr>
      <w:tr>
        <w:trPr>
          <w:trHeight w:val="28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4"/>
              <w:jc w:val="right"/>
              <w:rPr>
                <w:rFonts w:ascii="Times New Roman" w:hAnsi="Times New Roman" w:cs="Times New Roman" w:eastAsia="Times New Roman" w:hint="default"/>
                <w:sz w:val="20"/>
                <w:szCs w:val="20"/>
              </w:rPr>
            </w:pPr>
            <w:r>
              <w:rPr>
                <w:rFonts w:ascii="Times New Roman"/>
                <w:w w:val="95"/>
                <w:sz w:val="20"/>
              </w:rPr>
              <w:t>1,794,998.13</w:t>
            </w:r>
            <w:r>
              <w:rPr>
                <w:rFonts w:ascii="Times New Roman"/>
                <w:sz w:val="20"/>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1"/>
              <w:jc w:val="right"/>
              <w:rPr>
                <w:rFonts w:ascii="Times New Roman" w:hAnsi="Times New Roman" w:cs="Times New Roman" w:eastAsia="Times New Roman" w:hint="default"/>
                <w:sz w:val="20"/>
                <w:szCs w:val="20"/>
              </w:rPr>
            </w:pPr>
            <w:r>
              <w:rPr>
                <w:rFonts w:ascii="Times New Roman"/>
                <w:w w:val="95"/>
                <w:sz w:val="20"/>
              </w:rPr>
              <w:t>1,412,063.02</w:t>
            </w:r>
            <w:r>
              <w:rPr>
                <w:rFonts w:ascii="Times New Roman"/>
                <w:sz w:val="20"/>
              </w:rPr>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办公、差旅费、会议费、电讯费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35,802,847.76</w:t>
            </w:r>
            <w:r>
              <w:rPr>
                <w:rFonts w:ascii="Times New Roman"/>
                <w:sz w:val="20"/>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36,965,071.02</w:t>
            </w:r>
            <w:r>
              <w:rPr>
                <w:rFonts w:ascii="Times New Roman"/>
                <w:sz w:val="20"/>
              </w:rPr>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限制股票股份支付费用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4,188,531.58</w:t>
            </w:r>
            <w:r>
              <w:rPr>
                <w:rFonts w:ascii="Times New Roman"/>
                <w:sz w:val="20"/>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46,298,374.57</w:t>
            </w:r>
            <w:r>
              <w:rPr>
                <w:rFonts w:ascii="Times New Roman"/>
                <w:sz w:val="20"/>
              </w:rPr>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业务招待及宣传费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10,830,418.58</w:t>
            </w:r>
            <w:r>
              <w:rPr>
                <w:rFonts w:ascii="Times New Roman"/>
                <w:sz w:val="20"/>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13,130,668.16</w:t>
            </w:r>
            <w:r>
              <w:rPr>
                <w:rFonts w:ascii="Times New Roman"/>
                <w:sz w:val="20"/>
              </w:rPr>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诉讼费</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Times New Roman" w:hAnsi="Times New Roman" w:cs="Times New Roman" w:eastAsia="Times New Roman" w:hint="default"/>
                <w:sz w:val="20"/>
                <w:szCs w:val="20"/>
              </w:rPr>
            </w:pPr>
            <w:r>
              <w:rPr>
                <w:rFonts w:ascii="Times New Roman"/>
                <w:w w:val="95"/>
                <w:sz w:val="20"/>
              </w:rPr>
              <w:t>41,000.00</w:t>
            </w:r>
            <w:r>
              <w:rPr>
                <w:rFonts w:ascii="Times New Roman"/>
                <w:sz w:val="20"/>
              </w:rPr>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73,552,498.31</w:t>
            </w:r>
            <w:r>
              <w:rPr>
                <w:rFonts w:ascii="Times New Roman"/>
                <w:sz w:val="20"/>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44,130,443.05</w:t>
            </w:r>
            <w:r>
              <w:rPr>
                <w:rFonts w:ascii="Times New Roman"/>
                <w:sz w:val="20"/>
              </w:rPr>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324,044,570.24</w:t>
            </w:r>
            <w:r>
              <w:rPr>
                <w:rFonts w:ascii="Times New Roman"/>
                <w:sz w:val="20"/>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298,509,946.94</w:t>
            </w:r>
            <w:r>
              <w:rPr>
                <w:rFonts w:ascii="Times New Roman"/>
                <w:sz w:val="20"/>
              </w:rPr>
            </w:r>
          </w:p>
        </w:tc>
      </w:tr>
    </w:tbl>
    <w:p>
      <w:pPr>
        <w:pStyle w:val="Heading3"/>
        <w:spacing w:line="274" w:lineRule="exact"/>
        <w:ind w:left="236" w:right="0"/>
        <w:jc w:val="left"/>
        <w:rPr>
          <w:rFonts w:ascii="宋体" w:hAnsi="宋体" w:cs="宋体" w:eastAsia="宋体" w:hint="default"/>
        </w:rPr>
      </w:pPr>
      <w:r>
        <w:rPr>
          <w:rFonts w:ascii="宋体"/>
        </w:rPr>
        <w:t> </w:t>
      </w:r>
    </w:p>
    <w:p>
      <w:pPr>
        <w:pStyle w:val="Heading5"/>
        <w:spacing w:line="240" w:lineRule="auto" w:before="61"/>
        <w:ind w:left="236" w:right="0"/>
        <w:jc w:val="left"/>
        <w:rPr>
          <w:b w:val="0"/>
          <w:bCs w:val="0"/>
        </w:rPr>
      </w:pPr>
      <w:r>
        <w:rPr>
          <w:rFonts w:ascii="宋体" w:hAnsi="宋体" w:cs="宋体" w:eastAsia="宋体" w:hint="default"/>
        </w:rPr>
        <w:t>63</w:t>
      </w:r>
      <w:r>
        <w:rPr/>
        <w:t>、</w:t>
      </w:r>
      <w:r>
        <w:rPr>
          <w:spacing w:val="-24"/>
        </w:rPr>
        <w:t> </w:t>
      </w:r>
      <w:r>
        <w:rPr/>
        <w:t>研发费用</w:t>
      </w:r>
      <w:r>
        <w:rPr>
          <w:b w:val="0"/>
          <w:bCs w:val="0"/>
        </w:rPr>
      </w:r>
    </w:p>
    <w:p>
      <w:pPr>
        <w:pStyle w:val="Heading3"/>
        <w:spacing w:line="240" w:lineRule="auto" w:before="52"/>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pStyle w:val="BodyText"/>
        <w:tabs>
          <w:tab w:pos="1051" w:val="left" w:leader="none"/>
        </w:tabs>
        <w:spacing w:line="240" w:lineRule="auto" w:before="36"/>
        <w:ind w:left="0" w:right="231"/>
        <w:jc w:val="right"/>
      </w:pPr>
      <w:r>
        <w:rPr>
          <w:spacing w:val="-1"/>
        </w:rPr>
        <w:t>单位：元</w:t>
        <w:tab/>
        <w:t>币种：人民币</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17"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693" w:right="0"/>
              <w:jc w:val="left"/>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612" w:right="0"/>
              <w:jc w:val="left"/>
              <w:rPr>
                <w:rFonts w:ascii="宋体" w:hAnsi="宋体" w:cs="宋体" w:eastAsia="宋体" w:hint="default"/>
                <w:sz w:val="24"/>
                <w:szCs w:val="24"/>
              </w:rPr>
            </w:pPr>
            <w:r>
              <w:rPr>
                <w:rFonts w:ascii="宋体" w:hAnsi="宋体" w:cs="宋体" w:eastAsia="宋体" w:hint="default"/>
                <w:sz w:val="24"/>
                <w:szCs w:val="24"/>
              </w:rPr>
              <w:t>上期发生额</w:t>
            </w:r>
            <w:r>
              <w:rPr>
                <w:rFonts w:ascii="宋体" w:hAnsi="宋体" w:cs="宋体" w:eastAsia="宋体" w:hint="default"/>
                <w:sz w:val="24"/>
                <w:szCs w:val="24"/>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hAnsi="宋体" w:cs="宋体" w:eastAsia="宋体" w:hint="default"/>
                <w:sz w:val="21"/>
                <w:szCs w:val="21"/>
              </w:rPr>
              <w:t>工资薪酬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62,354,731.07</w:t>
            </w:r>
            <w:r>
              <w:rPr>
                <w:rFonts w:ascii="Times New Roman"/>
                <w:sz w:val="20"/>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47,431,570.96</w:t>
            </w:r>
            <w:r>
              <w:rPr>
                <w:rFonts w:ascii="Times New Roman"/>
                <w:sz w:val="20"/>
              </w:rPr>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6,829,580.98</w:t>
            </w:r>
            <w:r>
              <w:rPr>
                <w:rFonts w:ascii="Times New Roman"/>
                <w:sz w:val="20"/>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6,691,722.22</w:t>
            </w:r>
            <w:r>
              <w:rPr>
                <w:rFonts w:ascii="Times New Roman"/>
                <w:sz w:val="20"/>
              </w:rPr>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hAnsi="宋体" w:cs="宋体" w:eastAsia="宋体" w:hint="default"/>
                <w:sz w:val="21"/>
                <w:szCs w:val="21"/>
              </w:rPr>
              <w:t>技术开发费及试验检验费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66,398,344.50</w:t>
            </w:r>
            <w:r>
              <w:rPr>
                <w:rFonts w:ascii="Times New Roman"/>
                <w:sz w:val="20"/>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68,243,556.86</w:t>
            </w:r>
            <w:r>
              <w:rPr>
                <w:rFonts w:ascii="Times New Roman"/>
                <w:sz w:val="20"/>
              </w:rPr>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hAnsi="宋体" w:cs="宋体" w:eastAsia="宋体" w:hint="default"/>
                <w:sz w:val="21"/>
                <w:szCs w:val="21"/>
              </w:rPr>
              <w:t>办公、差旅费、会议费、电讯费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8,060,155.62</w:t>
            </w:r>
            <w:r>
              <w:rPr>
                <w:rFonts w:ascii="Times New Roman"/>
                <w:sz w:val="20"/>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5,367,862.91</w:t>
            </w:r>
            <w:r>
              <w:rPr>
                <w:rFonts w:ascii="Times New Roman"/>
                <w:sz w:val="20"/>
              </w:rPr>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hAnsi="宋体" w:cs="宋体" w:eastAsia="宋体" w:hint="default"/>
                <w:sz w:val="21"/>
                <w:szCs w:val="21"/>
              </w:rPr>
              <w:t>业务招待及宣传费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w w:val="95"/>
                <w:sz w:val="20"/>
              </w:rPr>
              <w:t>908,999.52</w:t>
            </w:r>
            <w:r>
              <w:rPr>
                <w:rFonts w:ascii="Times New Roman"/>
                <w:sz w:val="20"/>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546,273.54</w:t>
            </w:r>
            <w:r>
              <w:rPr>
                <w:rFonts w:ascii="Times New Roman"/>
                <w:sz w:val="20"/>
              </w:rPr>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hAnsi="宋体" w:cs="宋体" w:eastAsia="宋体" w:hint="default"/>
                <w:sz w:val="21"/>
                <w:szCs w:val="21"/>
              </w:rPr>
              <w:t>试制材料、外协加工费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37,506,594.82</w:t>
            </w:r>
            <w:r>
              <w:rPr>
                <w:rFonts w:ascii="Times New Roman"/>
                <w:sz w:val="20"/>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47,874,281.04</w:t>
            </w:r>
            <w:r>
              <w:rPr>
                <w:rFonts w:ascii="Times New Roman"/>
                <w:sz w:val="20"/>
              </w:rPr>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hAnsi="宋体" w:cs="宋体" w:eastAsia="宋体" w:hint="default"/>
                <w:sz w:val="21"/>
                <w:szCs w:val="21"/>
              </w:rPr>
              <w:t>运输及杂费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w w:val="95"/>
                <w:sz w:val="20"/>
              </w:rPr>
              <w:t>83,958.45</w:t>
            </w:r>
            <w:r>
              <w:rPr>
                <w:rFonts w:ascii="Times New Roman"/>
                <w:sz w:val="20"/>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307,455.39</w:t>
            </w:r>
            <w:r>
              <w:rPr>
                <w:rFonts w:ascii="Times New Roman"/>
                <w:sz w:val="20"/>
              </w:rPr>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5,323,818.51</w:t>
            </w:r>
            <w:r>
              <w:rPr>
                <w:rFonts w:ascii="Times New Roman"/>
                <w:sz w:val="20"/>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1,867,962.64</w:t>
            </w:r>
            <w:r>
              <w:rPr>
                <w:rFonts w:ascii="Times New Roman"/>
                <w:sz w:val="20"/>
              </w:rPr>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7"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Times New Roman" w:hAnsi="Times New Roman" w:cs="Times New Roman" w:eastAsia="Times New Roman" w:hint="default"/>
                <w:sz w:val="20"/>
                <w:szCs w:val="20"/>
              </w:rPr>
            </w:pPr>
            <w:r>
              <w:rPr>
                <w:rFonts w:ascii="Times New Roman"/>
                <w:w w:val="95"/>
                <w:sz w:val="20"/>
              </w:rPr>
              <w:t>187,466,183.47</w:t>
            </w:r>
            <w:r>
              <w:rPr>
                <w:rFonts w:ascii="Times New Roman"/>
                <w:sz w:val="20"/>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Times New Roman" w:hAnsi="Times New Roman" w:cs="Times New Roman" w:eastAsia="Times New Roman" w:hint="default"/>
                <w:sz w:val="20"/>
                <w:szCs w:val="20"/>
              </w:rPr>
            </w:pPr>
            <w:r>
              <w:rPr>
                <w:rFonts w:ascii="Times New Roman"/>
                <w:w w:val="95"/>
                <w:sz w:val="20"/>
              </w:rPr>
              <w:t>178,330,685.56</w:t>
            </w:r>
            <w:r>
              <w:rPr>
                <w:rFonts w:ascii="Times New Roman"/>
                <w:sz w:val="20"/>
              </w:rPr>
            </w:r>
          </w:p>
        </w:tc>
      </w:tr>
    </w:tbl>
    <w:p>
      <w:pPr>
        <w:spacing w:after="0" w:line="226" w:lineRule="exact"/>
        <w:jc w:val="right"/>
        <w:rPr>
          <w:rFonts w:ascii="Times New Roman" w:hAnsi="Times New Roman" w:cs="Times New Roman" w:eastAsia="Times New Roman" w:hint="default"/>
          <w:sz w:val="20"/>
          <w:szCs w:val="20"/>
        </w:rPr>
        <w:sectPr>
          <w:pgSz w:w="11910" w:h="16840"/>
          <w:pgMar w:header="882" w:footer="1195" w:top="1120" w:bottom="1380" w:left="1060" w:right="1560"/>
        </w:sectPr>
      </w:pPr>
    </w:p>
    <w:p>
      <w:pPr>
        <w:pStyle w:val="Heading3"/>
        <w:spacing w:line="274" w:lineRule="exact"/>
        <w:ind w:right="0"/>
        <w:jc w:val="left"/>
        <w:rPr>
          <w:rFonts w:ascii="宋体" w:hAnsi="宋体" w:cs="宋体" w:eastAsia="宋体" w:hint="default"/>
        </w:rPr>
      </w:pPr>
      <w:r>
        <w:rPr>
          <w:rFonts w:ascii="宋体"/>
        </w:rPr>
        <w:t> </w:t>
      </w:r>
    </w:p>
    <w:p>
      <w:pPr>
        <w:pStyle w:val="Heading5"/>
        <w:spacing w:line="240" w:lineRule="auto"/>
        <w:ind w:right="0"/>
        <w:jc w:val="left"/>
        <w:rPr>
          <w:b w:val="0"/>
          <w:bCs w:val="0"/>
        </w:rPr>
      </w:pPr>
      <w:r>
        <w:rPr>
          <w:rFonts w:ascii="宋体" w:hAnsi="宋体" w:cs="宋体" w:eastAsia="宋体" w:hint="default"/>
        </w:rPr>
        <w:t>64</w:t>
      </w:r>
      <w:r>
        <w:rPr/>
        <w:t>、</w:t>
      </w:r>
      <w:r>
        <w:rPr>
          <w:spacing w:val="-24"/>
        </w:rPr>
        <w:t> </w:t>
      </w:r>
      <w:r>
        <w:rPr/>
        <w:t>财务费用</w:t>
      </w:r>
      <w:r>
        <w:rPr>
          <w:b w:val="0"/>
          <w:bCs w:val="0"/>
        </w:rPr>
      </w:r>
    </w:p>
    <w:p>
      <w:pPr>
        <w:pStyle w:val="Heading3"/>
        <w:spacing w:line="240" w:lineRule="auto" w:before="53"/>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7"/>
          <w:szCs w:val="27"/>
        </w:rPr>
      </w:pPr>
    </w:p>
    <w:p>
      <w:pPr>
        <w:pStyle w:val="BodyText"/>
        <w:spacing w:line="240" w:lineRule="auto"/>
        <w:ind w:left="216"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1060" w:right="1560"/>
          <w:cols w:num="2" w:equalWidth="0">
            <w:col w:w="2258" w:space="4264"/>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637"/>
              <w:jc w:val="righ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93" w:right="0"/>
              <w:jc w:val="left"/>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12" w:right="0"/>
              <w:jc w:val="left"/>
              <w:rPr>
                <w:rFonts w:ascii="宋体" w:hAnsi="宋体" w:cs="宋体" w:eastAsia="宋体" w:hint="default"/>
                <w:sz w:val="24"/>
                <w:szCs w:val="24"/>
              </w:rPr>
            </w:pPr>
            <w:r>
              <w:rPr>
                <w:rFonts w:ascii="宋体" w:hAnsi="宋体" w:cs="宋体" w:eastAsia="宋体" w:hint="default"/>
                <w:sz w:val="24"/>
                <w:szCs w:val="24"/>
              </w:rPr>
              <w:t>上期发生额</w:t>
            </w:r>
            <w:r>
              <w:rPr>
                <w:rFonts w:ascii="宋体" w:hAnsi="宋体" w:cs="宋体" w:eastAsia="宋体" w:hint="default"/>
                <w:sz w:val="24"/>
                <w:szCs w:val="24"/>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168,360,035.72</w:t>
            </w:r>
            <w:r>
              <w:rPr>
                <w:rFonts w:ascii="Times New Roman"/>
                <w:sz w:val="20"/>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183,328,034.71</w:t>
            </w:r>
            <w:r>
              <w:rPr>
                <w:rFonts w:ascii="Times New Roman"/>
                <w:sz w:val="20"/>
              </w:rPr>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-7,088,502.95</w:t>
            </w:r>
            <w:r>
              <w:rPr>
                <w:rFonts w:ascii="Times New Roman"/>
                <w:sz w:val="20"/>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-6,213,031.33</w:t>
            </w:r>
            <w:r>
              <w:rPr>
                <w:rFonts w:ascii="Times New Roman"/>
                <w:sz w:val="20"/>
              </w:rPr>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汇兑损失</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减：汇兑收益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-2,542,364.48</w:t>
            </w:r>
            <w:r>
              <w:rPr>
                <w:rFonts w:ascii="Times New Roman"/>
                <w:sz w:val="20"/>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-3,736,936.84</w:t>
            </w:r>
            <w:r>
              <w:rPr>
                <w:rFonts w:ascii="Times New Roman"/>
                <w:sz w:val="20"/>
              </w:rPr>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未确认融资费用摊销</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4,648,189.37</w:t>
            </w:r>
            <w:r>
              <w:rPr>
                <w:rFonts w:ascii="Times New Roman"/>
                <w:sz w:val="20"/>
              </w:rPr>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16,731,671.08</w:t>
            </w:r>
            <w:r>
              <w:rPr>
                <w:rFonts w:ascii="Times New Roman"/>
                <w:sz w:val="20"/>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10,028,582.76</w:t>
            </w:r>
            <w:r>
              <w:rPr>
                <w:rFonts w:ascii="Times New Roman"/>
                <w:sz w:val="20"/>
              </w:rPr>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637"/>
              <w:jc w:val="righ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175,460,839.37</w:t>
            </w:r>
            <w:r>
              <w:rPr>
                <w:rFonts w:ascii="Times New Roman"/>
                <w:sz w:val="20"/>
              </w:rPr>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188,054,838.67</w:t>
            </w:r>
            <w:r>
              <w:rPr>
                <w:rFonts w:ascii="Times New Roman"/>
                <w:sz w:val="20"/>
              </w:rPr>
            </w:r>
          </w:p>
        </w:tc>
      </w:tr>
    </w:tbl>
    <w:p>
      <w:pPr>
        <w:spacing w:after="0" w:line="223" w:lineRule="exact"/>
        <w:jc w:val="right"/>
        <w:rPr>
          <w:rFonts w:ascii="Times New Roman" w:hAnsi="Times New Roman" w:cs="Times New Roman" w:eastAsia="Times New Roman" w:hint="default"/>
          <w:sz w:val="20"/>
          <w:szCs w:val="20"/>
        </w:rPr>
        <w:sectPr>
          <w:type w:val="continuous"/>
          <w:pgSz w:w="11910" w:h="16840"/>
          <w:pgMar w:top="1120" w:bottom="1380" w:left="1060" w:right="1560"/>
        </w:sectPr>
      </w:pPr>
    </w:p>
    <w:p>
      <w:pPr>
        <w:pStyle w:val="Heading3"/>
        <w:spacing w:line="274" w:lineRule="exact"/>
        <w:ind w:right="0"/>
        <w:jc w:val="left"/>
        <w:rPr>
          <w:rFonts w:ascii="宋体" w:hAnsi="宋体" w:cs="宋体" w:eastAsia="宋体" w:hint="default"/>
        </w:rPr>
      </w:pPr>
      <w:r>
        <w:rPr>
          <w:rFonts w:ascii="宋体"/>
        </w:rPr>
        <w:t> </w:t>
      </w:r>
    </w:p>
    <w:p>
      <w:pPr>
        <w:pStyle w:val="Heading5"/>
        <w:spacing w:line="240" w:lineRule="auto" w:before="62"/>
        <w:ind w:right="0"/>
        <w:jc w:val="left"/>
        <w:rPr>
          <w:b w:val="0"/>
          <w:bCs w:val="0"/>
        </w:rPr>
      </w:pPr>
      <w:r>
        <w:rPr>
          <w:rFonts w:ascii="宋体" w:hAnsi="宋体" w:cs="宋体" w:eastAsia="宋体" w:hint="default"/>
        </w:rPr>
        <w:t>65</w:t>
      </w:r>
      <w:r>
        <w:rPr/>
        <w:t>、</w:t>
      </w:r>
      <w:r>
        <w:rPr>
          <w:spacing w:val="-24"/>
        </w:rPr>
        <w:t> </w:t>
      </w:r>
      <w:r>
        <w:rPr/>
        <w:t>其他收益</w:t>
      </w:r>
      <w:r>
        <w:rPr>
          <w:b w:val="0"/>
          <w:bCs w:val="0"/>
        </w:rPr>
      </w:r>
    </w:p>
    <w:p>
      <w:pPr>
        <w:pStyle w:val="Heading3"/>
        <w:spacing w:line="240" w:lineRule="auto"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258" w:space="4264"/>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99" w:right="0"/>
              <w:jc w:val="left"/>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02" w:right="0"/>
              <w:jc w:val="left"/>
              <w:rPr>
                <w:rFonts w:ascii="宋体" w:hAnsi="宋体" w:cs="宋体" w:eastAsia="宋体" w:hint="default"/>
                <w:sz w:val="24"/>
                <w:szCs w:val="24"/>
              </w:rPr>
            </w:pPr>
            <w:r>
              <w:rPr>
                <w:rFonts w:ascii="宋体" w:hAnsi="宋体" w:cs="宋体" w:eastAsia="宋体" w:hint="default"/>
                <w:sz w:val="24"/>
                <w:szCs w:val="24"/>
              </w:rPr>
              <w:t>上期发生额</w:t>
            </w:r>
            <w:r>
              <w:rPr>
                <w:rFonts w:ascii="宋体" w:hAnsi="宋体" w:cs="宋体" w:eastAsia="宋体" w:hint="default"/>
                <w:sz w:val="24"/>
                <w:szCs w:val="24"/>
              </w:rPr>
              <w:t> </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由递延收益转入</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5,600,185.62</w:t>
            </w:r>
            <w:r>
              <w:rPr>
                <w:rFonts w:ascii="Times New Roman"/>
                <w:sz w:val="20"/>
              </w:rPr>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3,357,701.69</w:t>
            </w:r>
            <w:r>
              <w:rPr>
                <w:rFonts w:ascii="Times New Roman"/>
                <w:sz w:val="20"/>
              </w:rPr>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软件收入流转税即征即退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2,280,067.39</w:t>
            </w:r>
            <w:r>
              <w:rPr>
                <w:rFonts w:ascii="Times New Roman"/>
                <w:sz w:val="20"/>
              </w:rPr>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6,780,524.06</w:t>
            </w:r>
            <w:r>
              <w:rPr>
                <w:rFonts w:ascii="Times New Roman"/>
                <w:sz w:val="20"/>
              </w:rPr>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税收返还</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18,325,413.57</w:t>
            </w:r>
            <w:r>
              <w:rPr>
                <w:rFonts w:ascii="Times New Roman"/>
                <w:sz w:val="20"/>
              </w:rPr>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5,010,599.04</w:t>
            </w:r>
            <w:r>
              <w:rPr>
                <w:rFonts w:ascii="Times New Roman"/>
                <w:sz w:val="20"/>
              </w:rPr>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研究开发补助</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3,294,200.00</w:t>
            </w:r>
            <w:r>
              <w:rPr>
                <w:rFonts w:ascii="Times New Roman"/>
                <w:sz w:val="20"/>
              </w:rPr>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3,044,000.00</w:t>
            </w:r>
            <w:r>
              <w:rPr>
                <w:rFonts w:ascii="Times New Roman"/>
                <w:sz w:val="20"/>
              </w:rPr>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专利发明补助</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500,000.00</w:t>
            </w:r>
            <w:r>
              <w:rPr>
                <w:rFonts w:ascii="Times New Roman"/>
                <w:sz w:val="20"/>
              </w:rPr>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217,580.00</w:t>
            </w:r>
            <w:r>
              <w:rPr>
                <w:rFonts w:ascii="Times New Roman"/>
                <w:sz w:val="20"/>
              </w:rPr>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保险补助</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41,000.00</w:t>
            </w:r>
            <w:r>
              <w:rPr>
                <w:rFonts w:ascii="Times New Roman"/>
                <w:sz w:val="20"/>
              </w:rPr>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人才引进补助</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1,060,000.00</w:t>
            </w:r>
            <w:r>
              <w:rPr>
                <w:rFonts w:ascii="Times New Roman"/>
                <w:sz w:val="20"/>
              </w:rPr>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412,200.00</w:t>
            </w:r>
            <w:r>
              <w:rPr>
                <w:rFonts w:ascii="Times New Roman"/>
                <w:sz w:val="20"/>
              </w:rPr>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稳岗补贴</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336,789.00</w:t>
            </w:r>
            <w:r>
              <w:rPr>
                <w:rFonts w:ascii="Times New Roman"/>
                <w:sz w:val="20"/>
              </w:rPr>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106,596.08</w:t>
            </w:r>
            <w:r>
              <w:rPr>
                <w:rFonts w:ascii="Times New Roman"/>
                <w:sz w:val="20"/>
              </w:rPr>
            </w:r>
          </w:p>
        </w:tc>
      </w:tr>
      <w:tr>
        <w:trPr>
          <w:trHeight w:val="28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产业升级专项资金补助</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4,700,500.00</w:t>
            </w:r>
            <w:r>
              <w:rPr>
                <w:rFonts w:ascii="Times New Roman"/>
                <w:sz w:val="20"/>
              </w:rPr>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500,000.00</w:t>
            </w:r>
            <w:r>
              <w:rPr>
                <w:rFonts w:ascii="Times New Roman"/>
                <w:sz w:val="20"/>
              </w:rPr>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外经贸发展扶持补助金</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1,559,000.00</w:t>
            </w:r>
            <w:r>
              <w:rPr>
                <w:rFonts w:ascii="Times New Roman"/>
                <w:sz w:val="20"/>
              </w:rPr>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145,500.00</w:t>
            </w:r>
            <w:r>
              <w:rPr>
                <w:rFonts w:ascii="Times New Roman"/>
                <w:sz w:val="20"/>
              </w:rPr>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科技型中小企业技术创新补助</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250,000.00</w:t>
            </w:r>
            <w:r>
              <w:rPr>
                <w:rFonts w:ascii="Times New Roman"/>
                <w:sz w:val="20"/>
              </w:rPr>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应急产业展会补助</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270,000.00</w:t>
            </w:r>
            <w:r>
              <w:rPr>
                <w:rFonts w:ascii="Times New Roman"/>
                <w:sz w:val="20"/>
              </w:rPr>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其他补助</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571,083.87</w:t>
            </w:r>
            <w:r>
              <w:rPr>
                <w:rFonts w:ascii="Times New Roman"/>
                <w:sz w:val="20"/>
              </w:rPr>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129,099.61</w:t>
            </w:r>
            <w:r>
              <w:rPr>
                <w:rFonts w:ascii="Times New Roman"/>
                <w:sz w:val="20"/>
              </w:rPr>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0"/>
                <w:szCs w:val="20"/>
              </w:rPr>
            </w:pPr>
            <w:r>
              <w:rPr>
                <w:rFonts w:ascii="Times New Roman"/>
                <w:w w:val="95"/>
                <w:sz w:val="20"/>
              </w:rPr>
              <w:t>38,227,239.45</w:t>
            </w:r>
            <w:r>
              <w:rPr>
                <w:rFonts w:ascii="Times New Roman"/>
                <w:sz w:val="20"/>
              </w:rPr>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0"/>
                <w:szCs w:val="20"/>
              </w:rPr>
            </w:pPr>
            <w:r>
              <w:rPr>
                <w:rFonts w:ascii="Times New Roman"/>
                <w:w w:val="95"/>
                <w:sz w:val="20"/>
              </w:rPr>
              <w:t>20,264,800.48</w:t>
            </w:r>
            <w:r>
              <w:rPr>
                <w:rFonts w:ascii="Times New Roman"/>
                <w:sz w:val="20"/>
              </w:rPr>
            </w:r>
          </w:p>
        </w:tc>
      </w:tr>
    </w:tbl>
    <w:p>
      <w:pPr>
        <w:spacing w:line="240" w:lineRule="auto" w:before="6"/>
        <w:rPr>
          <w:rFonts w:ascii="宋体" w:hAnsi="宋体" w:cs="宋体" w:eastAsia="宋体" w:hint="default"/>
          <w:sz w:val="13"/>
          <w:szCs w:val="13"/>
        </w:rPr>
      </w:pPr>
    </w:p>
    <w:p>
      <w:pPr>
        <w:pStyle w:val="Heading3"/>
        <w:spacing w:line="240" w:lineRule="auto" w:before="26"/>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1" w:lineRule="exact" w:before="1"/>
        <w:ind w:left="216" w:right="0"/>
        <w:jc w:val="left"/>
        <w:rPr>
          <w:rFonts w:ascii="宋体" w:hAnsi="宋体" w:cs="宋体" w:eastAsia="宋体" w:hint="default"/>
        </w:rPr>
      </w:pPr>
      <w:r>
        <w:rPr/>
        <w:t>本期由递延收益转入的其他收益为与资产相关的政府补助，其余为与收益相关的政府补助。</w:t>
      </w:r>
      <w:r>
        <w:rPr>
          <w:rFonts w:ascii="宋体" w:hAnsi="宋体" w:cs="宋体" w:eastAsia="宋体" w:hint="default"/>
        </w:rPr>
        <w:t> </w:t>
      </w:r>
    </w:p>
    <w:p>
      <w:pPr>
        <w:pStyle w:val="Heading3"/>
        <w:spacing w:line="310" w:lineRule="exact"/>
        <w:ind w:right="0"/>
        <w:jc w:val="left"/>
        <w:rPr>
          <w:rFonts w:ascii="宋体" w:hAnsi="宋体" w:cs="宋体" w:eastAsia="宋体" w:hint="default"/>
        </w:rPr>
      </w:pPr>
      <w:r>
        <w:rPr>
          <w:rFonts w:ascii="宋体"/>
        </w:rPr>
        <w:t> </w:t>
      </w:r>
    </w:p>
    <w:p>
      <w:pPr>
        <w:spacing w:after="0" w:line="310" w:lineRule="exact"/>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Heading5"/>
        <w:spacing w:line="240" w:lineRule="auto" w:before="36"/>
        <w:ind w:right="0"/>
        <w:jc w:val="left"/>
        <w:rPr>
          <w:rFonts w:ascii="宋体" w:hAnsi="宋体" w:cs="宋体" w:eastAsia="宋体" w:hint="default"/>
          <w:b w:val="0"/>
          <w:bCs w:val="0"/>
        </w:rPr>
      </w:pPr>
      <w:r>
        <w:rPr>
          <w:rFonts w:ascii="宋体" w:hAnsi="宋体" w:cs="宋体" w:eastAsia="宋体" w:hint="default"/>
        </w:rPr>
        <w:t>66</w:t>
      </w:r>
      <w:r>
        <w:rPr/>
        <w:t>、</w:t>
      </w:r>
      <w:r>
        <w:rPr>
          <w:spacing w:val="-27"/>
        </w:rPr>
        <w:t> </w:t>
      </w:r>
      <w:r>
        <w:rPr/>
        <w:t>投资收益</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7" w:val="left" w:leader="none"/>
        </w:tabs>
        <w:spacing w:line="240" w:lineRule="auto" w:before="156"/>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258" w:space="4264"/>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654"/>
        <w:gridCol w:w="2693"/>
        <w:gridCol w:w="2703"/>
      </w:tblGrid>
      <w:tr>
        <w:trPr>
          <w:trHeight w:val="319"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9" w:right="0"/>
              <w:jc w:val="left"/>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43" w:right="0"/>
              <w:jc w:val="left"/>
              <w:rPr>
                <w:rFonts w:ascii="宋体" w:hAnsi="宋体" w:cs="宋体" w:eastAsia="宋体" w:hint="default"/>
                <w:sz w:val="24"/>
                <w:szCs w:val="24"/>
              </w:rPr>
            </w:pPr>
            <w:r>
              <w:rPr>
                <w:rFonts w:ascii="宋体" w:hAnsi="宋体" w:cs="宋体" w:eastAsia="宋体" w:hint="default"/>
                <w:sz w:val="24"/>
                <w:szCs w:val="24"/>
              </w:rPr>
              <w:t>上期发生额</w:t>
            </w:r>
            <w:r>
              <w:rPr>
                <w:rFonts w:ascii="宋体" w:hAnsi="宋体" w:cs="宋体" w:eastAsia="宋体" w:hint="default"/>
                <w:sz w:val="24"/>
                <w:szCs w:val="24"/>
              </w:rPr>
              <w:t> </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41,866,730.63</w:t>
            </w:r>
            <w:r>
              <w:rPr>
                <w:rFonts w:ascii="Times New Roman"/>
                <w:sz w:val="20"/>
              </w:rPr>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24,614,369.84</w:t>
            </w:r>
            <w:r>
              <w:rPr>
                <w:rFonts w:ascii="Times New Roman"/>
                <w:sz w:val="20"/>
              </w:rPr>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134,359,097.62</w:t>
            </w:r>
            <w:r>
              <w:rPr>
                <w:rFonts w:ascii="Times New Roman"/>
                <w:sz w:val="20"/>
              </w:rPr>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-140,561.68</w:t>
            </w:r>
            <w:r>
              <w:rPr>
                <w:rFonts w:ascii="Times New Roman"/>
                <w:sz w:val="20"/>
              </w:rPr>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益的金融资产在持有期间的投资收益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4"/>
              <w:jc w:val="right"/>
              <w:rPr>
                <w:rFonts w:ascii="Times New Roman" w:hAnsi="Times New Roman" w:cs="Times New Roman" w:eastAsia="Times New Roman" w:hint="default"/>
                <w:sz w:val="20"/>
                <w:szCs w:val="20"/>
              </w:rPr>
            </w:pPr>
            <w:r>
              <w:rPr>
                <w:rFonts w:ascii="Times New Roman"/>
                <w:w w:val="95"/>
                <w:sz w:val="20"/>
              </w:rPr>
              <w:t>7,705,134.8</w:t>
            </w:r>
            <w:r>
              <w:rPr>
                <w:rFonts w:ascii="Times New Roman"/>
                <w:sz w:val="20"/>
              </w:rPr>
            </w: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处置以公允价值计量且其变动计入当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期损益的金融资产取得的投资收益</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持有至到期投资在持有期间的投资收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可供出售金融资产在持有期间取得的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处置可供出售金融资产取得的投资收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20"/>
                <w:szCs w:val="20"/>
              </w:rPr>
            </w:pPr>
            <w:r>
              <w:rPr>
                <w:rFonts w:ascii="Times New Roman"/>
                <w:w w:val="95"/>
                <w:sz w:val="20"/>
              </w:rPr>
              <w:t>5,644,154.20</w:t>
            </w:r>
            <w:r>
              <w:rPr>
                <w:rFonts w:ascii="Times New Roman"/>
                <w:sz w:val="20"/>
              </w:rPr>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交易性金融资产在持有期间的投资收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4"/>
              <w:jc w:val="right"/>
              <w:rPr>
                <w:rFonts w:ascii="Times New Roman" w:hAnsi="Times New Roman" w:cs="Times New Roman" w:eastAsia="Times New Roman" w:hint="default"/>
                <w:sz w:val="20"/>
                <w:szCs w:val="20"/>
              </w:rPr>
            </w:pPr>
            <w:r>
              <w:rPr>
                <w:rFonts w:ascii="Times New Roman"/>
                <w:w w:val="95"/>
                <w:sz w:val="20"/>
              </w:rPr>
              <w:t>10,115,000.00</w:t>
            </w:r>
            <w:r>
              <w:rPr>
                <w:rFonts w:ascii="Times New Roman"/>
                <w:sz w:val="20"/>
              </w:rPr>
            </w: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其他权益工具投资在持有期间取得的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股利收入</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债权投资在持有期间取得的利息收入</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其他债权投资在持有期间取得的利息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处置其他权益工具投资取得的投资收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处置债权投资取得的投资收益</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处置其他债权投资取得的投资收益</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以摊余成本计量的金融资产终止确认</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4"/>
              <w:jc w:val="right"/>
              <w:rPr>
                <w:rFonts w:ascii="Times New Roman" w:hAnsi="Times New Roman" w:cs="Times New Roman" w:eastAsia="Times New Roman" w:hint="default"/>
                <w:sz w:val="20"/>
                <w:szCs w:val="20"/>
              </w:rPr>
            </w:pPr>
            <w:r>
              <w:rPr>
                <w:rFonts w:ascii="Times New Roman"/>
                <w:w w:val="95"/>
                <w:sz w:val="20"/>
              </w:rPr>
              <w:t>-92,937,789.98</w:t>
            </w:r>
            <w:r>
              <w:rPr>
                <w:rFonts w:ascii="Times New Roman"/>
                <w:sz w:val="20"/>
              </w:rPr>
            </w: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-37,641,885.81</w:t>
            </w:r>
            <w:r>
              <w:rPr>
                <w:rFonts w:ascii="Times New Roman"/>
                <w:sz w:val="20"/>
              </w:rPr>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11,851,511.65</w:t>
            </w:r>
            <w:r>
              <w:rPr>
                <w:rFonts w:ascii="Times New Roman"/>
                <w:sz w:val="20"/>
              </w:rPr>
            </w:r>
          </w:p>
        </w:tc>
      </w:tr>
      <w:tr>
        <w:trPr>
          <w:trHeight w:val="322"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4"/>
              <w:jc w:val="right"/>
              <w:rPr>
                <w:rFonts w:ascii="Times New Roman" w:hAnsi="Times New Roman" w:cs="Times New Roman" w:eastAsia="Times New Roman" w:hint="default"/>
                <w:sz w:val="20"/>
                <w:szCs w:val="20"/>
              </w:rPr>
            </w:pPr>
            <w:r>
              <w:rPr>
                <w:rFonts w:ascii="Times New Roman"/>
                <w:w w:val="95"/>
                <w:sz w:val="20"/>
              </w:rPr>
              <w:t>63,466,287.26</w:t>
            </w:r>
            <w:r>
              <w:rPr>
                <w:rFonts w:ascii="Times New Roman"/>
                <w:sz w:val="20"/>
              </w:rPr>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0"/>
                <w:szCs w:val="20"/>
              </w:rPr>
            </w:pPr>
            <w:r>
              <w:rPr>
                <w:rFonts w:ascii="Times New Roman"/>
                <w:w w:val="95"/>
                <w:sz w:val="20"/>
              </w:rPr>
              <w:t>41,969,474.01</w:t>
            </w:r>
            <w:r>
              <w:rPr>
                <w:rFonts w:ascii="Times New Roman"/>
                <w:sz w:val="20"/>
              </w:rPr>
            </w:r>
          </w:p>
        </w:tc>
      </w:tr>
    </w:tbl>
    <w:p>
      <w:pPr>
        <w:pStyle w:val="Heading3"/>
        <w:spacing w:line="274" w:lineRule="exact"/>
        <w:ind w:right="0"/>
        <w:jc w:val="both"/>
        <w:rPr>
          <w:rFonts w:ascii="宋体" w:hAnsi="宋体" w:cs="宋体" w:eastAsia="宋体" w:hint="default"/>
        </w:rPr>
      </w:pPr>
      <w:r>
        <w:rPr>
          <w:rFonts w:ascii="宋体"/>
        </w:rPr>
        <w:t> </w:t>
      </w:r>
    </w:p>
    <w:p>
      <w:pPr>
        <w:pStyle w:val="BodyText"/>
        <w:spacing w:line="273" w:lineRule="exact" w:before="4"/>
        <w:ind w:left="216" w:right="0"/>
        <w:jc w:val="both"/>
      </w:pPr>
      <w:r>
        <w:rPr/>
        <w:t>注</w:t>
      </w:r>
      <w:r>
        <w:rPr>
          <w:rFonts w:ascii="宋体" w:hAnsi="宋体" w:cs="宋体" w:eastAsia="宋体" w:hint="default"/>
        </w:rPr>
        <w:t>1:</w:t>
      </w:r>
      <w:r>
        <w:rPr/>
        <w:t>本科目其他项发生额系贵州民德学院代垫资金收益</w:t>
      </w:r>
      <w:r>
        <w:rPr>
          <w:rFonts w:ascii="宋体" w:hAnsi="宋体" w:cs="宋体" w:eastAsia="宋体" w:hint="default"/>
        </w:rPr>
        <w:t>8,551,915.55</w:t>
      </w:r>
      <w:r>
        <w:rPr/>
        <w:t>元，本期应收票据贴现利息</w:t>
      </w:r>
    </w:p>
    <w:p>
      <w:pPr>
        <w:pStyle w:val="BodyText"/>
        <w:spacing w:line="272" w:lineRule="exact"/>
        <w:ind w:left="216" w:right="0"/>
        <w:jc w:val="both"/>
        <w:rPr>
          <w:rFonts w:ascii="宋体" w:hAnsi="宋体" w:cs="宋体" w:eastAsia="宋体" w:hint="default"/>
        </w:rPr>
      </w:pPr>
      <w:r>
        <w:rPr>
          <w:rFonts w:ascii="宋体" w:hAnsi="宋体" w:cs="宋体" w:eastAsia="宋体" w:hint="default"/>
        </w:rPr>
        <w:t>-46,153,801.36</w:t>
      </w:r>
      <w:r>
        <w:rPr/>
        <w:t>元</w:t>
      </w:r>
      <w:r>
        <w:rPr>
          <w:rFonts w:ascii="宋体" w:hAnsi="宋体" w:cs="宋体" w:eastAsia="宋体" w:hint="default"/>
        </w:rPr>
        <w:t> </w:t>
      </w:r>
    </w:p>
    <w:p>
      <w:pPr>
        <w:pStyle w:val="BodyText"/>
        <w:spacing w:line="237" w:lineRule="auto" w:before="2"/>
        <w:ind w:left="216" w:right="228"/>
        <w:jc w:val="both"/>
        <w:rPr>
          <w:rFonts w:ascii="宋体" w:hAnsi="宋体" w:cs="宋体" w:eastAsia="宋体" w:hint="default"/>
        </w:rPr>
      </w:pPr>
      <w:r>
        <w:rPr>
          <w:spacing w:val="-4"/>
        </w:rPr>
        <w:t>注</w:t>
      </w:r>
      <w:r>
        <w:rPr>
          <w:rFonts w:ascii="宋体" w:hAnsi="宋体" w:cs="宋体" w:eastAsia="宋体" w:hint="default"/>
          <w:spacing w:val="-4"/>
        </w:rPr>
        <w:t>2</w:t>
      </w:r>
      <w:r>
        <w:rPr>
          <w:spacing w:val="-4"/>
        </w:rPr>
        <w:t>：本科目处置长期股权投资产生的投资收益系本期处置子公司长春泰豪电子装备有限公司、湖</w:t>
      </w:r>
      <w:r>
        <w:rPr>
          <w:spacing w:val="-32"/>
        </w:rPr>
        <w:t> </w:t>
      </w:r>
      <w:r>
        <w:rPr>
          <w:spacing w:val="-32"/>
        </w:rPr>
      </w:r>
      <w:r>
        <w:rPr>
          <w:spacing w:val="-1"/>
        </w:rPr>
        <w:t>南基石通信技术有限公司、济南美乐电源技术有限公司、上海致胜信息技术有限公司、贵州泰豪</w:t>
      </w:r>
      <w:r>
        <w:rPr>
          <w:spacing w:val="-55"/>
        </w:rPr>
        <w:t> </w:t>
      </w:r>
      <w:r>
        <w:rPr>
          <w:spacing w:val="-55"/>
        </w:rPr>
      </w:r>
      <w:r>
        <w:rPr>
          <w:spacing w:val="-1"/>
        </w:rPr>
        <w:t>宝碳智慧能源有限公司，处置联营公司深圳市中航比特通讯技术有限公司、江西国科军工集团股</w:t>
      </w:r>
      <w:r>
        <w:rPr>
          <w:spacing w:val="-55"/>
        </w:rPr>
        <w:t> </w:t>
      </w:r>
      <w:r>
        <w:rPr>
          <w:spacing w:val="-55"/>
        </w:rPr>
      </w:r>
      <w:r>
        <w:rPr/>
        <w:t>份有限公司所致。</w:t>
      </w:r>
      <w:r>
        <w:rPr>
          <w:rFonts w:ascii="宋体" w:hAnsi="宋体" w:cs="宋体" w:eastAsia="宋体" w:hint="default"/>
        </w:rPr>
        <w:t> </w:t>
      </w:r>
    </w:p>
    <w:p>
      <w:pPr>
        <w:pStyle w:val="Heading5"/>
        <w:spacing w:line="240" w:lineRule="auto" w:before="56"/>
        <w:ind w:right="0"/>
        <w:jc w:val="both"/>
        <w:rPr>
          <w:b w:val="0"/>
          <w:bCs w:val="0"/>
        </w:rPr>
      </w:pPr>
      <w:r>
        <w:rPr>
          <w:rFonts w:ascii="宋体" w:hAnsi="宋体" w:cs="宋体" w:eastAsia="宋体" w:hint="default"/>
        </w:rPr>
        <w:t>67</w:t>
      </w:r>
      <w:r>
        <w:rPr/>
        <w:t>、</w:t>
      </w:r>
      <w:r>
        <w:rPr>
          <w:spacing w:val="-23"/>
        </w:rPr>
        <w:t> </w:t>
      </w:r>
      <w:r>
        <w:rPr/>
        <w:t>净敞口套期收益</w:t>
      </w:r>
      <w:r>
        <w:rPr>
          <w:b w:val="0"/>
          <w:bCs w:val="0"/>
        </w:rPr>
      </w:r>
    </w:p>
    <w:p>
      <w:pPr>
        <w:pStyle w:val="Heading3"/>
        <w:spacing w:line="313" w:lineRule="exact" w:before="52"/>
        <w:ind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right="0"/>
        <w:jc w:val="both"/>
        <w:rPr>
          <w:rFonts w:ascii="宋体" w:hAnsi="宋体" w:cs="宋体" w:eastAsia="宋体" w:hint="default"/>
        </w:rPr>
      </w:pPr>
      <w:r>
        <w:rPr>
          <w:rFonts w:ascii="宋体"/>
        </w:rPr>
        <w:t> </w:t>
      </w:r>
    </w:p>
    <w:p>
      <w:pPr>
        <w:pStyle w:val="Heading5"/>
        <w:spacing w:line="240" w:lineRule="auto" w:before="61"/>
        <w:ind w:right="0"/>
        <w:jc w:val="both"/>
        <w:rPr>
          <w:rFonts w:ascii="宋体" w:hAnsi="宋体" w:cs="宋体" w:eastAsia="宋体" w:hint="default"/>
          <w:b w:val="0"/>
          <w:bCs w:val="0"/>
        </w:rPr>
      </w:pPr>
      <w:r>
        <w:rPr>
          <w:rFonts w:ascii="宋体" w:hAnsi="宋体" w:cs="宋体" w:eastAsia="宋体" w:hint="default"/>
        </w:rPr>
        <w:t>68</w:t>
      </w:r>
      <w:r>
        <w:rPr/>
        <w:t>、</w:t>
      </w:r>
      <w:r>
        <w:rPr>
          <w:spacing w:val="-26"/>
        </w:rPr>
        <w:t> </w:t>
      </w:r>
      <w:r>
        <w:rPr/>
        <w:t>公允价值变动收益</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1"/>
        <w:ind w:left="0" w:right="113"/>
        <w:jc w:val="righ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825"/>
        <w:gridCol w:w="2825"/>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9"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0"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399"/>
        <w:gridCol w:w="2825"/>
        <w:gridCol w:w="2825"/>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值变动收益</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按公允价值计量的投资性房地产</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损益的金融资产</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w w:val="95"/>
                <w:sz w:val="20"/>
              </w:rPr>
              <w:t>-12,657,937.44</w:t>
            </w:r>
            <w:r>
              <w:rPr>
                <w:rFonts w:ascii="Times New Roman"/>
                <w:sz w:val="20"/>
              </w:rPr>
            </w: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9"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0"/>
                <w:szCs w:val="20"/>
              </w:rPr>
            </w:pPr>
            <w:r>
              <w:rPr>
                <w:rFonts w:ascii="Times New Roman"/>
                <w:w w:val="95"/>
                <w:sz w:val="20"/>
              </w:rPr>
              <w:t>-12,657,937.44</w:t>
            </w:r>
            <w:r>
              <w:rPr>
                <w:rFonts w:ascii="Times New Roman"/>
                <w:sz w:val="20"/>
              </w:rPr>
            </w:r>
          </w:p>
        </w:tc>
        <w:tc>
          <w:tcPr>
            <w:tcW w:w="2825"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70"/>
          <w:pgSz w:w="11910" w:h="16840"/>
          <w:pgMar w:footer="1195" w:header="882" w:top="1120" w:bottom="1380" w:left="1060" w:right="1560"/>
        </w:sectPr>
      </w:pPr>
    </w:p>
    <w:p>
      <w:pPr>
        <w:pStyle w:val="Heading3"/>
        <w:spacing w:line="274" w:lineRule="exact"/>
        <w:ind w:right="0"/>
        <w:jc w:val="left"/>
        <w:rPr>
          <w:rFonts w:ascii="宋体" w:hAnsi="宋体" w:cs="宋体" w:eastAsia="宋体" w:hint="default"/>
        </w:rPr>
      </w:pPr>
      <w:r>
        <w:rPr>
          <w:rFonts w:ascii="宋体"/>
        </w:rPr>
        <w:t> </w:t>
      </w:r>
    </w:p>
    <w:p>
      <w:pPr>
        <w:pStyle w:val="Heading5"/>
        <w:spacing w:line="240" w:lineRule="auto"/>
        <w:ind w:right="0"/>
        <w:jc w:val="left"/>
        <w:rPr>
          <w:b w:val="0"/>
          <w:bCs w:val="0"/>
        </w:rPr>
      </w:pPr>
      <w:r>
        <w:rPr>
          <w:rFonts w:ascii="宋体" w:hAnsi="宋体" w:cs="宋体" w:eastAsia="宋体" w:hint="default"/>
        </w:rPr>
        <w:t>69</w:t>
      </w:r>
      <w:r>
        <w:rPr/>
        <w:t>、</w:t>
      </w:r>
      <w:r>
        <w:rPr>
          <w:spacing w:val="-23"/>
        </w:rPr>
        <w:t> </w:t>
      </w:r>
      <w:r>
        <w:rPr/>
        <w:t>信用减值损失</w:t>
      </w:r>
      <w:r>
        <w:rPr>
          <w:b w:val="0"/>
          <w:bCs w:val="0"/>
        </w:rPr>
      </w:r>
    </w:p>
    <w:p>
      <w:pPr>
        <w:pStyle w:val="Heading3"/>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258" w:space="4264"/>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651"/>
        <w:gridCol w:w="2688"/>
        <w:gridCol w:w="2710"/>
      </w:tblGrid>
      <w:tr>
        <w:trPr>
          <w:trHeight w:val="284"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10"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82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其他应收款坏账损失</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w w:val="95"/>
                <w:sz w:val="20"/>
              </w:rPr>
              <w:t>-47,739,500.73</w:t>
            </w:r>
            <w:r>
              <w:rPr>
                <w:rFonts w:ascii="Times New Roman"/>
                <w:sz w:val="20"/>
              </w:rPr>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32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应收账款坏账损失</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w w:val="95"/>
                <w:sz w:val="20"/>
              </w:rPr>
              <w:t>1,694,622.82</w:t>
            </w:r>
            <w:r>
              <w:rPr>
                <w:rFonts w:ascii="Times New Roman"/>
                <w:sz w:val="20"/>
              </w:rPr>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32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应收票据信用减值损失</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w w:val="95"/>
                <w:sz w:val="20"/>
              </w:rPr>
              <w:t>-3,882,727.84</w:t>
            </w:r>
            <w:r>
              <w:rPr>
                <w:rFonts w:ascii="Times New Roman"/>
                <w:sz w:val="20"/>
              </w:rPr>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32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债权投资减值损失</w:t>
            </w:r>
          </w:p>
        </w:tc>
        <w:tc>
          <w:tcPr>
            <w:tcW w:w="2688" w:type="dxa"/>
            <w:tcBorders>
              <w:top w:val="single" w:sz="6" w:space="0" w:color="000000"/>
              <w:left w:val="single" w:sz="6" w:space="0" w:color="000000"/>
              <w:bottom w:val="single" w:sz="6" w:space="0" w:color="000000"/>
              <w:right w:val="single" w:sz="6" w:space="0" w:color="000000"/>
            </w:tcBorders>
          </w:tcPr>
          <w:p>
            <w:pP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32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其他债权投资减值损失</w:t>
            </w:r>
          </w:p>
        </w:tc>
        <w:tc>
          <w:tcPr>
            <w:tcW w:w="2688" w:type="dxa"/>
            <w:tcBorders>
              <w:top w:val="single" w:sz="6" w:space="0" w:color="000000"/>
              <w:left w:val="single" w:sz="6" w:space="0" w:color="000000"/>
              <w:bottom w:val="single" w:sz="6" w:space="0" w:color="000000"/>
              <w:right w:val="single" w:sz="6" w:space="0" w:color="000000"/>
            </w:tcBorders>
          </w:tcPr>
          <w:p>
            <w:pP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32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长期应收款坏账损失</w:t>
            </w:r>
          </w:p>
        </w:tc>
        <w:tc>
          <w:tcPr>
            <w:tcW w:w="2688" w:type="dxa"/>
            <w:tcBorders>
              <w:top w:val="single" w:sz="6" w:space="0" w:color="000000"/>
              <w:left w:val="single" w:sz="6" w:space="0" w:color="000000"/>
              <w:bottom w:val="single" w:sz="6" w:space="0" w:color="000000"/>
              <w:right w:val="single" w:sz="6" w:space="0" w:color="000000"/>
            </w:tcBorders>
          </w:tcPr>
          <w:p>
            <w:pP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324"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60" w:lineRule="exact"/>
              <w:ind w:left="122" w:right="0"/>
              <w:jc w:val="center"/>
              <w:rPr>
                <w:rFonts w:ascii="宋体" w:hAnsi="宋体" w:cs="宋体" w:eastAsia="宋体" w:hint="default"/>
                <w:sz w:val="24"/>
                <w:szCs w:val="24"/>
              </w:rPr>
            </w:pPr>
            <w:r>
              <w:rPr>
                <w:rFonts w:ascii="宋体" w:hAnsi="宋体" w:cs="宋体" w:eastAsia="宋体" w:hint="default"/>
                <w:sz w:val="21"/>
                <w:szCs w:val="21"/>
              </w:rPr>
              <w:t>合计</w:t>
            </w:r>
            <w:r>
              <w:rPr>
                <w:rFonts w:ascii="宋体" w:hAnsi="宋体" w:cs="宋体" w:eastAsia="宋体" w:hint="default"/>
                <w:sz w:val="24"/>
                <w:szCs w:val="24"/>
              </w:rPr>
              <w:t> </w:t>
            </w:r>
          </w:p>
        </w:tc>
        <w:tc>
          <w:tcPr>
            <w:tcW w:w="2688" w:type="dxa"/>
            <w:tcBorders>
              <w:top w:val="single" w:sz="6" w:space="0" w:color="000000"/>
              <w:left w:val="single" w:sz="6" w:space="0" w:color="000000"/>
              <w:bottom w:val="single" w:sz="4" w:space="0" w:color="000000"/>
              <w:right w:val="single" w:sz="6"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w w:val="95"/>
                <w:sz w:val="20"/>
              </w:rPr>
              <w:t>-49,927,605.75</w:t>
            </w:r>
            <w:r>
              <w:rPr>
                <w:rFonts w:ascii="Times New Roman"/>
                <w:sz w:val="20"/>
              </w:rPr>
            </w:r>
          </w:p>
        </w:tc>
        <w:tc>
          <w:tcPr>
            <w:tcW w:w="2710" w:type="dxa"/>
            <w:tcBorders>
              <w:top w:val="single" w:sz="6" w:space="0" w:color="000000"/>
              <w:left w:val="single" w:sz="6"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bl>
    <w:p>
      <w:pPr>
        <w:spacing w:after="0" w:line="274" w:lineRule="exact"/>
        <w:jc w:val="right"/>
        <w:rPr>
          <w:rFonts w:ascii="宋体" w:hAnsi="宋体" w:cs="宋体" w:eastAsia="宋体" w:hint="default"/>
          <w:sz w:val="24"/>
          <w:szCs w:val="24"/>
        </w:rPr>
        <w:sectPr>
          <w:type w:val="continuous"/>
          <w:pgSz w:w="11910" w:h="16840"/>
          <w:pgMar w:top="1120" w:bottom="1380" w:left="1060" w:right="1560"/>
        </w:sectPr>
      </w:pPr>
    </w:p>
    <w:p>
      <w:pPr>
        <w:pStyle w:val="Heading3"/>
        <w:spacing w:line="273" w:lineRule="exact"/>
        <w:ind w:right="0"/>
        <w:jc w:val="left"/>
        <w:rPr>
          <w:rFonts w:ascii="宋体" w:hAnsi="宋体" w:cs="宋体" w:eastAsia="宋体" w:hint="default"/>
        </w:rPr>
      </w:pPr>
      <w:r>
        <w:rPr>
          <w:rFonts w:ascii="宋体"/>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40" w:lineRule="auto" w:before="61"/>
        <w:ind w:right="0"/>
        <w:jc w:val="left"/>
        <w:rPr>
          <w:rFonts w:ascii="宋体" w:hAnsi="宋体" w:cs="宋体" w:eastAsia="宋体" w:hint="default"/>
          <w:b w:val="0"/>
          <w:bCs w:val="0"/>
        </w:rPr>
      </w:pPr>
      <w:r>
        <w:rPr>
          <w:rFonts w:ascii="宋体" w:hAnsi="宋体" w:cs="宋体" w:eastAsia="宋体" w:hint="default"/>
        </w:rPr>
        <w:t>70</w:t>
      </w:r>
      <w:r>
        <w:rPr/>
        <w:t>、</w:t>
      </w:r>
      <w:r>
        <w:rPr>
          <w:spacing w:val="-26"/>
        </w:rPr>
        <w:t> </w:t>
      </w:r>
      <w:r>
        <w:rPr/>
        <w:t>资产减值损失</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3"/>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6"/>
          <w:szCs w:val="26"/>
        </w:rPr>
      </w:pPr>
    </w:p>
    <w:p>
      <w:pPr>
        <w:pStyle w:val="BodyText"/>
        <w:spacing w:line="240" w:lineRule="auto"/>
        <w:ind w:left="216"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1060" w:right="1560"/>
          <w:cols w:num="2" w:equalWidth="0">
            <w:col w:w="2258" w:space="4264"/>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-114,570,311.95</w:t>
            </w:r>
            <w:r>
              <w:rPr>
                <w:rFonts w:ascii="Times New Roman"/>
                <w:sz w:val="20"/>
              </w:rPr>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Times New Roman" w:hAnsi="Times New Roman" w:cs="Times New Roman" w:eastAsia="Times New Roman" w:hint="default"/>
                <w:sz w:val="20"/>
                <w:szCs w:val="20"/>
              </w:rPr>
            </w:pPr>
            <w:r>
              <w:rPr>
                <w:rFonts w:ascii="Times New Roman"/>
                <w:w w:val="95"/>
                <w:sz w:val="20"/>
              </w:rPr>
              <w:t>-485,984.15</w:t>
            </w:r>
            <w:r>
              <w:rPr>
                <w:rFonts w:ascii="Times New Roman"/>
                <w:sz w:val="20"/>
              </w:rPr>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5"/>
              <w:jc w:val="right"/>
              <w:rPr>
                <w:rFonts w:ascii="Times New Roman" w:hAnsi="Times New Roman" w:cs="Times New Roman" w:eastAsia="Times New Roman" w:hint="default"/>
                <w:sz w:val="20"/>
                <w:szCs w:val="20"/>
              </w:rPr>
            </w:pPr>
            <w:r>
              <w:rPr>
                <w:rFonts w:ascii="Times New Roman"/>
                <w:w w:val="95"/>
                <w:sz w:val="20"/>
              </w:rPr>
              <w:t>-156,852,460.97</w:t>
            </w:r>
            <w:r>
              <w:rPr>
                <w:rFonts w:ascii="Times New Roman"/>
                <w:sz w:val="20"/>
              </w:rPr>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-4,467,929.86</w:t>
            </w:r>
            <w:r>
              <w:rPr>
                <w:rFonts w:ascii="Times New Roman"/>
                <w:sz w:val="20"/>
              </w:rPr>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5"/>
              <w:jc w:val="right"/>
              <w:rPr>
                <w:rFonts w:ascii="Times New Roman" w:hAnsi="Times New Roman" w:cs="Times New Roman" w:eastAsia="Times New Roman" w:hint="default"/>
                <w:sz w:val="20"/>
                <w:szCs w:val="20"/>
              </w:rPr>
            </w:pPr>
            <w:r>
              <w:rPr>
                <w:rFonts w:ascii="Times New Roman"/>
                <w:w w:val="95"/>
                <w:sz w:val="20"/>
              </w:rPr>
              <w:t>-157,338,445.12</w:t>
            </w:r>
            <w:r>
              <w:rPr>
                <w:rFonts w:ascii="Times New Roman"/>
                <w:sz w:val="20"/>
              </w:rPr>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-119,038,241.81</w:t>
            </w:r>
            <w:r>
              <w:rPr>
                <w:rFonts w:ascii="Times New Roman"/>
                <w:sz w:val="20"/>
              </w:rPr>
            </w:r>
          </w:p>
        </w:tc>
      </w:tr>
    </w:tbl>
    <w:p>
      <w:pPr>
        <w:spacing w:line="240" w:lineRule="auto" w:before="8"/>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060" w:right="1560"/>
        </w:sectPr>
      </w:pPr>
    </w:p>
    <w:p>
      <w:pPr>
        <w:pStyle w:val="Heading5"/>
        <w:spacing w:line="240" w:lineRule="auto" w:before="36"/>
        <w:ind w:right="0"/>
        <w:jc w:val="left"/>
        <w:rPr>
          <w:b w:val="0"/>
          <w:bCs w:val="0"/>
        </w:rPr>
      </w:pPr>
      <w:r>
        <w:rPr>
          <w:rFonts w:ascii="宋体" w:hAnsi="宋体" w:cs="宋体" w:eastAsia="宋体" w:hint="default"/>
        </w:rPr>
        <w:t>71</w:t>
      </w:r>
      <w:r>
        <w:rPr/>
        <w:t>、</w:t>
      </w:r>
      <w:r>
        <w:rPr>
          <w:spacing w:val="-23"/>
        </w:rPr>
        <w:t> </w:t>
      </w:r>
      <w:r>
        <w:rPr/>
        <w:t>资产处置收益</w:t>
      </w:r>
      <w:r>
        <w:rPr>
          <w:b w:val="0"/>
          <w:bCs w:val="0"/>
        </w:rPr>
      </w:r>
    </w:p>
    <w:p>
      <w:pPr>
        <w:pStyle w:val="Heading3"/>
        <w:spacing w:line="240" w:lineRule="auto"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7" w:val="left" w:leader="none"/>
        </w:tabs>
        <w:spacing w:line="240" w:lineRule="auto" w:before="158"/>
        <w:ind w:left="216"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258" w:space="4264"/>
            <w:col w:w="2768"/>
          </w:cols>
        </w:sectPr>
      </w:pPr>
    </w:p>
    <w:p>
      <w:pPr>
        <w:spacing w:line="240" w:lineRule="auto" w:before="0"/>
        <w:rPr>
          <w:rFonts w:ascii="宋体" w:hAnsi="宋体" w:cs="宋体" w:eastAsia="宋体" w:hint="default"/>
          <w:sz w:val="24"/>
          <w:szCs w:val="24"/>
        </w:rPr>
      </w:pPr>
    </w:p>
    <w:tbl>
      <w:tblPr>
        <w:tblW w:w="0" w:type="auto"/>
        <w:jc w:val="left"/>
        <w:tblInd w:w="243" w:type="dxa"/>
        <w:tblLayout w:type="fixed"/>
        <w:tblCellMar>
          <w:top w:w="0" w:type="dxa"/>
          <w:left w:w="0" w:type="dxa"/>
          <w:bottom w:w="0" w:type="dxa"/>
          <w:right w:w="0" w:type="dxa"/>
        </w:tblCellMar>
        <w:tblLook w:val="01E0"/>
      </w:tblPr>
      <w:tblGrid>
        <w:gridCol w:w="2922"/>
        <w:gridCol w:w="2950"/>
        <w:gridCol w:w="2953"/>
      </w:tblGrid>
      <w:tr>
        <w:trPr>
          <w:trHeight w:val="322" w:hRule="exact"/>
        </w:trPr>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95"/>
              <w:jc w:val="righ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68" w:right="0"/>
              <w:jc w:val="left"/>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71" w:right="0"/>
              <w:jc w:val="left"/>
              <w:rPr>
                <w:rFonts w:ascii="宋体" w:hAnsi="宋体" w:cs="宋体" w:eastAsia="宋体" w:hint="default"/>
                <w:sz w:val="24"/>
                <w:szCs w:val="24"/>
              </w:rPr>
            </w:pPr>
            <w:r>
              <w:rPr>
                <w:rFonts w:ascii="宋体" w:hAnsi="宋体" w:cs="宋体" w:eastAsia="宋体" w:hint="default"/>
                <w:sz w:val="24"/>
                <w:szCs w:val="24"/>
              </w:rPr>
              <w:t>上期发生额</w:t>
            </w:r>
            <w:r>
              <w:rPr>
                <w:rFonts w:ascii="宋体" w:hAnsi="宋体" w:cs="宋体" w:eastAsia="宋体" w:hint="default"/>
                <w:sz w:val="24"/>
                <w:szCs w:val="24"/>
              </w:rPr>
              <w:t> </w:t>
            </w:r>
          </w:p>
        </w:tc>
      </w:tr>
      <w:tr>
        <w:trPr>
          <w:trHeight w:val="281" w:hRule="exact"/>
        </w:trPr>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4"/>
              <w:jc w:val="right"/>
              <w:rPr>
                <w:rFonts w:ascii="宋体" w:hAnsi="宋体" w:cs="宋体" w:eastAsia="宋体" w:hint="default"/>
                <w:sz w:val="21"/>
                <w:szCs w:val="21"/>
              </w:rPr>
            </w:pPr>
            <w:r>
              <w:rPr>
                <w:rFonts w:ascii="宋体" w:hAnsi="宋体" w:cs="宋体" w:eastAsia="宋体" w:hint="default"/>
                <w:spacing w:val="-2"/>
                <w:sz w:val="21"/>
                <w:szCs w:val="21"/>
              </w:rPr>
              <w:t>处置固定资产收益</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-8,349,728.88</w:t>
            </w:r>
            <w:r>
              <w:rPr>
                <w:rFonts w:ascii="Times New Roman"/>
                <w:sz w:val="20"/>
              </w:rPr>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3,615,148.58</w:t>
            </w:r>
            <w:r>
              <w:rPr>
                <w:rFonts w:ascii="Times New Roman"/>
                <w:sz w:val="20"/>
              </w:rPr>
            </w:r>
          </w:p>
        </w:tc>
      </w:tr>
      <w:tr>
        <w:trPr>
          <w:trHeight w:val="324" w:hRule="exact"/>
        </w:trPr>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95"/>
              <w:jc w:val="righ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Times New Roman" w:hAnsi="Times New Roman" w:cs="Times New Roman" w:eastAsia="Times New Roman" w:hint="default"/>
                <w:sz w:val="20"/>
                <w:szCs w:val="20"/>
              </w:rPr>
            </w:pPr>
            <w:r>
              <w:rPr>
                <w:rFonts w:ascii="Times New Roman"/>
                <w:w w:val="95"/>
                <w:sz w:val="20"/>
              </w:rPr>
              <w:t>-8,349,728.88</w:t>
            </w:r>
            <w:r>
              <w:rPr>
                <w:rFonts w:ascii="Times New Roman"/>
                <w:sz w:val="20"/>
              </w:rPr>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Times New Roman" w:hAnsi="Times New Roman" w:cs="Times New Roman" w:eastAsia="Times New Roman" w:hint="default"/>
                <w:sz w:val="20"/>
                <w:szCs w:val="20"/>
              </w:rPr>
            </w:pPr>
            <w:r>
              <w:rPr>
                <w:rFonts w:ascii="Times New Roman"/>
                <w:w w:val="95"/>
                <w:sz w:val="20"/>
              </w:rPr>
              <w:t>3,615,148.58</w:t>
            </w:r>
            <w:r>
              <w:rPr>
                <w:rFonts w:ascii="Times New Roman"/>
                <w:sz w:val="20"/>
              </w:rPr>
            </w:r>
          </w:p>
        </w:tc>
      </w:tr>
    </w:tbl>
    <w:p>
      <w:pPr>
        <w:spacing w:after="0" w:line="226" w:lineRule="exact"/>
        <w:jc w:val="right"/>
        <w:rPr>
          <w:rFonts w:ascii="Times New Roman" w:hAnsi="Times New Roman" w:cs="Times New Roman" w:eastAsia="Times New Roman" w:hint="default"/>
          <w:sz w:val="20"/>
          <w:szCs w:val="20"/>
        </w:rPr>
        <w:sectPr>
          <w:footerReference w:type="default" r:id="rId71"/>
          <w:pgSz w:w="11910" w:h="16840"/>
          <w:pgMar w:footer="1195" w:header="882" w:top="1120" w:bottom="1380" w:left="920" w:right="1440"/>
          <w:pgNumType w:start="161"/>
        </w:sectPr>
      </w:pPr>
    </w:p>
    <w:p>
      <w:pPr>
        <w:pStyle w:val="Heading3"/>
        <w:spacing w:line="274" w:lineRule="exact"/>
        <w:ind w:left="356" w:right="0"/>
        <w:jc w:val="left"/>
        <w:rPr>
          <w:rFonts w:ascii="宋体" w:hAnsi="宋体" w:cs="宋体" w:eastAsia="宋体" w:hint="default"/>
        </w:rPr>
      </w:pPr>
      <w:r>
        <w:rPr>
          <w:rFonts w:ascii="宋体"/>
        </w:rPr>
        <w:t> </w:t>
      </w:r>
    </w:p>
    <w:p>
      <w:pPr>
        <w:pStyle w:val="Heading5"/>
        <w:spacing w:line="240" w:lineRule="auto" w:before="61"/>
        <w:ind w:left="356" w:right="0"/>
        <w:jc w:val="left"/>
        <w:rPr>
          <w:rFonts w:ascii="宋体" w:hAnsi="宋体" w:cs="宋体" w:eastAsia="宋体" w:hint="default"/>
          <w:b w:val="0"/>
          <w:bCs w:val="0"/>
        </w:rPr>
      </w:pPr>
      <w:r>
        <w:rPr>
          <w:rFonts w:ascii="宋体" w:hAnsi="宋体" w:cs="宋体" w:eastAsia="宋体" w:hint="default"/>
        </w:rPr>
        <w:t>72</w:t>
      </w:r>
      <w:r>
        <w:rPr/>
        <w:t>、</w:t>
      </w:r>
      <w:r>
        <w:rPr>
          <w:spacing w:val="-27"/>
        </w:rPr>
        <w:t> </w:t>
      </w:r>
      <w:r>
        <w:rPr/>
        <w:t>营业外收入</w:t>
      </w:r>
      <w:r>
        <w:rPr>
          <w:rFonts w:ascii="宋体" w:hAnsi="宋体" w:cs="宋体" w:eastAsia="宋体" w:hint="default"/>
          <w:w w:val="99"/>
        </w:rPr>
        <w:t> </w:t>
      </w:r>
      <w:r>
        <w:rPr>
          <w:rFonts w:ascii="宋体" w:hAnsi="宋体" w:cs="宋体" w:eastAsia="宋体" w:hint="default"/>
          <w:b w:val="0"/>
          <w:bCs w:val="0"/>
        </w:rPr>
      </w:r>
    </w:p>
    <w:p>
      <w:pPr>
        <w:pStyle w:val="Heading3"/>
        <w:spacing w:line="312" w:lineRule="exact" w:before="52"/>
        <w:ind w:left="356" w:right="0"/>
        <w:jc w:val="left"/>
        <w:rPr>
          <w:rFonts w:ascii="宋体" w:hAnsi="宋体" w:cs="宋体" w:eastAsia="宋体" w:hint="default"/>
        </w:rPr>
      </w:pPr>
      <w:r>
        <w:rPr/>
        <w:t>营业外收入情况</w:t>
      </w:r>
      <w:r>
        <w:rPr>
          <w:rFonts w:ascii="宋体" w:hAnsi="宋体" w:cs="宋体" w:eastAsia="宋体" w:hint="default"/>
        </w:rPr>
        <w:t> </w:t>
      </w:r>
    </w:p>
    <w:p>
      <w:pPr>
        <w:pStyle w:val="Heading3"/>
        <w:spacing w:line="312" w:lineRule="exact"/>
        <w:ind w:left="35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6"/>
          <w:szCs w:val="26"/>
        </w:rPr>
      </w:pPr>
    </w:p>
    <w:p>
      <w:pPr>
        <w:pStyle w:val="BodyText"/>
        <w:spacing w:line="240" w:lineRule="auto"/>
        <w:ind w:left="356"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920" w:right="1440"/>
          <w:cols w:num="2" w:equalWidth="0">
            <w:col w:w="2518" w:space="4004"/>
            <w:col w:w="3028"/>
          </w:cols>
        </w:sectPr>
      </w:pPr>
    </w:p>
    <w:p>
      <w:pPr>
        <w:spacing w:line="240" w:lineRule="auto" w:before="7"/>
        <w:rPr>
          <w:rFonts w:ascii="宋体" w:hAnsi="宋体" w:cs="宋体" w:eastAsia="宋体" w:hint="default"/>
          <w:sz w:val="2"/>
          <w:szCs w:val="2"/>
        </w:rPr>
      </w:pPr>
    </w:p>
    <w:tbl>
      <w:tblPr>
        <w:tblW w:w="0" w:type="auto"/>
        <w:jc w:val="left"/>
        <w:tblInd w:w="243" w:type="dxa"/>
        <w:tblLayout w:type="fixed"/>
        <w:tblCellMar>
          <w:top w:w="0" w:type="dxa"/>
          <w:left w:w="0" w:type="dxa"/>
          <w:bottom w:w="0" w:type="dxa"/>
          <w:right w:w="0" w:type="dxa"/>
        </w:tblCellMar>
        <w:tblLook w:val="01E0"/>
      </w:tblPr>
      <w:tblGrid>
        <w:gridCol w:w="2112"/>
        <w:gridCol w:w="2305"/>
        <w:gridCol w:w="2316"/>
        <w:gridCol w:w="2317"/>
      </w:tblGrid>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19"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得</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Times New Roman" w:hAnsi="Times New Roman" w:cs="Times New Roman" w:eastAsia="Times New Roman" w:hint="default"/>
                <w:sz w:val="20"/>
                <w:szCs w:val="20"/>
              </w:rPr>
            </w:pPr>
            <w:r>
              <w:rPr>
                <w:rFonts w:ascii="Times New Roman"/>
                <w:w w:val="95"/>
                <w:sz w:val="20"/>
              </w:rPr>
              <w:t>8,186,563.68</w:t>
            </w:r>
            <w:r>
              <w:rPr>
                <w:rFonts w:ascii="Times New Roman"/>
                <w:sz w:val="20"/>
              </w:rPr>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Times New Roman" w:hAnsi="Times New Roman" w:cs="Times New Roman" w:eastAsia="Times New Roman" w:hint="default"/>
                <w:sz w:val="20"/>
                <w:szCs w:val="20"/>
              </w:rPr>
            </w:pPr>
            <w:r>
              <w:rPr>
                <w:rFonts w:ascii="Times New Roman"/>
                <w:w w:val="95"/>
                <w:sz w:val="20"/>
              </w:rPr>
              <w:t>7,523,934.58</w:t>
            </w:r>
            <w:r>
              <w:rPr>
                <w:rFonts w:ascii="Times New Roman"/>
                <w:sz w:val="20"/>
              </w:rPr>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Times New Roman" w:hAnsi="Times New Roman" w:cs="Times New Roman" w:eastAsia="Times New Roman" w:hint="default"/>
                <w:sz w:val="20"/>
                <w:szCs w:val="20"/>
              </w:rPr>
            </w:pPr>
            <w:r>
              <w:rPr>
                <w:rFonts w:ascii="Times New Roman"/>
                <w:w w:val="95"/>
                <w:sz w:val="20"/>
              </w:rPr>
              <w:t>8,186,563.68</w:t>
            </w:r>
            <w:r>
              <w:rPr>
                <w:rFonts w:ascii="Times New Roman"/>
                <w:sz w:val="20"/>
              </w:rPr>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无需支付的款项</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883,819.27</w:t>
            </w:r>
            <w:r>
              <w:rPr>
                <w:rFonts w:ascii="Times New Roman"/>
                <w:sz w:val="20"/>
              </w:rPr>
            </w: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883,819.27</w:t>
            </w:r>
            <w:r>
              <w:rPr>
                <w:rFonts w:ascii="Times New Roman"/>
                <w:sz w:val="20"/>
              </w:rPr>
            </w: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645,957.84</w:t>
            </w:r>
            <w:r>
              <w:rPr>
                <w:rFonts w:ascii="Times New Roman"/>
                <w:sz w:val="20"/>
              </w:rPr>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800,657.09</w:t>
            </w:r>
            <w:r>
              <w:rPr>
                <w:rFonts w:ascii="Times New Roman"/>
                <w:sz w:val="20"/>
              </w:rPr>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645,957.84</w:t>
            </w:r>
            <w:r>
              <w:rPr>
                <w:rFonts w:ascii="Times New Roman"/>
                <w:sz w:val="20"/>
              </w:rPr>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Times New Roman" w:hAnsi="Times New Roman" w:cs="Times New Roman" w:eastAsia="Times New Roman" w:hint="default"/>
                <w:sz w:val="20"/>
                <w:szCs w:val="20"/>
              </w:rPr>
            </w:pPr>
            <w:r>
              <w:rPr>
                <w:rFonts w:ascii="Times New Roman"/>
                <w:w w:val="95"/>
                <w:sz w:val="20"/>
              </w:rPr>
              <w:t>9,716,340.79</w:t>
            </w:r>
            <w:r>
              <w:rPr>
                <w:rFonts w:ascii="Times New Roman"/>
                <w:sz w:val="20"/>
              </w:rPr>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Times New Roman" w:hAnsi="Times New Roman" w:cs="Times New Roman" w:eastAsia="Times New Roman" w:hint="default"/>
                <w:sz w:val="20"/>
                <w:szCs w:val="20"/>
              </w:rPr>
            </w:pPr>
            <w:r>
              <w:rPr>
                <w:rFonts w:ascii="Times New Roman"/>
                <w:w w:val="95"/>
                <w:sz w:val="20"/>
              </w:rPr>
              <w:t>8,324,591.67</w:t>
            </w:r>
            <w:r>
              <w:rPr>
                <w:rFonts w:ascii="Times New Roman"/>
                <w:sz w:val="20"/>
              </w:rPr>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Times New Roman" w:hAnsi="Times New Roman" w:cs="Times New Roman" w:eastAsia="Times New Roman" w:hint="default"/>
                <w:sz w:val="20"/>
                <w:szCs w:val="20"/>
              </w:rPr>
            </w:pPr>
            <w:r>
              <w:rPr>
                <w:rFonts w:ascii="Times New Roman"/>
                <w:w w:val="95"/>
                <w:sz w:val="20"/>
              </w:rPr>
              <w:t>9,716,340.79</w:t>
            </w:r>
            <w:r>
              <w:rPr>
                <w:rFonts w:ascii="Times New Roman"/>
                <w:sz w:val="20"/>
              </w:rPr>
            </w:r>
          </w:p>
        </w:tc>
      </w:tr>
    </w:tbl>
    <w:p>
      <w:pPr>
        <w:spacing w:line="240" w:lineRule="auto" w:before="6"/>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120" w:bottom="1380" w:left="920" w:right="1440"/>
        </w:sectPr>
      </w:pPr>
    </w:p>
    <w:p>
      <w:pPr>
        <w:pStyle w:val="Heading3"/>
        <w:spacing w:line="312" w:lineRule="exact" w:before="26"/>
        <w:ind w:left="356" w:right="0"/>
        <w:jc w:val="left"/>
        <w:rPr>
          <w:rFonts w:ascii="宋体" w:hAnsi="宋体" w:cs="宋体" w:eastAsia="宋体" w:hint="default"/>
        </w:rPr>
      </w:pPr>
      <w:r>
        <w:rPr>
          <w:rFonts w:ascii="宋体"/>
        </w:rPr>
        <w:t> </w:t>
      </w:r>
    </w:p>
    <w:p>
      <w:pPr>
        <w:pStyle w:val="BodyText"/>
        <w:spacing w:line="312" w:lineRule="exact"/>
        <w:ind w:left="356" w:right="0"/>
        <w:jc w:val="left"/>
        <w:rPr>
          <w:rFonts w:ascii="宋体" w:hAnsi="宋体" w:cs="宋体" w:eastAsia="宋体" w:hint="default"/>
        </w:rPr>
      </w:pPr>
      <w:r>
        <w:rPr/>
        <w:t>计入当期</w:t>
      </w:r>
      <w:r>
        <w:rPr>
          <w:sz w:val="24"/>
          <w:szCs w:val="24"/>
        </w:rPr>
        <w:t>损益</w:t>
      </w:r>
      <w:r>
        <w:rPr/>
        <w:t>的政府补助</w:t>
      </w:r>
      <w:r>
        <w:rPr>
          <w:rFonts w:ascii="宋体" w:hAnsi="宋体" w:cs="宋体" w:eastAsia="宋体" w:hint="default"/>
        </w:rPr>
        <w:t> </w:t>
      </w:r>
    </w:p>
    <w:p>
      <w:pPr>
        <w:pStyle w:val="BodyText"/>
        <w:spacing w:line="240" w:lineRule="auto" w:before="4"/>
        <w:ind w:left="3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2"/>
          <w:szCs w:val="22"/>
        </w:rPr>
      </w:pPr>
    </w:p>
    <w:p>
      <w:pPr>
        <w:pStyle w:val="BodyText"/>
        <w:spacing w:line="240" w:lineRule="auto"/>
        <w:ind w:left="356" w:right="0"/>
        <w:jc w:val="left"/>
        <w:rPr>
          <w:rFonts w:ascii="宋体" w:hAnsi="宋体" w:cs="宋体" w:eastAsia="宋体" w:hint="default"/>
          <w:sz w:val="24"/>
          <w:szCs w:val="24"/>
        </w:rPr>
      </w:pPr>
      <w:r>
        <w:rPr>
          <w:rFonts w:ascii="宋体" w:hAnsi="宋体" w:cs="宋体" w:eastAsia="宋体" w:hint="default"/>
          <w:sz w:val="24"/>
          <w:szCs w:val="24"/>
        </w:rPr>
        <w:t> </w:t>
      </w: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920" w:right="1440"/>
          <w:cols w:num="2" w:equalWidth="0">
            <w:col w:w="2835" w:space="3568"/>
            <w:col w:w="3147"/>
          </w:cols>
        </w:sectPr>
      </w:pP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3491"/>
        <w:gridCol w:w="1603"/>
        <w:gridCol w:w="1599"/>
        <w:gridCol w:w="2619"/>
      </w:tblGrid>
      <w:tr>
        <w:trPr>
          <w:trHeight w:val="634" w:hRule="exact"/>
        </w:trPr>
        <w:tc>
          <w:tcPr>
            <w:tcW w:w="3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260" w:right="0"/>
              <w:jc w:val="left"/>
              <w:rPr>
                <w:rFonts w:ascii="宋体" w:hAnsi="宋体" w:cs="宋体" w:eastAsia="宋体" w:hint="default"/>
                <w:sz w:val="24"/>
                <w:szCs w:val="24"/>
              </w:rPr>
            </w:pPr>
            <w:r>
              <w:rPr>
                <w:rFonts w:ascii="宋体" w:hAnsi="宋体" w:cs="宋体" w:eastAsia="宋体" w:hint="default"/>
                <w:sz w:val="24"/>
                <w:szCs w:val="24"/>
              </w:rPr>
              <w:t>补助项目</w:t>
            </w:r>
            <w:r>
              <w:rPr>
                <w:rFonts w:ascii="宋体" w:hAnsi="宋体" w:cs="宋体" w:eastAsia="宋体" w:hint="default"/>
                <w:sz w:val="24"/>
                <w:szCs w:val="24"/>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4"/>
                <w:szCs w:val="24"/>
              </w:rPr>
            </w:pPr>
            <w:r>
              <w:rPr>
                <w:rFonts w:ascii="宋体" w:hAnsi="宋体" w:cs="宋体" w:eastAsia="宋体" w:hint="default"/>
                <w:sz w:val="24"/>
                <w:szCs w:val="24"/>
              </w:rPr>
              <w:t>本期发生金</w:t>
            </w:r>
          </w:p>
          <w:p>
            <w:pPr>
              <w:pStyle w:val="TableParagraph"/>
              <w:spacing w:line="313" w:lineRule="exact"/>
              <w:ind w:left="115" w:right="0"/>
              <w:jc w:val="center"/>
              <w:rPr>
                <w:rFonts w:ascii="宋体" w:hAnsi="宋体" w:cs="宋体" w:eastAsia="宋体" w:hint="default"/>
                <w:sz w:val="24"/>
                <w:szCs w:val="24"/>
              </w:rPr>
            </w:pPr>
            <w:r>
              <w:rPr>
                <w:rFonts w:ascii="宋体" w:hAnsi="宋体" w:cs="宋体" w:eastAsia="宋体" w:hint="default"/>
                <w:sz w:val="24"/>
                <w:szCs w:val="24"/>
              </w:rPr>
              <w:t>额</w:t>
            </w:r>
            <w:r>
              <w:rPr>
                <w:rFonts w:ascii="宋体" w:hAnsi="宋体" w:cs="宋体" w:eastAsia="宋体" w:hint="default"/>
                <w:sz w:val="24"/>
                <w:szCs w:val="24"/>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4"/>
                <w:szCs w:val="24"/>
              </w:rPr>
            </w:pPr>
            <w:r>
              <w:rPr>
                <w:rFonts w:ascii="宋体" w:hAnsi="宋体" w:cs="宋体" w:eastAsia="宋体" w:hint="default"/>
                <w:sz w:val="24"/>
                <w:szCs w:val="24"/>
              </w:rPr>
              <w:t>上期发生金</w:t>
            </w:r>
          </w:p>
          <w:p>
            <w:pPr>
              <w:pStyle w:val="TableParagraph"/>
              <w:spacing w:line="313" w:lineRule="exact"/>
              <w:ind w:left="115" w:right="0"/>
              <w:jc w:val="center"/>
              <w:rPr>
                <w:rFonts w:ascii="宋体" w:hAnsi="宋体" w:cs="宋体" w:eastAsia="宋体" w:hint="default"/>
                <w:sz w:val="24"/>
                <w:szCs w:val="24"/>
              </w:rPr>
            </w:pPr>
            <w:r>
              <w:rPr>
                <w:rFonts w:ascii="宋体" w:hAnsi="宋体" w:cs="宋体" w:eastAsia="宋体" w:hint="default"/>
                <w:sz w:val="24"/>
                <w:szCs w:val="24"/>
              </w:rPr>
              <w:t>额</w:t>
            </w:r>
            <w:r>
              <w:rPr>
                <w:rFonts w:ascii="宋体" w:hAnsi="宋体" w:cs="宋体" w:eastAsia="宋体" w:hint="default"/>
                <w:sz w:val="24"/>
                <w:szCs w:val="24"/>
              </w:rPr>
              <w:t> </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5"/>
              <w:jc w:val="center"/>
              <w:rPr>
                <w:rFonts w:ascii="宋体" w:hAnsi="宋体" w:cs="宋体" w:eastAsia="宋体" w:hint="default"/>
                <w:sz w:val="24"/>
                <w:szCs w:val="24"/>
              </w:rPr>
            </w:pPr>
            <w:r>
              <w:rPr>
                <w:rFonts w:ascii="宋体" w:hAnsi="宋体" w:cs="宋体" w:eastAsia="宋体" w:hint="default"/>
                <w:sz w:val="24"/>
                <w:szCs w:val="24"/>
              </w:rPr>
              <w:t>与资产相关</w:t>
            </w:r>
            <w:r>
              <w:rPr>
                <w:rFonts w:ascii="宋体" w:hAnsi="宋体" w:cs="宋体" w:eastAsia="宋体" w:hint="default"/>
                <w:sz w:val="24"/>
                <w:szCs w:val="24"/>
              </w:rPr>
              <w:t>/</w:t>
            </w:r>
            <w:r>
              <w:rPr>
                <w:rFonts w:ascii="宋体" w:hAnsi="宋体" w:cs="宋体" w:eastAsia="宋体" w:hint="default"/>
                <w:sz w:val="24"/>
                <w:szCs w:val="24"/>
              </w:rPr>
              <w:t>与收益相</w:t>
            </w:r>
          </w:p>
          <w:p>
            <w:pPr>
              <w:pStyle w:val="TableParagraph"/>
              <w:spacing w:line="313" w:lineRule="exact"/>
              <w:ind w:left="112" w:right="0"/>
              <w:jc w:val="center"/>
              <w:rPr>
                <w:rFonts w:ascii="宋体" w:hAnsi="宋体" w:cs="宋体" w:eastAsia="宋体" w:hint="default"/>
                <w:sz w:val="24"/>
                <w:szCs w:val="24"/>
              </w:rPr>
            </w:pPr>
            <w:r>
              <w:rPr>
                <w:rFonts w:ascii="宋体" w:hAnsi="宋体" w:cs="宋体" w:eastAsia="宋体" w:hint="default"/>
                <w:sz w:val="24"/>
                <w:szCs w:val="24"/>
              </w:rPr>
              <w:t>关</w:t>
            </w:r>
            <w:r>
              <w:rPr>
                <w:rFonts w:ascii="宋体" w:hAnsi="宋体" w:cs="宋体" w:eastAsia="宋体" w:hint="default"/>
                <w:sz w:val="24"/>
                <w:szCs w:val="24"/>
              </w:rPr>
              <w:t> </w:t>
            </w:r>
          </w:p>
        </w:tc>
      </w:tr>
      <w:tr>
        <w:trPr>
          <w:trHeight w:val="281" w:hRule="exact"/>
        </w:trPr>
        <w:tc>
          <w:tcPr>
            <w:tcW w:w="3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科技创新奖励</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9"/>
              <w:jc w:val="right"/>
              <w:rPr>
                <w:rFonts w:ascii="Times New Roman" w:hAnsi="Times New Roman" w:cs="Times New Roman" w:eastAsia="Times New Roman" w:hint="default"/>
                <w:sz w:val="20"/>
                <w:szCs w:val="20"/>
              </w:rPr>
            </w:pPr>
            <w:r>
              <w:rPr>
                <w:rFonts w:ascii="Times New Roman"/>
                <w:w w:val="95"/>
                <w:sz w:val="20"/>
              </w:rPr>
              <w:t>1,153,868.00</w:t>
            </w:r>
            <w:r>
              <w:rPr>
                <w:rFonts w:ascii="Times New Roman"/>
                <w:sz w:val="20"/>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8"/>
              <w:jc w:val="right"/>
              <w:rPr>
                <w:rFonts w:ascii="Times New Roman" w:hAnsi="Times New Roman" w:cs="Times New Roman" w:eastAsia="Times New Roman" w:hint="default"/>
                <w:sz w:val="20"/>
                <w:szCs w:val="20"/>
              </w:rPr>
            </w:pPr>
            <w:r>
              <w:rPr>
                <w:rFonts w:ascii="Times New Roman"/>
                <w:w w:val="95"/>
                <w:sz w:val="20"/>
              </w:rPr>
              <w:t>906,582.00</w:t>
            </w:r>
            <w:r>
              <w:rPr>
                <w:rFonts w:ascii="Times New Roman"/>
                <w:sz w:val="20"/>
              </w:rPr>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3" w:hRule="exact"/>
        </w:trPr>
        <w:tc>
          <w:tcPr>
            <w:tcW w:w="3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企业发展专项奖励</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8"/>
              <w:jc w:val="right"/>
              <w:rPr>
                <w:rFonts w:ascii="Times New Roman" w:hAnsi="Times New Roman" w:cs="Times New Roman" w:eastAsia="Times New Roman" w:hint="default"/>
                <w:sz w:val="20"/>
                <w:szCs w:val="20"/>
              </w:rPr>
            </w:pPr>
            <w:r>
              <w:rPr>
                <w:rFonts w:ascii="Times New Roman"/>
                <w:w w:val="95"/>
                <w:sz w:val="20"/>
              </w:rPr>
              <w:t>800,000.00</w:t>
            </w:r>
            <w:r>
              <w:rPr>
                <w:rFonts w:ascii="Times New Roman"/>
                <w:sz w:val="20"/>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8"/>
              <w:jc w:val="right"/>
              <w:rPr>
                <w:rFonts w:ascii="Times New Roman" w:hAnsi="Times New Roman" w:cs="Times New Roman" w:eastAsia="Times New Roman" w:hint="default"/>
                <w:sz w:val="20"/>
                <w:szCs w:val="20"/>
              </w:rPr>
            </w:pPr>
            <w:r>
              <w:rPr>
                <w:rFonts w:ascii="Times New Roman"/>
                <w:w w:val="95"/>
                <w:sz w:val="20"/>
              </w:rPr>
              <w:t>80,000.00</w:t>
            </w:r>
            <w:r>
              <w:rPr>
                <w:rFonts w:ascii="Times New Roman"/>
                <w:sz w:val="20"/>
              </w:rPr>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3" w:hRule="exact"/>
        </w:trPr>
        <w:tc>
          <w:tcPr>
            <w:tcW w:w="3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外经贸发展专项资金</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8"/>
              <w:jc w:val="right"/>
              <w:rPr>
                <w:rFonts w:ascii="Times New Roman" w:hAnsi="Times New Roman" w:cs="Times New Roman" w:eastAsia="Times New Roman" w:hint="default"/>
                <w:sz w:val="20"/>
                <w:szCs w:val="20"/>
              </w:rPr>
            </w:pPr>
            <w:r>
              <w:rPr>
                <w:rFonts w:ascii="Times New Roman"/>
                <w:w w:val="95"/>
                <w:sz w:val="20"/>
              </w:rPr>
              <w:t>311,300.00</w:t>
            </w:r>
            <w:r>
              <w:rPr>
                <w:rFonts w:ascii="Times New Roman"/>
                <w:sz w:val="20"/>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8"/>
              <w:jc w:val="right"/>
              <w:rPr>
                <w:rFonts w:ascii="Times New Roman" w:hAnsi="Times New Roman" w:cs="Times New Roman" w:eastAsia="Times New Roman" w:hint="default"/>
                <w:sz w:val="20"/>
                <w:szCs w:val="20"/>
              </w:rPr>
            </w:pPr>
            <w:r>
              <w:rPr>
                <w:rFonts w:ascii="Times New Roman"/>
                <w:w w:val="95"/>
                <w:sz w:val="20"/>
              </w:rPr>
              <w:t>90,000.00</w:t>
            </w:r>
            <w:r>
              <w:rPr>
                <w:rFonts w:ascii="Times New Roman"/>
                <w:sz w:val="20"/>
              </w:rPr>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1" w:hRule="exact"/>
        </w:trPr>
        <w:tc>
          <w:tcPr>
            <w:tcW w:w="3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推动工业发展十五条措施奖励</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8"/>
              <w:jc w:val="right"/>
              <w:rPr>
                <w:rFonts w:ascii="Times New Roman" w:hAnsi="Times New Roman" w:cs="Times New Roman" w:eastAsia="Times New Roman" w:hint="default"/>
                <w:sz w:val="20"/>
                <w:szCs w:val="20"/>
              </w:rPr>
            </w:pPr>
            <w:r>
              <w:rPr>
                <w:rFonts w:ascii="Times New Roman"/>
                <w:w w:val="95"/>
                <w:sz w:val="20"/>
              </w:rPr>
              <w:t>812,900.00</w:t>
            </w:r>
            <w:r>
              <w:rPr>
                <w:rFonts w:ascii="Times New Roman"/>
                <w:sz w:val="20"/>
              </w:rPr>
            </w:r>
          </w:p>
        </w:tc>
        <w:tc>
          <w:tcPr>
            <w:tcW w:w="1599" w:type="dxa"/>
            <w:tcBorders>
              <w:top w:val="single" w:sz="4" w:space="0" w:color="000000"/>
              <w:left w:val="single" w:sz="4" w:space="0" w:color="000000"/>
              <w:bottom w:val="single" w:sz="4" w:space="0" w:color="000000"/>
              <w:right w:val="single" w:sz="4" w:space="0" w:color="000000"/>
            </w:tcBorders>
          </w:tcPr>
          <w:p>
            <w:pP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3" w:hRule="exact"/>
        </w:trPr>
        <w:tc>
          <w:tcPr>
            <w:tcW w:w="3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中标奖励</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8"/>
              <w:jc w:val="right"/>
              <w:rPr>
                <w:rFonts w:ascii="Times New Roman" w:hAnsi="Times New Roman" w:cs="Times New Roman" w:eastAsia="Times New Roman" w:hint="default"/>
                <w:sz w:val="20"/>
                <w:szCs w:val="20"/>
              </w:rPr>
            </w:pPr>
            <w:r>
              <w:rPr>
                <w:rFonts w:ascii="Times New Roman"/>
                <w:w w:val="95"/>
                <w:sz w:val="20"/>
              </w:rPr>
              <w:t>707,900.00</w:t>
            </w:r>
            <w:r>
              <w:rPr>
                <w:rFonts w:ascii="Times New Roman"/>
                <w:sz w:val="20"/>
              </w:rPr>
            </w:r>
          </w:p>
        </w:tc>
        <w:tc>
          <w:tcPr>
            <w:tcW w:w="1599" w:type="dxa"/>
            <w:tcBorders>
              <w:top w:val="single" w:sz="4" w:space="0" w:color="000000"/>
              <w:left w:val="single" w:sz="4" w:space="0" w:color="000000"/>
              <w:bottom w:val="single" w:sz="4" w:space="0" w:color="000000"/>
              <w:right w:val="single" w:sz="4" w:space="0" w:color="000000"/>
            </w:tcBorders>
          </w:tcPr>
          <w:p>
            <w:pP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3" w:hRule="exact"/>
        </w:trPr>
        <w:tc>
          <w:tcPr>
            <w:tcW w:w="3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知识产权局专项奖励</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8"/>
              <w:jc w:val="right"/>
              <w:rPr>
                <w:rFonts w:ascii="Times New Roman" w:hAnsi="Times New Roman" w:cs="Times New Roman" w:eastAsia="Times New Roman" w:hint="default"/>
                <w:sz w:val="20"/>
                <w:szCs w:val="20"/>
              </w:rPr>
            </w:pPr>
            <w:r>
              <w:rPr>
                <w:rFonts w:ascii="Times New Roman"/>
                <w:w w:val="95"/>
                <w:sz w:val="20"/>
              </w:rPr>
              <w:t>139,500.00</w:t>
            </w:r>
            <w:r>
              <w:rPr>
                <w:rFonts w:ascii="Times New Roman"/>
                <w:sz w:val="20"/>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8"/>
              <w:jc w:val="right"/>
              <w:rPr>
                <w:rFonts w:ascii="Times New Roman" w:hAnsi="Times New Roman" w:cs="Times New Roman" w:eastAsia="Times New Roman" w:hint="default"/>
                <w:sz w:val="20"/>
                <w:szCs w:val="20"/>
              </w:rPr>
            </w:pPr>
            <w:r>
              <w:rPr>
                <w:rFonts w:ascii="Times New Roman"/>
                <w:w w:val="95"/>
                <w:sz w:val="20"/>
              </w:rPr>
              <w:t>250,000.00</w:t>
            </w:r>
            <w:r>
              <w:rPr>
                <w:rFonts w:ascii="Times New Roman"/>
                <w:sz w:val="20"/>
              </w:rPr>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1" w:hRule="exact"/>
        </w:trPr>
        <w:tc>
          <w:tcPr>
            <w:tcW w:w="3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上海名牌奖励</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8"/>
              <w:jc w:val="right"/>
              <w:rPr>
                <w:rFonts w:ascii="Times New Roman" w:hAnsi="Times New Roman" w:cs="Times New Roman" w:eastAsia="Times New Roman" w:hint="default"/>
                <w:sz w:val="20"/>
                <w:szCs w:val="20"/>
              </w:rPr>
            </w:pPr>
            <w:r>
              <w:rPr>
                <w:rFonts w:ascii="Times New Roman"/>
                <w:w w:val="95"/>
                <w:sz w:val="20"/>
              </w:rPr>
              <w:t>300,000.00</w:t>
            </w:r>
            <w:r>
              <w:rPr>
                <w:rFonts w:ascii="Times New Roman"/>
                <w:sz w:val="20"/>
              </w:rPr>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3" w:hRule="exact"/>
        </w:trPr>
        <w:tc>
          <w:tcPr>
            <w:tcW w:w="3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财政奖励款</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8"/>
              <w:jc w:val="right"/>
              <w:rPr>
                <w:rFonts w:ascii="Times New Roman" w:hAnsi="Times New Roman" w:cs="Times New Roman" w:eastAsia="Times New Roman" w:hint="default"/>
                <w:sz w:val="20"/>
                <w:szCs w:val="20"/>
              </w:rPr>
            </w:pPr>
            <w:r>
              <w:rPr>
                <w:rFonts w:ascii="Times New Roman"/>
                <w:w w:val="95"/>
                <w:sz w:val="20"/>
              </w:rPr>
              <w:t>51,500.00</w:t>
            </w:r>
            <w:r>
              <w:rPr>
                <w:rFonts w:ascii="Times New Roman"/>
                <w:sz w:val="20"/>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8"/>
              <w:jc w:val="right"/>
              <w:rPr>
                <w:rFonts w:ascii="Times New Roman" w:hAnsi="Times New Roman" w:cs="Times New Roman" w:eastAsia="Times New Roman" w:hint="default"/>
                <w:sz w:val="20"/>
                <w:szCs w:val="20"/>
              </w:rPr>
            </w:pPr>
            <w:r>
              <w:rPr>
                <w:rFonts w:ascii="Times New Roman"/>
                <w:w w:val="95"/>
                <w:sz w:val="20"/>
              </w:rPr>
              <w:t>675,900.00</w:t>
            </w:r>
            <w:r>
              <w:rPr>
                <w:rFonts w:ascii="Times New Roman"/>
                <w:sz w:val="20"/>
              </w:rPr>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1" w:hRule="exact"/>
        </w:trPr>
        <w:tc>
          <w:tcPr>
            <w:tcW w:w="3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高新技术企业奖励</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8"/>
              <w:jc w:val="right"/>
              <w:rPr>
                <w:rFonts w:ascii="Times New Roman" w:hAnsi="Times New Roman" w:cs="Times New Roman" w:eastAsia="Times New Roman" w:hint="default"/>
                <w:sz w:val="20"/>
                <w:szCs w:val="20"/>
              </w:rPr>
            </w:pPr>
            <w:r>
              <w:rPr>
                <w:rFonts w:ascii="Times New Roman"/>
                <w:w w:val="95"/>
                <w:sz w:val="20"/>
              </w:rPr>
              <w:t>850,000.00</w:t>
            </w:r>
            <w:r>
              <w:rPr>
                <w:rFonts w:ascii="Times New Roman"/>
                <w:sz w:val="20"/>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8"/>
              <w:jc w:val="right"/>
              <w:rPr>
                <w:rFonts w:ascii="Times New Roman" w:hAnsi="Times New Roman" w:cs="Times New Roman" w:eastAsia="Times New Roman" w:hint="default"/>
                <w:sz w:val="20"/>
                <w:szCs w:val="20"/>
              </w:rPr>
            </w:pPr>
            <w:r>
              <w:rPr>
                <w:rFonts w:ascii="Times New Roman"/>
                <w:w w:val="95"/>
                <w:sz w:val="20"/>
              </w:rPr>
              <w:t>200,000.00</w:t>
            </w:r>
            <w:r>
              <w:rPr>
                <w:rFonts w:ascii="Times New Roman"/>
                <w:sz w:val="20"/>
              </w:rPr>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3" w:hRule="exact"/>
        </w:trPr>
        <w:tc>
          <w:tcPr>
            <w:tcW w:w="34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环保奖励</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8"/>
              <w:jc w:val="right"/>
              <w:rPr>
                <w:rFonts w:ascii="Times New Roman" w:hAnsi="Times New Roman" w:cs="Times New Roman" w:eastAsia="Times New Roman" w:hint="default"/>
                <w:sz w:val="20"/>
                <w:szCs w:val="20"/>
              </w:rPr>
            </w:pPr>
            <w:r>
              <w:rPr>
                <w:rFonts w:ascii="Times New Roman"/>
                <w:w w:val="95"/>
                <w:sz w:val="20"/>
              </w:rPr>
              <w:t>400,000.00</w:t>
            </w:r>
            <w:r>
              <w:rPr>
                <w:rFonts w:ascii="Times New Roman"/>
                <w:sz w:val="20"/>
              </w:rPr>
            </w:r>
          </w:p>
        </w:tc>
        <w:tc>
          <w:tcPr>
            <w:tcW w:w="1599" w:type="dxa"/>
            <w:tcBorders>
              <w:top w:val="single" w:sz="4" w:space="0" w:color="000000"/>
              <w:left w:val="single" w:sz="4" w:space="0" w:color="000000"/>
              <w:bottom w:val="single" w:sz="4" w:space="0" w:color="000000"/>
              <w:right w:val="single" w:sz="4" w:space="0" w:color="000000"/>
            </w:tcBorders>
          </w:tcPr>
          <w:p>
            <w:pP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3" w:hRule="exact"/>
        </w:trPr>
        <w:tc>
          <w:tcPr>
            <w:tcW w:w="3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产业发展奖励</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8"/>
              <w:jc w:val="right"/>
              <w:rPr>
                <w:rFonts w:ascii="Times New Roman" w:hAnsi="Times New Roman" w:cs="Times New Roman" w:eastAsia="Times New Roman" w:hint="default"/>
                <w:sz w:val="20"/>
                <w:szCs w:val="20"/>
              </w:rPr>
            </w:pPr>
            <w:r>
              <w:rPr>
                <w:rFonts w:ascii="Times New Roman"/>
                <w:w w:val="95"/>
                <w:sz w:val="20"/>
              </w:rPr>
              <w:t>110,000.00</w:t>
            </w:r>
            <w:r>
              <w:rPr>
                <w:rFonts w:ascii="Times New Roman"/>
                <w:sz w:val="20"/>
              </w:rPr>
            </w:r>
          </w:p>
        </w:tc>
        <w:tc>
          <w:tcPr>
            <w:tcW w:w="1599" w:type="dxa"/>
            <w:tcBorders>
              <w:top w:val="single" w:sz="4" w:space="0" w:color="000000"/>
              <w:left w:val="single" w:sz="4" w:space="0" w:color="000000"/>
              <w:bottom w:val="single" w:sz="4" w:space="0" w:color="000000"/>
              <w:right w:val="single" w:sz="4" w:space="0" w:color="000000"/>
            </w:tcBorders>
          </w:tcPr>
          <w:p>
            <w:pP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1" w:hRule="exact"/>
        </w:trPr>
        <w:tc>
          <w:tcPr>
            <w:tcW w:w="3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两化融合奖励</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8"/>
              <w:jc w:val="right"/>
              <w:rPr>
                <w:rFonts w:ascii="Times New Roman" w:hAnsi="Times New Roman" w:cs="Times New Roman" w:eastAsia="Times New Roman" w:hint="default"/>
                <w:sz w:val="20"/>
                <w:szCs w:val="20"/>
              </w:rPr>
            </w:pPr>
            <w:r>
              <w:rPr>
                <w:rFonts w:ascii="Times New Roman"/>
                <w:w w:val="95"/>
                <w:sz w:val="20"/>
              </w:rPr>
              <w:t>100,000.00</w:t>
            </w:r>
            <w:r>
              <w:rPr>
                <w:rFonts w:ascii="Times New Roman"/>
                <w:sz w:val="20"/>
              </w:rPr>
            </w:r>
          </w:p>
        </w:tc>
        <w:tc>
          <w:tcPr>
            <w:tcW w:w="1599" w:type="dxa"/>
            <w:tcBorders>
              <w:top w:val="single" w:sz="4" w:space="0" w:color="000000"/>
              <w:left w:val="single" w:sz="4" w:space="0" w:color="000000"/>
              <w:bottom w:val="single" w:sz="4" w:space="0" w:color="000000"/>
              <w:right w:val="single" w:sz="4" w:space="0" w:color="000000"/>
            </w:tcBorders>
          </w:tcPr>
          <w:p>
            <w:pP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3" w:hRule="exact"/>
        </w:trPr>
        <w:tc>
          <w:tcPr>
            <w:tcW w:w="34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工业设计奖励</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8"/>
              <w:jc w:val="right"/>
              <w:rPr>
                <w:rFonts w:ascii="Times New Roman" w:hAnsi="Times New Roman" w:cs="Times New Roman" w:eastAsia="Times New Roman" w:hint="default"/>
                <w:sz w:val="20"/>
                <w:szCs w:val="20"/>
              </w:rPr>
            </w:pPr>
            <w:r>
              <w:rPr>
                <w:rFonts w:ascii="Times New Roman"/>
                <w:w w:val="95"/>
                <w:sz w:val="20"/>
              </w:rPr>
              <w:t>100,000.00</w:t>
            </w:r>
            <w:r>
              <w:rPr>
                <w:rFonts w:ascii="Times New Roman"/>
                <w:sz w:val="20"/>
              </w:rPr>
            </w:r>
          </w:p>
        </w:tc>
        <w:tc>
          <w:tcPr>
            <w:tcW w:w="1599" w:type="dxa"/>
            <w:tcBorders>
              <w:top w:val="single" w:sz="4" w:space="0" w:color="000000"/>
              <w:left w:val="single" w:sz="4" w:space="0" w:color="000000"/>
              <w:bottom w:val="single" w:sz="4" w:space="0" w:color="000000"/>
              <w:right w:val="single" w:sz="4" w:space="0" w:color="000000"/>
            </w:tcBorders>
          </w:tcPr>
          <w:p>
            <w:pP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3" w:hRule="exact"/>
        </w:trPr>
        <w:tc>
          <w:tcPr>
            <w:tcW w:w="3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文化产业奖励</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8"/>
              <w:jc w:val="right"/>
              <w:rPr>
                <w:rFonts w:ascii="Times New Roman" w:hAnsi="Times New Roman" w:cs="Times New Roman" w:eastAsia="Times New Roman" w:hint="default"/>
                <w:sz w:val="20"/>
                <w:szCs w:val="20"/>
              </w:rPr>
            </w:pPr>
            <w:r>
              <w:rPr>
                <w:rFonts w:ascii="Times New Roman"/>
                <w:w w:val="95"/>
                <w:sz w:val="20"/>
              </w:rPr>
              <w:t>60,000.00</w:t>
            </w:r>
            <w:r>
              <w:rPr>
                <w:rFonts w:ascii="Times New Roman"/>
                <w:sz w:val="20"/>
              </w:rPr>
            </w:r>
          </w:p>
        </w:tc>
        <w:tc>
          <w:tcPr>
            <w:tcW w:w="1599" w:type="dxa"/>
            <w:tcBorders>
              <w:top w:val="single" w:sz="4" w:space="0" w:color="000000"/>
              <w:left w:val="single" w:sz="4" w:space="0" w:color="000000"/>
              <w:bottom w:val="single" w:sz="4" w:space="0" w:color="000000"/>
              <w:right w:val="single" w:sz="4" w:space="0" w:color="000000"/>
            </w:tcBorders>
          </w:tcPr>
          <w:p>
            <w:pP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1" w:hRule="exact"/>
        </w:trPr>
        <w:tc>
          <w:tcPr>
            <w:tcW w:w="3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企业开发省级财政奖励</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8"/>
              <w:jc w:val="right"/>
              <w:rPr>
                <w:rFonts w:ascii="Times New Roman" w:hAnsi="Times New Roman" w:cs="Times New Roman" w:eastAsia="Times New Roman" w:hint="default"/>
                <w:sz w:val="20"/>
                <w:szCs w:val="20"/>
              </w:rPr>
            </w:pPr>
            <w:r>
              <w:rPr>
                <w:rFonts w:ascii="Times New Roman"/>
                <w:w w:val="95"/>
                <w:sz w:val="20"/>
              </w:rPr>
              <w:t>251,500.00</w:t>
            </w:r>
            <w:r>
              <w:rPr>
                <w:rFonts w:ascii="Times New Roman"/>
                <w:sz w:val="20"/>
              </w:rPr>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3" w:hRule="exact"/>
        </w:trPr>
        <w:tc>
          <w:tcPr>
            <w:tcW w:w="3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外销内陆段运费补贴</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8"/>
              <w:jc w:val="right"/>
              <w:rPr>
                <w:rFonts w:ascii="Times New Roman" w:hAnsi="Times New Roman" w:cs="Times New Roman" w:eastAsia="Times New Roman" w:hint="default"/>
                <w:sz w:val="20"/>
                <w:szCs w:val="20"/>
              </w:rPr>
            </w:pPr>
            <w:r>
              <w:rPr>
                <w:rFonts w:ascii="Times New Roman"/>
                <w:w w:val="95"/>
                <w:sz w:val="20"/>
              </w:rPr>
              <w:t>203,300.00</w:t>
            </w:r>
            <w:r>
              <w:rPr>
                <w:rFonts w:ascii="Times New Roman"/>
                <w:sz w:val="20"/>
              </w:rPr>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3" w:hRule="exact"/>
        </w:trPr>
        <w:tc>
          <w:tcPr>
            <w:tcW w:w="3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知识产权局授权发明奖励</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8"/>
              <w:jc w:val="right"/>
              <w:rPr>
                <w:rFonts w:ascii="Times New Roman" w:hAnsi="Times New Roman" w:cs="Times New Roman" w:eastAsia="Times New Roman" w:hint="default"/>
                <w:sz w:val="20"/>
                <w:szCs w:val="20"/>
              </w:rPr>
            </w:pPr>
            <w:r>
              <w:rPr>
                <w:rFonts w:ascii="Times New Roman"/>
                <w:w w:val="95"/>
                <w:sz w:val="20"/>
              </w:rPr>
              <w:t>737,300.00</w:t>
            </w:r>
            <w:r>
              <w:rPr>
                <w:rFonts w:ascii="Times New Roman"/>
                <w:sz w:val="20"/>
              </w:rPr>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920" w:right="1440"/>
        </w:sectPr>
      </w:pPr>
    </w:p>
    <w:p>
      <w:pPr>
        <w:spacing w:line="240" w:lineRule="auto" w:before="0"/>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3491"/>
        <w:gridCol w:w="1603"/>
        <w:gridCol w:w="1599"/>
        <w:gridCol w:w="2619"/>
      </w:tblGrid>
      <w:tr>
        <w:trPr>
          <w:trHeight w:val="283" w:hRule="exact"/>
        </w:trPr>
        <w:tc>
          <w:tcPr>
            <w:tcW w:w="3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市级“红土先锋”党建示范点经费</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8"/>
              <w:jc w:val="right"/>
              <w:rPr>
                <w:rFonts w:ascii="Times New Roman" w:hAnsi="Times New Roman" w:cs="Times New Roman" w:eastAsia="Times New Roman" w:hint="default"/>
                <w:sz w:val="20"/>
                <w:szCs w:val="20"/>
              </w:rPr>
            </w:pPr>
            <w:r>
              <w:rPr>
                <w:rFonts w:ascii="Times New Roman"/>
                <w:w w:val="95"/>
                <w:sz w:val="20"/>
              </w:rPr>
              <w:t>100,000.00</w:t>
            </w:r>
            <w:r>
              <w:rPr>
                <w:rFonts w:ascii="Times New Roman"/>
                <w:sz w:val="20"/>
              </w:rPr>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1" w:hRule="exact"/>
        </w:trPr>
        <w:tc>
          <w:tcPr>
            <w:tcW w:w="3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军民融合企业奖励</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8"/>
              <w:jc w:val="right"/>
              <w:rPr>
                <w:rFonts w:ascii="Times New Roman" w:hAnsi="Times New Roman" w:cs="Times New Roman" w:eastAsia="Times New Roman" w:hint="default"/>
                <w:sz w:val="20"/>
                <w:szCs w:val="20"/>
              </w:rPr>
            </w:pPr>
            <w:r>
              <w:rPr>
                <w:rFonts w:ascii="Times New Roman"/>
                <w:w w:val="95"/>
                <w:sz w:val="20"/>
              </w:rPr>
              <w:t>250,000.00</w:t>
            </w:r>
            <w:r>
              <w:rPr>
                <w:rFonts w:ascii="Times New Roman"/>
                <w:sz w:val="20"/>
              </w:rPr>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554" w:hRule="exact"/>
        </w:trPr>
        <w:tc>
          <w:tcPr>
            <w:tcW w:w="34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5"/>
                <w:sz w:val="21"/>
                <w:szCs w:val="21"/>
              </w:rPr>
              <w:t>财政局企业改制上市挂牌和融资奖</w:t>
            </w:r>
            <w:r>
              <w:rPr>
                <w:rFonts w:ascii="宋体" w:hAnsi="宋体" w:cs="宋体" w:eastAsia="宋体" w:hint="default"/>
                <w:sz w:val="21"/>
                <w:szCs w:val="21"/>
              </w:rPr>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励</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9"/>
              <w:jc w:val="right"/>
              <w:rPr>
                <w:rFonts w:ascii="Times New Roman" w:hAnsi="Times New Roman" w:cs="Times New Roman" w:eastAsia="Times New Roman" w:hint="default"/>
                <w:sz w:val="20"/>
                <w:szCs w:val="20"/>
              </w:rPr>
            </w:pPr>
            <w:r>
              <w:rPr>
                <w:rFonts w:ascii="Times New Roman"/>
                <w:w w:val="95"/>
                <w:sz w:val="20"/>
              </w:rPr>
              <w:t>1,000,000.00</w:t>
            </w:r>
            <w:r>
              <w:rPr>
                <w:rFonts w:ascii="Times New Roman"/>
                <w:sz w:val="20"/>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8"/>
              <w:jc w:val="right"/>
              <w:rPr>
                <w:rFonts w:ascii="Times New Roman" w:hAnsi="Times New Roman" w:cs="Times New Roman" w:eastAsia="Times New Roman" w:hint="default"/>
                <w:sz w:val="20"/>
                <w:szCs w:val="20"/>
              </w:rPr>
            </w:pPr>
            <w:r>
              <w:rPr>
                <w:rFonts w:ascii="Times New Roman"/>
                <w:w w:val="95"/>
                <w:sz w:val="20"/>
              </w:rPr>
              <w:t>907,500.00</w:t>
            </w:r>
            <w:r>
              <w:rPr>
                <w:rFonts w:ascii="Times New Roman"/>
                <w:sz w:val="20"/>
              </w:rPr>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3" w:hRule="exact"/>
        </w:trPr>
        <w:tc>
          <w:tcPr>
            <w:tcW w:w="34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开发区管理委员会突出贡献奖励</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9"/>
              <w:jc w:val="right"/>
              <w:rPr>
                <w:rFonts w:ascii="Times New Roman" w:hAnsi="Times New Roman" w:cs="Times New Roman" w:eastAsia="Times New Roman" w:hint="default"/>
                <w:sz w:val="20"/>
                <w:szCs w:val="20"/>
              </w:rPr>
            </w:pPr>
            <w:r>
              <w:rPr>
                <w:rFonts w:ascii="Times New Roman"/>
                <w:w w:val="95"/>
                <w:sz w:val="20"/>
              </w:rPr>
              <w:t>1,310,000.00</w:t>
            </w:r>
            <w:r>
              <w:rPr>
                <w:rFonts w:ascii="Times New Roman"/>
                <w:sz w:val="20"/>
              </w:rPr>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3" w:hRule="exact"/>
        </w:trPr>
        <w:tc>
          <w:tcPr>
            <w:tcW w:w="3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年高企县级奖励</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8"/>
              <w:jc w:val="right"/>
              <w:rPr>
                <w:rFonts w:ascii="Times New Roman" w:hAnsi="Times New Roman" w:cs="Times New Roman" w:eastAsia="Times New Roman" w:hint="default"/>
                <w:sz w:val="20"/>
                <w:szCs w:val="20"/>
              </w:rPr>
            </w:pPr>
            <w:r>
              <w:rPr>
                <w:rFonts w:ascii="Times New Roman"/>
                <w:w w:val="95"/>
                <w:sz w:val="20"/>
              </w:rPr>
              <w:t>100,000.00</w:t>
            </w:r>
            <w:r>
              <w:rPr>
                <w:rFonts w:ascii="Times New Roman"/>
                <w:sz w:val="20"/>
              </w:rPr>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554" w:hRule="exact"/>
        </w:trPr>
        <w:tc>
          <w:tcPr>
            <w:tcW w:w="34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5"/>
                <w:sz w:val="21"/>
                <w:szCs w:val="21"/>
              </w:rPr>
              <w:t>领军企业研发费用加计扣除奖励专</w:t>
            </w:r>
            <w:r>
              <w:rPr>
                <w:rFonts w:ascii="宋体" w:hAnsi="宋体" w:cs="宋体" w:eastAsia="宋体" w:hint="default"/>
                <w:sz w:val="21"/>
                <w:szCs w:val="21"/>
              </w:rPr>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项资金</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8"/>
              <w:jc w:val="right"/>
              <w:rPr>
                <w:rFonts w:ascii="Times New Roman" w:hAnsi="Times New Roman" w:cs="Times New Roman" w:eastAsia="Times New Roman" w:hint="default"/>
                <w:sz w:val="20"/>
                <w:szCs w:val="20"/>
              </w:rPr>
            </w:pPr>
            <w:r>
              <w:rPr>
                <w:rFonts w:ascii="Times New Roman"/>
                <w:w w:val="95"/>
                <w:sz w:val="20"/>
              </w:rPr>
              <w:t>196,000.00</w:t>
            </w:r>
            <w:r>
              <w:rPr>
                <w:rFonts w:ascii="Times New Roman"/>
                <w:sz w:val="20"/>
              </w:rPr>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1" w:hRule="exact"/>
        </w:trPr>
        <w:tc>
          <w:tcPr>
            <w:tcW w:w="3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重大技术装备奖励资金</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8"/>
              <w:jc w:val="right"/>
              <w:rPr>
                <w:rFonts w:ascii="Times New Roman" w:hAnsi="Times New Roman" w:cs="Times New Roman" w:eastAsia="Times New Roman" w:hint="default"/>
                <w:sz w:val="20"/>
                <w:szCs w:val="20"/>
              </w:rPr>
            </w:pPr>
            <w:r>
              <w:rPr>
                <w:rFonts w:ascii="Times New Roman"/>
                <w:w w:val="95"/>
                <w:sz w:val="20"/>
              </w:rPr>
              <w:t>300,000.00</w:t>
            </w:r>
            <w:r>
              <w:rPr>
                <w:rFonts w:ascii="Times New Roman"/>
                <w:sz w:val="20"/>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8"/>
              <w:jc w:val="right"/>
              <w:rPr>
                <w:rFonts w:ascii="Times New Roman" w:hAnsi="Times New Roman" w:cs="Times New Roman" w:eastAsia="Times New Roman" w:hint="default"/>
                <w:sz w:val="20"/>
                <w:szCs w:val="20"/>
              </w:rPr>
            </w:pPr>
            <w:r>
              <w:rPr>
                <w:rFonts w:ascii="Times New Roman"/>
                <w:w w:val="95"/>
                <w:sz w:val="20"/>
              </w:rPr>
              <w:t>200,000.00</w:t>
            </w:r>
            <w:r>
              <w:rPr>
                <w:rFonts w:ascii="Times New Roman"/>
                <w:sz w:val="20"/>
              </w:rPr>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557" w:hRule="exact"/>
        </w:trPr>
        <w:tc>
          <w:tcPr>
            <w:tcW w:w="3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pacing w:val="5"/>
                <w:sz w:val="21"/>
                <w:szCs w:val="21"/>
              </w:rPr>
              <w:t>扶持工业政策主营业务收入增长奖</w:t>
            </w:r>
            <w:r>
              <w:rPr>
                <w:rFonts w:ascii="宋体" w:hAnsi="宋体" w:cs="宋体" w:eastAsia="宋体" w:hint="default"/>
                <w:sz w:val="21"/>
                <w:szCs w:val="21"/>
              </w:rPr>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励资金</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8"/>
              <w:jc w:val="right"/>
              <w:rPr>
                <w:rFonts w:ascii="Times New Roman" w:hAnsi="Times New Roman" w:cs="Times New Roman" w:eastAsia="Times New Roman" w:hint="default"/>
                <w:sz w:val="20"/>
                <w:szCs w:val="20"/>
              </w:rPr>
            </w:pPr>
            <w:r>
              <w:rPr>
                <w:rFonts w:ascii="Times New Roman"/>
                <w:w w:val="95"/>
                <w:sz w:val="20"/>
              </w:rPr>
              <w:t>100,000.00</w:t>
            </w:r>
            <w:r>
              <w:rPr>
                <w:rFonts w:ascii="Times New Roman"/>
                <w:sz w:val="20"/>
              </w:rPr>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1" w:hRule="exact"/>
        </w:trPr>
        <w:tc>
          <w:tcPr>
            <w:tcW w:w="3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优秀新产品奖励</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8"/>
              <w:jc w:val="right"/>
              <w:rPr>
                <w:rFonts w:ascii="Times New Roman" w:hAnsi="Times New Roman" w:cs="Times New Roman" w:eastAsia="Times New Roman" w:hint="default"/>
                <w:sz w:val="20"/>
                <w:szCs w:val="20"/>
              </w:rPr>
            </w:pPr>
            <w:r>
              <w:rPr>
                <w:rFonts w:ascii="Times New Roman"/>
                <w:w w:val="95"/>
                <w:sz w:val="20"/>
              </w:rPr>
              <w:t>230,000.00</w:t>
            </w:r>
            <w:r>
              <w:rPr>
                <w:rFonts w:ascii="Times New Roman"/>
                <w:sz w:val="20"/>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8"/>
              <w:jc w:val="right"/>
              <w:rPr>
                <w:rFonts w:ascii="Times New Roman" w:hAnsi="Times New Roman" w:cs="Times New Roman" w:eastAsia="Times New Roman" w:hint="default"/>
                <w:sz w:val="20"/>
                <w:szCs w:val="20"/>
              </w:rPr>
            </w:pPr>
            <w:r>
              <w:rPr>
                <w:rFonts w:ascii="Times New Roman"/>
                <w:w w:val="95"/>
                <w:sz w:val="20"/>
              </w:rPr>
              <w:t>50,000.00</w:t>
            </w:r>
            <w:r>
              <w:rPr>
                <w:rFonts w:ascii="Times New Roman"/>
                <w:sz w:val="20"/>
              </w:rPr>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3" w:hRule="exact"/>
        </w:trPr>
        <w:tc>
          <w:tcPr>
            <w:tcW w:w="3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纳税先进企业补贴</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8"/>
              <w:jc w:val="right"/>
              <w:rPr>
                <w:rFonts w:ascii="Times New Roman" w:hAnsi="Times New Roman" w:cs="Times New Roman" w:eastAsia="Times New Roman" w:hint="default"/>
                <w:sz w:val="20"/>
                <w:szCs w:val="20"/>
              </w:rPr>
            </w:pPr>
            <w:r>
              <w:rPr>
                <w:rFonts w:ascii="Times New Roman"/>
                <w:w w:val="95"/>
                <w:sz w:val="20"/>
              </w:rPr>
              <w:t>400,000.00</w:t>
            </w:r>
            <w:r>
              <w:rPr>
                <w:rFonts w:ascii="Times New Roman"/>
                <w:sz w:val="20"/>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8"/>
              <w:jc w:val="right"/>
              <w:rPr>
                <w:rFonts w:ascii="Times New Roman" w:hAnsi="Times New Roman" w:cs="Times New Roman" w:eastAsia="Times New Roman" w:hint="default"/>
                <w:sz w:val="20"/>
                <w:szCs w:val="20"/>
              </w:rPr>
            </w:pPr>
            <w:r>
              <w:rPr>
                <w:rFonts w:ascii="Times New Roman"/>
                <w:w w:val="95"/>
                <w:sz w:val="20"/>
              </w:rPr>
              <w:t>400,000.00</w:t>
            </w:r>
            <w:r>
              <w:rPr>
                <w:rFonts w:ascii="Times New Roman"/>
                <w:sz w:val="20"/>
              </w:rPr>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4" w:hRule="exact"/>
        </w:trPr>
        <w:tc>
          <w:tcPr>
            <w:tcW w:w="3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其他政府补助</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8"/>
              <w:jc w:val="right"/>
              <w:rPr>
                <w:rFonts w:ascii="Times New Roman" w:hAnsi="Times New Roman" w:cs="Times New Roman" w:eastAsia="Times New Roman" w:hint="default"/>
                <w:sz w:val="20"/>
                <w:szCs w:val="20"/>
              </w:rPr>
            </w:pPr>
            <w:r>
              <w:rPr>
                <w:rFonts w:ascii="Times New Roman"/>
                <w:w w:val="95"/>
                <w:sz w:val="20"/>
              </w:rPr>
              <w:t>659,595.68</w:t>
            </w:r>
            <w:r>
              <w:rPr>
                <w:rFonts w:ascii="Times New Roman"/>
                <w:sz w:val="20"/>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8"/>
              <w:jc w:val="right"/>
              <w:rPr>
                <w:rFonts w:ascii="Times New Roman" w:hAnsi="Times New Roman" w:cs="Times New Roman" w:eastAsia="Times New Roman" w:hint="default"/>
                <w:sz w:val="20"/>
                <w:szCs w:val="20"/>
              </w:rPr>
            </w:pPr>
            <w:r>
              <w:rPr>
                <w:rFonts w:ascii="Times New Roman"/>
                <w:w w:val="95"/>
                <w:sz w:val="20"/>
              </w:rPr>
              <w:t>215,852.58</w:t>
            </w:r>
            <w:r>
              <w:rPr>
                <w:rFonts w:ascii="Times New Roman"/>
                <w:sz w:val="20"/>
              </w:rPr>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1" w:hRule="exact"/>
        </w:trPr>
        <w:tc>
          <w:tcPr>
            <w:tcW w:w="3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9"/>
              <w:jc w:val="right"/>
              <w:rPr>
                <w:rFonts w:ascii="Times New Roman" w:hAnsi="Times New Roman" w:cs="Times New Roman" w:eastAsia="Times New Roman" w:hint="default"/>
                <w:sz w:val="20"/>
                <w:szCs w:val="20"/>
              </w:rPr>
            </w:pPr>
            <w:r>
              <w:rPr>
                <w:rFonts w:ascii="Times New Roman"/>
                <w:w w:val="95"/>
                <w:sz w:val="20"/>
              </w:rPr>
              <w:t>8,186,563.68</w:t>
            </w:r>
            <w:r>
              <w:rPr>
                <w:rFonts w:ascii="Times New Roman"/>
                <w:sz w:val="20"/>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9"/>
              <w:jc w:val="right"/>
              <w:rPr>
                <w:rFonts w:ascii="Times New Roman" w:hAnsi="Times New Roman" w:cs="Times New Roman" w:eastAsia="Times New Roman" w:hint="default"/>
                <w:sz w:val="20"/>
                <w:szCs w:val="20"/>
              </w:rPr>
            </w:pPr>
            <w:r>
              <w:rPr>
                <w:rFonts w:ascii="Times New Roman"/>
                <w:w w:val="95"/>
                <w:sz w:val="20"/>
              </w:rPr>
              <w:t>7,523,934.58</w:t>
            </w:r>
            <w:r>
              <w:rPr>
                <w:rFonts w:ascii="Times New Roman"/>
                <w:sz w:val="20"/>
              </w:rPr>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spacing w:line="240" w:lineRule="auto" w:before="6"/>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82" w:footer="1195" w:top="1120" w:bottom="1380" w:left="920" w:right="1440"/>
        </w:sectPr>
      </w:pPr>
    </w:p>
    <w:p>
      <w:pPr>
        <w:pStyle w:val="Heading3"/>
        <w:spacing w:line="321" w:lineRule="auto" w:before="26"/>
        <w:ind w:left="356" w:right="0"/>
        <w:jc w:val="left"/>
        <w:rPr>
          <w:rFonts w:ascii="宋体" w:hAnsi="宋体" w:cs="宋体" w:eastAsia="宋体" w:hint="default"/>
        </w:rPr>
      </w:pPr>
      <w:r>
        <w:rPr>
          <w:rFonts w:ascii="宋体" w:hAnsi="宋体" w:cs="宋体" w:eastAsia="宋体" w:hint="default"/>
        </w:rPr>
        <w:t>  </w:t>
      </w:r>
      <w:r>
        <w:rPr/>
        <w:t>其他说明：</w:t>
      </w:r>
      <w:r>
        <w:rPr>
          <w:rFonts w:ascii="宋体" w:hAnsi="宋体" w:cs="宋体" w:eastAsia="宋体" w:hint="default"/>
        </w:rPr>
        <w:t> </w:t>
      </w:r>
    </w:p>
    <w:p>
      <w:pPr>
        <w:pStyle w:val="Heading3"/>
        <w:spacing w:line="240" w:lineRule="auto" w:before="24"/>
        <w:ind w:left="35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240" w:lineRule="auto" w:before="58"/>
        <w:ind w:left="356" w:right="0"/>
        <w:jc w:val="left"/>
        <w:rPr>
          <w:rFonts w:ascii="宋体" w:hAnsi="宋体" w:cs="宋体" w:eastAsia="宋体" w:hint="default"/>
        </w:rPr>
      </w:pPr>
      <w:r>
        <w:rPr>
          <w:rFonts w:ascii="宋体"/>
        </w:rPr>
        <w:t> </w:t>
      </w:r>
    </w:p>
    <w:p>
      <w:pPr>
        <w:pStyle w:val="Heading5"/>
        <w:spacing w:line="240" w:lineRule="auto" w:before="61"/>
        <w:ind w:left="356" w:right="0"/>
        <w:jc w:val="left"/>
        <w:rPr>
          <w:rFonts w:ascii="宋体" w:hAnsi="宋体" w:cs="宋体" w:eastAsia="宋体" w:hint="default"/>
          <w:b w:val="0"/>
          <w:bCs w:val="0"/>
        </w:rPr>
      </w:pPr>
      <w:r>
        <w:rPr>
          <w:rFonts w:ascii="宋体" w:hAnsi="宋体" w:cs="宋体" w:eastAsia="宋体" w:hint="default"/>
        </w:rPr>
        <w:t>73</w:t>
      </w:r>
      <w:r>
        <w:rPr/>
        <w:t>、</w:t>
      </w:r>
      <w:r>
        <w:rPr>
          <w:spacing w:val="-27"/>
        </w:rPr>
        <w:t> </w:t>
      </w:r>
      <w:r>
        <w:rPr/>
        <w:t>营业外支出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35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8"/>
          <w:szCs w:val="28"/>
        </w:rPr>
      </w:pPr>
    </w:p>
    <w:p>
      <w:pPr>
        <w:pStyle w:val="BodyText"/>
        <w:spacing w:line="240" w:lineRule="auto"/>
        <w:ind w:left="356"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920" w:right="1440"/>
          <w:cols w:num="2" w:equalWidth="0">
            <w:col w:w="2518" w:space="4004"/>
            <w:col w:w="3028"/>
          </w:cols>
        </w:sectPr>
      </w:pPr>
    </w:p>
    <w:p>
      <w:pPr>
        <w:spacing w:line="240" w:lineRule="auto" w:before="7"/>
        <w:rPr>
          <w:rFonts w:ascii="宋体" w:hAnsi="宋体" w:cs="宋体" w:eastAsia="宋体" w:hint="default"/>
          <w:sz w:val="2"/>
          <w:szCs w:val="2"/>
        </w:rPr>
      </w:pPr>
    </w:p>
    <w:tbl>
      <w:tblPr>
        <w:tblW w:w="0" w:type="auto"/>
        <w:jc w:val="left"/>
        <w:tblInd w:w="243" w:type="dxa"/>
        <w:tblLayout w:type="fixed"/>
        <w:tblCellMar>
          <w:top w:w="0" w:type="dxa"/>
          <w:left w:w="0" w:type="dxa"/>
          <w:bottom w:w="0" w:type="dxa"/>
          <w:right w:w="0" w:type="dxa"/>
        </w:tblCellMar>
        <w:tblLook w:val="01E0"/>
      </w:tblPr>
      <w:tblGrid>
        <w:gridCol w:w="2028"/>
        <w:gridCol w:w="2377"/>
        <w:gridCol w:w="2328"/>
        <w:gridCol w:w="2317"/>
      </w:tblGrid>
      <w:tr>
        <w:trPr>
          <w:trHeight w:val="555"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55"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sz w:val="21"/>
                <w:szCs w:val="21"/>
              </w:rPr>
              <w:t> </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4"/>
              <w:jc w:val="right"/>
              <w:rPr>
                <w:rFonts w:ascii="Times New Roman" w:hAnsi="Times New Roman" w:cs="Times New Roman" w:eastAsia="Times New Roman" w:hint="default"/>
                <w:sz w:val="20"/>
                <w:szCs w:val="20"/>
              </w:rPr>
            </w:pPr>
            <w:r>
              <w:rPr>
                <w:rFonts w:ascii="Times New Roman"/>
                <w:w w:val="95"/>
                <w:sz w:val="20"/>
              </w:rPr>
              <w:t>2,073,949.12</w:t>
            </w:r>
            <w:r>
              <w:rPr>
                <w:rFonts w:ascii="Times New Roman"/>
                <w:sz w:val="20"/>
              </w:rPr>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4"/>
              <w:jc w:val="right"/>
              <w:rPr>
                <w:rFonts w:ascii="Times New Roman" w:hAnsi="Times New Roman" w:cs="Times New Roman" w:eastAsia="Times New Roman" w:hint="default"/>
                <w:sz w:val="20"/>
                <w:szCs w:val="20"/>
              </w:rPr>
            </w:pPr>
            <w:r>
              <w:rPr>
                <w:rFonts w:ascii="Times New Roman"/>
                <w:w w:val="95"/>
                <w:sz w:val="20"/>
              </w:rPr>
              <w:t>2,793,055.43</w:t>
            </w:r>
            <w:r>
              <w:rPr>
                <w:rFonts w:ascii="Times New Roman"/>
                <w:sz w:val="20"/>
              </w:rPr>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20"/>
                <w:szCs w:val="20"/>
              </w:rPr>
            </w:pPr>
            <w:r>
              <w:rPr>
                <w:rFonts w:ascii="Times New Roman"/>
                <w:w w:val="95"/>
                <w:sz w:val="20"/>
              </w:rPr>
              <w:t>2,073,949.12</w:t>
            </w:r>
            <w:r>
              <w:rPr>
                <w:rFonts w:ascii="Times New Roman"/>
                <w:sz w:val="20"/>
              </w:rPr>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置损失</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1,052,000.00</w:t>
            </w:r>
            <w:r>
              <w:rPr>
                <w:rFonts w:ascii="Times New Roman"/>
                <w:sz w:val="20"/>
              </w:rPr>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2,879,931.00</w:t>
            </w:r>
            <w:r>
              <w:rPr>
                <w:rFonts w:ascii="Times New Roman"/>
                <w:sz w:val="20"/>
              </w:rPr>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1,052,000.00</w:t>
            </w:r>
            <w:r>
              <w:rPr>
                <w:rFonts w:ascii="Times New Roman"/>
                <w:sz w:val="20"/>
              </w:rPr>
            </w: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罚款及滞纳金</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3,800,000.00</w:t>
            </w:r>
            <w:r>
              <w:rPr>
                <w:rFonts w:ascii="Times New Roman"/>
                <w:sz w:val="20"/>
              </w:rPr>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赔款支出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2,174,339.93</w:t>
            </w:r>
            <w:r>
              <w:rPr>
                <w:rFonts w:ascii="Times New Roman"/>
                <w:sz w:val="20"/>
              </w:rPr>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311,814.82</w:t>
            </w:r>
            <w:r>
              <w:rPr>
                <w:rFonts w:ascii="Times New Roman"/>
                <w:sz w:val="20"/>
              </w:rPr>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2,174,339.93</w:t>
            </w:r>
            <w:r>
              <w:rPr>
                <w:rFonts w:ascii="Times New Roman"/>
                <w:sz w:val="20"/>
              </w:rPr>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2,517,960.99</w:t>
            </w:r>
            <w:r>
              <w:rPr>
                <w:rFonts w:ascii="Times New Roman"/>
                <w:sz w:val="20"/>
              </w:rPr>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562,643.26</w:t>
            </w:r>
            <w:r>
              <w:rPr>
                <w:rFonts w:ascii="Times New Roman"/>
                <w:sz w:val="20"/>
              </w:rPr>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2,517,960.99</w:t>
            </w:r>
            <w:r>
              <w:rPr>
                <w:rFonts w:ascii="Times New Roman"/>
                <w:sz w:val="20"/>
              </w:rPr>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7,818,250.04</w:t>
            </w:r>
            <w:r>
              <w:rPr>
                <w:rFonts w:ascii="Times New Roman"/>
                <w:sz w:val="20"/>
              </w:rPr>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20"/>
                <w:szCs w:val="20"/>
              </w:rPr>
            </w:pPr>
            <w:r>
              <w:rPr>
                <w:rFonts w:ascii="Times New Roman"/>
                <w:w w:val="95"/>
                <w:sz w:val="20"/>
              </w:rPr>
              <w:t>10,347,444.51</w:t>
            </w:r>
            <w:r>
              <w:rPr>
                <w:rFonts w:ascii="Times New Roman"/>
                <w:sz w:val="20"/>
              </w:rPr>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7,818,250.04</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type w:val="continuous"/>
          <w:pgSz w:w="11910" w:h="16840"/>
          <w:pgMar w:top="1120" w:bottom="1380" w:left="920" w:right="1440"/>
        </w:sectPr>
      </w:pPr>
    </w:p>
    <w:p>
      <w:pPr>
        <w:pStyle w:val="Heading3"/>
        <w:spacing w:line="240" w:lineRule="auto" w:before="19"/>
        <w:ind w:left="356" w:right="0"/>
        <w:jc w:val="left"/>
        <w:rPr>
          <w:rFonts w:ascii="宋体" w:hAnsi="宋体" w:cs="宋体" w:eastAsia="宋体" w:hint="default"/>
        </w:rPr>
      </w:pPr>
      <w:r>
        <w:rPr>
          <w:rFonts w:ascii="宋体"/>
        </w:rPr>
        <w:t> </w:t>
      </w:r>
    </w:p>
    <w:p>
      <w:pPr>
        <w:pStyle w:val="Heading5"/>
        <w:spacing w:line="290" w:lineRule="auto" w:before="61"/>
        <w:ind w:left="356" w:right="0"/>
        <w:jc w:val="left"/>
        <w:rPr>
          <w:rFonts w:ascii="宋体" w:hAnsi="宋体" w:cs="宋体" w:eastAsia="宋体" w:hint="default"/>
          <w:b w:val="0"/>
          <w:bCs w:val="0"/>
        </w:rPr>
      </w:pPr>
      <w:r>
        <w:rPr>
          <w:rFonts w:ascii="宋体" w:hAnsi="宋体" w:cs="宋体" w:eastAsia="宋体" w:hint="default"/>
        </w:rPr>
        <w:t>74</w:t>
      </w:r>
      <w:r>
        <w:rPr/>
        <w:t>、</w:t>
      </w:r>
      <w:r>
        <w:rPr>
          <w:spacing w:val="-26"/>
        </w:rPr>
        <w:t> </w:t>
      </w:r>
      <w:r>
        <w:rPr/>
        <w:t>所得税费用</w:t>
      </w:r>
      <w:r>
        <w:rPr>
          <w:rFonts w:ascii="宋体" w:hAnsi="宋体" w:cs="宋体" w:eastAsia="宋体" w:hint="default"/>
          <w:w w:val="99"/>
        </w:rPr>
        <w:t> </w:t>
      </w:r>
      <w:r>
        <w:rPr>
          <w:rFonts w:ascii="宋体" w:hAnsi="宋体" w:cs="宋体" w:eastAsia="宋体" w:hint="default"/>
        </w:rPr>
        <w:t>(1).</w:t>
      </w:r>
      <w:r>
        <w:rPr/>
        <w:t>所得税费用表</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
        <w:ind w:left="35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32"/>
          <w:szCs w:val="32"/>
        </w:rPr>
      </w:pPr>
    </w:p>
    <w:p>
      <w:pPr>
        <w:pStyle w:val="BodyText"/>
        <w:spacing w:line="240" w:lineRule="auto"/>
        <w:ind w:left="356"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920" w:right="1440"/>
          <w:cols w:num="2" w:equalWidth="0">
            <w:col w:w="2398" w:space="4124"/>
            <w:col w:w="3028"/>
          </w:cols>
        </w:sectPr>
      </w:pPr>
    </w:p>
    <w:p>
      <w:pPr>
        <w:spacing w:line="240" w:lineRule="auto" w:before="4"/>
        <w:rPr>
          <w:rFonts w:ascii="宋体" w:hAnsi="宋体" w:cs="宋体" w:eastAsia="宋体" w:hint="default"/>
          <w:sz w:val="2"/>
          <w:szCs w:val="2"/>
        </w:rPr>
      </w:pPr>
    </w:p>
    <w:tbl>
      <w:tblPr>
        <w:tblW w:w="0" w:type="auto"/>
        <w:jc w:val="left"/>
        <w:tblInd w:w="239" w:type="dxa"/>
        <w:tblLayout w:type="fixed"/>
        <w:tblCellMar>
          <w:top w:w="0" w:type="dxa"/>
          <w:left w:w="0" w:type="dxa"/>
          <w:bottom w:w="0" w:type="dxa"/>
          <w:right w:w="0" w:type="dxa"/>
        </w:tblCellMar>
        <w:tblLook w:val="01E0"/>
      </w:tblPr>
      <w:tblGrid>
        <w:gridCol w:w="3217"/>
        <w:gridCol w:w="2931"/>
        <w:gridCol w:w="2914"/>
      </w:tblGrid>
      <w:tr>
        <w:trPr>
          <w:trHeight w:val="322"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0"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56" w:right="0"/>
              <w:jc w:val="left"/>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44" w:right="0"/>
              <w:jc w:val="left"/>
              <w:rPr>
                <w:rFonts w:ascii="宋体" w:hAnsi="宋体" w:cs="宋体" w:eastAsia="宋体" w:hint="default"/>
                <w:sz w:val="24"/>
                <w:szCs w:val="24"/>
              </w:rPr>
            </w:pPr>
            <w:r>
              <w:rPr>
                <w:rFonts w:ascii="宋体" w:hAnsi="宋体" w:cs="宋体" w:eastAsia="宋体" w:hint="default"/>
                <w:sz w:val="24"/>
                <w:szCs w:val="24"/>
              </w:rPr>
              <w:t>上期发生额</w:t>
            </w:r>
            <w:r>
              <w:rPr>
                <w:rFonts w:ascii="宋体" w:hAnsi="宋体" w:cs="宋体" w:eastAsia="宋体" w:hint="default"/>
                <w:sz w:val="24"/>
                <w:szCs w:val="24"/>
              </w:rPr>
              <w:t> </w:t>
            </w:r>
          </w:p>
        </w:tc>
      </w:tr>
      <w:tr>
        <w:trPr>
          <w:trHeight w:val="322"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当期所得税费用</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663" w:right="0"/>
              <w:jc w:val="left"/>
              <w:rPr>
                <w:rFonts w:ascii="Times New Roman" w:hAnsi="Times New Roman" w:cs="Times New Roman" w:eastAsia="Times New Roman" w:hint="default"/>
                <w:sz w:val="20"/>
                <w:szCs w:val="20"/>
              </w:rPr>
            </w:pPr>
            <w:r>
              <w:rPr>
                <w:rFonts w:ascii="Times New Roman"/>
                <w:sz w:val="20"/>
              </w:rPr>
              <w:t>76,282,195.76</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636" w:right="0"/>
              <w:jc w:val="left"/>
              <w:rPr>
                <w:rFonts w:ascii="Times New Roman" w:hAnsi="Times New Roman" w:cs="Times New Roman" w:eastAsia="Times New Roman" w:hint="default"/>
                <w:sz w:val="20"/>
                <w:szCs w:val="20"/>
              </w:rPr>
            </w:pPr>
            <w:r>
              <w:rPr>
                <w:rFonts w:ascii="Times New Roman"/>
                <w:sz w:val="20"/>
              </w:rPr>
              <w:t>59,932,067.67</w:t>
            </w:r>
          </w:p>
        </w:tc>
      </w:tr>
    </w:tbl>
    <w:p>
      <w:pPr>
        <w:spacing w:after="0" w:line="223" w:lineRule="exact"/>
        <w:jc w:val="left"/>
        <w:rPr>
          <w:rFonts w:ascii="Times New Roman" w:hAnsi="Times New Roman" w:cs="Times New Roman" w:eastAsia="Times New Roman" w:hint="default"/>
          <w:sz w:val="20"/>
          <w:szCs w:val="20"/>
        </w:rPr>
        <w:sectPr>
          <w:type w:val="continuous"/>
          <w:pgSz w:w="11910" w:h="16840"/>
          <w:pgMar w:top="1120" w:bottom="1380" w:left="920" w:right="144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217"/>
        <w:gridCol w:w="2931"/>
        <w:gridCol w:w="2914"/>
      </w:tblGrid>
      <w:tr>
        <w:trPr>
          <w:trHeight w:val="322"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递延所得税费用</w:t>
            </w:r>
            <w:r>
              <w:rPr>
                <w:rFonts w:ascii="宋体" w:hAnsi="宋体" w:cs="宋体" w:eastAsia="宋体" w:hint="default"/>
                <w:sz w:val="24"/>
                <w:szCs w:val="24"/>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7"/>
              <w:jc w:val="right"/>
              <w:rPr>
                <w:rFonts w:ascii="Times New Roman" w:hAnsi="Times New Roman" w:cs="Times New Roman" w:eastAsia="Times New Roman" w:hint="default"/>
                <w:sz w:val="20"/>
                <w:szCs w:val="20"/>
              </w:rPr>
            </w:pPr>
            <w:r>
              <w:rPr>
                <w:rFonts w:ascii="Times New Roman"/>
                <w:w w:val="95"/>
                <w:sz w:val="20"/>
              </w:rPr>
              <w:t>-3,077,430.03</w:t>
            </w:r>
            <w:r>
              <w:rPr>
                <w:rFonts w:ascii="Times New Roman"/>
                <w:sz w:val="20"/>
              </w:rPr>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16"/>
              <w:jc w:val="right"/>
              <w:rPr>
                <w:rFonts w:ascii="Times New Roman" w:hAnsi="Times New Roman" w:cs="Times New Roman" w:eastAsia="Times New Roman" w:hint="default"/>
                <w:sz w:val="20"/>
                <w:szCs w:val="20"/>
              </w:rPr>
            </w:pPr>
            <w:r>
              <w:rPr>
                <w:rFonts w:ascii="Times New Roman"/>
                <w:w w:val="95"/>
                <w:sz w:val="20"/>
              </w:rPr>
              <w:t>-7,142,184.81</w:t>
            </w:r>
            <w:r>
              <w:rPr>
                <w:rFonts w:ascii="Times New Roman"/>
                <w:sz w:val="20"/>
              </w:rPr>
            </w:r>
          </w:p>
        </w:tc>
      </w:tr>
      <w:tr>
        <w:trPr>
          <w:trHeight w:val="322"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0"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14"/>
              <w:jc w:val="right"/>
              <w:rPr>
                <w:rFonts w:ascii="Times New Roman" w:hAnsi="Times New Roman" w:cs="Times New Roman" w:eastAsia="Times New Roman" w:hint="default"/>
                <w:sz w:val="20"/>
                <w:szCs w:val="20"/>
              </w:rPr>
            </w:pPr>
            <w:r>
              <w:rPr>
                <w:rFonts w:ascii="Times New Roman"/>
                <w:w w:val="95"/>
                <w:sz w:val="20"/>
              </w:rPr>
              <w:t>73,204,765.73</w:t>
            </w:r>
            <w:r>
              <w:rPr>
                <w:rFonts w:ascii="Times New Roman"/>
                <w:sz w:val="20"/>
              </w:rPr>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16"/>
              <w:jc w:val="right"/>
              <w:rPr>
                <w:rFonts w:ascii="Times New Roman" w:hAnsi="Times New Roman" w:cs="Times New Roman" w:eastAsia="Times New Roman" w:hint="default"/>
                <w:sz w:val="20"/>
                <w:szCs w:val="20"/>
              </w:rPr>
            </w:pPr>
            <w:r>
              <w:rPr>
                <w:rFonts w:ascii="Times New Roman"/>
                <w:w w:val="95"/>
                <w:sz w:val="20"/>
              </w:rPr>
              <w:t>52,789,882.86</w:t>
            </w:r>
            <w:r>
              <w:rPr>
                <w:rFonts w:ascii="Times New Roman"/>
                <w:sz w:val="20"/>
              </w:rPr>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1040" w:right="1560"/>
        </w:sectPr>
      </w:pPr>
    </w:p>
    <w:p>
      <w:pPr>
        <w:pStyle w:val="Heading5"/>
        <w:spacing w:line="240" w:lineRule="auto" w:before="36"/>
        <w:ind w:left="236" w:right="0"/>
        <w:jc w:val="left"/>
        <w:rPr>
          <w:rFonts w:ascii="宋体" w:hAnsi="宋体" w:cs="宋体" w:eastAsia="宋体" w:hint="default"/>
          <w:b w:val="0"/>
          <w:bCs w:val="0"/>
        </w:rPr>
      </w:pPr>
      <w:r>
        <w:rPr>
          <w:rFonts w:ascii="宋体" w:hAnsi="宋体" w:cs="宋体" w:eastAsia="宋体" w:hint="default"/>
        </w:rPr>
        <w:t>(2).</w:t>
      </w:r>
      <w:r>
        <w:rPr/>
        <w:t>会计利润与所得税费用调整过程</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8"/>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723" w:space="2799"/>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6839"/>
        <w:gridCol w:w="2218"/>
      </w:tblGrid>
      <w:tr>
        <w:trPr>
          <w:trHeight w:val="283" w:hRule="exact"/>
        </w:trPr>
        <w:tc>
          <w:tcPr>
            <w:tcW w:w="6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218"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57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r>
      <w:tr>
        <w:trPr>
          <w:trHeight w:val="281" w:hRule="exact"/>
        </w:trPr>
        <w:tc>
          <w:tcPr>
            <w:tcW w:w="6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利润总额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18" w:type="dxa"/>
            <w:tcBorders>
              <w:top w:val="single" w:sz="4" w:space="0" w:color="000000"/>
              <w:left w:val="single" w:sz="4" w:space="0" w:color="000000"/>
              <w:bottom w:val="single" w:sz="6" w:space="0" w:color="000000"/>
              <w:right w:val="single" w:sz="6" w:space="0" w:color="000000"/>
            </w:tcBorders>
          </w:tcPr>
          <w:p>
            <w:pPr>
              <w:pStyle w:val="TableParagraph"/>
              <w:spacing w:line="223" w:lineRule="exact"/>
              <w:ind w:right="107"/>
              <w:jc w:val="right"/>
              <w:rPr>
                <w:rFonts w:ascii="Times New Roman" w:hAnsi="Times New Roman" w:cs="Times New Roman" w:eastAsia="Times New Roman" w:hint="default"/>
                <w:sz w:val="20"/>
                <w:szCs w:val="20"/>
              </w:rPr>
            </w:pPr>
            <w:r>
              <w:rPr>
                <w:rFonts w:ascii="Times New Roman"/>
                <w:w w:val="95"/>
                <w:sz w:val="20"/>
              </w:rPr>
              <w:t>223,960,247.12</w:t>
            </w:r>
            <w:r>
              <w:rPr>
                <w:rFonts w:ascii="Times New Roman"/>
                <w:sz w:val="20"/>
              </w:rPr>
            </w:r>
          </w:p>
        </w:tc>
      </w:tr>
      <w:tr>
        <w:trPr>
          <w:trHeight w:val="288" w:hRule="exact"/>
        </w:trPr>
        <w:tc>
          <w:tcPr>
            <w:tcW w:w="68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8"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r>
              <w:rPr>
                <w:rFonts w:ascii="宋体" w:hAnsi="宋体" w:cs="宋体" w:eastAsia="宋体" w:hint="default"/>
                <w:sz w:val="21"/>
                <w:szCs w:val="21"/>
              </w:rPr>
              <w:t> </w:t>
            </w:r>
          </w:p>
        </w:tc>
        <w:tc>
          <w:tcPr>
            <w:tcW w:w="2218" w:type="dxa"/>
            <w:tcBorders>
              <w:top w:val="single" w:sz="6" w:space="0" w:color="000000"/>
              <w:left w:val="single" w:sz="4" w:space="0" w:color="000000"/>
              <w:bottom w:val="single" w:sz="6" w:space="0" w:color="000000"/>
              <w:right w:val="single" w:sz="6" w:space="0" w:color="000000"/>
            </w:tcBorders>
          </w:tcPr>
          <w:p>
            <w:pPr>
              <w:pStyle w:val="TableParagraph"/>
              <w:spacing w:line="228" w:lineRule="exact"/>
              <w:ind w:right="107"/>
              <w:jc w:val="right"/>
              <w:rPr>
                <w:rFonts w:ascii="Times New Roman" w:hAnsi="Times New Roman" w:cs="Times New Roman" w:eastAsia="Times New Roman" w:hint="default"/>
                <w:sz w:val="20"/>
                <w:szCs w:val="20"/>
              </w:rPr>
            </w:pPr>
            <w:r>
              <w:rPr>
                <w:rFonts w:ascii="Times New Roman"/>
                <w:w w:val="95"/>
                <w:sz w:val="20"/>
              </w:rPr>
              <w:t>33,594,037.07</w:t>
            </w:r>
            <w:r>
              <w:rPr>
                <w:rFonts w:ascii="Times New Roman"/>
                <w:sz w:val="20"/>
              </w:rPr>
            </w:r>
          </w:p>
        </w:tc>
      </w:tr>
      <w:tr>
        <w:trPr>
          <w:trHeight w:val="288" w:hRule="exact"/>
        </w:trPr>
        <w:tc>
          <w:tcPr>
            <w:tcW w:w="683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r>
              <w:rPr>
                <w:rFonts w:ascii="宋体" w:hAnsi="宋体" w:cs="宋体" w:eastAsia="宋体" w:hint="default"/>
                <w:sz w:val="21"/>
                <w:szCs w:val="21"/>
              </w:rPr>
              <w:t> </w:t>
            </w:r>
          </w:p>
        </w:tc>
        <w:tc>
          <w:tcPr>
            <w:tcW w:w="2218" w:type="dxa"/>
            <w:tcBorders>
              <w:top w:val="single" w:sz="6" w:space="0" w:color="000000"/>
              <w:left w:val="single" w:sz="4" w:space="0" w:color="000000"/>
              <w:bottom w:val="single" w:sz="6" w:space="0" w:color="000000"/>
              <w:right w:val="single" w:sz="6" w:space="0" w:color="000000"/>
            </w:tcBorders>
          </w:tcPr>
          <w:p>
            <w:pPr>
              <w:pStyle w:val="TableParagraph"/>
              <w:spacing w:line="226" w:lineRule="exact"/>
              <w:ind w:right="106"/>
              <w:jc w:val="right"/>
              <w:rPr>
                <w:rFonts w:ascii="Times New Roman" w:hAnsi="Times New Roman" w:cs="Times New Roman" w:eastAsia="Times New Roman" w:hint="default"/>
                <w:sz w:val="20"/>
                <w:szCs w:val="20"/>
              </w:rPr>
            </w:pPr>
            <w:r>
              <w:rPr>
                <w:rFonts w:ascii="Times New Roman"/>
                <w:w w:val="95"/>
                <w:sz w:val="20"/>
              </w:rPr>
              <w:t>8,277,225.87</w:t>
            </w:r>
            <w:r>
              <w:rPr>
                <w:rFonts w:ascii="Times New Roman"/>
                <w:sz w:val="20"/>
              </w:rPr>
            </w:r>
          </w:p>
        </w:tc>
      </w:tr>
      <w:tr>
        <w:trPr>
          <w:trHeight w:val="288" w:hRule="exact"/>
        </w:trPr>
        <w:tc>
          <w:tcPr>
            <w:tcW w:w="683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r>
              <w:rPr>
                <w:rFonts w:ascii="宋体" w:hAnsi="宋体" w:cs="宋体" w:eastAsia="宋体" w:hint="default"/>
                <w:sz w:val="21"/>
                <w:szCs w:val="21"/>
              </w:rPr>
              <w:t> </w:t>
            </w:r>
          </w:p>
        </w:tc>
        <w:tc>
          <w:tcPr>
            <w:tcW w:w="2218" w:type="dxa"/>
            <w:tcBorders>
              <w:top w:val="single" w:sz="6" w:space="0" w:color="000000"/>
              <w:left w:val="single" w:sz="4" w:space="0" w:color="000000"/>
              <w:bottom w:val="single" w:sz="6" w:space="0" w:color="000000"/>
              <w:right w:val="single" w:sz="6" w:space="0" w:color="000000"/>
            </w:tcBorders>
          </w:tcPr>
          <w:p>
            <w:pPr>
              <w:pStyle w:val="TableParagraph"/>
              <w:spacing w:line="226" w:lineRule="exact"/>
              <w:ind w:right="106"/>
              <w:jc w:val="right"/>
              <w:rPr>
                <w:rFonts w:ascii="Times New Roman" w:hAnsi="Times New Roman" w:cs="Times New Roman" w:eastAsia="Times New Roman" w:hint="default"/>
                <w:sz w:val="20"/>
                <w:szCs w:val="20"/>
              </w:rPr>
            </w:pPr>
            <w:r>
              <w:rPr>
                <w:rFonts w:ascii="Times New Roman"/>
                <w:w w:val="95"/>
                <w:sz w:val="20"/>
              </w:rPr>
              <w:t>668,440.93</w:t>
            </w:r>
            <w:r>
              <w:rPr>
                <w:rFonts w:ascii="Times New Roman"/>
                <w:sz w:val="20"/>
              </w:rPr>
            </w:r>
          </w:p>
        </w:tc>
      </w:tr>
      <w:tr>
        <w:trPr>
          <w:trHeight w:val="286" w:hRule="exact"/>
        </w:trPr>
        <w:tc>
          <w:tcPr>
            <w:tcW w:w="683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非应税收入的影响</w:t>
            </w:r>
            <w:r>
              <w:rPr>
                <w:rFonts w:ascii="宋体" w:hAnsi="宋体" w:cs="宋体" w:eastAsia="宋体" w:hint="default"/>
                <w:sz w:val="21"/>
                <w:szCs w:val="21"/>
              </w:rPr>
              <w:t> </w:t>
            </w:r>
          </w:p>
        </w:tc>
        <w:tc>
          <w:tcPr>
            <w:tcW w:w="2218" w:type="dxa"/>
            <w:tcBorders>
              <w:top w:val="single" w:sz="6" w:space="0" w:color="000000"/>
              <w:left w:val="single" w:sz="4" w:space="0" w:color="000000"/>
              <w:bottom w:val="single" w:sz="6" w:space="0" w:color="000000"/>
              <w:right w:val="single" w:sz="6" w:space="0" w:color="000000"/>
            </w:tcBorders>
          </w:tcPr>
          <w:p>
            <w:pPr>
              <w:pStyle w:val="TableParagraph"/>
              <w:spacing w:line="226" w:lineRule="exact"/>
              <w:ind w:right="106"/>
              <w:jc w:val="right"/>
              <w:rPr>
                <w:rFonts w:ascii="Times New Roman" w:hAnsi="Times New Roman" w:cs="Times New Roman" w:eastAsia="Times New Roman" w:hint="default"/>
                <w:sz w:val="20"/>
                <w:szCs w:val="20"/>
              </w:rPr>
            </w:pPr>
            <w:r>
              <w:rPr>
                <w:rFonts w:ascii="Times New Roman"/>
                <w:w w:val="95"/>
                <w:sz w:val="20"/>
              </w:rPr>
              <w:t>-2,008,841.00</w:t>
            </w:r>
            <w:r>
              <w:rPr>
                <w:rFonts w:ascii="Times New Roman"/>
                <w:sz w:val="20"/>
              </w:rPr>
            </w:r>
          </w:p>
        </w:tc>
      </w:tr>
      <w:tr>
        <w:trPr>
          <w:trHeight w:val="289" w:hRule="exact"/>
        </w:trPr>
        <w:tc>
          <w:tcPr>
            <w:tcW w:w="683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8"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r>
              <w:rPr>
                <w:rFonts w:ascii="宋体" w:hAnsi="宋体" w:cs="宋体" w:eastAsia="宋体" w:hint="default"/>
                <w:sz w:val="21"/>
                <w:szCs w:val="21"/>
              </w:rPr>
              <w:t> </w:t>
            </w:r>
          </w:p>
        </w:tc>
        <w:tc>
          <w:tcPr>
            <w:tcW w:w="2218" w:type="dxa"/>
            <w:tcBorders>
              <w:top w:val="single" w:sz="6" w:space="0" w:color="000000"/>
              <w:left w:val="single" w:sz="4" w:space="0" w:color="000000"/>
              <w:bottom w:val="single" w:sz="6" w:space="0" w:color="000000"/>
              <w:right w:val="single" w:sz="6" w:space="0" w:color="000000"/>
            </w:tcBorders>
          </w:tcPr>
          <w:p>
            <w:pPr>
              <w:pStyle w:val="TableParagraph"/>
              <w:spacing w:line="228" w:lineRule="exact"/>
              <w:ind w:right="106"/>
              <w:jc w:val="right"/>
              <w:rPr>
                <w:rFonts w:ascii="Times New Roman" w:hAnsi="Times New Roman" w:cs="Times New Roman" w:eastAsia="Times New Roman" w:hint="default"/>
                <w:sz w:val="20"/>
                <w:szCs w:val="20"/>
              </w:rPr>
            </w:pPr>
            <w:r>
              <w:rPr>
                <w:rFonts w:ascii="Times New Roman"/>
                <w:w w:val="95"/>
                <w:sz w:val="20"/>
              </w:rPr>
              <w:t>-4,737,761.30</w:t>
            </w:r>
            <w:r>
              <w:rPr>
                <w:rFonts w:ascii="Times New Roman"/>
                <w:sz w:val="20"/>
              </w:rPr>
            </w:r>
          </w:p>
        </w:tc>
      </w:tr>
      <w:tr>
        <w:trPr>
          <w:trHeight w:val="288" w:hRule="exact"/>
        </w:trPr>
        <w:tc>
          <w:tcPr>
            <w:tcW w:w="683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使用前期未确认递延所得税资产的可抵扣亏损的影响</w:t>
            </w:r>
            <w:r>
              <w:rPr>
                <w:rFonts w:ascii="宋体" w:hAnsi="宋体" w:cs="宋体" w:eastAsia="宋体" w:hint="default"/>
                <w:sz w:val="21"/>
                <w:szCs w:val="21"/>
              </w:rPr>
              <w:t> </w:t>
            </w:r>
          </w:p>
        </w:tc>
        <w:tc>
          <w:tcPr>
            <w:tcW w:w="2218" w:type="dxa"/>
            <w:tcBorders>
              <w:top w:val="single" w:sz="6" w:space="0" w:color="000000"/>
              <w:left w:val="single" w:sz="4" w:space="0" w:color="000000"/>
              <w:bottom w:val="single" w:sz="6" w:space="0" w:color="000000"/>
              <w:right w:val="single" w:sz="6" w:space="0" w:color="000000"/>
            </w:tcBorders>
          </w:tcPr>
          <w:p>
            <w:pPr>
              <w:pStyle w:val="TableParagraph"/>
              <w:spacing w:line="226" w:lineRule="exact"/>
              <w:ind w:right="106"/>
              <w:jc w:val="right"/>
              <w:rPr>
                <w:rFonts w:ascii="Times New Roman" w:hAnsi="Times New Roman" w:cs="Times New Roman" w:eastAsia="Times New Roman" w:hint="default"/>
                <w:sz w:val="20"/>
                <w:szCs w:val="20"/>
              </w:rPr>
            </w:pPr>
            <w:r>
              <w:rPr>
                <w:rFonts w:ascii="Times New Roman"/>
                <w:w w:val="95"/>
                <w:sz w:val="20"/>
              </w:rPr>
              <w:t>-576,783.66</w:t>
            </w:r>
            <w:r>
              <w:rPr>
                <w:rFonts w:ascii="Times New Roman"/>
                <w:sz w:val="20"/>
              </w:rPr>
            </w:r>
          </w:p>
        </w:tc>
      </w:tr>
      <w:tr>
        <w:trPr>
          <w:trHeight w:val="288" w:hRule="exact"/>
        </w:trPr>
        <w:tc>
          <w:tcPr>
            <w:tcW w:w="683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本期未确认递延所得税资产的可抵扣暂时性差异或可抵扣亏损的影响</w:t>
            </w:r>
            <w:r>
              <w:rPr>
                <w:rFonts w:ascii="宋体" w:hAnsi="宋体" w:cs="宋体" w:eastAsia="宋体" w:hint="default"/>
                <w:sz w:val="21"/>
                <w:szCs w:val="21"/>
              </w:rPr>
              <w:t> </w:t>
            </w:r>
          </w:p>
        </w:tc>
        <w:tc>
          <w:tcPr>
            <w:tcW w:w="2218" w:type="dxa"/>
            <w:tcBorders>
              <w:top w:val="single" w:sz="6" w:space="0" w:color="000000"/>
              <w:left w:val="single" w:sz="4" w:space="0" w:color="000000"/>
              <w:bottom w:val="single" w:sz="6" w:space="0" w:color="000000"/>
              <w:right w:val="single" w:sz="6" w:space="0" w:color="000000"/>
            </w:tcBorders>
          </w:tcPr>
          <w:p>
            <w:pPr>
              <w:pStyle w:val="TableParagraph"/>
              <w:spacing w:line="226" w:lineRule="exact"/>
              <w:ind w:right="107"/>
              <w:jc w:val="right"/>
              <w:rPr>
                <w:rFonts w:ascii="Times New Roman" w:hAnsi="Times New Roman" w:cs="Times New Roman" w:eastAsia="Times New Roman" w:hint="default"/>
                <w:sz w:val="20"/>
                <w:szCs w:val="20"/>
              </w:rPr>
            </w:pPr>
            <w:r>
              <w:rPr>
                <w:rFonts w:ascii="Times New Roman"/>
                <w:w w:val="95"/>
                <w:sz w:val="20"/>
              </w:rPr>
              <w:t>37,988,447.82</w:t>
            </w:r>
            <w:r>
              <w:rPr>
                <w:rFonts w:ascii="Times New Roman"/>
                <w:sz w:val="20"/>
              </w:rPr>
            </w:r>
          </w:p>
        </w:tc>
      </w:tr>
      <w:tr>
        <w:trPr>
          <w:trHeight w:val="286" w:hRule="exact"/>
        </w:trPr>
        <w:tc>
          <w:tcPr>
            <w:tcW w:w="683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218" w:type="dxa"/>
            <w:tcBorders>
              <w:top w:val="single" w:sz="6" w:space="0" w:color="000000"/>
              <w:left w:val="single" w:sz="4" w:space="0" w:color="000000"/>
              <w:bottom w:val="single" w:sz="6" w:space="0" w:color="000000"/>
              <w:right w:val="single" w:sz="6" w:space="0" w:color="000000"/>
            </w:tcBorders>
          </w:tcPr>
          <w:p>
            <w:pPr>
              <w:pStyle w:val="TableParagraph"/>
              <w:spacing w:line="226" w:lineRule="exact"/>
              <w:ind w:right="107"/>
              <w:jc w:val="right"/>
              <w:rPr>
                <w:rFonts w:ascii="Times New Roman" w:hAnsi="Times New Roman" w:cs="Times New Roman" w:eastAsia="Times New Roman" w:hint="default"/>
                <w:sz w:val="20"/>
                <w:szCs w:val="20"/>
              </w:rPr>
            </w:pPr>
            <w:r>
              <w:rPr>
                <w:rFonts w:ascii="Times New Roman"/>
                <w:w w:val="95"/>
                <w:sz w:val="20"/>
              </w:rPr>
              <w:t>73,204,765.73</w:t>
            </w:r>
            <w:r>
              <w:rPr>
                <w:rFonts w:ascii="Times New Roman"/>
                <w:sz w:val="20"/>
              </w:rPr>
            </w:r>
          </w:p>
        </w:tc>
      </w:tr>
    </w:tbl>
    <w:p>
      <w:pPr>
        <w:spacing w:line="240" w:lineRule="auto" w:before="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40" w:right="1560"/>
        </w:sectPr>
      </w:pPr>
    </w:p>
    <w:p>
      <w:pPr>
        <w:pStyle w:val="Heading3"/>
        <w:spacing w:line="240" w:lineRule="auto" w:before="26"/>
        <w:ind w:left="236" w:right="956"/>
        <w:jc w:val="left"/>
        <w:rPr>
          <w:rFonts w:ascii="宋体" w:hAnsi="宋体" w:cs="宋体" w:eastAsia="宋体" w:hint="default"/>
        </w:rPr>
      </w:pPr>
      <w:r>
        <w:rPr/>
        <w:t>其他说明：</w:t>
      </w:r>
      <w:r>
        <w:rPr>
          <w:rFonts w:ascii="宋体" w:hAnsi="宋体" w:cs="宋体" w:eastAsia="宋体" w:hint="default"/>
        </w:rPr>
        <w:t> </w:t>
      </w:r>
    </w:p>
    <w:p>
      <w:pPr>
        <w:pStyle w:val="Heading3"/>
        <w:spacing w:line="240" w:lineRule="auto" w:before="58"/>
        <w:ind w:left="236" w:right="95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40" w:lineRule="auto" w:before="61"/>
        <w:ind w:left="236" w:right="956"/>
        <w:jc w:val="left"/>
        <w:rPr>
          <w:rFonts w:ascii="宋体" w:hAnsi="宋体" w:cs="宋体" w:eastAsia="宋体" w:hint="default"/>
          <w:b w:val="0"/>
          <w:bCs w:val="0"/>
        </w:rPr>
      </w:pPr>
      <w:r>
        <w:rPr>
          <w:rFonts w:ascii="宋体" w:hAnsi="宋体" w:cs="宋体" w:eastAsia="宋体" w:hint="default"/>
        </w:rPr>
        <w:t>75</w:t>
      </w:r>
      <w:r>
        <w:rPr/>
        <w:t>、</w:t>
      </w:r>
      <w:r>
        <w:rPr>
          <w:spacing w:val="-26"/>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Heading3"/>
        <w:spacing w:line="312" w:lineRule="exact" w:before="83"/>
        <w:ind w:left="236" w:right="95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t>详见附注</w:t>
      </w:r>
      <w:r>
        <w:rPr>
          <w:rFonts w:ascii="宋体" w:hAnsi="宋体" w:cs="宋体" w:eastAsia="宋体" w:hint="default"/>
        </w:rPr>
        <w:t> </w:t>
      </w:r>
    </w:p>
    <w:p>
      <w:pPr>
        <w:pStyle w:val="Heading3"/>
        <w:spacing w:line="281" w:lineRule="exact"/>
        <w:ind w:left="236" w:right="0"/>
        <w:jc w:val="left"/>
        <w:rPr>
          <w:rFonts w:ascii="宋体" w:hAnsi="宋体" w:cs="宋体" w:eastAsia="宋体" w:hint="default"/>
        </w:rPr>
      </w:pPr>
      <w:r>
        <w:rPr>
          <w:rFonts w:ascii="宋体"/>
        </w:rPr>
        <w:t> </w:t>
      </w:r>
    </w:p>
    <w:p>
      <w:pPr>
        <w:pStyle w:val="Heading5"/>
        <w:spacing w:line="290" w:lineRule="auto"/>
        <w:ind w:left="236" w:right="0"/>
        <w:jc w:val="left"/>
        <w:rPr>
          <w:rFonts w:ascii="宋体" w:hAnsi="宋体" w:cs="宋体" w:eastAsia="宋体" w:hint="default"/>
          <w:b w:val="0"/>
          <w:bCs w:val="0"/>
        </w:rPr>
      </w:pPr>
      <w:r>
        <w:rPr>
          <w:rFonts w:ascii="宋体" w:hAnsi="宋体" w:cs="宋体" w:eastAsia="宋体" w:hint="default"/>
        </w:rPr>
        <w:t>76</w:t>
      </w:r>
      <w:r>
        <w:rPr/>
        <w:t>、</w:t>
      </w:r>
      <w:r>
        <w:rPr>
          <w:spacing w:val="-25"/>
        </w:rPr>
        <w:t> </w:t>
      </w:r>
      <w:r>
        <w:rPr/>
        <w:t>现金流量表项目</w:t>
      </w:r>
      <w:r>
        <w:rPr>
          <w:rFonts w:ascii="宋体" w:hAnsi="宋体" w:cs="宋体" w:eastAsia="宋体" w:hint="default"/>
          <w:w w:val="99"/>
        </w:rPr>
        <w:t> </w:t>
      </w:r>
      <w:r>
        <w:rPr>
          <w:rFonts w:ascii="宋体" w:hAnsi="宋体" w:cs="宋体" w:eastAsia="宋体" w:hint="default"/>
        </w:rPr>
        <w:t>(1).</w:t>
      </w:r>
      <w:r>
        <w:rPr/>
        <w:t>收到的其他与经营活动有关的现金</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left="236" w:right="95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19"/>
          <w:szCs w:val="19"/>
        </w:rPr>
      </w:pPr>
    </w:p>
    <w:p>
      <w:pPr>
        <w:pStyle w:val="BodyText"/>
        <w:spacing w:line="240" w:lineRule="auto"/>
        <w:ind w:left="236"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1040" w:right="1560"/>
          <w:cols w:num="2" w:equalWidth="0">
            <w:col w:w="3932" w:space="2590"/>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30"/>
        <w:gridCol w:w="2821"/>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7"/>
              <w:jc w:val="right"/>
              <w:rPr>
                <w:rFonts w:ascii="Times New Roman" w:hAnsi="Times New Roman" w:cs="Times New Roman" w:eastAsia="Times New Roman" w:hint="default"/>
                <w:sz w:val="20"/>
                <w:szCs w:val="20"/>
              </w:rPr>
            </w:pPr>
            <w:r>
              <w:rPr>
                <w:rFonts w:ascii="Times New Roman"/>
                <w:w w:val="95"/>
                <w:sz w:val="20"/>
              </w:rPr>
              <w:t>30,909,275.45</w:t>
            </w:r>
            <w:r>
              <w:rPr>
                <w:rFonts w:ascii="Times New Roman"/>
                <w:sz w:val="20"/>
              </w:rPr>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9"/>
              <w:jc w:val="right"/>
              <w:rPr>
                <w:rFonts w:ascii="Times New Roman" w:hAnsi="Times New Roman" w:cs="Times New Roman" w:eastAsia="Times New Roman" w:hint="default"/>
                <w:sz w:val="20"/>
                <w:szCs w:val="20"/>
              </w:rPr>
            </w:pPr>
            <w:r>
              <w:rPr>
                <w:rFonts w:ascii="Times New Roman"/>
                <w:w w:val="95"/>
                <w:sz w:val="20"/>
              </w:rPr>
              <w:t>33,375,543.60</w:t>
            </w:r>
            <w:r>
              <w:rPr>
                <w:rFonts w:ascii="Times New Roman"/>
                <w:sz w:val="20"/>
              </w:rPr>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7"/>
              <w:jc w:val="right"/>
              <w:rPr>
                <w:rFonts w:ascii="Times New Roman" w:hAnsi="Times New Roman" w:cs="Times New Roman" w:eastAsia="Times New Roman" w:hint="default"/>
                <w:sz w:val="20"/>
                <w:szCs w:val="20"/>
              </w:rPr>
            </w:pPr>
            <w:r>
              <w:rPr>
                <w:rFonts w:ascii="Times New Roman"/>
                <w:w w:val="95"/>
                <w:sz w:val="20"/>
              </w:rPr>
              <w:t>7,487,256.72</w:t>
            </w:r>
            <w:r>
              <w:rPr>
                <w:rFonts w:ascii="Times New Roman"/>
                <w:sz w:val="20"/>
              </w:rPr>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9"/>
              <w:jc w:val="right"/>
              <w:rPr>
                <w:rFonts w:ascii="Times New Roman" w:hAnsi="Times New Roman" w:cs="Times New Roman" w:eastAsia="Times New Roman" w:hint="default"/>
                <w:sz w:val="20"/>
                <w:szCs w:val="20"/>
              </w:rPr>
            </w:pPr>
            <w:r>
              <w:rPr>
                <w:rFonts w:ascii="Times New Roman"/>
                <w:w w:val="95"/>
                <w:sz w:val="20"/>
              </w:rPr>
              <w:t>6,213,031.33</w:t>
            </w:r>
            <w:r>
              <w:rPr>
                <w:rFonts w:ascii="Times New Roman"/>
                <w:sz w:val="20"/>
              </w:rPr>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7"/>
              <w:jc w:val="right"/>
              <w:rPr>
                <w:rFonts w:ascii="Times New Roman" w:hAnsi="Times New Roman" w:cs="Times New Roman" w:eastAsia="Times New Roman" w:hint="default"/>
                <w:sz w:val="20"/>
                <w:szCs w:val="20"/>
              </w:rPr>
            </w:pPr>
            <w:r>
              <w:rPr>
                <w:rFonts w:ascii="Times New Roman"/>
                <w:w w:val="95"/>
                <w:sz w:val="20"/>
              </w:rPr>
              <w:t>334,910,993.69</w:t>
            </w:r>
            <w:r>
              <w:rPr>
                <w:rFonts w:ascii="Times New Roman"/>
                <w:sz w:val="20"/>
              </w:rPr>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9"/>
              <w:jc w:val="right"/>
              <w:rPr>
                <w:rFonts w:ascii="Times New Roman" w:hAnsi="Times New Roman" w:cs="Times New Roman" w:eastAsia="Times New Roman" w:hint="default"/>
                <w:sz w:val="20"/>
                <w:szCs w:val="20"/>
              </w:rPr>
            </w:pPr>
            <w:r>
              <w:rPr>
                <w:rFonts w:ascii="Times New Roman"/>
                <w:w w:val="95"/>
                <w:sz w:val="20"/>
              </w:rPr>
              <w:t>69,899,969.93</w:t>
            </w:r>
            <w:r>
              <w:rPr>
                <w:rFonts w:ascii="Times New Roman"/>
                <w:sz w:val="20"/>
              </w:rPr>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营业外收入收到款项</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6"/>
              <w:jc w:val="right"/>
              <w:rPr>
                <w:rFonts w:ascii="Times New Roman" w:hAnsi="Times New Roman" w:cs="Times New Roman" w:eastAsia="Times New Roman" w:hint="default"/>
                <w:sz w:val="20"/>
                <w:szCs w:val="20"/>
              </w:rPr>
            </w:pPr>
            <w:r>
              <w:rPr>
                <w:rFonts w:ascii="Times New Roman"/>
                <w:w w:val="95"/>
                <w:sz w:val="20"/>
              </w:rPr>
              <w:t>452,892.33</w:t>
            </w:r>
            <w:r>
              <w:rPr>
                <w:rFonts w:ascii="Times New Roman"/>
                <w:sz w:val="20"/>
              </w:rPr>
            </w:r>
          </w:p>
        </w:tc>
        <w:tc>
          <w:tcPr>
            <w:tcW w:w="28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保证金收回</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7"/>
              <w:jc w:val="right"/>
              <w:rPr>
                <w:rFonts w:ascii="Times New Roman" w:hAnsi="Times New Roman" w:cs="Times New Roman" w:eastAsia="Times New Roman" w:hint="default"/>
                <w:sz w:val="20"/>
                <w:szCs w:val="20"/>
              </w:rPr>
            </w:pPr>
            <w:r>
              <w:rPr>
                <w:rFonts w:ascii="Times New Roman"/>
                <w:w w:val="95"/>
                <w:sz w:val="20"/>
              </w:rPr>
              <w:t>30,338,708.15</w:t>
            </w:r>
            <w:r>
              <w:rPr>
                <w:rFonts w:ascii="Times New Roman"/>
                <w:sz w:val="20"/>
              </w:rPr>
            </w:r>
          </w:p>
        </w:tc>
        <w:tc>
          <w:tcPr>
            <w:tcW w:w="28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7"/>
              <w:jc w:val="right"/>
              <w:rPr>
                <w:rFonts w:ascii="Times New Roman" w:hAnsi="Times New Roman" w:cs="Times New Roman" w:eastAsia="Times New Roman" w:hint="default"/>
                <w:sz w:val="20"/>
                <w:szCs w:val="20"/>
              </w:rPr>
            </w:pPr>
            <w:r>
              <w:rPr>
                <w:rFonts w:ascii="Times New Roman"/>
                <w:w w:val="95"/>
                <w:sz w:val="20"/>
              </w:rPr>
              <w:t>404,099,126.34</w:t>
            </w:r>
            <w:r>
              <w:rPr>
                <w:rFonts w:ascii="Times New Roman"/>
                <w:sz w:val="20"/>
              </w:rPr>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9"/>
              <w:jc w:val="right"/>
              <w:rPr>
                <w:rFonts w:ascii="Times New Roman" w:hAnsi="Times New Roman" w:cs="Times New Roman" w:eastAsia="Times New Roman" w:hint="default"/>
                <w:sz w:val="20"/>
                <w:szCs w:val="20"/>
              </w:rPr>
            </w:pPr>
            <w:r>
              <w:rPr>
                <w:rFonts w:ascii="Times New Roman"/>
                <w:w w:val="95"/>
                <w:sz w:val="20"/>
              </w:rPr>
              <w:t>109,488,544.86</w:t>
            </w:r>
            <w:r>
              <w:rPr>
                <w:rFonts w:ascii="Times New Roman"/>
                <w:sz w:val="20"/>
              </w:rPr>
            </w:r>
          </w:p>
        </w:tc>
      </w:tr>
    </w:tbl>
    <w:p>
      <w:pPr>
        <w:spacing w:after="0" w:line="223" w:lineRule="exact"/>
        <w:jc w:val="right"/>
        <w:rPr>
          <w:rFonts w:ascii="Times New Roman" w:hAnsi="Times New Roman" w:cs="Times New Roman" w:eastAsia="Times New Roman" w:hint="default"/>
          <w:sz w:val="20"/>
          <w:szCs w:val="20"/>
        </w:rPr>
        <w:sectPr>
          <w:type w:val="continuous"/>
          <w:pgSz w:w="11910" w:h="16840"/>
          <w:pgMar w:top="1120" w:bottom="1380" w:left="1040" w:right="1560"/>
        </w:sectPr>
      </w:pPr>
    </w:p>
    <w:p>
      <w:pPr>
        <w:pStyle w:val="Heading5"/>
        <w:spacing w:line="290" w:lineRule="auto" w:before="26"/>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支付的其他与经营</w:t>
      </w:r>
      <w:r>
        <w:rPr>
          <w:spacing w:val="-3"/>
          <w:w w:val="100"/>
        </w:rPr>
        <w:t>活</w:t>
      </w:r>
      <w:r>
        <w:rPr>
          <w:w w:val="100"/>
        </w:rPr>
        <w:t>动</w:t>
      </w:r>
      <w:r>
        <w:rPr>
          <w:spacing w:val="-3"/>
          <w:w w:val="100"/>
        </w:rPr>
        <w:t>有</w:t>
      </w:r>
      <w:r>
        <w:rPr>
          <w:w w:val="100"/>
        </w:rPr>
        <w:t>关的现</w:t>
      </w:r>
      <w:r>
        <w:rPr>
          <w:spacing w:val="-3"/>
          <w:w w:val="100"/>
        </w:rPr>
        <w:t>金</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left="236" w:right="95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932" w:space="2590"/>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11"/>
        <w:gridCol w:w="2840"/>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7"/>
              <w:jc w:val="right"/>
              <w:rPr>
                <w:rFonts w:ascii="Times New Roman" w:hAnsi="Times New Roman" w:cs="Times New Roman" w:eastAsia="Times New Roman" w:hint="default"/>
                <w:sz w:val="20"/>
                <w:szCs w:val="20"/>
              </w:rPr>
            </w:pPr>
            <w:r>
              <w:rPr>
                <w:rFonts w:ascii="Times New Roman"/>
                <w:w w:val="95"/>
                <w:sz w:val="20"/>
              </w:rPr>
              <w:t>100,725,394.24</w:t>
            </w:r>
            <w:r>
              <w:rPr>
                <w:rFonts w:ascii="Times New Roman"/>
                <w:sz w:val="20"/>
              </w:rPr>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9"/>
              <w:jc w:val="right"/>
              <w:rPr>
                <w:rFonts w:ascii="Times New Roman" w:hAnsi="Times New Roman" w:cs="Times New Roman" w:eastAsia="Times New Roman" w:hint="default"/>
                <w:sz w:val="20"/>
                <w:szCs w:val="20"/>
              </w:rPr>
            </w:pPr>
            <w:r>
              <w:rPr>
                <w:rFonts w:ascii="Times New Roman"/>
                <w:w w:val="95"/>
                <w:sz w:val="20"/>
              </w:rPr>
              <w:t>116,662,691.52</w:t>
            </w:r>
            <w:r>
              <w:rPr>
                <w:rFonts w:ascii="Times New Roman"/>
                <w:sz w:val="20"/>
              </w:rPr>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7"/>
              <w:jc w:val="right"/>
              <w:rPr>
                <w:rFonts w:ascii="Times New Roman" w:hAnsi="Times New Roman" w:cs="Times New Roman" w:eastAsia="Times New Roman" w:hint="default"/>
                <w:sz w:val="20"/>
                <w:szCs w:val="20"/>
              </w:rPr>
            </w:pPr>
            <w:r>
              <w:rPr>
                <w:rFonts w:ascii="Times New Roman"/>
                <w:w w:val="95"/>
                <w:sz w:val="20"/>
              </w:rPr>
              <w:t>160,725,878.71</w:t>
            </w:r>
            <w:r>
              <w:rPr>
                <w:rFonts w:ascii="Times New Roman"/>
                <w:sz w:val="20"/>
              </w:rPr>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9"/>
              <w:jc w:val="right"/>
              <w:rPr>
                <w:rFonts w:ascii="Times New Roman" w:hAnsi="Times New Roman" w:cs="Times New Roman" w:eastAsia="Times New Roman" w:hint="default"/>
                <w:sz w:val="20"/>
                <w:szCs w:val="20"/>
              </w:rPr>
            </w:pPr>
            <w:r>
              <w:rPr>
                <w:rFonts w:ascii="Times New Roman"/>
                <w:w w:val="95"/>
                <w:sz w:val="20"/>
              </w:rPr>
              <w:t>222,788,203.90</w:t>
            </w:r>
            <w:r>
              <w:rPr>
                <w:rFonts w:ascii="Times New Roman"/>
                <w:sz w:val="20"/>
              </w:rPr>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银行手续费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7"/>
              <w:jc w:val="right"/>
              <w:rPr>
                <w:rFonts w:ascii="Times New Roman" w:hAnsi="Times New Roman" w:cs="Times New Roman" w:eastAsia="Times New Roman" w:hint="default"/>
                <w:sz w:val="20"/>
                <w:szCs w:val="20"/>
              </w:rPr>
            </w:pPr>
            <w:r>
              <w:rPr>
                <w:rFonts w:ascii="Times New Roman"/>
                <w:w w:val="95"/>
                <w:sz w:val="20"/>
              </w:rPr>
              <w:t>15,403,887.38</w:t>
            </w:r>
            <w:r>
              <w:rPr>
                <w:rFonts w:ascii="Times New Roman"/>
                <w:sz w:val="20"/>
              </w:rPr>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9"/>
              <w:jc w:val="right"/>
              <w:rPr>
                <w:rFonts w:ascii="Times New Roman" w:hAnsi="Times New Roman" w:cs="Times New Roman" w:eastAsia="Times New Roman" w:hint="default"/>
                <w:sz w:val="20"/>
                <w:szCs w:val="20"/>
              </w:rPr>
            </w:pPr>
            <w:r>
              <w:rPr>
                <w:rFonts w:ascii="Times New Roman"/>
                <w:w w:val="95"/>
                <w:sz w:val="20"/>
              </w:rPr>
              <w:t>10,028,582.76</w:t>
            </w:r>
            <w:r>
              <w:rPr>
                <w:rFonts w:ascii="Times New Roman"/>
                <w:sz w:val="20"/>
              </w:rPr>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7"/>
              <w:jc w:val="right"/>
              <w:rPr>
                <w:rFonts w:ascii="Times New Roman" w:hAnsi="Times New Roman" w:cs="Times New Roman" w:eastAsia="Times New Roman" w:hint="default"/>
                <w:sz w:val="20"/>
                <w:szCs w:val="20"/>
              </w:rPr>
            </w:pPr>
            <w:r>
              <w:rPr>
                <w:rFonts w:ascii="Times New Roman"/>
                <w:w w:val="95"/>
                <w:sz w:val="20"/>
              </w:rPr>
              <w:t>88,532,726.25</w:t>
            </w:r>
            <w:r>
              <w:rPr>
                <w:rFonts w:ascii="Times New Roman"/>
                <w:sz w:val="20"/>
              </w:rPr>
            </w:r>
          </w:p>
        </w:tc>
        <w:tc>
          <w:tcPr>
            <w:tcW w:w="28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银行保证金支出</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7"/>
              <w:jc w:val="right"/>
              <w:rPr>
                <w:rFonts w:ascii="Times New Roman" w:hAnsi="Times New Roman" w:cs="Times New Roman" w:eastAsia="Times New Roman" w:hint="default"/>
                <w:sz w:val="20"/>
                <w:szCs w:val="20"/>
              </w:rPr>
            </w:pPr>
            <w:r>
              <w:rPr>
                <w:rFonts w:ascii="Times New Roman"/>
                <w:w w:val="95"/>
                <w:sz w:val="20"/>
              </w:rPr>
              <w:t>734,973,951.62</w:t>
            </w:r>
            <w:r>
              <w:rPr>
                <w:rFonts w:ascii="Times New Roman"/>
                <w:sz w:val="20"/>
              </w:rPr>
            </w:r>
          </w:p>
        </w:tc>
        <w:tc>
          <w:tcPr>
            <w:tcW w:w="28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往来款及其他支出</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7"/>
              <w:jc w:val="right"/>
              <w:rPr>
                <w:rFonts w:ascii="Times New Roman" w:hAnsi="Times New Roman" w:cs="Times New Roman" w:eastAsia="Times New Roman" w:hint="default"/>
                <w:sz w:val="20"/>
                <w:szCs w:val="20"/>
              </w:rPr>
            </w:pPr>
            <w:r>
              <w:rPr>
                <w:rFonts w:ascii="Times New Roman"/>
                <w:w w:val="95"/>
                <w:sz w:val="20"/>
              </w:rPr>
              <w:t>23,323,682.35</w:t>
            </w:r>
            <w:r>
              <w:rPr>
                <w:rFonts w:ascii="Times New Roman"/>
                <w:sz w:val="20"/>
              </w:rPr>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9"/>
              <w:jc w:val="right"/>
              <w:rPr>
                <w:rFonts w:ascii="Times New Roman" w:hAnsi="Times New Roman" w:cs="Times New Roman" w:eastAsia="Times New Roman" w:hint="default"/>
                <w:sz w:val="20"/>
                <w:szCs w:val="20"/>
              </w:rPr>
            </w:pPr>
            <w:r>
              <w:rPr>
                <w:rFonts w:ascii="Times New Roman"/>
                <w:w w:val="95"/>
                <w:sz w:val="20"/>
              </w:rPr>
              <w:t>103,657,105.75</w:t>
            </w:r>
            <w:r>
              <w:rPr>
                <w:rFonts w:ascii="Times New Roman"/>
                <w:sz w:val="20"/>
              </w:rPr>
            </w:r>
          </w:p>
        </w:tc>
      </w:tr>
    </w:tbl>
    <w:p>
      <w:pPr>
        <w:spacing w:after="0" w:line="223" w:lineRule="exact"/>
        <w:jc w:val="right"/>
        <w:rPr>
          <w:rFonts w:ascii="Times New Roman" w:hAnsi="Times New Roman" w:cs="Times New Roman" w:eastAsia="Times New Roman" w:hint="default"/>
          <w:sz w:val="20"/>
          <w:szCs w:val="20"/>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411"/>
        <w:gridCol w:w="2811"/>
        <w:gridCol w:w="2840"/>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293" w:right="0"/>
              <w:jc w:val="left"/>
              <w:rPr>
                <w:rFonts w:ascii="Times New Roman" w:hAnsi="Times New Roman" w:cs="Times New Roman" w:eastAsia="Times New Roman" w:hint="default"/>
                <w:sz w:val="20"/>
                <w:szCs w:val="20"/>
              </w:rPr>
            </w:pPr>
            <w:r>
              <w:rPr>
                <w:rFonts w:ascii="Times New Roman"/>
                <w:sz w:val="20"/>
              </w:rPr>
              <w:t>1,123,685,520.55</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468" w:right="0"/>
              <w:jc w:val="left"/>
              <w:rPr>
                <w:rFonts w:ascii="Times New Roman" w:hAnsi="Times New Roman" w:cs="Times New Roman" w:eastAsia="Times New Roman" w:hint="default"/>
                <w:sz w:val="20"/>
                <w:szCs w:val="20"/>
              </w:rPr>
            </w:pPr>
            <w:r>
              <w:rPr>
                <w:rFonts w:ascii="Times New Roman"/>
                <w:sz w:val="20"/>
              </w:rPr>
              <w:t>453,136,583.93</w:t>
            </w:r>
          </w:p>
        </w:tc>
      </w:tr>
    </w:tbl>
    <w:p>
      <w:pPr>
        <w:spacing w:after="0" w:line="223" w:lineRule="exact"/>
        <w:jc w:val="left"/>
        <w:rPr>
          <w:rFonts w:ascii="Times New Roman" w:hAnsi="Times New Roman" w:cs="Times New Roman" w:eastAsia="Times New Roman" w:hint="default"/>
          <w:sz w:val="20"/>
          <w:szCs w:val="20"/>
        </w:rPr>
        <w:sectPr>
          <w:pgSz w:w="11910" w:h="16840"/>
          <w:pgMar w:header="882" w:footer="1195" w:top="1120" w:bottom="1380" w:left="1040" w:right="1560"/>
        </w:sectPr>
      </w:pPr>
    </w:p>
    <w:p>
      <w:pPr>
        <w:pStyle w:val="Heading3"/>
        <w:spacing w:line="240" w:lineRule="auto" w:before="20"/>
        <w:ind w:left="236" w:right="0"/>
        <w:jc w:val="left"/>
        <w:rPr>
          <w:rFonts w:ascii="宋体" w:hAnsi="宋体" w:cs="宋体" w:eastAsia="宋体" w:hint="default"/>
        </w:rPr>
      </w:pPr>
      <w:r>
        <w:rPr>
          <w:rFonts w:ascii="宋体"/>
        </w:rPr>
        <w:t> </w:t>
      </w:r>
    </w:p>
    <w:p>
      <w:pPr>
        <w:pStyle w:val="Heading5"/>
        <w:spacing w:line="240" w:lineRule="auto" w:before="61"/>
        <w:ind w:left="236" w:right="0"/>
        <w:jc w:val="left"/>
        <w:rPr>
          <w:rFonts w:ascii="宋体" w:hAnsi="宋体" w:cs="宋体" w:eastAsia="宋体" w:hint="default"/>
          <w:b w:val="0"/>
          <w:bCs w:val="0"/>
        </w:rPr>
      </w:pPr>
      <w:r>
        <w:rPr>
          <w:rFonts w:ascii="宋体" w:hAnsi="宋体" w:cs="宋体" w:eastAsia="宋体" w:hint="default"/>
        </w:rPr>
        <w:t>(3).</w:t>
      </w:r>
      <w:r>
        <w:rPr/>
        <w:t>收到的其他与投资活动有关的现金</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236" w:right="95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1"/>
          <w:szCs w:val="31"/>
        </w:rPr>
      </w:pPr>
    </w:p>
    <w:p>
      <w:pPr>
        <w:pStyle w:val="BodyText"/>
        <w:spacing w:line="240" w:lineRule="auto"/>
        <w:ind w:left="236"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1040" w:right="1560"/>
          <w:cols w:num="2" w:equalWidth="0">
            <w:col w:w="3932" w:space="2696"/>
            <w:col w:w="2682"/>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4"/>
        <w:gridCol w:w="2737"/>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w:t>
            </w:r>
            <w:r>
              <w:rPr>
                <w:rFonts w:ascii="宋体" w:hAnsi="宋体" w:cs="宋体" w:eastAsia="宋体" w:hint="default"/>
                <w:sz w:val="21"/>
                <w:szCs w:val="21"/>
              </w:rPr>
              <w:t>BT</w:t>
            </w:r>
            <w:r>
              <w:rPr>
                <w:rFonts w:ascii="宋体" w:hAnsi="宋体" w:cs="宋体" w:eastAsia="宋体" w:hint="default"/>
                <w:sz w:val="21"/>
                <w:szCs w:val="21"/>
              </w:rPr>
              <w:t>项目款</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7"/>
              <w:jc w:val="right"/>
              <w:rPr>
                <w:rFonts w:ascii="Times New Roman" w:hAnsi="Times New Roman" w:cs="Times New Roman" w:eastAsia="Times New Roman" w:hint="default"/>
                <w:sz w:val="20"/>
                <w:szCs w:val="20"/>
              </w:rPr>
            </w:pPr>
            <w:r>
              <w:rPr>
                <w:rFonts w:ascii="Times New Roman"/>
                <w:w w:val="95"/>
                <w:sz w:val="20"/>
              </w:rPr>
              <w:t>21,650,711.17</w:t>
            </w:r>
            <w:r>
              <w:rPr>
                <w:rFonts w:ascii="Times New Roman"/>
                <w:sz w:val="20"/>
              </w:rPr>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7"/>
              <w:jc w:val="right"/>
              <w:rPr>
                <w:rFonts w:ascii="Times New Roman" w:hAnsi="Times New Roman" w:cs="Times New Roman" w:eastAsia="Times New Roman" w:hint="default"/>
                <w:sz w:val="20"/>
                <w:szCs w:val="20"/>
              </w:rPr>
            </w:pPr>
            <w:r>
              <w:rPr>
                <w:rFonts w:ascii="Times New Roman"/>
                <w:w w:val="95"/>
                <w:sz w:val="20"/>
              </w:rPr>
              <w:t>21,650,711.17</w:t>
            </w:r>
            <w:r>
              <w:rPr>
                <w:rFonts w:ascii="Times New Roman"/>
                <w:sz w:val="20"/>
              </w:rPr>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 </w:t>
            </w:r>
          </w:p>
        </w:tc>
      </w:tr>
    </w:tbl>
    <w:p>
      <w:pPr>
        <w:spacing w:after="0" w:line="274" w:lineRule="exact"/>
        <w:jc w:val="right"/>
        <w:rPr>
          <w:rFonts w:ascii="宋体" w:hAnsi="宋体" w:cs="宋体" w:eastAsia="宋体" w:hint="default"/>
          <w:sz w:val="24"/>
          <w:szCs w:val="24"/>
        </w:rPr>
        <w:sectPr>
          <w:type w:val="continuous"/>
          <w:pgSz w:w="11910" w:h="16840"/>
          <w:pgMar w:top="1120" w:bottom="1380" w:left="1040" w:right="1560"/>
        </w:sectPr>
      </w:pPr>
    </w:p>
    <w:p>
      <w:pPr>
        <w:pStyle w:val="Heading3"/>
        <w:spacing w:line="240" w:lineRule="auto" w:before="19"/>
        <w:ind w:left="236" w:right="0"/>
        <w:jc w:val="left"/>
        <w:rPr>
          <w:rFonts w:ascii="宋体" w:hAnsi="宋体" w:cs="宋体" w:eastAsia="宋体" w:hint="default"/>
        </w:rPr>
      </w:pPr>
      <w:r>
        <w:rPr>
          <w:rFonts w:ascii="宋体"/>
        </w:rPr>
        <w:t> </w:t>
      </w:r>
    </w:p>
    <w:p>
      <w:pPr>
        <w:pStyle w:val="Heading5"/>
        <w:spacing w:line="240" w:lineRule="auto" w:before="61"/>
        <w:ind w:left="236" w:right="0"/>
        <w:jc w:val="left"/>
        <w:rPr>
          <w:rFonts w:ascii="宋体" w:hAnsi="宋体" w:cs="宋体" w:eastAsia="宋体" w:hint="default"/>
          <w:b w:val="0"/>
          <w:bCs w:val="0"/>
        </w:rPr>
      </w:pPr>
      <w:r>
        <w:rPr>
          <w:rFonts w:ascii="宋体" w:hAnsi="宋体" w:cs="宋体" w:eastAsia="宋体" w:hint="default"/>
        </w:rPr>
        <w:t>(4).</w:t>
      </w:r>
      <w:r>
        <w:rPr/>
        <w:t>支付的其他与投资活动有关的现金</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236" w:right="95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932" w:space="2590"/>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19"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项目代建款</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
              <w:jc w:val="right"/>
              <w:rPr>
                <w:rFonts w:ascii="宋体" w:hAnsi="宋体" w:cs="宋体" w:eastAsia="宋体" w:hint="default"/>
                <w:sz w:val="24"/>
                <w:szCs w:val="24"/>
              </w:rPr>
            </w:pPr>
            <w:r>
              <w:rPr>
                <w:rFonts w:ascii="宋体"/>
                <w:sz w:val="24"/>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9"/>
              <w:jc w:val="right"/>
              <w:rPr>
                <w:rFonts w:ascii="Times New Roman" w:hAnsi="Times New Roman" w:cs="Times New Roman" w:eastAsia="Times New Roman" w:hint="default"/>
                <w:sz w:val="20"/>
                <w:szCs w:val="20"/>
              </w:rPr>
            </w:pPr>
            <w:r>
              <w:rPr>
                <w:rFonts w:ascii="Times New Roman"/>
                <w:w w:val="95"/>
                <w:sz w:val="20"/>
              </w:rPr>
              <w:t>13,700,000.00</w:t>
            </w:r>
            <w:r>
              <w:rPr>
                <w:rFonts w:ascii="Times New Roman"/>
                <w:sz w:val="20"/>
              </w:rPr>
            </w:r>
          </w:p>
        </w:tc>
      </w:tr>
      <w:tr>
        <w:trPr>
          <w:trHeight w:val="32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
              <w:jc w:val="right"/>
              <w:rPr>
                <w:rFonts w:ascii="宋体" w:hAnsi="宋体" w:cs="宋体" w:eastAsia="宋体" w:hint="default"/>
                <w:sz w:val="24"/>
                <w:szCs w:val="24"/>
              </w:rPr>
            </w:pPr>
            <w:r>
              <w:rPr>
                <w:rFonts w:ascii="宋体"/>
                <w:sz w:val="24"/>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9"/>
              <w:jc w:val="right"/>
              <w:rPr>
                <w:rFonts w:ascii="Times New Roman" w:hAnsi="Times New Roman" w:cs="Times New Roman" w:eastAsia="Times New Roman" w:hint="default"/>
                <w:sz w:val="20"/>
                <w:szCs w:val="20"/>
              </w:rPr>
            </w:pPr>
            <w:r>
              <w:rPr>
                <w:rFonts w:ascii="Times New Roman"/>
                <w:w w:val="95"/>
                <w:sz w:val="20"/>
              </w:rPr>
              <w:t>13,700,000.00</w:t>
            </w:r>
            <w:r>
              <w:rPr>
                <w:rFonts w:ascii="Times New Roman"/>
                <w:sz w:val="20"/>
              </w:rPr>
            </w:r>
          </w:p>
        </w:tc>
      </w:tr>
    </w:tbl>
    <w:p>
      <w:pPr>
        <w:spacing w:after="0" w:line="226" w:lineRule="exact"/>
        <w:jc w:val="right"/>
        <w:rPr>
          <w:rFonts w:ascii="Times New Roman" w:hAnsi="Times New Roman" w:cs="Times New Roman" w:eastAsia="Times New Roman" w:hint="default"/>
          <w:sz w:val="20"/>
          <w:szCs w:val="20"/>
        </w:rPr>
        <w:sectPr>
          <w:type w:val="continuous"/>
          <w:pgSz w:w="11910" w:h="16840"/>
          <w:pgMar w:top="1120" w:bottom="1380" w:left="1040" w:right="1560"/>
        </w:sectPr>
      </w:pPr>
    </w:p>
    <w:p>
      <w:pPr>
        <w:pStyle w:val="Heading3"/>
        <w:spacing w:line="240" w:lineRule="auto" w:before="19"/>
        <w:ind w:left="236" w:right="0"/>
        <w:jc w:val="left"/>
        <w:rPr>
          <w:rFonts w:ascii="宋体" w:hAnsi="宋体" w:cs="宋体" w:eastAsia="宋体" w:hint="default"/>
        </w:rPr>
      </w:pPr>
      <w:r>
        <w:rPr>
          <w:rFonts w:ascii="宋体"/>
        </w:rPr>
        <w:t> </w:t>
      </w:r>
    </w:p>
    <w:p>
      <w:pPr>
        <w:pStyle w:val="Heading5"/>
        <w:spacing w:line="240" w:lineRule="auto" w:before="61"/>
        <w:ind w:left="236" w:right="0"/>
        <w:jc w:val="left"/>
        <w:rPr>
          <w:rFonts w:ascii="宋体" w:hAnsi="宋体" w:cs="宋体" w:eastAsia="宋体" w:hint="default"/>
          <w:b w:val="0"/>
          <w:bCs w:val="0"/>
        </w:rPr>
      </w:pPr>
      <w:r>
        <w:rPr>
          <w:rFonts w:ascii="宋体" w:hAnsi="宋体" w:cs="宋体" w:eastAsia="宋体" w:hint="default"/>
        </w:rPr>
        <w:t>(5).</w:t>
      </w:r>
      <w:r>
        <w:rPr/>
        <w:t>收到的其他与筹资活动有关的现金</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236" w:right="95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932" w:space="2590"/>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收到的票据贴现款</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7"/>
              <w:jc w:val="right"/>
              <w:rPr>
                <w:rFonts w:ascii="Times New Roman" w:hAnsi="Times New Roman" w:cs="Times New Roman" w:eastAsia="Times New Roman" w:hint="default"/>
                <w:sz w:val="20"/>
                <w:szCs w:val="20"/>
              </w:rPr>
            </w:pPr>
            <w:r>
              <w:rPr>
                <w:rFonts w:ascii="Times New Roman"/>
                <w:w w:val="95"/>
                <w:sz w:val="20"/>
              </w:rPr>
              <w:t>421,783,588.24</w:t>
            </w:r>
            <w:r>
              <w:rPr>
                <w:rFonts w:ascii="Times New Roman"/>
                <w:sz w:val="20"/>
              </w:rPr>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收到的股权激励款</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9"/>
              <w:jc w:val="right"/>
              <w:rPr>
                <w:rFonts w:ascii="Times New Roman" w:hAnsi="Times New Roman" w:cs="Times New Roman" w:eastAsia="Times New Roman" w:hint="default"/>
                <w:sz w:val="20"/>
                <w:szCs w:val="20"/>
              </w:rPr>
            </w:pPr>
            <w:r>
              <w:rPr>
                <w:rFonts w:ascii="Times New Roman"/>
                <w:w w:val="95"/>
                <w:sz w:val="20"/>
              </w:rPr>
              <w:t>12,849,578.52</w:t>
            </w:r>
            <w:r>
              <w:rPr>
                <w:rFonts w:ascii="Times New Roman"/>
                <w:sz w:val="20"/>
              </w:rPr>
            </w: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7"/>
              <w:jc w:val="right"/>
              <w:rPr>
                <w:rFonts w:ascii="Times New Roman" w:hAnsi="Times New Roman" w:cs="Times New Roman" w:eastAsia="Times New Roman" w:hint="default"/>
                <w:sz w:val="20"/>
                <w:szCs w:val="20"/>
              </w:rPr>
            </w:pPr>
            <w:r>
              <w:rPr>
                <w:rFonts w:ascii="Times New Roman"/>
                <w:w w:val="95"/>
                <w:sz w:val="20"/>
              </w:rPr>
              <w:t>421,783,588.24</w:t>
            </w:r>
            <w:r>
              <w:rPr>
                <w:rFonts w:ascii="Times New Roman"/>
                <w:sz w:val="20"/>
              </w:rPr>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9"/>
              <w:jc w:val="right"/>
              <w:rPr>
                <w:rFonts w:ascii="Times New Roman" w:hAnsi="Times New Roman" w:cs="Times New Roman" w:eastAsia="Times New Roman" w:hint="default"/>
                <w:sz w:val="20"/>
                <w:szCs w:val="20"/>
              </w:rPr>
            </w:pPr>
            <w:r>
              <w:rPr>
                <w:rFonts w:ascii="Times New Roman"/>
                <w:w w:val="95"/>
                <w:sz w:val="20"/>
              </w:rPr>
              <w:t>12,849,578.52</w:t>
            </w:r>
            <w:r>
              <w:rPr>
                <w:rFonts w:ascii="Times New Roman"/>
                <w:sz w:val="20"/>
              </w:rPr>
            </w:r>
          </w:p>
        </w:tc>
      </w:tr>
    </w:tbl>
    <w:p>
      <w:pPr>
        <w:spacing w:after="0" w:line="223" w:lineRule="exact"/>
        <w:jc w:val="right"/>
        <w:rPr>
          <w:rFonts w:ascii="Times New Roman" w:hAnsi="Times New Roman" w:cs="Times New Roman" w:eastAsia="Times New Roman" w:hint="default"/>
          <w:sz w:val="20"/>
          <w:szCs w:val="20"/>
        </w:rPr>
        <w:sectPr>
          <w:type w:val="continuous"/>
          <w:pgSz w:w="11910" w:h="16840"/>
          <w:pgMar w:top="1120" w:bottom="1380" w:left="1040" w:right="1560"/>
        </w:sectPr>
      </w:pPr>
    </w:p>
    <w:p>
      <w:pPr>
        <w:pStyle w:val="Heading3"/>
        <w:spacing w:line="240" w:lineRule="auto" w:before="19"/>
        <w:ind w:left="236" w:right="0"/>
        <w:jc w:val="left"/>
        <w:rPr>
          <w:rFonts w:ascii="宋体" w:hAnsi="宋体" w:cs="宋体" w:eastAsia="宋体" w:hint="default"/>
        </w:rPr>
      </w:pPr>
      <w:r>
        <w:rPr>
          <w:rFonts w:ascii="宋体"/>
        </w:rPr>
        <w:t> </w:t>
      </w:r>
    </w:p>
    <w:p>
      <w:pPr>
        <w:pStyle w:val="Heading5"/>
        <w:spacing w:line="240" w:lineRule="auto" w:before="61"/>
        <w:ind w:left="236" w:right="0"/>
        <w:jc w:val="left"/>
        <w:rPr>
          <w:rFonts w:ascii="宋体" w:hAnsi="宋体" w:cs="宋体" w:eastAsia="宋体" w:hint="default"/>
          <w:b w:val="0"/>
          <w:bCs w:val="0"/>
        </w:rPr>
      </w:pPr>
      <w:r>
        <w:rPr>
          <w:rFonts w:ascii="宋体" w:hAnsi="宋体" w:cs="宋体" w:eastAsia="宋体" w:hint="default"/>
        </w:rPr>
        <w:t>(6).</w:t>
      </w:r>
      <w:r>
        <w:rPr/>
        <w:t>支付的其他与筹资活动有关的现金</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236" w:right="95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31"/>
          <w:szCs w:val="31"/>
        </w:rPr>
      </w:pPr>
    </w:p>
    <w:p>
      <w:pPr>
        <w:pStyle w:val="BodyText"/>
        <w:spacing w:line="240" w:lineRule="auto"/>
        <w:ind w:left="236"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1040" w:right="1560"/>
          <w:cols w:num="2" w:equalWidth="0">
            <w:col w:w="3932" w:space="2590"/>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611"/>
        <w:gridCol w:w="2717"/>
        <w:gridCol w:w="2734"/>
      </w:tblGrid>
      <w:tr>
        <w:trPr>
          <w:trHeight w:val="283" w:hRule="exact"/>
        </w:trPr>
        <w:tc>
          <w:tcPr>
            <w:tcW w:w="3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5"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19" w:hRule="exact"/>
        </w:trPr>
        <w:tc>
          <w:tcPr>
            <w:tcW w:w="36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超短融手续费</w:t>
            </w:r>
            <w:r>
              <w:rPr>
                <w:rFonts w:ascii="宋体" w:hAnsi="宋体" w:cs="宋体" w:eastAsia="宋体" w:hint="default"/>
                <w:sz w:val="24"/>
                <w:szCs w:val="24"/>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8"/>
              <w:jc w:val="right"/>
              <w:rPr>
                <w:rFonts w:ascii="Times New Roman" w:hAnsi="Times New Roman" w:cs="Times New Roman" w:eastAsia="Times New Roman" w:hint="default"/>
                <w:sz w:val="20"/>
                <w:szCs w:val="20"/>
              </w:rPr>
            </w:pPr>
            <w:r>
              <w:rPr>
                <w:rFonts w:ascii="Times New Roman"/>
                <w:w w:val="95"/>
                <w:sz w:val="20"/>
              </w:rPr>
              <w:t>240,000.00</w:t>
            </w:r>
            <w:r>
              <w:rPr>
                <w:rFonts w:ascii="Times New Roman"/>
                <w:sz w:val="20"/>
              </w:rPr>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 </w:t>
            </w:r>
          </w:p>
        </w:tc>
      </w:tr>
      <w:tr>
        <w:trPr>
          <w:trHeight w:val="322" w:hRule="exact"/>
        </w:trPr>
        <w:tc>
          <w:tcPr>
            <w:tcW w:w="36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24"/>
                <w:szCs w:val="24"/>
              </w:rPr>
            </w:pPr>
            <w:r>
              <w:rPr>
                <w:rFonts w:ascii="宋体" w:hAnsi="宋体" w:cs="宋体" w:eastAsia="宋体" w:hint="default"/>
                <w:sz w:val="18"/>
                <w:szCs w:val="18"/>
              </w:rPr>
              <w:t>支付信用证贴现保证金等</w:t>
            </w:r>
            <w:r>
              <w:rPr>
                <w:rFonts w:ascii="宋体" w:hAnsi="宋体" w:cs="宋体" w:eastAsia="宋体" w:hint="default"/>
                <w:sz w:val="24"/>
                <w:szCs w:val="24"/>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9"/>
              <w:jc w:val="right"/>
              <w:rPr>
                <w:rFonts w:ascii="Times New Roman" w:hAnsi="Times New Roman" w:cs="Times New Roman" w:eastAsia="Times New Roman" w:hint="default"/>
                <w:sz w:val="20"/>
                <w:szCs w:val="20"/>
              </w:rPr>
            </w:pPr>
            <w:r>
              <w:rPr>
                <w:rFonts w:ascii="Times New Roman"/>
                <w:w w:val="95"/>
                <w:sz w:val="20"/>
              </w:rPr>
              <w:t>134,247,600.00</w:t>
            </w:r>
            <w:r>
              <w:rPr>
                <w:rFonts w:ascii="Times New Roman"/>
                <w:sz w:val="20"/>
              </w:rPr>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
              <w:jc w:val="right"/>
              <w:rPr>
                <w:rFonts w:ascii="宋体" w:hAnsi="宋体" w:cs="宋体" w:eastAsia="宋体" w:hint="default"/>
                <w:sz w:val="24"/>
                <w:szCs w:val="24"/>
              </w:rPr>
            </w:pPr>
            <w:r>
              <w:rPr>
                <w:rFonts w:ascii="宋体"/>
                <w:sz w:val="24"/>
              </w:rPr>
              <w:t> </w:t>
            </w:r>
          </w:p>
        </w:tc>
      </w:tr>
      <w:tr>
        <w:trPr>
          <w:trHeight w:val="322" w:hRule="exact"/>
        </w:trPr>
        <w:tc>
          <w:tcPr>
            <w:tcW w:w="3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center"/>
              <w:rPr>
                <w:rFonts w:ascii="宋体" w:hAnsi="宋体" w:cs="宋体" w:eastAsia="宋体" w:hint="default"/>
                <w:sz w:val="24"/>
                <w:szCs w:val="24"/>
              </w:rPr>
            </w:pPr>
            <w:r>
              <w:rPr>
                <w:rFonts w:ascii="宋体" w:hAnsi="宋体" w:cs="宋体" w:eastAsia="宋体" w:hint="default"/>
                <w:sz w:val="21"/>
                <w:szCs w:val="21"/>
              </w:rPr>
              <w:t>合计</w:t>
            </w:r>
            <w:r>
              <w:rPr>
                <w:rFonts w:ascii="宋体" w:hAnsi="宋体" w:cs="宋体" w:eastAsia="宋体" w:hint="default"/>
                <w:sz w:val="24"/>
                <w:szCs w:val="24"/>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9"/>
              <w:jc w:val="right"/>
              <w:rPr>
                <w:rFonts w:ascii="Times New Roman" w:hAnsi="Times New Roman" w:cs="Times New Roman" w:eastAsia="Times New Roman" w:hint="default"/>
                <w:sz w:val="20"/>
                <w:szCs w:val="20"/>
              </w:rPr>
            </w:pPr>
            <w:r>
              <w:rPr>
                <w:rFonts w:ascii="Times New Roman"/>
                <w:w w:val="95"/>
                <w:sz w:val="20"/>
              </w:rPr>
              <w:t>134,487,600.00</w:t>
            </w:r>
            <w:r>
              <w:rPr>
                <w:rFonts w:ascii="Times New Roman"/>
                <w:sz w:val="20"/>
              </w:rPr>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
              <w:jc w:val="right"/>
              <w:rPr>
                <w:rFonts w:ascii="宋体" w:hAnsi="宋体" w:cs="宋体" w:eastAsia="宋体" w:hint="default"/>
                <w:sz w:val="24"/>
                <w:szCs w:val="24"/>
              </w:rPr>
            </w:pPr>
            <w:r>
              <w:rPr>
                <w:rFonts w:ascii="宋体"/>
                <w:sz w:val="24"/>
              </w:rPr>
              <w:t> </w:t>
            </w:r>
          </w:p>
        </w:tc>
      </w:tr>
    </w:tbl>
    <w:p>
      <w:pPr>
        <w:spacing w:after="0" w:line="274" w:lineRule="exact"/>
        <w:jc w:val="right"/>
        <w:rPr>
          <w:rFonts w:ascii="宋体" w:hAnsi="宋体" w:cs="宋体" w:eastAsia="宋体" w:hint="default"/>
          <w:sz w:val="24"/>
          <w:szCs w:val="24"/>
        </w:rPr>
        <w:sectPr>
          <w:type w:val="continuous"/>
          <w:pgSz w:w="11910" w:h="16840"/>
          <w:pgMar w:top="1120" w:bottom="1380" w:left="1040" w:right="1560"/>
        </w:sectPr>
      </w:pPr>
    </w:p>
    <w:p>
      <w:pPr>
        <w:pStyle w:val="Heading3"/>
        <w:spacing w:line="240" w:lineRule="auto" w:before="19"/>
        <w:ind w:left="236" w:right="0"/>
        <w:jc w:val="left"/>
        <w:rPr>
          <w:rFonts w:ascii="宋体" w:hAnsi="宋体" w:cs="宋体" w:eastAsia="宋体" w:hint="default"/>
        </w:rPr>
      </w:pPr>
      <w:r>
        <w:rPr>
          <w:rFonts w:ascii="宋体"/>
        </w:rPr>
        <w:t> </w:t>
      </w:r>
    </w:p>
    <w:p>
      <w:pPr>
        <w:pStyle w:val="Heading5"/>
        <w:spacing w:line="290" w:lineRule="auto"/>
        <w:ind w:left="236" w:right="0"/>
        <w:jc w:val="left"/>
        <w:rPr>
          <w:rFonts w:ascii="宋体" w:hAnsi="宋体" w:cs="宋体" w:eastAsia="宋体" w:hint="default"/>
          <w:b w:val="0"/>
          <w:bCs w:val="0"/>
        </w:rPr>
      </w:pPr>
      <w:r>
        <w:rPr>
          <w:rFonts w:ascii="宋体" w:hAnsi="宋体" w:cs="宋体" w:eastAsia="宋体" w:hint="default"/>
        </w:rPr>
        <w:t>77</w:t>
      </w:r>
      <w:r>
        <w:rPr/>
        <w:t>、</w:t>
      </w:r>
      <w:r>
        <w:rPr>
          <w:spacing w:val="-24"/>
        </w:rPr>
        <w:t> </w:t>
      </w:r>
      <w:r>
        <w:rPr/>
        <w:t>现金流量表补充资料</w:t>
      </w:r>
      <w:r>
        <w:rPr>
          <w:w w:val="100"/>
        </w:rPr>
        <w:t> </w:t>
      </w:r>
      <w:r>
        <w:rPr>
          <w:rFonts w:ascii="宋体" w:hAnsi="宋体" w:cs="宋体" w:eastAsia="宋体" w:hint="default"/>
        </w:rPr>
        <w:t>(1).</w:t>
      </w:r>
      <w:r>
        <w:rPr/>
        <w:t>现金流量表补充资料</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left="2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33"/>
          <w:szCs w:val="33"/>
        </w:rPr>
      </w:pPr>
    </w:p>
    <w:p>
      <w:pPr>
        <w:pStyle w:val="BodyText"/>
        <w:spacing w:line="240" w:lineRule="auto"/>
        <w:ind w:left="236"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1040" w:right="1560"/>
          <w:cols w:num="2" w:equalWidth="0">
            <w:col w:w="2669" w:space="3853"/>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940"/>
        <w:gridCol w:w="2165"/>
        <w:gridCol w:w="1945"/>
      </w:tblGrid>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补充资料</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322"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b/>
                <w:w w:val="99"/>
                <w:sz w:val="24"/>
              </w:rPr>
              <w:t> </w:t>
            </w:r>
            <w:r>
              <w:rPr>
                <w:rFonts w:ascii="宋体"/>
                <w:sz w:val="24"/>
              </w:rPr>
            </w:r>
          </w:p>
        </w:tc>
      </w:tr>
      <w:tr>
        <w:trPr>
          <w:trHeight w:val="28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5"/>
                <w:sz w:val="20"/>
              </w:rPr>
              <w:t>150,755,481.39</w:t>
            </w:r>
            <w:r>
              <w:rPr>
                <w:rFonts w:ascii="Times New Roman"/>
                <w:sz w:val="20"/>
              </w:rPr>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274,164,137.72</w:t>
            </w:r>
            <w:r>
              <w:rPr>
                <w:rFonts w:ascii="Times New Roman"/>
                <w:sz w:val="20"/>
              </w:rPr>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5"/>
                <w:sz w:val="20"/>
              </w:rPr>
              <w:t>157,338,445.12</w:t>
            </w:r>
            <w:r>
              <w:rPr>
                <w:rFonts w:ascii="Times New Roman"/>
                <w:sz w:val="20"/>
              </w:rPr>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119,038,241.81</w:t>
            </w:r>
            <w:r>
              <w:rPr>
                <w:rFonts w:ascii="Times New Roman"/>
                <w:sz w:val="20"/>
              </w:rPr>
            </w:r>
          </w:p>
        </w:tc>
      </w:tr>
      <w:tr>
        <w:trPr>
          <w:trHeight w:val="554"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固定资产折旧、油气资产折耗、生产性生物资产折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旧</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9"/>
              <w:jc w:val="right"/>
              <w:rPr>
                <w:rFonts w:ascii="Times New Roman" w:hAnsi="Times New Roman" w:cs="Times New Roman" w:eastAsia="Times New Roman" w:hint="default"/>
                <w:sz w:val="20"/>
                <w:szCs w:val="20"/>
              </w:rPr>
            </w:pPr>
            <w:r>
              <w:rPr>
                <w:rFonts w:ascii="Times New Roman"/>
                <w:w w:val="95"/>
                <w:sz w:val="20"/>
              </w:rPr>
              <w:t>57,122,351.43</w:t>
            </w:r>
            <w:r>
              <w:rPr>
                <w:rFonts w:ascii="Times New Roman"/>
                <w:sz w:val="20"/>
              </w:rPr>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w w:val="95"/>
                <w:sz w:val="20"/>
              </w:rPr>
              <w:t>55,668,414.64</w:t>
            </w:r>
            <w:r>
              <w:rPr>
                <w:rFonts w:ascii="Times New Roman"/>
                <w:sz w:val="20"/>
              </w:rPr>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使用权资产摊销</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4940"/>
        <w:gridCol w:w="2165"/>
        <w:gridCol w:w="1945"/>
      </w:tblGrid>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5"/>
                <w:sz w:val="20"/>
              </w:rPr>
              <w:t>56,363,426.31</w:t>
            </w:r>
            <w:r>
              <w:rPr>
                <w:rFonts w:ascii="Times New Roman"/>
                <w:sz w:val="20"/>
              </w:rPr>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44,039,702.43</w:t>
            </w:r>
            <w:r>
              <w:rPr>
                <w:rFonts w:ascii="Times New Roman"/>
                <w:sz w:val="20"/>
              </w:rPr>
            </w:r>
          </w:p>
        </w:tc>
      </w:tr>
      <w:tr>
        <w:trPr>
          <w:trHeight w:val="28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5"/>
                <w:sz w:val="20"/>
              </w:rPr>
              <w:t>4,211,964.27</w:t>
            </w:r>
            <w:r>
              <w:rPr>
                <w:rFonts w:ascii="Times New Roman"/>
                <w:sz w:val="20"/>
              </w:rPr>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5,569,320.19</w:t>
            </w:r>
            <w:r>
              <w:rPr>
                <w:rFonts w:ascii="Times New Roman"/>
                <w:sz w:val="20"/>
              </w:rPr>
            </w:r>
          </w:p>
        </w:tc>
      </w:tr>
      <w:tr>
        <w:trPr>
          <w:trHeight w:val="554"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处置固定资产、无形资产和其他长期资产的损失（收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益以“－”号填列）</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9"/>
              <w:jc w:val="right"/>
              <w:rPr>
                <w:rFonts w:ascii="Times New Roman" w:hAnsi="Times New Roman" w:cs="Times New Roman" w:eastAsia="Times New Roman" w:hint="default"/>
                <w:sz w:val="20"/>
                <w:szCs w:val="20"/>
              </w:rPr>
            </w:pPr>
            <w:r>
              <w:rPr>
                <w:rFonts w:ascii="Times New Roman"/>
                <w:w w:val="95"/>
                <w:sz w:val="20"/>
              </w:rPr>
              <w:t>8,349,728.88</w:t>
            </w:r>
            <w:r>
              <w:rPr>
                <w:rFonts w:ascii="Times New Roman"/>
                <w:sz w:val="20"/>
              </w:rPr>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20"/>
                <w:szCs w:val="20"/>
              </w:rPr>
            </w:pPr>
            <w:r>
              <w:rPr>
                <w:rFonts w:ascii="Times New Roman"/>
                <w:w w:val="95"/>
                <w:sz w:val="20"/>
              </w:rPr>
              <w:t>-3,615,148.58</w:t>
            </w:r>
            <w:r>
              <w:rPr>
                <w:rFonts w:ascii="Times New Roman"/>
                <w:sz w:val="20"/>
              </w:rPr>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5"/>
                <w:sz w:val="20"/>
              </w:rPr>
              <w:t>2,073,949.12</w:t>
            </w:r>
            <w:r>
              <w:rPr>
                <w:rFonts w:ascii="Times New Roman"/>
                <w:sz w:val="20"/>
              </w:rPr>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2,793,055.43</w:t>
            </w:r>
            <w:r>
              <w:rPr>
                <w:rFonts w:ascii="Times New Roman"/>
                <w:sz w:val="20"/>
              </w:rPr>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5"/>
                <w:sz w:val="20"/>
              </w:rPr>
              <w:t>12,657,937.44</w:t>
            </w:r>
            <w:r>
              <w:rPr>
                <w:rFonts w:ascii="Times New Roman"/>
                <w:sz w:val="20"/>
              </w:rPr>
            </w: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5"/>
                <w:sz w:val="20"/>
              </w:rPr>
              <w:t>162,290,167.80</w:t>
            </w:r>
            <w:r>
              <w:rPr>
                <w:rFonts w:ascii="Times New Roman"/>
                <w:sz w:val="20"/>
              </w:rPr>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156,262,754.39</w:t>
            </w:r>
            <w:r>
              <w:rPr>
                <w:rFonts w:ascii="Times New Roman"/>
                <w:sz w:val="20"/>
              </w:rPr>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5"/>
                <w:sz w:val="20"/>
              </w:rPr>
              <w:t>-63,466,287.26</w:t>
            </w:r>
            <w:r>
              <w:rPr>
                <w:rFonts w:ascii="Times New Roman"/>
                <w:sz w:val="20"/>
              </w:rPr>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-41,969,474.01</w:t>
            </w:r>
            <w:r>
              <w:rPr>
                <w:rFonts w:ascii="Times New Roman"/>
                <w:sz w:val="20"/>
              </w:rPr>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5"/>
                <w:sz w:val="20"/>
              </w:rPr>
              <w:t>-2,820,865.22</w:t>
            </w:r>
            <w:r>
              <w:rPr>
                <w:rFonts w:ascii="Times New Roman"/>
                <w:sz w:val="20"/>
              </w:rPr>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-5,242,695.00</w:t>
            </w:r>
            <w:r>
              <w:rPr>
                <w:rFonts w:ascii="Times New Roman"/>
                <w:sz w:val="20"/>
              </w:rPr>
            </w:r>
          </w:p>
        </w:tc>
      </w:tr>
      <w:tr>
        <w:trPr>
          <w:trHeight w:val="28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5"/>
                <w:sz w:val="20"/>
              </w:rPr>
              <w:t>-256,564.81</w:t>
            </w:r>
            <w:r>
              <w:rPr>
                <w:rFonts w:ascii="Times New Roman"/>
                <w:sz w:val="20"/>
              </w:rPr>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-1,980,675.45</w:t>
            </w:r>
            <w:r>
              <w:rPr>
                <w:rFonts w:ascii="Times New Roman"/>
                <w:sz w:val="20"/>
              </w:rPr>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5"/>
                <w:sz w:val="20"/>
              </w:rPr>
              <w:t>-221,539,738.04</w:t>
            </w:r>
            <w:r>
              <w:rPr>
                <w:rFonts w:ascii="Times New Roman"/>
                <w:sz w:val="20"/>
              </w:rPr>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-214,401,397.48</w:t>
            </w:r>
            <w:r>
              <w:rPr>
                <w:rFonts w:ascii="Times New Roman"/>
                <w:sz w:val="20"/>
              </w:rPr>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5"/>
                <w:sz w:val="20"/>
              </w:rPr>
              <w:t>-542,496,823.34</w:t>
            </w:r>
            <w:r>
              <w:rPr>
                <w:rFonts w:ascii="Times New Roman"/>
                <w:sz w:val="20"/>
              </w:rPr>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0"/>
                <w:szCs w:val="20"/>
              </w:rPr>
            </w:pPr>
            <w:r>
              <w:rPr>
                <w:rFonts w:ascii="Times New Roman"/>
                <w:w w:val="95"/>
                <w:sz w:val="20"/>
              </w:rPr>
              <w:t>-3,317,050,792.95</w:t>
            </w:r>
            <w:r>
              <w:rPr>
                <w:rFonts w:ascii="Times New Roman"/>
                <w:sz w:val="20"/>
              </w:rPr>
            </w:r>
          </w:p>
        </w:tc>
      </w:tr>
      <w:tr>
        <w:trPr>
          <w:trHeight w:val="28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5"/>
                <w:sz w:val="20"/>
              </w:rPr>
              <w:t>581,496,873.94</w:t>
            </w:r>
            <w:r>
              <w:rPr>
                <w:rFonts w:ascii="Times New Roman"/>
                <w:sz w:val="20"/>
              </w:rPr>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spacing w:val="-1"/>
                <w:sz w:val="20"/>
              </w:rPr>
              <w:t>2,942,907,392.01</w:t>
            </w:r>
          </w:p>
        </w:tc>
      </w:tr>
      <w:tr>
        <w:trPr>
          <w:trHeight w:val="284"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5"/>
                <w:sz w:val="20"/>
              </w:rPr>
              <w:t>49,927,605.75</w:t>
            </w:r>
            <w:r>
              <w:rPr>
                <w:rFonts w:ascii="Times New Roman"/>
                <w:sz w:val="20"/>
              </w:rPr>
            </w: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5"/>
                <w:sz w:val="20"/>
              </w:rPr>
              <w:t>412,007,652.78</w:t>
            </w:r>
            <w:r>
              <w:rPr>
                <w:rFonts w:ascii="Times New Roman"/>
                <w:sz w:val="20"/>
              </w:rPr>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16,182,835.15</w:t>
            </w:r>
            <w:r>
              <w:rPr>
                <w:rFonts w:ascii="Times New Roman"/>
                <w:sz w:val="20"/>
              </w:rPr>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right"/>
              <w:rPr>
                <w:rFonts w:ascii="宋体" w:hAnsi="宋体" w:cs="宋体" w:eastAsia="宋体" w:hint="default"/>
                <w:sz w:val="20"/>
                <w:szCs w:val="20"/>
              </w:rPr>
            </w:pPr>
            <w:r>
              <w:rPr>
                <w:rFonts w:ascii="宋体"/>
                <w:w w:val="99"/>
                <w:sz w:val="20"/>
              </w:rPr>
              <w:t> </w:t>
            </w:r>
            <w:r>
              <w:rPr>
                <w:rFonts w:ascii="宋体"/>
                <w:sz w:val="20"/>
              </w:rPr>
            </w: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spacing w:val="-1"/>
                <w:sz w:val="20"/>
              </w:rPr>
              <w:t>1,651,152,916.63</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spacing w:val="-1"/>
                <w:sz w:val="20"/>
              </w:rPr>
              <w:t>1,333,950,955.50</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spacing w:val="-1"/>
                <w:sz w:val="20"/>
              </w:rPr>
              <w:t>1,333,950,955.50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spacing w:val="-1"/>
                <w:sz w:val="20"/>
              </w:rPr>
              <w:t>1,033,080,744.11</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5"/>
                <w:sz w:val="20"/>
              </w:rPr>
              <w:t>317,201,961.13</w:t>
            </w:r>
            <w:r>
              <w:rPr>
                <w:rFonts w:ascii="Times New Roman"/>
                <w:sz w:val="20"/>
              </w:rPr>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300,870,211.39</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882" w:footer="1195" w:top="1120" w:bottom="1380" w:left="1060" w:right="1560"/>
        </w:sectPr>
      </w:pPr>
    </w:p>
    <w:p>
      <w:pPr>
        <w:pStyle w:val="Heading3"/>
        <w:spacing w:line="274" w:lineRule="exact"/>
        <w:ind w:right="0"/>
        <w:jc w:val="left"/>
        <w:rPr>
          <w:rFonts w:ascii="宋体" w:hAnsi="宋体" w:cs="宋体" w:eastAsia="宋体" w:hint="default"/>
        </w:rPr>
      </w:pPr>
      <w:r>
        <w:rPr>
          <w:rFonts w:ascii="宋体"/>
        </w:rPr>
        <w:t> </w:t>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(2).</w:t>
      </w:r>
      <w:r>
        <w:rPr/>
        <w:t>本期支付的取得子公司的现金净额</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right="0"/>
        <w:jc w:val="left"/>
        <w:rPr>
          <w:rFonts w:ascii="宋体" w:hAnsi="宋体" w:cs="宋体" w:eastAsia="宋体" w:hint="default"/>
        </w:rPr>
      </w:pPr>
      <w:r>
        <w:rPr>
          <w:rFonts w:ascii="宋体"/>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40" w:lineRule="auto" w:before="61"/>
        <w:ind w:right="0"/>
        <w:jc w:val="left"/>
        <w:rPr>
          <w:rFonts w:ascii="宋体" w:hAnsi="宋体" w:cs="宋体" w:eastAsia="宋体" w:hint="default"/>
          <w:b w:val="0"/>
          <w:bCs w:val="0"/>
        </w:rPr>
      </w:pPr>
      <w:r>
        <w:rPr>
          <w:rFonts w:ascii="宋体" w:hAnsi="宋体" w:cs="宋体" w:eastAsia="宋体" w:hint="default"/>
        </w:rPr>
        <w:t>(3).</w:t>
      </w:r>
      <w:r>
        <w:rPr/>
        <w:t>本期收到的处置子公司的现金净额</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32"/>
          <w:szCs w:val="32"/>
        </w:rPr>
      </w:pPr>
    </w:p>
    <w:p>
      <w:pPr>
        <w:pStyle w:val="BodyText"/>
        <w:spacing w:line="240" w:lineRule="auto"/>
        <w:ind w:left="216"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1060" w:right="1560"/>
          <w:cols w:num="2" w:equalWidth="0">
            <w:col w:w="3912" w:space="2610"/>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905"/>
        <w:gridCol w:w="3145"/>
      </w:tblGrid>
      <w:tr>
        <w:trPr>
          <w:trHeight w:val="322"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0" w:right="0"/>
              <w:jc w:val="center"/>
              <w:rPr>
                <w:rFonts w:ascii="宋体" w:hAnsi="宋体" w:cs="宋体" w:eastAsia="宋体" w:hint="default"/>
                <w:sz w:val="24"/>
                <w:szCs w:val="24"/>
              </w:rPr>
            </w:pPr>
            <w:r>
              <w:rPr>
                <w:rFonts w:ascii="宋体"/>
                <w:sz w:val="24"/>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17" w:right="0"/>
              <w:jc w:val="center"/>
              <w:rPr>
                <w:rFonts w:ascii="宋体" w:hAnsi="宋体" w:cs="宋体" w:eastAsia="宋体" w:hint="default"/>
                <w:sz w:val="24"/>
                <w:szCs w:val="24"/>
              </w:rPr>
            </w:pPr>
            <w:r>
              <w:rPr>
                <w:rFonts w:ascii="宋体" w:hAnsi="宋体" w:cs="宋体" w:eastAsia="宋体" w:hint="default"/>
                <w:sz w:val="21"/>
                <w:szCs w:val="21"/>
              </w:rPr>
              <w:t>金额</w:t>
            </w:r>
            <w:r>
              <w:rPr>
                <w:rFonts w:ascii="宋体" w:hAnsi="宋体" w:cs="宋体" w:eastAsia="宋体" w:hint="default"/>
                <w:sz w:val="24"/>
                <w:szCs w:val="24"/>
              </w:rPr>
              <w:t> </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119,189,021.51</w:t>
            </w:r>
            <w:r>
              <w:rPr>
                <w:rFonts w:ascii="Times New Roman"/>
                <w:sz w:val="20"/>
              </w:rPr>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其中：长春泰豪电子装备有限公司</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Times New Roman" w:hAnsi="Times New Roman" w:cs="Times New Roman" w:eastAsia="Times New Roman" w:hint="default"/>
                <w:sz w:val="20"/>
                <w:szCs w:val="20"/>
              </w:rPr>
            </w:pPr>
            <w:r>
              <w:rPr>
                <w:rFonts w:ascii="Times New Roman"/>
                <w:w w:val="95"/>
                <w:sz w:val="20"/>
              </w:rPr>
              <w:t>27,070,000.00</w:t>
            </w:r>
            <w:r>
              <w:rPr>
                <w:rFonts w:ascii="Times New Roman"/>
                <w:sz w:val="20"/>
              </w:rPr>
            </w:r>
          </w:p>
        </w:tc>
      </w:tr>
      <w:tr>
        <w:trPr>
          <w:trHeight w:val="284"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湖南基石通信技术有限公司</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20,916,711.00</w:t>
            </w:r>
            <w:r>
              <w:rPr>
                <w:rFonts w:ascii="Times New Roman"/>
                <w:sz w:val="20"/>
              </w:rPr>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济南吉美乐电源技术有限公司</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70,000,000.00</w:t>
            </w:r>
            <w:r>
              <w:rPr>
                <w:rFonts w:ascii="Times New Roman"/>
                <w:sz w:val="20"/>
              </w:rPr>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上海致胜信息技术有限公司</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Times New Roman" w:hAnsi="Times New Roman" w:cs="Times New Roman" w:eastAsia="Times New Roman" w:hint="default"/>
                <w:sz w:val="20"/>
                <w:szCs w:val="20"/>
              </w:rPr>
            </w:pPr>
            <w:r>
              <w:rPr>
                <w:rFonts w:ascii="Times New Roman"/>
                <w:w w:val="95"/>
                <w:sz w:val="20"/>
              </w:rPr>
              <w:t>1,202,309.51</w:t>
            </w:r>
            <w:r>
              <w:rPr>
                <w:rFonts w:ascii="Times New Roman"/>
                <w:sz w:val="20"/>
              </w:rPr>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贵州泰豪宝碳智慧能源有限公司</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sz w:val="20"/>
              </w:rPr>
              <w:t>1.00</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15,959,252.26</w:t>
            </w:r>
            <w:r>
              <w:rPr>
                <w:rFonts w:ascii="Times New Roman"/>
                <w:sz w:val="20"/>
              </w:rPr>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其中：长春泰豪电子装备有限公司</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6,627,022.09</w:t>
            </w:r>
            <w:r>
              <w:rPr>
                <w:rFonts w:ascii="Times New Roman"/>
                <w:sz w:val="20"/>
              </w:rPr>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湖南基石通信技术有限公司</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4,693,903.40</w:t>
            </w:r>
            <w:r>
              <w:rPr>
                <w:rFonts w:ascii="Times New Roman"/>
                <w:sz w:val="20"/>
              </w:rPr>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济南吉美乐电源技术有限公司</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3,264,538.99</w:t>
            </w:r>
            <w:r>
              <w:rPr>
                <w:rFonts w:ascii="Times New Roman"/>
                <w:sz w:val="20"/>
              </w:rPr>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上海致胜信息技术有限公司</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1,856.87</w:t>
            </w:r>
            <w:r>
              <w:rPr>
                <w:rFonts w:ascii="Times New Roman"/>
                <w:sz w:val="20"/>
              </w:rPr>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贵州泰豪宝碳智慧能源有限公司</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1,371,930.91</w:t>
            </w:r>
            <w:r>
              <w:rPr>
                <w:rFonts w:ascii="Times New Roman"/>
                <w:sz w:val="20"/>
              </w:rPr>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加：以前期间处置子公司于本期收到的现金或现金等价物</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5905"/>
        <w:gridCol w:w="3145"/>
      </w:tblGrid>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780" w:right="0"/>
              <w:jc w:val="left"/>
              <w:rPr>
                <w:rFonts w:ascii="Times New Roman" w:hAnsi="Times New Roman" w:cs="Times New Roman" w:eastAsia="Times New Roman" w:hint="default"/>
                <w:sz w:val="20"/>
                <w:szCs w:val="20"/>
              </w:rPr>
            </w:pPr>
            <w:r>
              <w:rPr>
                <w:rFonts w:ascii="Times New Roman"/>
                <w:sz w:val="20"/>
              </w:rPr>
              <w:t>103,229,769.25</w:t>
            </w:r>
          </w:p>
        </w:tc>
      </w:tr>
    </w:tbl>
    <w:p>
      <w:pPr>
        <w:spacing w:after="0" w:line="223" w:lineRule="exact"/>
        <w:jc w:val="left"/>
        <w:rPr>
          <w:rFonts w:ascii="Times New Roman" w:hAnsi="Times New Roman" w:cs="Times New Roman" w:eastAsia="Times New Roman" w:hint="default"/>
          <w:sz w:val="20"/>
          <w:szCs w:val="20"/>
        </w:rPr>
        <w:sectPr>
          <w:pgSz w:w="11910" w:h="16840"/>
          <w:pgMar w:header="882" w:footer="1195" w:top="1120" w:bottom="1380" w:left="1040" w:right="1560"/>
        </w:sectPr>
      </w:pPr>
    </w:p>
    <w:p>
      <w:pPr>
        <w:pStyle w:val="Heading3"/>
        <w:spacing w:line="274" w:lineRule="exact"/>
        <w:ind w:left="236" w:right="0"/>
        <w:jc w:val="left"/>
        <w:rPr>
          <w:rFonts w:ascii="宋体" w:hAnsi="宋体" w:cs="宋体" w:eastAsia="宋体" w:hint="default"/>
        </w:rPr>
      </w:pPr>
      <w:r>
        <w:rPr>
          <w:rFonts w:ascii="宋体"/>
        </w:rPr>
        <w:t> </w:t>
      </w:r>
    </w:p>
    <w:p>
      <w:pPr>
        <w:pStyle w:val="Heading5"/>
        <w:spacing w:line="240" w:lineRule="auto" w:before="61"/>
        <w:ind w:left="236" w:right="0"/>
        <w:jc w:val="left"/>
        <w:rPr>
          <w:rFonts w:ascii="宋体" w:hAnsi="宋体" w:cs="宋体" w:eastAsia="宋体" w:hint="default"/>
          <w:b w:val="0"/>
          <w:bCs w:val="0"/>
        </w:rPr>
      </w:pPr>
      <w:r>
        <w:rPr>
          <w:rFonts w:ascii="宋体" w:hAnsi="宋体" w:cs="宋体" w:eastAsia="宋体" w:hint="default"/>
        </w:rPr>
        <w:t>(4).</w:t>
      </w:r>
      <w:r>
        <w:rPr/>
        <w:t>现金和现金等价物的构成</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7"/>
          <w:szCs w:val="27"/>
        </w:rPr>
      </w:pPr>
    </w:p>
    <w:p>
      <w:pPr>
        <w:pStyle w:val="BodyText"/>
        <w:spacing w:line="240" w:lineRule="auto"/>
        <w:ind w:left="236"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sz w:val="24"/>
          <w:szCs w:val="24"/>
        </w:rPr>
        <w:t> </w:t>
      </w:r>
      <w:r>
        <w:rPr>
          <w:rFonts w:ascii="宋体" w:hAnsi="宋体" w:cs="宋体" w:eastAsia="宋体" w:hint="default"/>
          <w:sz w:val="24"/>
          <w:szCs w:val="24"/>
        </w:rPr>
      </w:r>
    </w:p>
    <w:p>
      <w:pPr>
        <w:spacing w:after="0" w:line="240" w:lineRule="auto"/>
        <w:jc w:val="left"/>
        <w:rPr>
          <w:rFonts w:ascii="宋体" w:hAnsi="宋体" w:cs="宋体" w:eastAsia="宋体" w:hint="default"/>
          <w:sz w:val="24"/>
          <w:szCs w:val="24"/>
        </w:rPr>
        <w:sectPr>
          <w:type w:val="continuous"/>
          <w:pgSz w:w="11910" w:h="16840"/>
          <w:pgMar w:top="1120" w:bottom="1380" w:left="1040" w:right="1560"/>
          <w:cols w:num="2" w:equalWidth="0">
            <w:col w:w="3090" w:space="3433"/>
            <w:col w:w="2787"/>
          </w:cols>
        </w:sectPr>
      </w:pPr>
    </w:p>
    <w:p>
      <w:pPr>
        <w:spacing w:line="240" w:lineRule="auto" w:before="4"/>
        <w:rPr>
          <w:rFonts w:ascii="宋体" w:hAnsi="宋体" w:cs="宋体" w:eastAsia="宋体" w:hint="default"/>
          <w:b/>
          <w:bCs/>
          <w:sz w:val="2"/>
          <w:szCs w:val="2"/>
        </w:rPr>
      </w:pPr>
    </w:p>
    <w:tbl>
      <w:tblPr>
        <w:tblW w:w="0" w:type="auto"/>
        <w:jc w:val="left"/>
        <w:tblInd w:w="123" w:type="dxa"/>
        <w:tblLayout w:type="fixed"/>
        <w:tblCellMar>
          <w:top w:w="0" w:type="dxa"/>
          <w:left w:w="0" w:type="dxa"/>
          <w:bottom w:w="0" w:type="dxa"/>
          <w:right w:w="0" w:type="dxa"/>
        </w:tblCellMar>
        <w:tblLook w:val="01E0"/>
      </w:tblPr>
      <w:tblGrid>
        <w:gridCol w:w="5778"/>
        <w:gridCol w:w="1656"/>
        <w:gridCol w:w="1616"/>
      </w:tblGrid>
      <w:tr>
        <w:trPr>
          <w:trHeight w:val="322" w:hRule="exact"/>
        </w:trPr>
        <w:tc>
          <w:tcPr>
            <w:tcW w:w="57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3"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21"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r>
      <w:tr>
        <w:trPr>
          <w:trHeight w:val="295" w:hRule="exact"/>
        </w:trPr>
        <w:tc>
          <w:tcPr>
            <w:tcW w:w="57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20"/>
                <w:szCs w:val="20"/>
              </w:rPr>
            </w:pPr>
            <w:r>
              <w:rPr>
                <w:rFonts w:ascii="Times New Roman"/>
                <w:spacing w:val="-1"/>
                <w:sz w:val="20"/>
              </w:rPr>
              <w:t>1,651,152,916.63</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20"/>
                <w:szCs w:val="20"/>
              </w:rPr>
            </w:pPr>
            <w:r>
              <w:rPr>
                <w:rFonts w:ascii="Times New Roman"/>
                <w:spacing w:val="-1"/>
                <w:sz w:val="20"/>
              </w:rPr>
              <w:t>1,333,950,955.50</w:t>
            </w:r>
          </w:p>
        </w:tc>
      </w:tr>
      <w:tr>
        <w:trPr>
          <w:trHeight w:val="295" w:hRule="exact"/>
        </w:trPr>
        <w:tc>
          <w:tcPr>
            <w:tcW w:w="57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20"/>
                <w:szCs w:val="20"/>
              </w:rPr>
            </w:pPr>
            <w:r>
              <w:rPr>
                <w:rFonts w:ascii="Times New Roman"/>
                <w:w w:val="95"/>
                <w:sz w:val="20"/>
              </w:rPr>
              <w:t>114,272.18</w:t>
            </w:r>
            <w:r>
              <w:rPr>
                <w:rFonts w:ascii="Times New Roman"/>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20"/>
                <w:szCs w:val="20"/>
              </w:rPr>
            </w:pPr>
            <w:r>
              <w:rPr>
                <w:rFonts w:ascii="Times New Roman"/>
                <w:w w:val="95"/>
                <w:sz w:val="20"/>
              </w:rPr>
              <w:t>54,024.46</w:t>
            </w:r>
            <w:r>
              <w:rPr>
                <w:rFonts w:ascii="Times New Roman"/>
                <w:sz w:val="20"/>
              </w:rPr>
            </w:r>
          </w:p>
        </w:tc>
      </w:tr>
      <w:tr>
        <w:trPr>
          <w:trHeight w:val="295" w:hRule="exact"/>
        </w:trPr>
        <w:tc>
          <w:tcPr>
            <w:tcW w:w="57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可随时用于支付的银行存款</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20"/>
                <w:szCs w:val="20"/>
              </w:rPr>
            </w:pPr>
            <w:r>
              <w:rPr>
                <w:rFonts w:ascii="Times New Roman"/>
                <w:spacing w:val="-1"/>
                <w:sz w:val="20"/>
              </w:rPr>
              <w:t>1,651,037,139.29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20"/>
                <w:szCs w:val="20"/>
              </w:rPr>
            </w:pPr>
            <w:r>
              <w:rPr>
                <w:rFonts w:ascii="Times New Roman"/>
                <w:spacing w:val="-1"/>
                <w:sz w:val="20"/>
              </w:rPr>
              <w:t>1,333,895,431.21</w:t>
            </w:r>
          </w:p>
        </w:tc>
      </w:tr>
      <w:tr>
        <w:trPr>
          <w:trHeight w:val="295" w:hRule="exact"/>
        </w:trPr>
        <w:tc>
          <w:tcPr>
            <w:tcW w:w="57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可随时用于支付的其他货币资金</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20"/>
                <w:szCs w:val="20"/>
              </w:rPr>
            </w:pPr>
            <w:r>
              <w:rPr>
                <w:rFonts w:ascii="Times New Roman"/>
                <w:w w:val="95"/>
                <w:sz w:val="20"/>
              </w:rPr>
              <w:t>1,505.16</w:t>
            </w:r>
            <w:r>
              <w:rPr>
                <w:rFonts w:ascii="Times New Roman"/>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20"/>
                <w:szCs w:val="20"/>
              </w:rPr>
            </w:pPr>
            <w:r>
              <w:rPr>
                <w:rFonts w:ascii="Times New Roman"/>
                <w:w w:val="95"/>
                <w:sz w:val="20"/>
              </w:rPr>
              <w:t>1,499.83</w:t>
            </w:r>
            <w:r>
              <w:rPr>
                <w:rFonts w:ascii="Times New Roman"/>
                <w:sz w:val="20"/>
              </w:rPr>
            </w:r>
          </w:p>
        </w:tc>
      </w:tr>
      <w:tr>
        <w:trPr>
          <w:trHeight w:val="295" w:hRule="exact"/>
        </w:trPr>
        <w:tc>
          <w:tcPr>
            <w:tcW w:w="577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可用于支付的存放中央银行款项</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77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存放同业款项</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57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拆放同业款项</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7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7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77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20"/>
                <w:szCs w:val="20"/>
              </w:rPr>
            </w:pPr>
            <w:r>
              <w:rPr>
                <w:rFonts w:ascii="Times New Roman"/>
                <w:spacing w:val="-1"/>
                <w:sz w:val="20"/>
              </w:rPr>
              <w:t>1,651,152,916.63</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20"/>
                <w:szCs w:val="20"/>
              </w:rPr>
            </w:pPr>
            <w:r>
              <w:rPr>
                <w:rFonts w:ascii="Times New Roman"/>
                <w:spacing w:val="-1"/>
                <w:sz w:val="20"/>
              </w:rPr>
              <w:t>1,333,950,955.50</w:t>
            </w:r>
          </w:p>
        </w:tc>
      </w:tr>
      <w:tr>
        <w:trPr>
          <w:trHeight w:val="554" w:hRule="exact"/>
        </w:trPr>
        <w:tc>
          <w:tcPr>
            <w:tcW w:w="5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其中：母公司或集团内子公司使用受限制的现金和现金等价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物</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24"/>
                <w:szCs w:val="24"/>
              </w:rPr>
            </w:pPr>
            <w:r>
              <w:rPr>
                <w:rFonts w:ascii="宋体"/>
                <w:sz w:val="24"/>
              </w:rPr>
              <w:t>6,157,579.34</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0"/>
                <w:szCs w:val="20"/>
              </w:rPr>
            </w:pPr>
            <w:r>
              <w:rPr>
                <w:rFonts w:ascii="Times New Roman"/>
                <w:w w:val="95"/>
                <w:sz w:val="20"/>
              </w:rPr>
              <w:t>35,450,564.29</w:t>
            </w:r>
            <w:r>
              <w:rPr>
                <w:rFonts w:ascii="Times New Roman"/>
                <w:sz w:val="20"/>
              </w:rPr>
            </w:r>
          </w:p>
        </w:tc>
      </w:tr>
    </w:tbl>
    <w:p>
      <w:pPr>
        <w:spacing w:line="240" w:lineRule="auto" w:before="1"/>
        <w:rPr>
          <w:rFonts w:ascii="宋体" w:hAnsi="宋体" w:cs="宋体" w:eastAsia="宋体" w:hint="default"/>
          <w:b/>
          <w:bCs/>
          <w:sz w:val="18"/>
          <w:szCs w:val="18"/>
        </w:rPr>
      </w:pPr>
    </w:p>
    <w:p>
      <w:pPr>
        <w:pStyle w:val="Heading3"/>
        <w:spacing w:line="240" w:lineRule="auto" w:before="26"/>
        <w:ind w:left="236" w:right="0"/>
        <w:jc w:val="left"/>
        <w:rPr>
          <w:rFonts w:ascii="宋体" w:hAnsi="宋体" w:cs="宋体" w:eastAsia="宋体" w:hint="default"/>
        </w:rPr>
      </w:pPr>
      <w:r>
        <w:rPr/>
        <w:t>其他说明：</w:t>
      </w:r>
      <w:r>
        <w:rPr>
          <w:rFonts w:ascii="宋体" w:hAnsi="宋体" w:cs="宋体" w:eastAsia="宋体" w:hint="default"/>
        </w:rPr>
        <w:t> </w:t>
      </w:r>
    </w:p>
    <w:p>
      <w:pPr>
        <w:pStyle w:val="Heading3"/>
        <w:spacing w:line="240" w:lineRule="auto" w:before="58"/>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240" w:lineRule="auto" w:before="55"/>
        <w:ind w:left="236" w:right="0"/>
        <w:jc w:val="left"/>
        <w:rPr>
          <w:rFonts w:ascii="宋体" w:hAnsi="宋体" w:cs="宋体" w:eastAsia="宋体" w:hint="default"/>
        </w:rPr>
      </w:pPr>
      <w:r>
        <w:rPr>
          <w:rFonts w:ascii="宋体"/>
        </w:rPr>
        <w:t> </w:t>
      </w:r>
    </w:p>
    <w:p>
      <w:pPr>
        <w:spacing w:line="292" w:lineRule="auto" w:before="64"/>
        <w:ind w:left="236" w:right="0" w:firstLine="0"/>
        <w:jc w:val="left"/>
        <w:rPr>
          <w:rFonts w:ascii="宋体" w:hAnsi="宋体" w:cs="宋体" w:eastAsia="宋体" w:hint="default"/>
          <w:sz w:val="21"/>
          <w:szCs w:val="21"/>
        </w:rPr>
      </w:pPr>
      <w:r>
        <w:rPr>
          <w:rFonts w:ascii="宋体" w:hAnsi="宋体" w:cs="宋体" w:eastAsia="宋体" w:hint="default"/>
          <w:b/>
          <w:bCs/>
          <w:sz w:val="21"/>
          <w:szCs w:val="21"/>
        </w:rPr>
        <w:t>78</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21"/>
          <w:szCs w:val="21"/>
        </w:rPr>
        <w:t>说明对上年期末余额进行调整的“其他”项目名称及调整金额等事项：</w:t>
      </w:r>
      <w:r>
        <w:rPr>
          <w:rFonts w:ascii="宋体" w:hAnsi="宋体" w:cs="宋体" w:eastAsia="宋体" w:hint="default"/>
          <w:sz w:val="21"/>
          <w:szCs w:val="21"/>
        </w:rPr>
        <w:t> </w:t>
      </w:r>
    </w:p>
    <w:p>
      <w:pPr>
        <w:pStyle w:val="Heading3"/>
        <w:spacing w:line="257" w:lineRule="exact"/>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rFonts w:ascii="宋体" w:hAnsi="宋体" w:cs="宋体" w:eastAsia="宋体" w:hint="default"/>
          <w:color w:val="FF00FF"/>
        </w:rPr>
        <w:t> </w:t>
      </w:r>
      <w:r>
        <w:rPr>
          <w:rFonts w:ascii="宋体" w:hAnsi="宋体" w:cs="宋体" w:eastAsia="宋体" w:hint="default"/>
        </w:rPr>
      </w:r>
    </w:p>
    <w:p>
      <w:pPr>
        <w:pStyle w:val="Heading3"/>
        <w:spacing w:line="313" w:lineRule="exact"/>
        <w:ind w:left="236" w:right="0"/>
        <w:jc w:val="left"/>
        <w:rPr>
          <w:rFonts w:ascii="宋体" w:hAnsi="宋体" w:cs="宋体" w:eastAsia="宋体" w:hint="default"/>
        </w:rPr>
      </w:pPr>
      <w:r>
        <w:rPr>
          <w:rFonts w:ascii="宋体"/>
        </w:rPr>
        <w:t> </w:t>
      </w:r>
    </w:p>
    <w:p>
      <w:pPr>
        <w:pStyle w:val="Heading5"/>
        <w:spacing w:line="240" w:lineRule="auto" w:before="61"/>
        <w:ind w:left="236" w:right="0"/>
        <w:jc w:val="left"/>
        <w:rPr>
          <w:rFonts w:ascii="宋体" w:hAnsi="宋体" w:cs="宋体" w:eastAsia="宋体" w:hint="default"/>
          <w:b w:val="0"/>
          <w:bCs w:val="0"/>
        </w:rPr>
      </w:pPr>
      <w:r>
        <w:rPr>
          <w:rFonts w:ascii="宋体" w:hAnsi="宋体" w:cs="宋体" w:eastAsia="宋体" w:hint="default"/>
        </w:rPr>
        <w:t>79</w:t>
      </w:r>
      <w:r>
        <w:rPr/>
        <w:t>、</w:t>
      </w:r>
      <w:r>
        <w:rPr>
          <w:spacing w:val="-26"/>
        </w:rPr>
        <w:t> </w:t>
      </w:r>
      <w:r>
        <w:rPr/>
        <w:t>所有权或使用权受到限制的资产</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600"/>
        <w:gridCol w:w="1628"/>
        <w:gridCol w:w="4835"/>
      </w:tblGrid>
      <w:tr>
        <w:trPr>
          <w:trHeight w:val="63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18"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center"/>
              <w:rPr>
                <w:rFonts w:ascii="宋体" w:hAnsi="宋体" w:cs="宋体" w:eastAsia="宋体" w:hint="default"/>
                <w:sz w:val="24"/>
                <w:szCs w:val="24"/>
              </w:rPr>
            </w:pPr>
            <w:r>
              <w:rPr>
                <w:rFonts w:ascii="宋体" w:hAnsi="宋体" w:cs="宋体" w:eastAsia="宋体" w:hint="default"/>
                <w:sz w:val="24"/>
                <w:szCs w:val="24"/>
              </w:rPr>
              <w:t>期末账面价</w:t>
            </w:r>
          </w:p>
          <w:p>
            <w:pPr>
              <w:pStyle w:val="TableParagraph"/>
              <w:spacing w:line="313" w:lineRule="exact"/>
              <w:ind w:left="115" w:right="0"/>
              <w:jc w:val="center"/>
              <w:rPr>
                <w:rFonts w:ascii="宋体" w:hAnsi="宋体" w:cs="宋体" w:eastAsia="宋体" w:hint="default"/>
                <w:sz w:val="24"/>
                <w:szCs w:val="24"/>
              </w:rPr>
            </w:pPr>
            <w:r>
              <w:rPr>
                <w:rFonts w:ascii="宋体" w:hAnsi="宋体" w:cs="宋体" w:eastAsia="宋体" w:hint="default"/>
                <w:sz w:val="24"/>
                <w:szCs w:val="24"/>
              </w:rPr>
              <w:t>值</w:t>
            </w:r>
            <w:r>
              <w:rPr>
                <w:rFonts w:ascii="宋体" w:hAnsi="宋体" w:cs="宋体" w:eastAsia="宋体" w:hint="default"/>
                <w:sz w:val="24"/>
                <w:szCs w:val="24"/>
              </w:rPr>
              <w:t> </w:t>
            </w:r>
          </w:p>
        </w:tc>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14" w:right="0"/>
              <w:jc w:val="center"/>
              <w:rPr>
                <w:rFonts w:ascii="宋体" w:hAnsi="宋体" w:cs="宋体" w:eastAsia="宋体" w:hint="default"/>
                <w:sz w:val="24"/>
                <w:szCs w:val="24"/>
              </w:rPr>
            </w:pPr>
            <w:r>
              <w:rPr>
                <w:rFonts w:ascii="宋体" w:hAnsi="宋体" w:cs="宋体" w:eastAsia="宋体" w:hint="default"/>
                <w:sz w:val="24"/>
                <w:szCs w:val="24"/>
              </w:rPr>
              <w:t>受限原因</w:t>
            </w:r>
            <w:r>
              <w:rPr>
                <w:rFonts w:ascii="宋体" w:hAnsi="宋体" w:cs="宋体" w:eastAsia="宋体" w:hint="default"/>
                <w:sz w:val="24"/>
                <w:szCs w:val="24"/>
              </w:rPr>
              <w:t> </w:t>
            </w:r>
          </w:p>
        </w:tc>
      </w:tr>
      <w:tr>
        <w:trPr>
          <w:trHeight w:val="28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9"/>
              <w:jc w:val="right"/>
              <w:rPr>
                <w:rFonts w:ascii="Times New Roman" w:hAnsi="Times New Roman" w:cs="Times New Roman" w:eastAsia="Times New Roman" w:hint="default"/>
                <w:sz w:val="20"/>
                <w:szCs w:val="20"/>
              </w:rPr>
            </w:pPr>
            <w:r>
              <w:rPr>
                <w:rFonts w:ascii="Times New Roman"/>
                <w:w w:val="95"/>
                <w:sz w:val="20"/>
              </w:rPr>
              <w:t>965,597,344.96</w:t>
            </w:r>
            <w:r>
              <w:rPr>
                <w:rFonts w:ascii="Times New Roman"/>
                <w:sz w:val="20"/>
              </w:rPr>
            </w:r>
          </w:p>
        </w:tc>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为票据及信用证保证金</w:t>
            </w:r>
            <w:r>
              <w:rPr>
                <w:rFonts w:ascii="宋体" w:hAnsi="宋体" w:cs="宋体" w:eastAsia="宋体" w:hint="default"/>
                <w:sz w:val="21"/>
                <w:szCs w:val="21"/>
              </w:rPr>
              <w:t> </w:t>
            </w:r>
          </w:p>
        </w:tc>
      </w:tr>
      <w:tr>
        <w:trPr>
          <w:trHeight w:val="28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628" w:type="dxa"/>
            <w:tcBorders>
              <w:top w:val="single" w:sz="4" w:space="0" w:color="000000"/>
              <w:left w:val="single" w:sz="4" w:space="0" w:color="000000"/>
              <w:bottom w:val="single" w:sz="4" w:space="0" w:color="000000"/>
              <w:right w:val="single" w:sz="4" w:space="0" w:color="000000"/>
            </w:tcBorders>
          </w:tcPr>
          <w:p>
            <w:pPr/>
          </w:p>
        </w:tc>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628" w:type="dxa"/>
            <w:tcBorders>
              <w:top w:val="single" w:sz="4" w:space="0" w:color="000000"/>
              <w:left w:val="single" w:sz="4" w:space="0" w:color="000000"/>
              <w:bottom w:val="single" w:sz="4" w:space="0" w:color="000000"/>
              <w:right w:val="single" w:sz="4" w:space="0" w:color="000000"/>
            </w:tcBorders>
          </w:tcPr>
          <w:p>
            <w:pPr/>
          </w:p>
        </w:tc>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826"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9"/>
              <w:jc w:val="right"/>
              <w:rPr>
                <w:rFonts w:ascii="Times New Roman" w:hAnsi="Times New Roman" w:cs="Times New Roman" w:eastAsia="Times New Roman" w:hint="default"/>
                <w:sz w:val="20"/>
                <w:szCs w:val="20"/>
              </w:rPr>
            </w:pPr>
            <w:r>
              <w:rPr>
                <w:rFonts w:ascii="Times New Roman"/>
                <w:w w:val="95"/>
                <w:sz w:val="20"/>
              </w:rPr>
              <w:t>9,454,641.00</w:t>
            </w:r>
            <w:r>
              <w:rPr>
                <w:rFonts w:ascii="Times New Roman"/>
                <w:sz w:val="20"/>
              </w:rPr>
            </w:r>
          </w:p>
        </w:tc>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中国银行福建龙岩支行</w:t>
            </w:r>
            <w:r>
              <w:rPr>
                <w:rFonts w:ascii="宋体" w:hAnsi="宋体" w:cs="宋体" w:eastAsia="宋体" w:hint="default"/>
                <w:spacing w:val="-61"/>
                <w:sz w:val="21"/>
                <w:szCs w:val="21"/>
              </w:rPr>
              <w:t> </w:t>
            </w:r>
            <w:r>
              <w:rPr>
                <w:rFonts w:ascii="宋体" w:hAnsi="宋体" w:cs="宋体" w:eastAsia="宋体" w:hint="default"/>
                <w:sz w:val="21"/>
                <w:szCs w:val="21"/>
              </w:rPr>
              <w:t>1,700</w:t>
            </w:r>
            <w:r>
              <w:rPr>
                <w:rFonts w:ascii="宋体" w:hAnsi="宋体" w:cs="宋体" w:eastAsia="宋体" w:hint="default"/>
                <w:spacing w:val="-61"/>
                <w:sz w:val="21"/>
                <w:szCs w:val="21"/>
              </w:rPr>
              <w:t> </w:t>
            </w:r>
            <w:r>
              <w:rPr>
                <w:rFonts w:ascii="宋体" w:hAnsi="宋体" w:cs="宋体" w:eastAsia="宋体" w:hint="default"/>
                <w:sz w:val="21"/>
                <w:szCs w:val="21"/>
              </w:rPr>
              <w:t>万元银行票据额度受</w:t>
            </w:r>
          </w:p>
          <w:p>
            <w:pPr>
              <w:pStyle w:val="TableParagraph"/>
              <w:spacing w:line="240" w:lineRule="auto"/>
              <w:ind w:left="105" w:right="106"/>
              <w:jc w:val="left"/>
              <w:rPr>
                <w:rFonts w:ascii="宋体" w:hAnsi="宋体" w:cs="宋体" w:eastAsia="宋体" w:hint="default"/>
                <w:sz w:val="21"/>
                <w:szCs w:val="21"/>
              </w:rPr>
            </w:pPr>
            <w:r>
              <w:rPr>
                <w:rFonts w:ascii="宋体" w:hAnsi="宋体" w:cs="宋体" w:eastAsia="宋体" w:hint="default"/>
                <w:spacing w:val="-2"/>
                <w:sz w:val="21"/>
                <w:szCs w:val="21"/>
              </w:rPr>
              <w:t>限抵押，前述抵押担保项下债务已履行完毕，抵押</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解除手续正在办理中</w:t>
            </w:r>
            <w:r>
              <w:rPr>
                <w:rFonts w:ascii="宋体" w:hAnsi="宋体" w:cs="宋体" w:eastAsia="宋体" w:hint="default"/>
                <w:sz w:val="21"/>
                <w:szCs w:val="21"/>
              </w:rPr>
              <w:t> </w:t>
            </w:r>
          </w:p>
        </w:tc>
      </w:tr>
      <w:tr>
        <w:trPr>
          <w:trHeight w:val="830" w:hRule="exact"/>
        </w:trPr>
        <w:tc>
          <w:tcPr>
            <w:tcW w:w="260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62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9"/>
              <w:jc w:val="right"/>
              <w:rPr>
                <w:rFonts w:ascii="Times New Roman" w:hAnsi="Times New Roman" w:cs="Times New Roman" w:eastAsia="Times New Roman" w:hint="default"/>
                <w:sz w:val="20"/>
                <w:szCs w:val="20"/>
              </w:rPr>
            </w:pPr>
            <w:r>
              <w:rPr>
                <w:rFonts w:ascii="Times New Roman"/>
                <w:w w:val="95"/>
                <w:sz w:val="20"/>
              </w:rPr>
              <w:t>25,227,646.84</w:t>
            </w:r>
            <w:r>
              <w:rPr>
                <w:rFonts w:ascii="Times New Roman"/>
                <w:sz w:val="20"/>
              </w:rPr>
            </w:r>
          </w:p>
        </w:tc>
        <w:tc>
          <w:tcPr>
            <w:tcW w:w="4835" w:type="dxa"/>
            <w:tcBorders>
              <w:top w:val="single" w:sz="4" w:space="0" w:color="000000"/>
              <w:left w:val="single" w:sz="4" w:space="0" w:color="000000"/>
              <w:bottom w:val="single" w:sz="6"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中国银行福建龙岩支行</w:t>
            </w:r>
            <w:r>
              <w:rPr>
                <w:rFonts w:ascii="宋体" w:hAnsi="宋体" w:cs="宋体" w:eastAsia="宋体" w:hint="default"/>
                <w:spacing w:val="-61"/>
                <w:sz w:val="21"/>
                <w:szCs w:val="21"/>
              </w:rPr>
              <w:t> </w:t>
            </w:r>
            <w:r>
              <w:rPr>
                <w:rFonts w:ascii="宋体" w:hAnsi="宋体" w:cs="宋体" w:eastAsia="宋体" w:hint="default"/>
                <w:sz w:val="21"/>
                <w:szCs w:val="21"/>
              </w:rPr>
              <w:t>1,700</w:t>
            </w:r>
            <w:r>
              <w:rPr>
                <w:rFonts w:ascii="宋体" w:hAnsi="宋体" w:cs="宋体" w:eastAsia="宋体" w:hint="default"/>
                <w:spacing w:val="-61"/>
                <w:sz w:val="21"/>
                <w:szCs w:val="21"/>
              </w:rPr>
              <w:t> </w:t>
            </w:r>
            <w:r>
              <w:rPr>
                <w:rFonts w:ascii="宋体" w:hAnsi="宋体" w:cs="宋体" w:eastAsia="宋体" w:hint="default"/>
                <w:sz w:val="21"/>
                <w:szCs w:val="21"/>
              </w:rPr>
              <w:t>万元银行票据额度受</w:t>
            </w:r>
          </w:p>
          <w:p>
            <w:pPr>
              <w:pStyle w:val="TableParagraph"/>
              <w:spacing w:line="272" w:lineRule="exact" w:before="27"/>
              <w:ind w:left="105" w:right="107"/>
              <w:jc w:val="left"/>
              <w:rPr>
                <w:rFonts w:ascii="宋体" w:hAnsi="宋体" w:cs="宋体" w:eastAsia="宋体" w:hint="default"/>
                <w:sz w:val="21"/>
                <w:szCs w:val="21"/>
              </w:rPr>
            </w:pPr>
            <w:r>
              <w:rPr>
                <w:rFonts w:ascii="宋体" w:hAnsi="宋体" w:cs="宋体" w:eastAsia="宋体" w:hint="default"/>
                <w:spacing w:val="-2"/>
                <w:sz w:val="21"/>
                <w:szCs w:val="21"/>
              </w:rPr>
              <w:t>限抵押，前述抵押担保项下债务已履行完毕，抵押</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解除手续正在办理中</w:t>
            </w:r>
            <w:r>
              <w:rPr>
                <w:rFonts w:ascii="宋体" w:hAnsi="宋体" w:cs="宋体" w:eastAsia="宋体" w:hint="default"/>
                <w:sz w:val="21"/>
                <w:szCs w:val="21"/>
              </w:rPr>
              <w:t> </w:t>
            </w:r>
          </w:p>
        </w:tc>
      </w:tr>
      <w:tr>
        <w:trPr>
          <w:trHeight w:val="286"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6"/>
              <w:jc w:val="right"/>
              <w:rPr>
                <w:rFonts w:ascii="Times New Roman" w:hAnsi="Times New Roman" w:cs="Times New Roman" w:eastAsia="Times New Roman" w:hint="default"/>
                <w:sz w:val="20"/>
                <w:szCs w:val="20"/>
              </w:rPr>
            </w:pPr>
            <w:r>
              <w:rPr>
                <w:rFonts w:ascii="Times New Roman"/>
                <w:w w:val="95"/>
                <w:sz w:val="20"/>
              </w:rPr>
              <w:t>57,167,496.36</w:t>
            </w:r>
            <w:r>
              <w:rPr>
                <w:rFonts w:ascii="Times New Roman"/>
                <w:sz w:val="20"/>
              </w:rPr>
            </w:r>
          </w:p>
        </w:tc>
        <w:tc>
          <w:tcPr>
            <w:tcW w:w="4835" w:type="dxa"/>
            <w:vMerge w:val="restart"/>
            <w:tcBorders>
              <w:top w:val="single" w:sz="6" w:space="0" w:color="000000"/>
              <w:left w:val="single" w:sz="6" w:space="0" w:color="000000"/>
              <w:right w:val="single" w:sz="6" w:space="0" w:color="000000"/>
            </w:tcBorders>
          </w:tcPr>
          <w:p>
            <w:pPr>
              <w:pStyle w:val="TableParagraph"/>
              <w:spacing w:line="239" w:lineRule="exact"/>
              <w:ind w:left="105" w:right="0"/>
              <w:jc w:val="both"/>
              <w:rPr>
                <w:rFonts w:ascii="宋体" w:hAnsi="宋体" w:cs="宋体" w:eastAsia="宋体" w:hint="default"/>
                <w:sz w:val="21"/>
                <w:szCs w:val="21"/>
              </w:rPr>
            </w:pPr>
            <w:r>
              <w:rPr>
                <w:rFonts w:ascii="宋体" w:hAnsi="宋体" w:cs="宋体" w:eastAsia="宋体" w:hint="default"/>
                <w:spacing w:val="6"/>
                <w:sz w:val="21"/>
                <w:szCs w:val="21"/>
              </w:rPr>
              <w:t>为泰豪沈阳电机有限公司在中国进出口银行上海</w:t>
            </w:r>
          </w:p>
          <w:p>
            <w:pPr>
              <w:pStyle w:val="TableParagraph"/>
              <w:spacing w:line="237" w:lineRule="auto"/>
              <w:ind w:left="105" w:right="101"/>
              <w:jc w:val="both"/>
              <w:rPr>
                <w:rFonts w:ascii="宋体" w:hAnsi="宋体" w:cs="宋体" w:eastAsia="宋体" w:hint="default"/>
                <w:sz w:val="21"/>
                <w:szCs w:val="21"/>
              </w:rPr>
            </w:pPr>
            <w:r>
              <w:rPr>
                <w:rFonts w:ascii="宋体" w:hAnsi="宋体" w:cs="宋体" w:eastAsia="宋体" w:hint="default"/>
                <w:sz w:val="21"/>
                <w:szCs w:val="21"/>
              </w:rPr>
              <w:t>分行、大连分行 </w:t>
            </w:r>
            <w:r>
              <w:rPr>
                <w:rFonts w:ascii="宋体" w:hAnsi="宋体" w:cs="宋体" w:eastAsia="宋体" w:hint="default"/>
                <w:sz w:val="21"/>
                <w:szCs w:val="21"/>
              </w:rPr>
              <w:t>12,000</w:t>
            </w:r>
            <w:r>
              <w:rPr>
                <w:rFonts w:ascii="宋体" w:hAnsi="宋体" w:cs="宋体" w:eastAsia="宋体" w:hint="default"/>
                <w:spacing w:val="-16"/>
                <w:sz w:val="21"/>
                <w:szCs w:val="21"/>
              </w:rPr>
              <w:t> </w:t>
            </w:r>
            <w:r>
              <w:rPr>
                <w:rFonts w:ascii="宋体" w:hAnsi="宋体" w:cs="宋体" w:eastAsia="宋体" w:hint="default"/>
                <w:sz w:val="21"/>
                <w:szCs w:val="21"/>
              </w:rPr>
              <w:t>万元长期借款抵押，前述</w:t>
            </w:r>
            <w:r>
              <w:rPr>
                <w:rFonts w:ascii="宋体" w:hAnsi="宋体" w:cs="宋体" w:eastAsia="宋体" w:hint="default"/>
                <w:w w:val="100"/>
                <w:sz w:val="21"/>
                <w:szCs w:val="21"/>
              </w:rPr>
              <w:t> </w:t>
            </w:r>
            <w:r>
              <w:rPr>
                <w:rFonts w:ascii="宋体" w:hAnsi="宋体" w:cs="宋体" w:eastAsia="宋体" w:hint="default"/>
                <w:spacing w:val="-3"/>
                <w:sz w:val="21"/>
                <w:szCs w:val="21"/>
              </w:rPr>
              <w:t>抵押担保项下债务已履行完毕，抵押解除手续正在</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办理中</w:t>
            </w:r>
            <w:r>
              <w:rPr>
                <w:rFonts w:ascii="宋体" w:hAnsi="宋体" w:cs="宋体" w:eastAsia="宋体" w:hint="default"/>
                <w:sz w:val="21"/>
                <w:szCs w:val="21"/>
              </w:rPr>
              <w:t> </w:t>
            </w:r>
          </w:p>
        </w:tc>
      </w:tr>
      <w:tr>
        <w:trPr>
          <w:trHeight w:val="818"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w w:val="95"/>
                <w:sz w:val="20"/>
              </w:rPr>
              <w:t>56,804,833.10</w:t>
            </w:r>
            <w:r>
              <w:rPr>
                <w:rFonts w:ascii="Times New Roman"/>
                <w:sz w:val="20"/>
              </w:rPr>
            </w:r>
          </w:p>
        </w:tc>
        <w:tc>
          <w:tcPr>
            <w:tcW w:w="4835" w:type="dxa"/>
            <w:vMerge/>
            <w:tcBorders>
              <w:left w:val="single" w:sz="6" w:space="0" w:color="000000"/>
              <w:bottom w:val="single" w:sz="6" w:space="0" w:color="000000"/>
              <w:right w:val="single" w:sz="6" w:space="0" w:color="000000"/>
            </w:tcBorders>
          </w:tcPr>
          <w:p>
            <w:pPr/>
          </w:p>
        </w:tc>
      </w:tr>
      <w:tr>
        <w:trPr>
          <w:trHeight w:val="559" w:hRule="exact"/>
        </w:trPr>
        <w:tc>
          <w:tcPr>
            <w:tcW w:w="2600"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3"/>
                <w:sz w:val="21"/>
                <w:szCs w:val="21"/>
              </w:rPr>
              <w:t>长期股权投资</w:t>
            </w:r>
            <w:r>
              <w:rPr>
                <w:rFonts w:ascii="宋体" w:hAnsi="宋体" w:cs="宋体" w:eastAsia="宋体" w:hint="default"/>
                <w:spacing w:val="13"/>
                <w:sz w:val="21"/>
                <w:szCs w:val="21"/>
              </w:rPr>
              <w:t>-</w:t>
            </w:r>
            <w:r>
              <w:rPr>
                <w:rFonts w:ascii="宋体" w:hAnsi="宋体" w:cs="宋体" w:eastAsia="宋体" w:hint="default"/>
                <w:spacing w:val="13"/>
                <w:sz w:val="21"/>
                <w:szCs w:val="21"/>
              </w:rPr>
              <w:t>龙岩市海</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德馨汽车有限公司</w:t>
            </w:r>
            <w:r>
              <w:rPr>
                <w:rFonts w:ascii="宋体" w:hAnsi="宋体" w:cs="宋体" w:eastAsia="宋体" w:hint="default"/>
                <w:sz w:val="21"/>
                <w:szCs w:val="21"/>
              </w:rPr>
              <w:t> </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6"/>
              <w:jc w:val="right"/>
              <w:rPr>
                <w:rFonts w:ascii="Times New Roman" w:hAnsi="Times New Roman" w:cs="Times New Roman" w:eastAsia="Times New Roman" w:hint="default"/>
                <w:sz w:val="20"/>
                <w:szCs w:val="20"/>
              </w:rPr>
            </w:pPr>
            <w:r>
              <w:rPr>
                <w:rFonts w:ascii="Times New Roman"/>
                <w:w w:val="95"/>
                <w:sz w:val="20"/>
              </w:rPr>
              <w:t>132,600,000.00</w:t>
            </w:r>
            <w:r>
              <w:rPr>
                <w:rFonts w:ascii="Times New Roman"/>
                <w:sz w:val="20"/>
              </w:rPr>
            </w:r>
          </w:p>
        </w:tc>
        <w:tc>
          <w:tcPr>
            <w:tcW w:w="48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中国工商银行北京西路支行</w:t>
            </w:r>
            <w:r>
              <w:rPr>
                <w:rFonts w:ascii="宋体" w:hAnsi="宋体" w:cs="宋体" w:eastAsia="宋体" w:hint="default"/>
                <w:spacing w:val="-60"/>
                <w:sz w:val="21"/>
                <w:szCs w:val="21"/>
              </w:rPr>
              <w:t> </w:t>
            </w:r>
            <w:r>
              <w:rPr>
                <w:rFonts w:ascii="宋体" w:hAnsi="宋体" w:cs="宋体" w:eastAsia="宋体" w:hint="default"/>
                <w:sz w:val="21"/>
                <w:szCs w:val="21"/>
              </w:rPr>
              <w:t>2,924</w:t>
            </w:r>
            <w:r>
              <w:rPr>
                <w:rFonts w:ascii="宋体" w:hAnsi="宋体" w:cs="宋体" w:eastAsia="宋体" w:hint="default"/>
                <w:spacing w:val="-62"/>
                <w:sz w:val="21"/>
                <w:szCs w:val="21"/>
              </w:rPr>
              <w:t> </w:t>
            </w:r>
            <w:r>
              <w:rPr>
                <w:rFonts w:ascii="宋体" w:hAnsi="宋体" w:cs="宋体" w:eastAsia="宋体" w:hint="default"/>
                <w:sz w:val="21"/>
                <w:szCs w:val="21"/>
              </w:rPr>
              <w:t>万元长期借款质</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押</w:t>
            </w:r>
            <w:r>
              <w:rPr>
                <w:rFonts w:ascii="宋体" w:hAnsi="宋体" w:cs="宋体" w:eastAsia="宋体" w:hint="default"/>
                <w:sz w:val="21"/>
                <w:szCs w:val="21"/>
              </w:rPr>
              <w:t> </w:t>
            </w:r>
          </w:p>
        </w:tc>
      </w:tr>
    </w:tbl>
    <w:p>
      <w:pPr>
        <w:spacing w:after="0" w:line="274" w:lineRule="exact"/>
        <w:jc w:val="lef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2600"/>
        <w:gridCol w:w="1628"/>
        <w:gridCol w:w="4835"/>
      </w:tblGrid>
      <w:tr>
        <w:trPr>
          <w:trHeight w:val="560"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3"/>
                <w:sz w:val="21"/>
                <w:szCs w:val="21"/>
              </w:rPr>
              <w:t>长期股权投资</w:t>
            </w:r>
            <w:r>
              <w:rPr>
                <w:rFonts w:ascii="宋体" w:hAnsi="宋体" w:cs="宋体" w:eastAsia="宋体" w:hint="default"/>
                <w:spacing w:val="13"/>
                <w:sz w:val="21"/>
                <w:szCs w:val="21"/>
              </w:rPr>
              <w:t>-</w:t>
            </w:r>
            <w:r>
              <w:rPr>
                <w:rFonts w:ascii="宋体" w:hAnsi="宋体" w:cs="宋体" w:eastAsia="宋体" w:hint="default"/>
                <w:spacing w:val="13"/>
                <w:sz w:val="21"/>
                <w:szCs w:val="21"/>
              </w:rPr>
              <w:t>上海红生</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系统工程有限公司</w:t>
            </w:r>
            <w:r>
              <w:rPr>
                <w:rFonts w:ascii="宋体" w:hAnsi="宋体" w:cs="宋体" w:eastAsia="宋体" w:hint="default"/>
                <w:sz w:val="21"/>
                <w:szCs w:val="21"/>
              </w:rPr>
              <w:t> </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6"/>
              <w:jc w:val="right"/>
              <w:rPr>
                <w:rFonts w:ascii="Times New Roman" w:hAnsi="Times New Roman" w:cs="Times New Roman" w:eastAsia="Times New Roman" w:hint="default"/>
                <w:sz w:val="20"/>
                <w:szCs w:val="20"/>
              </w:rPr>
            </w:pPr>
            <w:r>
              <w:rPr>
                <w:rFonts w:ascii="Times New Roman"/>
                <w:w w:val="95"/>
                <w:sz w:val="20"/>
              </w:rPr>
              <w:t>490,000,000.00</w:t>
            </w:r>
            <w:r>
              <w:rPr>
                <w:rFonts w:ascii="Times New Roman"/>
                <w:sz w:val="20"/>
              </w:rPr>
            </w:r>
          </w:p>
        </w:tc>
        <w:tc>
          <w:tcPr>
            <w:tcW w:w="48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中国工商银行北京西路支行 </w:t>
            </w:r>
            <w:r>
              <w:rPr>
                <w:rFonts w:ascii="宋体" w:hAnsi="宋体" w:cs="宋体" w:eastAsia="宋体" w:hint="default"/>
                <w:sz w:val="21"/>
                <w:szCs w:val="21"/>
              </w:rPr>
              <w:t>20,600</w:t>
            </w:r>
            <w:r>
              <w:rPr>
                <w:rFonts w:ascii="宋体" w:hAnsi="宋体" w:cs="宋体" w:eastAsia="宋体" w:hint="default"/>
                <w:spacing w:val="-16"/>
                <w:sz w:val="21"/>
                <w:szCs w:val="21"/>
              </w:rPr>
              <w:t> </w:t>
            </w:r>
            <w:r>
              <w:rPr>
                <w:rFonts w:ascii="宋体" w:hAnsi="宋体" w:cs="宋体" w:eastAsia="宋体" w:hint="default"/>
                <w:sz w:val="21"/>
                <w:szCs w:val="21"/>
              </w:rPr>
              <w:t>万元长期借款</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质押</w:t>
            </w:r>
            <w:r>
              <w:rPr>
                <w:rFonts w:ascii="宋体" w:hAnsi="宋体" w:cs="宋体" w:eastAsia="宋体" w:hint="default"/>
                <w:sz w:val="21"/>
                <w:szCs w:val="21"/>
              </w:rPr>
              <w:t> </w:t>
            </w:r>
          </w:p>
        </w:tc>
      </w:tr>
      <w:tr>
        <w:trPr>
          <w:trHeight w:val="288"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6"/>
              <w:jc w:val="right"/>
              <w:rPr>
                <w:rFonts w:ascii="Times New Roman" w:hAnsi="Times New Roman" w:cs="Times New Roman" w:eastAsia="Times New Roman" w:hint="default"/>
                <w:sz w:val="20"/>
                <w:szCs w:val="20"/>
              </w:rPr>
            </w:pPr>
            <w:r>
              <w:rPr>
                <w:rFonts w:ascii="Times New Roman"/>
                <w:w w:val="95"/>
                <w:sz w:val="20"/>
              </w:rPr>
              <w:t>35,034,973.20</w:t>
            </w:r>
            <w:r>
              <w:rPr>
                <w:rFonts w:ascii="Times New Roman"/>
                <w:sz w:val="20"/>
              </w:rPr>
            </w:r>
          </w:p>
        </w:tc>
        <w:tc>
          <w:tcPr>
            <w:tcW w:w="4835" w:type="dxa"/>
            <w:vMerge w:val="restart"/>
            <w:tcBorders>
              <w:top w:val="single" w:sz="6" w:space="0" w:color="000000"/>
              <w:left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江西省融资担保股份有限公司为公司</w:t>
            </w:r>
            <w:r>
              <w:rPr>
                <w:rFonts w:ascii="宋体" w:hAnsi="宋体" w:cs="宋体" w:eastAsia="宋体" w:hint="default"/>
                <w:spacing w:val="-60"/>
                <w:sz w:val="21"/>
                <w:szCs w:val="21"/>
              </w:rPr>
              <w:t> </w:t>
            </w:r>
            <w:r>
              <w:rPr>
                <w:rFonts w:ascii="宋体" w:hAnsi="宋体" w:cs="宋体" w:eastAsia="宋体" w:hint="default"/>
                <w:sz w:val="21"/>
                <w:szCs w:val="21"/>
              </w:rPr>
              <w:t>4</w:t>
            </w:r>
            <w:r>
              <w:rPr>
                <w:rFonts w:ascii="宋体" w:hAnsi="宋体" w:cs="宋体" w:eastAsia="宋体" w:hint="default"/>
                <w:spacing w:val="-62"/>
                <w:sz w:val="21"/>
                <w:szCs w:val="21"/>
              </w:rPr>
              <w:t> </w:t>
            </w:r>
            <w:r>
              <w:rPr>
                <w:rFonts w:ascii="宋体" w:hAnsi="宋体" w:cs="宋体" w:eastAsia="宋体" w:hint="default"/>
                <w:sz w:val="21"/>
                <w:szCs w:val="21"/>
              </w:rPr>
              <w:t>亿元公司债</w:t>
            </w:r>
          </w:p>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sz w:val="21"/>
                <w:szCs w:val="21"/>
              </w:rPr>
              <w:t>发行担保，公司提供反担保抵押</w:t>
            </w:r>
            <w:r>
              <w:rPr>
                <w:rFonts w:ascii="宋体" w:hAnsi="宋体" w:cs="宋体" w:eastAsia="宋体" w:hint="default"/>
                <w:sz w:val="21"/>
                <w:szCs w:val="21"/>
              </w:rPr>
              <w:t> </w:t>
            </w:r>
          </w:p>
          <w:p>
            <w:pPr>
              <w:pStyle w:val="TableParagraph"/>
              <w:spacing w:line="272" w:lineRule="exact"/>
              <w:ind w:left="105" w:right="0"/>
              <w:jc w:val="left"/>
              <w:rPr>
                <w:rFonts w:ascii="宋体" w:hAnsi="宋体" w:cs="宋体" w:eastAsia="宋体" w:hint="default"/>
                <w:sz w:val="21"/>
                <w:szCs w:val="21"/>
              </w:rPr>
            </w:pPr>
            <w:r>
              <w:rPr>
                <w:rFonts w:ascii="宋体"/>
                <w:w w:val="100"/>
                <w:sz w:val="21"/>
              </w:rPr>
              <w:t> </w:t>
            </w:r>
          </w:p>
          <w:p>
            <w:pPr>
              <w:pStyle w:val="TableParagraph"/>
              <w:spacing w:line="274" w:lineRule="exact"/>
              <w:ind w:left="105" w:right="0"/>
              <w:jc w:val="left"/>
              <w:rPr>
                <w:rFonts w:ascii="宋体" w:hAnsi="宋体" w:cs="宋体" w:eastAsia="宋体" w:hint="default"/>
                <w:sz w:val="21"/>
                <w:szCs w:val="21"/>
              </w:rPr>
            </w:pPr>
            <w:r>
              <w:rPr>
                <w:rFonts w:ascii="宋体"/>
                <w:w w:val="100"/>
                <w:sz w:val="21"/>
              </w:rPr>
              <w:t> </w:t>
            </w:r>
          </w:p>
        </w:tc>
      </w:tr>
      <w:tr>
        <w:trPr>
          <w:trHeight w:val="288"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6"/>
              <w:jc w:val="right"/>
              <w:rPr>
                <w:rFonts w:ascii="Times New Roman" w:hAnsi="Times New Roman" w:cs="Times New Roman" w:eastAsia="Times New Roman" w:hint="default"/>
                <w:sz w:val="20"/>
                <w:szCs w:val="20"/>
              </w:rPr>
            </w:pPr>
            <w:r>
              <w:rPr>
                <w:rFonts w:ascii="Times New Roman"/>
                <w:w w:val="95"/>
                <w:sz w:val="20"/>
              </w:rPr>
              <w:t>36,930,957.53</w:t>
            </w:r>
            <w:r>
              <w:rPr>
                <w:rFonts w:ascii="Times New Roman"/>
                <w:sz w:val="20"/>
              </w:rPr>
            </w:r>
          </w:p>
        </w:tc>
        <w:tc>
          <w:tcPr>
            <w:tcW w:w="4835" w:type="dxa"/>
            <w:vMerge/>
            <w:tcBorders>
              <w:left w:val="single" w:sz="6" w:space="0" w:color="000000"/>
              <w:right w:val="single" w:sz="6" w:space="0" w:color="000000"/>
            </w:tcBorders>
          </w:tcPr>
          <w:p>
            <w:pPr/>
          </w:p>
        </w:tc>
      </w:tr>
      <w:tr>
        <w:trPr>
          <w:trHeight w:val="528" w:hRule="exact"/>
        </w:trPr>
        <w:tc>
          <w:tcPr>
            <w:tcW w:w="260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6"/>
              <w:ind w:left="105"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106"/>
              <w:jc w:val="right"/>
              <w:rPr>
                <w:rFonts w:ascii="Times New Roman" w:hAnsi="Times New Roman" w:cs="Times New Roman" w:eastAsia="Times New Roman" w:hint="default"/>
                <w:sz w:val="20"/>
                <w:szCs w:val="20"/>
              </w:rPr>
            </w:pPr>
            <w:r>
              <w:rPr>
                <w:rFonts w:ascii="Times New Roman"/>
                <w:w w:val="95"/>
                <w:sz w:val="20"/>
              </w:rPr>
              <w:t>6,565,620.98</w:t>
            </w:r>
            <w:r>
              <w:rPr>
                <w:rFonts w:ascii="Times New Roman"/>
                <w:sz w:val="20"/>
              </w:rPr>
            </w:r>
          </w:p>
        </w:tc>
        <w:tc>
          <w:tcPr>
            <w:tcW w:w="4835" w:type="dxa"/>
            <w:vMerge/>
            <w:tcBorders>
              <w:left w:val="single" w:sz="6" w:space="0" w:color="000000"/>
              <w:bottom w:val="single" w:sz="6" w:space="0" w:color="000000"/>
              <w:right w:val="single" w:sz="6" w:space="0" w:color="000000"/>
            </w:tcBorders>
          </w:tcPr>
          <w:p>
            <w:pPr/>
          </w:p>
        </w:tc>
      </w:tr>
      <w:tr>
        <w:trPr>
          <w:trHeight w:val="329"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18"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162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36"/>
              <w:ind w:right="110"/>
              <w:jc w:val="right"/>
              <w:rPr>
                <w:rFonts w:ascii="Times New Roman" w:hAnsi="Times New Roman" w:cs="Times New Roman" w:eastAsia="Times New Roman" w:hint="default"/>
                <w:sz w:val="20"/>
                <w:szCs w:val="20"/>
              </w:rPr>
            </w:pPr>
            <w:r>
              <w:rPr>
                <w:rFonts w:ascii="Times New Roman"/>
                <w:spacing w:val="-1"/>
                <w:sz w:val="20"/>
              </w:rPr>
              <w:t>1,815,383,513.97</w:t>
            </w:r>
          </w:p>
        </w:tc>
        <w:tc>
          <w:tcPr>
            <w:tcW w:w="4835" w:type="dxa"/>
            <w:tcBorders>
              <w:top w:val="single" w:sz="6" w:space="0" w:color="000000"/>
              <w:left w:val="single" w:sz="4" w:space="0" w:color="000000"/>
              <w:bottom w:val="single" w:sz="6" w:space="0" w:color="000000"/>
              <w:right w:val="single" w:sz="4" w:space="0" w:color="000000"/>
            </w:tcBorders>
          </w:tcPr>
          <w:p>
            <w:pPr>
              <w:pStyle w:val="TableParagraph"/>
              <w:spacing w:line="276" w:lineRule="exact"/>
              <w:ind w:left="115" w:right="0"/>
              <w:jc w:val="center"/>
              <w:rPr>
                <w:rFonts w:ascii="宋体" w:hAnsi="宋体" w:cs="宋体" w:eastAsia="宋体" w:hint="default"/>
                <w:sz w:val="24"/>
                <w:szCs w:val="24"/>
              </w:rPr>
            </w:pPr>
            <w:r>
              <w:rPr>
                <w:rFonts w:ascii="宋体"/>
                <w:sz w:val="24"/>
              </w:rPr>
              <w:t>/ </w:t>
            </w:r>
          </w:p>
        </w:tc>
      </w:tr>
    </w:tbl>
    <w:p>
      <w:pPr>
        <w:spacing w:after="0" w:line="276" w:lineRule="exact"/>
        <w:jc w:val="center"/>
        <w:rPr>
          <w:rFonts w:ascii="宋体" w:hAnsi="宋体" w:cs="宋体" w:eastAsia="宋体" w:hint="default"/>
          <w:sz w:val="24"/>
          <w:szCs w:val="24"/>
        </w:rPr>
        <w:sectPr>
          <w:pgSz w:w="11910" w:h="16840"/>
          <w:pgMar w:header="882" w:footer="1195" w:top="1120" w:bottom="1380" w:left="1040" w:right="1560"/>
        </w:sectPr>
      </w:pPr>
    </w:p>
    <w:p>
      <w:pPr>
        <w:pStyle w:val="Heading3"/>
        <w:spacing w:line="240" w:lineRule="auto" w:before="19"/>
        <w:ind w:left="236" w:right="0"/>
        <w:jc w:val="left"/>
        <w:rPr>
          <w:rFonts w:ascii="宋体" w:hAnsi="宋体" w:cs="宋体" w:eastAsia="宋体" w:hint="default"/>
        </w:rPr>
      </w:pPr>
      <w:r>
        <w:rPr>
          <w:rFonts w:ascii="宋体"/>
        </w:rPr>
        <w:t> </w:t>
      </w:r>
    </w:p>
    <w:p>
      <w:pPr>
        <w:pStyle w:val="Heading5"/>
        <w:spacing w:line="290" w:lineRule="auto" w:before="61"/>
        <w:ind w:left="236" w:right="0"/>
        <w:jc w:val="left"/>
        <w:rPr>
          <w:rFonts w:ascii="宋体" w:hAnsi="宋体" w:cs="宋体" w:eastAsia="宋体" w:hint="default"/>
          <w:b w:val="0"/>
          <w:bCs w:val="0"/>
        </w:rPr>
      </w:pPr>
      <w:r>
        <w:rPr>
          <w:rFonts w:ascii="宋体" w:hAnsi="宋体" w:cs="宋体" w:eastAsia="宋体" w:hint="default"/>
        </w:rPr>
        <w:t>80</w:t>
      </w:r>
      <w:r>
        <w:rPr/>
        <w:t>、</w:t>
      </w:r>
      <w:r>
        <w:rPr>
          <w:spacing w:val="-26"/>
        </w:rPr>
        <w:t> </w:t>
      </w:r>
      <w:r>
        <w:rPr/>
        <w:t>外币货币性项目</w:t>
      </w:r>
      <w:r>
        <w:rPr>
          <w:rFonts w:ascii="宋体" w:hAnsi="宋体" w:cs="宋体" w:eastAsia="宋体" w:hint="default"/>
          <w:w w:val="99"/>
        </w:rPr>
        <w:t> </w:t>
      </w:r>
      <w:r>
        <w:rPr>
          <w:rFonts w:ascii="宋体" w:hAnsi="宋体" w:cs="宋体" w:eastAsia="宋体" w:hint="default"/>
        </w:rPr>
        <w:t>(1).</w:t>
      </w:r>
      <w:r>
        <w:rPr/>
        <w:t>外币货币性项目</w:t>
      </w:r>
      <w:r>
        <w:rPr>
          <w:rFonts w:ascii="宋体" w:hAnsi="宋体" w:cs="宋体" w:eastAsia="宋体" w:hint="default"/>
          <w:b w:val="0"/>
          <w:bCs w:val="0"/>
          <w:w w:val="100"/>
        </w:rPr>
        <w:t> </w:t>
      </w:r>
    </w:p>
    <w:p>
      <w:pPr>
        <w:pStyle w:val="Heading3"/>
        <w:spacing w:line="240" w:lineRule="auto" w:before="6"/>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BodyText"/>
        <w:spacing w:line="240" w:lineRule="auto"/>
        <w:ind w:left="236"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323" w:space="5671"/>
            <w:col w:w="1316"/>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898"/>
        <w:gridCol w:w="2050"/>
        <w:gridCol w:w="2057"/>
        <w:gridCol w:w="2045"/>
      </w:tblGrid>
      <w:tr>
        <w:trPr>
          <w:trHeight w:val="63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17"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99" w:right="0"/>
              <w:jc w:val="left"/>
              <w:rPr>
                <w:rFonts w:ascii="宋体" w:hAnsi="宋体" w:cs="宋体" w:eastAsia="宋体" w:hint="default"/>
                <w:sz w:val="24"/>
                <w:szCs w:val="24"/>
              </w:rPr>
            </w:pPr>
            <w:r>
              <w:rPr>
                <w:rFonts w:ascii="宋体" w:hAnsi="宋体" w:cs="宋体" w:eastAsia="宋体" w:hint="default"/>
                <w:sz w:val="24"/>
                <w:szCs w:val="24"/>
              </w:rPr>
              <w:t>期末外币余额</w:t>
            </w:r>
            <w:r>
              <w:rPr>
                <w:rFonts w:ascii="宋体" w:hAnsi="宋体" w:cs="宋体" w:eastAsia="宋体" w:hint="default"/>
                <w:sz w:val="24"/>
                <w:szCs w:val="24"/>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542" w:right="0"/>
              <w:jc w:val="left"/>
              <w:rPr>
                <w:rFonts w:ascii="宋体" w:hAnsi="宋体" w:cs="宋体" w:eastAsia="宋体" w:hint="default"/>
                <w:sz w:val="24"/>
                <w:szCs w:val="24"/>
              </w:rPr>
            </w:pPr>
            <w:r>
              <w:rPr>
                <w:rFonts w:ascii="宋体" w:hAnsi="宋体" w:cs="宋体" w:eastAsia="宋体" w:hint="default"/>
                <w:sz w:val="24"/>
                <w:szCs w:val="24"/>
              </w:rPr>
              <w:t>折算汇率</w:t>
            </w:r>
            <w:r>
              <w:rPr>
                <w:rFonts w:ascii="宋体" w:hAnsi="宋体" w:cs="宋体" w:eastAsia="宋体" w:hint="default"/>
                <w:sz w:val="24"/>
                <w:szCs w:val="24"/>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9" w:right="0"/>
              <w:jc w:val="center"/>
              <w:rPr>
                <w:rFonts w:ascii="宋体" w:hAnsi="宋体" w:cs="宋体" w:eastAsia="宋体" w:hint="default"/>
                <w:sz w:val="24"/>
                <w:szCs w:val="24"/>
              </w:rPr>
            </w:pPr>
            <w:r>
              <w:rPr>
                <w:rFonts w:ascii="宋体" w:hAnsi="宋体" w:cs="宋体" w:eastAsia="宋体" w:hint="default"/>
                <w:sz w:val="24"/>
                <w:szCs w:val="24"/>
              </w:rPr>
              <w:t>期末折算人民币</w:t>
            </w:r>
            <w:r>
              <w:rPr>
                <w:rFonts w:ascii="宋体" w:hAnsi="宋体" w:cs="宋体" w:eastAsia="宋体" w:hint="default"/>
                <w:sz w:val="24"/>
                <w:szCs w:val="24"/>
              </w:rPr>
              <w:t> </w:t>
            </w:r>
          </w:p>
          <w:p>
            <w:pPr>
              <w:pStyle w:val="TableParagraph"/>
              <w:spacing w:line="312" w:lineRule="exact"/>
              <w:ind w:left="119" w:right="0"/>
              <w:jc w:val="center"/>
              <w:rPr>
                <w:rFonts w:ascii="宋体" w:hAnsi="宋体" w:cs="宋体" w:eastAsia="宋体" w:hint="default"/>
                <w:sz w:val="24"/>
                <w:szCs w:val="24"/>
              </w:rPr>
            </w:pPr>
            <w:r>
              <w:rPr>
                <w:rFonts w:ascii="宋体" w:hAnsi="宋体" w:cs="宋体" w:eastAsia="宋体" w:hint="default"/>
                <w:sz w:val="24"/>
                <w:szCs w:val="24"/>
              </w:rPr>
              <w:t>余额</w:t>
            </w:r>
            <w:r>
              <w:rPr>
                <w:rFonts w:ascii="宋体" w:hAnsi="宋体" w:cs="宋体" w:eastAsia="宋体" w:hint="default"/>
                <w:sz w:val="24"/>
                <w:szCs w:val="24"/>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885" w:right="0"/>
              <w:jc w:val="left"/>
              <w:rPr>
                <w:rFonts w:ascii="Times New Roman" w:hAnsi="Times New Roman" w:cs="Times New Roman" w:eastAsia="Times New Roman" w:hint="default"/>
                <w:sz w:val="20"/>
                <w:szCs w:val="20"/>
              </w:rPr>
            </w:pPr>
            <w:r>
              <w:rPr>
                <w:rFonts w:ascii="Times New Roman"/>
                <w:sz w:val="20"/>
              </w:rPr>
              <w:t>1,726,194.12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w w:val="95"/>
                <w:sz w:val="20"/>
              </w:rPr>
              <w:t>6.9762</w:t>
            </w:r>
            <w:r>
              <w:rPr>
                <w:rFonts w:ascii="Times New Roman"/>
                <w:sz w:val="20"/>
              </w:rPr>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782" w:right="0"/>
              <w:jc w:val="left"/>
              <w:rPr>
                <w:rFonts w:ascii="Times New Roman" w:hAnsi="Times New Roman" w:cs="Times New Roman" w:eastAsia="Times New Roman" w:hint="default"/>
                <w:sz w:val="20"/>
                <w:szCs w:val="20"/>
              </w:rPr>
            </w:pPr>
            <w:r>
              <w:rPr>
                <w:rFonts w:ascii="Times New Roman"/>
                <w:sz w:val="20"/>
              </w:rPr>
              <w:t>12,042,275.42</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6" w:right="0"/>
              <w:jc w:val="left"/>
              <w:rPr>
                <w:rFonts w:ascii="Times New Roman" w:hAnsi="Times New Roman" w:cs="Times New Roman" w:eastAsia="Times New Roman" w:hint="default"/>
                <w:sz w:val="20"/>
                <w:szCs w:val="20"/>
              </w:rPr>
            </w:pPr>
            <w:r>
              <w:rPr>
                <w:rFonts w:ascii="Times New Roman"/>
                <w:sz w:val="20"/>
              </w:rPr>
              <w:t>291,439.95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Times New Roman" w:hAnsi="Times New Roman" w:cs="Times New Roman" w:eastAsia="Times New Roman" w:hint="default"/>
                <w:sz w:val="20"/>
                <w:szCs w:val="20"/>
              </w:rPr>
            </w:pPr>
            <w:r>
              <w:rPr>
                <w:rFonts w:ascii="Times New Roman"/>
                <w:w w:val="95"/>
                <w:sz w:val="20"/>
              </w:rPr>
              <w:t>7.8155</w:t>
            </w:r>
            <w:r>
              <w:rPr>
                <w:rFonts w:ascii="Times New Roman"/>
                <w:sz w:val="20"/>
              </w:rPr>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1" w:right="0"/>
              <w:jc w:val="left"/>
              <w:rPr>
                <w:rFonts w:ascii="Times New Roman" w:hAnsi="Times New Roman" w:cs="Times New Roman" w:eastAsia="Times New Roman" w:hint="default"/>
                <w:sz w:val="20"/>
                <w:szCs w:val="20"/>
              </w:rPr>
            </w:pPr>
            <w:r>
              <w:rPr>
                <w:rFonts w:ascii="Times New Roman"/>
                <w:sz w:val="20"/>
              </w:rPr>
              <w:t>2,277,748.93</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137" w:right="0"/>
              <w:jc w:val="left"/>
              <w:rPr>
                <w:rFonts w:ascii="Times New Roman" w:hAnsi="Times New Roman" w:cs="Times New Roman" w:eastAsia="Times New Roman" w:hint="default"/>
                <w:sz w:val="20"/>
                <w:szCs w:val="20"/>
              </w:rPr>
            </w:pPr>
            <w:r>
              <w:rPr>
                <w:rFonts w:ascii="Times New Roman"/>
                <w:sz w:val="20"/>
              </w:rPr>
              <w:t>23,496.54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w w:val="95"/>
                <w:sz w:val="20"/>
              </w:rPr>
              <w:t>0.8958</w:t>
            </w:r>
            <w:r>
              <w:rPr>
                <w:rFonts w:ascii="Times New Roman"/>
                <w:sz w:val="20"/>
              </w:rPr>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133" w:right="0"/>
              <w:jc w:val="left"/>
              <w:rPr>
                <w:rFonts w:ascii="Times New Roman" w:hAnsi="Times New Roman" w:cs="Times New Roman" w:eastAsia="Times New Roman" w:hint="default"/>
                <w:sz w:val="20"/>
                <w:szCs w:val="20"/>
              </w:rPr>
            </w:pPr>
            <w:r>
              <w:rPr>
                <w:rFonts w:ascii="Times New Roman"/>
                <w:sz w:val="20"/>
              </w:rPr>
              <w:t>21,048.20</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英镑</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137" w:right="0"/>
              <w:jc w:val="left"/>
              <w:rPr>
                <w:rFonts w:ascii="Times New Roman" w:hAnsi="Times New Roman" w:cs="Times New Roman" w:eastAsia="Times New Roman" w:hint="default"/>
                <w:sz w:val="20"/>
                <w:szCs w:val="20"/>
              </w:rPr>
            </w:pPr>
            <w:r>
              <w:rPr>
                <w:rFonts w:ascii="Times New Roman"/>
                <w:sz w:val="20"/>
              </w:rPr>
              <w:t>40,335.88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w w:val="95"/>
                <w:sz w:val="20"/>
              </w:rPr>
              <w:t>9.1501</w:t>
            </w:r>
            <w:r>
              <w:rPr>
                <w:rFonts w:ascii="Times New Roman"/>
                <w:sz w:val="20"/>
              </w:rPr>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2" w:right="0"/>
              <w:jc w:val="left"/>
              <w:rPr>
                <w:rFonts w:ascii="Times New Roman" w:hAnsi="Times New Roman" w:cs="Times New Roman" w:eastAsia="Times New Roman" w:hint="default"/>
                <w:sz w:val="20"/>
                <w:szCs w:val="20"/>
              </w:rPr>
            </w:pPr>
            <w:r>
              <w:rPr>
                <w:rFonts w:ascii="Times New Roman"/>
                <w:sz w:val="20"/>
              </w:rPr>
              <w:t>369,077.34</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巴基斯坦卢比</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885" w:right="0"/>
              <w:jc w:val="left"/>
              <w:rPr>
                <w:rFonts w:ascii="Times New Roman" w:hAnsi="Times New Roman" w:cs="Times New Roman" w:eastAsia="Times New Roman" w:hint="default"/>
                <w:sz w:val="20"/>
                <w:szCs w:val="20"/>
              </w:rPr>
            </w:pPr>
            <w:r>
              <w:rPr>
                <w:rFonts w:ascii="Times New Roman"/>
                <w:sz w:val="20"/>
              </w:rPr>
              <w:t>5,932,398.05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w w:val="95"/>
                <w:sz w:val="20"/>
              </w:rPr>
              <w:t>0.0450</w:t>
            </w:r>
            <w:r>
              <w:rPr>
                <w:rFonts w:ascii="Times New Roman"/>
                <w:sz w:val="20"/>
              </w:rPr>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2" w:right="0"/>
              <w:jc w:val="left"/>
              <w:rPr>
                <w:rFonts w:ascii="Times New Roman" w:hAnsi="Times New Roman" w:cs="Times New Roman" w:eastAsia="Times New Roman" w:hint="default"/>
                <w:sz w:val="20"/>
                <w:szCs w:val="20"/>
              </w:rPr>
            </w:pPr>
            <w:r>
              <w:rPr>
                <w:rFonts w:ascii="Times New Roman"/>
                <w:sz w:val="20"/>
              </w:rPr>
              <w:t>266,957.91</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885" w:right="0"/>
              <w:jc w:val="left"/>
              <w:rPr>
                <w:rFonts w:ascii="Times New Roman" w:hAnsi="Times New Roman" w:cs="Times New Roman" w:eastAsia="Times New Roman" w:hint="default"/>
                <w:sz w:val="20"/>
                <w:szCs w:val="20"/>
              </w:rPr>
            </w:pPr>
            <w:r>
              <w:rPr>
                <w:rFonts w:ascii="Times New Roman"/>
                <w:sz w:val="20"/>
              </w:rPr>
              <w:t>2,474,012.09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w w:val="95"/>
                <w:sz w:val="20"/>
              </w:rPr>
              <w:t>6.9762</w:t>
            </w:r>
            <w:r>
              <w:rPr>
                <w:rFonts w:ascii="Times New Roman"/>
                <w:sz w:val="20"/>
              </w:rPr>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782" w:right="0"/>
              <w:jc w:val="left"/>
              <w:rPr>
                <w:rFonts w:ascii="Times New Roman" w:hAnsi="Times New Roman" w:cs="Times New Roman" w:eastAsia="Times New Roman" w:hint="default"/>
                <w:sz w:val="20"/>
                <w:szCs w:val="20"/>
              </w:rPr>
            </w:pPr>
            <w:r>
              <w:rPr>
                <w:rFonts w:ascii="Times New Roman"/>
                <w:sz w:val="20"/>
              </w:rPr>
              <w:t>17,259,203.14</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787" w:right="0"/>
              <w:jc w:val="left"/>
              <w:rPr>
                <w:rFonts w:ascii="Times New Roman" w:hAnsi="Times New Roman" w:cs="Times New Roman" w:eastAsia="Times New Roman" w:hint="default"/>
                <w:sz w:val="20"/>
                <w:szCs w:val="20"/>
              </w:rPr>
            </w:pPr>
            <w:r>
              <w:rPr>
                <w:rFonts w:ascii="Times New Roman"/>
                <w:sz w:val="20"/>
              </w:rPr>
              <w:t>15,585,901.61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w w:val="95"/>
                <w:sz w:val="20"/>
              </w:rPr>
              <w:t>7.8155</w:t>
            </w:r>
            <w:r>
              <w:rPr>
                <w:rFonts w:ascii="Times New Roman"/>
                <w:sz w:val="20"/>
              </w:rPr>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681" w:right="0"/>
              <w:jc w:val="left"/>
              <w:rPr>
                <w:rFonts w:ascii="Times New Roman" w:hAnsi="Times New Roman" w:cs="Times New Roman" w:eastAsia="Times New Roman" w:hint="default"/>
                <w:sz w:val="20"/>
                <w:szCs w:val="20"/>
              </w:rPr>
            </w:pPr>
            <w:r>
              <w:rPr>
                <w:rFonts w:ascii="Times New Roman"/>
                <w:sz w:val="20"/>
              </w:rPr>
              <w:t>121,811,614.03</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w w:val="95"/>
                <w:sz w:val="20"/>
              </w:rPr>
              <w:t>0.8958</w:t>
            </w:r>
            <w:r>
              <w:rPr>
                <w:rFonts w:ascii="Times New Roman"/>
                <w:sz w:val="20"/>
              </w:rPr>
            </w: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英镑</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6" w:right="0"/>
              <w:jc w:val="left"/>
              <w:rPr>
                <w:rFonts w:ascii="Times New Roman" w:hAnsi="Times New Roman" w:cs="Times New Roman" w:eastAsia="Times New Roman" w:hint="default"/>
                <w:sz w:val="20"/>
                <w:szCs w:val="20"/>
              </w:rPr>
            </w:pPr>
            <w:r>
              <w:rPr>
                <w:rFonts w:ascii="Times New Roman"/>
                <w:sz w:val="20"/>
              </w:rPr>
              <w:t>704,925.00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0"/>
              <w:jc w:val="right"/>
              <w:rPr>
                <w:rFonts w:ascii="Times New Roman" w:hAnsi="Times New Roman" w:cs="Times New Roman" w:eastAsia="Times New Roman" w:hint="default"/>
                <w:sz w:val="20"/>
                <w:szCs w:val="20"/>
              </w:rPr>
            </w:pPr>
            <w:r>
              <w:rPr>
                <w:rFonts w:ascii="Times New Roman"/>
                <w:w w:val="95"/>
                <w:sz w:val="20"/>
              </w:rPr>
              <w:t>9.1501</w:t>
            </w:r>
            <w:r>
              <w:rPr>
                <w:rFonts w:ascii="Times New Roman"/>
                <w:sz w:val="20"/>
              </w:rPr>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881" w:right="0"/>
              <w:jc w:val="left"/>
              <w:rPr>
                <w:rFonts w:ascii="Times New Roman" w:hAnsi="Times New Roman" w:cs="Times New Roman" w:eastAsia="Times New Roman" w:hint="default"/>
                <w:sz w:val="20"/>
                <w:szCs w:val="20"/>
              </w:rPr>
            </w:pPr>
            <w:r>
              <w:rPr>
                <w:rFonts w:ascii="Times New Roman"/>
                <w:sz w:val="20"/>
              </w:rPr>
              <w:t>6,450,134.24</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巴基斯坦卢比</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885" w:right="0"/>
              <w:jc w:val="left"/>
              <w:rPr>
                <w:rFonts w:ascii="Times New Roman" w:hAnsi="Times New Roman" w:cs="Times New Roman" w:eastAsia="Times New Roman" w:hint="default"/>
                <w:sz w:val="20"/>
                <w:szCs w:val="20"/>
              </w:rPr>
            </w:pPr>
            <w:r>
              <w:rPr>
                <w:rFonts w:ascii="Times New Roman"/>
                <w:sz w:val="20"/>
              </w:rPr>
              <w:t>2,099,605.59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w w:val="95"/>
                <w:sz w:val="20"/>
              </w:rPr>
              <w:t>0.0450</w:t>
            </w:r>
            <w:r>
              <w:rPr>
                <w:rFonts w:ascii="Times New Roman"/>
                <w:sz w:val="20"/>
              </w:rPr>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133" w:right="0"/>
              <w:jc w:val="left"/>
              <w:rPr>
                <w:rFonts w:ascii="Times New Roman" w:hAnsi="Times New Roman" w:cs="Times New Roman" w:eastAsia="Times New Roman" w:hint="default"/>
                <w:sz w:val="20"/>
                <w:szCs w:val="20"/>
              </w:rPr>
            </w:pPr>
            <w:r>
              <w:rPr>
                <w:rFonts w:ascii="Times New Roman"/>
                <w:sz w:val="20"/>
              </w:rPr>
              <w:t>94,482.25</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6" w:right="0"/>
              <w:jc w:val="left"/>
              <w:rPr>
                <w:rFonts w:ascii="Times New Roman" w:hAnsi="Times New Roman" w:cs="Times New Roman" w:eastAsia="Times New Roman" w:hint="default"/>
                <w:sz w:val="20"/>
                <w:szCs w:val="20"/>
              </w:rPr>
            </w:pPr>
            <w:r>
              <w:rPr>
                <w:rFonts w:ascii="Times New Roman"/>
                <w:sz w:val="20"/>
              </w:rPr>
              <w:t>231,660.00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w w:val="95"/>
                <w:sz w:val="20"/>
              </w:rPr>
              <w:t>6.9762</w:t>
            </w:r>
            <w:r>
              <w:rPr>
                <w:rFonts w:ascii="Times New Roman"/>
                <w:sz w:val="20"/>
              </w:rPr>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881" w:right="0"/>
              <w:jc w:val="left"/>
              <w:rPr>
                <w:rFonts w:ascii="Times New Roman" w:hAnsi="Times New Roman" w:cs="Times New Roman" w:eastAsia="Times New Roman" w:hint="default"/>
                <w:sz w:val="20"/>
                <w:szCs w:val="20"/>
              </w:rPr>
            </w:pPr>
            <w:r>
              <w:rPr>
                <w:rFonts w:ascii="Times New Roman"/>
                <w:sz w:val="20"/>
              </w:rPr>
              <w:t>1,616,106.49</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885" w:right="0"/>
              <w:jc w:val="left"/>
              <w:rPr>
                <w:rFonts w:ascii="Times New Roman" w:hAnsi="Times New Roman" w:cs="Times New Roman" w:eastAsia="Times New Roman" w:hint="default"/>
                <w:sz w:val="20"/>
                <w:szCs w:val="20"/>
              </w:rPr>
            </w:pPr>
            <w:r>
              <w:rPr>
                <w:rFonts w:ascii="Times New Roman"/>
                <w:sz w:val="20"/>
              </w:rPr>
              <w:t>3,283,307.52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w w:val="95"/>
                <w:sz w:val="20"/>
              </w:rPr>
              <w:t>6.9762</w:t>
            </w:r>
            <w:r>
              <w:rPr>
                <w:rFonts w:ascii="Times New Roman"/>
                <w:sz w:val="20"/>
              </w:rPr>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782" w:right="0"/>
              <w:jc w:val="left"/>
              <w:rPr>
                <w:rFonts w:ascii="Times New Roman" w:hAnsi="Times New Roman" w:cs="Times New Roman" w:eastAsia="Times New Roman" w:hint="default"/>
                <w:sz w:val="20"/>
                <w:szCs w:val="20"/>
              </w:rPr>
            </w:pPr>
            <w:r>
              <w:rPr>
                <w:rFonts w:ascii="Times New Roman"/>
                <w:sz w:val="20"/>
              </w:rPr>
              <w:t>22,905,009.92</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43" w:right="0"/>
              <w:jc w:val="left"/>
              <w:rPr>
                <w:rFonts w:ascii="宋体" w:hAnsi="宋体" w:cs="宋体" w:eastAsia="宋体" w:hint="default"/>
                <w:sz w:val="24"/>
                <w:szCs w:val="24"/>
              </w:rPr>
            </w:pPr>
            <w:r>
              <w:rPr>
                <w:rFonts w:ascii="宋体" w:hAnsi="宋体" w:cs="宋体" w:eastAsia="宋体" w:hint="default"/>
                <w:sz w:val="24"/>
                <w:szCs w:val="24"/>
              </w:rPr>
              <w:t>欧元</w:t>
            </w:r>
            <w:r>
              <w:rPr>
                <w:rFonts w:ascii="宋体" w:hAnsi="宋体" w:cs="宋体" w:eastAsia="宋体" w:hint="default"/>
                <w:sz w:val="24"/>
                <w:szCs w:val="24"/>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235" w:right="0"/>
              <w:jc w:val="left"/>
              <w:rPr>
                <w:rFonts w:ascii="Times New Roman" w:hAnsi="Times New Roman" w:cs="Times New Roman" w:eastAsia="Times New Roman" w:hint="default"/>
                <w:sz w:val="20"/>
                <w:szCs w:val="20"/>
              </w:rPr>
            </w:pPr>
            <w:r>
              <w:rPr>
                <w:rFonts w:ascii="Times New Roman"/>
                <w:sz w:val="20"/>
              </w:rPr>
              <w:t>3,043.53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w w:val="95"/>
                <w:sz w:val="20"/>
              </w:rPr>
              <w:t>7.8155</w:t>
            </w:r>
            <w:r>
              <w:rPr>
                <w:rFonts w:ascii="Times New Roman"/>
                <w:sz w:val="20"/>
              </w:rPr>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133" w:right="0"/>
              <w:jc w:val="left"/>
              <w:rPr>
                <w:rFonts w:ascii="Times New Roman" w:hAnsi="Times New Roman" w:cs="Times New Roman" w:eastAsia="Times New Roman" w:hint="default"/>
                <w:sz w:val="20"/>
                <w:szCs w:val="20"/>
              </w:rPr>
            </w:pPr>
            <w:r>
              <w:rPr>
                <w:rFonts w:ascii="Times New Roman"/>
                <w:sz w:val="20"/>
              </w:rPr>
              <w:t>23,786.71</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82"/>
              <w:jc w:val="right"/>
              <w:rPr>
                <w:rFonts w:ascii="宋体" w:hAnsi="宋体" w:cs="宋体" w:eastAsia="宋体" w:hint="default"/>
                <w:sz w:val="24"/>
                <w:szCs w:val="24"/>
              </w:rPr>
            </w:pPr>
            <w:r>
              <w:rPr>
                <w:rFonts w:ascii="宋体" w:hAnsi="宋体" w:cs="宋体" w:eastAsia="宋体" w:hint="default"/>
                <w:sz w:val="24"/>
                <w:szCs w:val="24"/>
              </w:rPr>
              <w:t>巴基斯坦卢比</w:t>
            </w:r>
            <w:r>
              <w:rPr>
                <w:rFonts w:ascii="宋体" w:hAnsi="宋体" w:cs="宋体" w:eastAsia="宋体" w:hint="default"/>
                <w:sz w:val="24"/>
                <w:szCs w:val="24"/>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6" w:right="0"/>
              <w:jc w:val="left"/>
              <w:rPr>
                <w:rFonts w:ascii="Times New Roman" w:hAnsi="Times New Roman" w:cs="Times New Roman" w:eastAsia="Times New Roman" w:hint="default"/>
                <w:sz w:val="20"/>
                <w:szCs w:val="20"/>
              </w:rPr>
            </w:pPr>
            <w:r>
              <w:rPr>
                <w:rFonts w:ascii="Times New Roman"/>
                <w:sz w:val="20"/>
              </w:rPr>
              <w:t>736,146.92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w w:val="95"/>
                <w:sz w:val="20"/>
              </w:rPr>
              <w:t>0.0450</w:t>
            </w:r>
            <w:r>
              <w:rPr>
                <w:rFonts w:ascii="Times New Roman"/>
                <w:sz w:val="20"/>
              </w:rPr>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133" w:right="0"/>
              <w:jc w:val="left"/>
              <w:rPr>
                <w:rFonts w:ascii="Times New Roman" w:hAnsi="Times New Roman" w:cs="Times New Roman" w:eastAsia="Times New Roman" w:hint="default"/>
                <w:sz w:val="20"/>
                <w:szCs w:val="20"/>
              </w:rPr>
            </w:pPr>
            <w:r>
              <w:rPr>
                <w:rFonts w:ascii="Times New Roman"/>
                <w:sz w:val="20"/>
              </w:rPr>
              <w:t>33,126.61</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885" w:right="0"/>
              <w:jc w:val="left"/>
              <w:rPr>
                <w:rFonts w:ascii="Times New Roman" w:hAnsi="Times New Roman" w:cs="Times New Roman" w:eastAsia="Times New Roman" w:hint="default"/>
                <w:sz w:val="20"/>
                <w:szCs w:val="20"/>
              </w:rPr>
            </w:pPr>
            <w:r>
              <w:rPr>
                <w:rFonts w:ascii="Times New Roman"/>
                <w:sz w:val="20"/>
              </w:rPr>
              <w:t>1,053,775.94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w w:val="95"/>
                <w:sz w:val="20"/>
              </w:rPr>
              <w:t>6.9762</w:t>
            </w:r>
            <w:r>
              <w:rPr>
                <w:rFonts w:ascii="Times New Roman"/>
                <w:sz w:val="20"/>
              </w:rPr>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881" w:right="0"/>
              <w:jc w:val="left"/>
              <w:rPr>
                <w:rFonts w:ascii="Times New Roman" w:hAnsi="Times New Roman" w:cs="Times New Roman" w:eastAsia="Times New Roman" w:hint="default"/>
                <w:sz w:val="20"/>
                <w:szCs w:val="20"/>
              </w:rPr>
            </w:pPr>
            <w:r>
              <w:rPr>
                <w:rFonts w:ascii="Times New Roman"/>
                <w:sz w:val="20"/>
              </w:rPr>
              <w:t>7,351,351.71</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43" w:right="0"/>
              <w:jc w:val="left"/>
              <w:rPr>
                <w:rFonts w:ascii="宋体" w:hAnsi="宋体" w:cs="宋体" w:eastAsia="宋体" w:hint="default"/>
                <w:sz w:val="24"/>
                <w:szCs w:val="24"/>
              </w:rPr>
            </w:pPr>
            <w:r>
              <w:rPr>
                <w:rFonts w:ascii="宋体" w:hAnsi="宋体" w:cs="宋体" w:eastAsia="宋体" w:hint="default"/>
                <w:sz w:val="24"/>
                <w:szCs w:val="24"/>
              </w:rPr>
              <w:t>欧元</w:t>
            </w:r>
            <w:r>
              <w:rPr>
                <w:rFonts w:ascii="宋体" w:hAnsi="宋体" w:cs="宋体" w:eastAsia="宋体" w:hint="default"/>
                <w:sz w:val="24"/>
                <w:szCs w:val="24"/>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787" w:right="0"/>
              <w:jc w:val="left"/>
              <w:rPr>
                <w:rFonts w:ascii="Times New Roman" w:hAnsi="Times New Roman" w:cs="Times New Roman" w:eastAsia="Times New Roman" w:hint="default"/>
                <w:sz w:val="20"/>
                <w:szCs w:val="20"/>
              </w:rPr>
            </w:pPr>
            <w:r>
              <w:rPr>
                <w:rFonts w:ascii="Times New Roman"/>
                <w:sz w:val="20"/>
              </w:rPr>
              <w:t>21,113,198.27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w w:val="95"/>
                <w:sz w:val="20"/>
              </w:rPr>
              <w:t>7.8155</w:t>
            </w:r>
            <w:r>
              <w:rPr>
                <w:rFonts w:ascii="Times New Roman"/>
                <w:sz w:val="20"/>
              </w:rPr>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681" w:right="0"/>
              <w:jc w:val="left"/>
              <w:rPr>
                <w:rFonts w:ascii="Times New Roman" w:hAnsi="Times New Roman" w:cs="Times New Roman" w:eastAsia="Times New Roman" w:hint="default"/>
                <w:sz w:val="20"/>
                <w:szCs w:val="20"/>
              </w:rPr>
            </w:pPr>
            <w:r>
              <w:rPr>
                <w:rFonts w:ascii="Times New Roman"/>
                <w:sz w:val="20"/>
              </w:rPr>
              <w:t>165,010,201.08</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43" w:right="0"/>
              <w:jc w:val="left"/>
              <w:rPr>
                <w:rFonts w:ascii="宋体" w:hAnsi="宋体" w:cs="宋体" w:eastAsia="宋体" w:hint="default"/>
                <w:sz w:val="24"/>
                <w:szCs w:val="24"/>
              </w:rPr>
            </w:pPr>
            <w:r>
              <w:rPr>
                <w:rFonts w:ascii="宋体"/>
                <w:sz w:val="24"/>
              </w:rPr>
              <w:t>   </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6" w:right="0"/>
              <w:jc w:val="left"/>
              <w:rPr>
                <w:rFonts w:ascii="Times New Roman" w:hAnsi="Times New Roman" w:cs="Times New Roman" w:eastAsia="Times New Roman" w:hint="default"/>
                <w:sz w:val="20"/>
                <w:szCs w:val="20"/>
              </w:rPr>
            </w:pPr>
            <w:r>
              <w:rPr>
                <w:rFonts w:ascii="Times New Roman"/>
                <w:sz w:val="20"/>
              </w:rPr>
              <w:t>509,843.77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w w:val="95"/>
                <w:sz w:val="20"/>
              </w:rPr>
              <w:t>6.9762</w:t>
            </w:r>
            <w:r>
              <w:rPr>
                <w:rFonts w:ascii="Times New Roman"/>
                <w:sz w:val="20"/>
              </w:rPr>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881" w:right="0"/>
              <w:jc w:val="left"/>
              <w:rPr>
                <w:rFonts w:ascii="Times New Roman" w:hAnsi="Times New Roman" w:cs="Times New Roman" w:eastAsia="Times New Roman" w:hint="default"/>
                <w:sz w:val="20"/>
                <w:szCs w:val="20"/>
              </w:rPr>
            </w:pPr>
            <w:r>
              <w:rPr>
                <w:rFonts w:ascii="Times New Roman"/>
                <w:sz w:val="20"/>
              </w:rPr>
              <w:t>3,556,772.11</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82"/>
              <w:jc w:val="right"/>
              <w:rPr>
                <w:rFonts w:ascii="宋体" w:hAnsi="宋体" w:cs="宋体" w:eastAsia="宋体" w:hint="default"/>
                <w:sz w:val="24"/>
                <w:szCs w:val="24"/>
              </w:rPr>
            </w:pPr>
            <w:r>
              <w:rPr>
                <w:rFonts w:ascii="宋体" w:hAnsi="宋体" w:cs="宋体" w:eastAsia="宋体" w:hint="default"/>
                <w:sz w:val="24"/>
                <w:szCs w:val="24"/>
              </w:rPr>
              <w:t>巴基斯坦卢比</w:t>
            </w:r>
            <w:r>
              <w:rPr>
                <w:rFonts w:ascii="宋体" w:hAnsi="宋体" w:cs="宋体" w:eastAsia="宋体" w:hint="default"/>
                <w:sz w:val="24"/>
                <w:szCs w:val="24"/>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787" w:right="0"/>
              <w:jc w:val="left"/>
              <w:rPr>
                <w:rFonts w:ascii="Times New Roman" w:hAnsi="Times New Roman" w:cs="Times New Roman" w:eastAsia="Times New Roman" w:hint="default"/>
                <w:sz w:val="20"/>
                <w:szCs w:val="20"/>
              </w:rPr>
            </w:pPr>
            <w:r>
              <w:rPr>
                <w:rFonts w:ascii="Times New Roman"/>
                <w:sz w:val="20"/>
              </w:rPr>
              <w:t>11,836,865.51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w w:val="95"/>
                <w:sz w:val="20"/>
              </w:rPr>
              <w:t>0.0450</w:t>
            </w:r>
            <w:r>
              <w:rPr>
                <w:rFonts w:ascii="Times New Roman"/>
                <w:sz w:val="20"/>
              </w:rPr>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2" w:right="0"/>
              <w:jc w:val="left"/>
              <w:rPr>
                <w:rFonts w:ascii="Times New Roman" w:hAnsi="Times New Roman" w:cs="Times New Roman" w:eastAsia="Times New Roman" w:hint="default"/>
                <w:sz w:val="20"/>
                <w:szCs w:val="20"/>
              </w:rPr>
            </w:pPr>
            <w:r>
              <w:rPr>
                <w:rFonts w:ascii="Times New Roman"/>
                <w:sz w:val="20"/>
              </w:rPr>
              <w:t>532,658.95</w:t>
            </w:r>
          </w:p>
        </w:tc>
      </w:tr>
    </w:tbl>
    <w:p>
      <w:pPr>
        <w:spacing w:after="0" w:line="223" w:lineRule="exact"/>
        <w:jc w:val="left"/>
        <w:rPr>
          <w:rFonts w:ascii="Times New Roman" w:hAnsi="Times New Roman" w:cs="Times New Roman" w:eastAsia="Times New Roman" w:hint="default"/>
          <w:sz w:val="20"/>
          <w:szCs w:val="20"/>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pStyle w:val="Heading5"/>
        <w:spacing w:line="272" w:lineRule="exact"/>
        <w:ind w:left="644" w:right="0" w:hanging="428"/>
        <w:jc w:val="left"/>
        <w:rPr>
          <w:rFonts w:ascii="宋体" w:hAnsi="宋体" w:cs="宋体" w:eastAsia="宋体" w:hint="default"/>
          <w:b w:val="0"/>
          <w:bCs w:val="0"/>
        </w:rPr>
      </w:pPr>
      <w:r>
        <w:rPr>
          <w:rFonts w:ascii="宋体" w:hAnsi="宋体" w:cs="宋体" w:eastAsia="宋体" w:hint="default"/>
          <w:spacing w:val="-1"/>
        </w:rPr>
        <w:t>(2).</w:t>
      </w:r>
      <w:r>
        <w:rPr>
          <w:spacing w:val="-1"/>
        </w:rPr>
        <w:t>境外经营实体说明，包括对于重要的境外经营实体，应披露其境外主要经营地、记账本位币</w:t>
      </w:r>
      <w:r>
        <w:rPr>
          <w:spacing w:val="-86"/>
        </w:rPr>
        <w:t> </w:t>
      </w:r>
      <w:r>
        <w:rPr>
          <w:spacing w:val="-86"/>
        </w:rPr>
      </w:r>
      <w:r>
        <w:rPr/>
        <w:t>及选择依据，记账本位币发生变化的还应披露原因</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27"/>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40" w:lineRule="auto" w:before="61"/>
        <w:ind w:right="0"/>
        <w:jc w:val="left"/>
        <w:rPr>
          <w:rFonts w:ascii="宋体" w:hAnsi="宋体" w:cs="宋体" w:eastAsia="宋体" w:hint="default"/>
          <w:b w:val="0"/>
          <w:bCs w:val="0"/>
        </w:rPr>
      </w:pPr>
      <w:r>
        <w:rPr>
          <w:rFonts w:ascii="宋体" w:hAnsi="宋体" w:cs="宋体" w:eastAsia="宋体" w:hint="default"/>
        </w:rPr>
        <w:t>81</w:t>
      </w:r>
      <w:r>
        <w:rPr/>
        <w:t>、</w:t>
      </w:r>
      <w:r>
        <w:rPr>
          <w:spacing w:val="-26"/>
        </w:rPr>
        <w:t> </w:t>
      </w:r>
      <w:r>
        <w:rPr/>
        <w:t>套期</w:t>
      </w:r>
      <w:r>
        <w:rPr>
          <w:rFonts w:ascii="宋体" w:hAnsi="宋体" w:cs="宋体" w:eastAsia="宋体" w:hint="default"/>
          <w:w w:val="99"/>
        </w:rPr>
        <w:t> </w:t>
      </w:r>
      <w:r>
        <w:rPr>
          <w:rFonts w:ascii="宋体" w:hAnsi="宋体" w:cs="宋体" w:eastAsia="宋体" w:hint="default"/>
          <w:b w:val="0"/>
          <w:bCs w:val="0"/>
        </w:rPr>
      </w:r>
    </w:p>
    <w:p>
      <w:pPr>
        <w:pStyle w:val="Heading3"/>
        <w:spacing w:line="312" w:lineRule="exact"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1" w:lineRule="exact"/>
        <w:ind w:right="0"/>
        <w:jc w:val="left"/>
        <w:rPr>
          <w:rFonts w:ascii="宋体" w:hAnsi="宋体" w:cs="宋体" w:eastAsia="宋体" w:hint="default"/>
        </w:rPr>
      </w:pPr>
      <w:r>
        <w:rPr>
          <w:rFonts w:ascii="宋体"/>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90" w:lineRule="auto"/>
        <w:ind w:right="5634"/>
        <w:jc w:val="left"/>
        <w:rPr>
          <w:rFonts w:ascii="宋体" w:hAnsi="宋体" w:cs="宋体" w:eastAsia="宋体" w:hint="default"/>
          <w:b w:val="0"/>
          <w:bCs w:val="0"/>
        </w:rPr>
      </w:pPr>
      <w:r>
        <w:rPr>
          <w:rFonts w:ascii="宋体" w:hAnsi="宋体" w:cs="宋体" w:eastAsia="宋体" w:hint="default"/>
        </w:rPr>
        <w:t>82</w:t>
      </w:r>
      <w:r>
        <w:rPr/>
        <w:t>、</w:t>
      </w:r>
      <w:r>
        <w:rPr>
          <w:spacing w:val="-25"/>
        </w:rPr>
        <w:t> </w:t>
      </w:r>
      <w:r>
        <w:rPr/>
        <w:t>政府补助</w:t>
      </w:r>
      <w:r>
        <w:rPr>
          <w:w w:val="100"/>
        </w:rPr>
        <w:t> </w:t>
      </w:r>
      <w:r>
        <w:rPr>
          <w:rFonts w:ascii="宋体" w:hAnsi="宋体" w:cs="宋体" w:eastAsia="宋体" w:hint="default"/>
        </w:rPr>
        <w:t>(1).</w:t>
      </w:r>
      <w:r>
        <w:rPr/>
        <w:t>政府补助基本情况</w:t>
      </w:r>
      <w:r>
        <w:rPr>
          <w:rFonts w:ascii="宋体" w:hAnsi="宋体" w:cs="宋体" w:eastAsia="宋体" w:hint="default"/>
          <w:w w:val="99"/>
        </w:rPr>
        <w:t> </w:t>
      </w:r>
      <w:r>
        <w:rPr>
          <w:rFonts w:ascii="宋体" w:hAnsi="宋体" w:cs="宋体" w:eastAsia="宋体" w:hint="default"/>
          <w:b w:val="0"/>
          <w:bCs w:val="0"/>
        </w:rPr>
      </w:r>
    </w:p>
    <w:p>
      <w:pPr>
        <w:pStyle w:val="BodyText"/>
        <w:tabs>
          <w:tab w:pos="1059" w:val="left" w:leader="none"/>
        </w:tabs>
        <w:spacing w:line="240" w:lineRule="auto" w:before="14"/>
        <w:ind w:left="216" w:right="0"/>
        <w:jc w:val="left"/>
      </w:pPr>
      <w:r>
        <w:rPr/>
        <w:t>√适用</w:t>
        <w:tab/>
        <w:t>□不适用</w:t>
      </w:r>
    </w:p>
    <w:p>
      <w:pPr>
        <w:pStyle w:val="BodyText"/>
        <w:spacing w:line="271" w:lineRule="exact"/>
        <w:ind w:left="0" w:right="113"/>
        <w:jc w:val="righ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64"/>
        <w:gridCol w:w="1604"/>
        <w:gridCol w:w="1306"/>
        <w:gridCol w:w="2077"/>
      </w:tblGrid>
      <w:tr>
        <w:trPr>
          <w:trHeight w:val="554"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85"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5" w:right="0"/>
              <w:jc w:val="left"/>
              <w:rPr>
                <w:rFonts w:ascii="宋体" w:hAnsi="宋体" w:cs="宋体" w:eastAsia="宋体" w:hint="default"/>
                <w:sz w:val="21"/>
                <w:szCs w:val="21"/>
              </w:rPr>
            </w:pPr>
            <w:r>
              <w:rPr>
                <w:rFonts w:ascii="宋体" w:hAnsi="宋体" w:cs="宋体" w:eastAsia="宋体" w:hint="default"/>
                <w:sz w:val="21"/>
                <w:szCs w:val="21"/>
              </w:rPr>
              <w:t>列报项目</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计入当期损益的金</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r>
      <w:tr>
        <w:trPr>
          <w:trHeight w:val="283"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上海张江国家自主创新未示范项目</w:t>
            </w:r>
            <w:r>
              <w:rPr>
                <w:rFonts w:ascii="宋体" w:hAnsi="宋体" w:cs="宋体" w:eastAsia="宋体" w:hint="default"/>
                <w:sz w:val="21"/>
                <w:szCs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1,792,000.00</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811,950.44</w:t>
            </w:r>
            <w:r>
              <w:rPr>
                <w:rFonts w:ascii="Times New Roman"/>
                <w:sz w:val="20"/>
              </w:rPr>
            </w:r>
          </w:p>
        </w:tc>
      </w:tr>
      <w:tr>
        <w:trPr>
          <w:trHeight w:val="554"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特殊环境下应急电源系统研究与应用示范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Times New Roman" w:hAnsi="Times New Roman" w:cs="Times New Roman" w:eastAsia="Times New Roman" w:hint="default"/>
                <w:sz w:val="20"/>
                <w:szCs w:val="20"/>
              </w:rPr>
            </w:pPr>
            <w:r>
              <w:rPr>
                <w:rFonts w:ascii="Times New Roman"/>
                <w:w w:val="95"/>
                <w:sz w:val="20"/>
              </w:rPr>
              <w:t>1,880,000.00</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0"/>
                <w:szCs w:val="20"/>
              </w:rPr>
            </w:pPr>
            <w:r>
              <w:rPr>
                <w:rFonts w:ascii="Times New Roman"/>
                <w:sz w:val="20"/>
              </w:rPr>
              <w:t>0.00</w:t>
            </w:r>
          </w:p>
        </w:tc>
      </w:tr>
      <w:tr>
        <w:trPr>
          <w:trHeight w:val="281"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新型智能化低压成套开关设备提升项目</w:t>
            </w:r>
            <w:r>
              <w:rPr>
                <w:rFonts w:ascii="宋体" w:hAnsi="宋体" w:cs="宋体" w:eastAsia="宋体" w:hint="default"/>
                <w:sz w:val="21"/>
                <w:szCs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1,850,000.00</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92,500.02</w:t>
            </w:r>
            <w:r>
              <w:rPr>
                <w:rFonts w:ascii="Times New Roman"/>
                <w:sz w:val="20"/>
              </w:rPr>
            </w:r>
          </w:p>
        </w:tc>
      </w:tr>
      <w:tr>
        <w:trPr>
          <w:trHeight w:val="283"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双向电力变换技术项目</w:t>
            </w:r>
            <w:r>
              <w:rPr>
                <w:rFonts w:ascii="宋体" w:hAnsi="宋体" w:cs="宋体" w:eastAsia="宋体" w:hint="default"/>
                <w:sz w:val="21"/>
                <w:szCs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2,220,000.00</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sz w:val="20"/>
              </w:rPr>
              <w:t>0.00</w:t>
            </w:r>
          </w:p>
        </w:tc>
      </w:tr>
      <w:tr>
        <w:trPr>
          <w:trHeight w:val="283"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高性能复合材料军用方舱技术</w:t>
            </w:r>
            <w:r>
              <w:rPr>
                <w:rFonts w:ascii="宋体" w:hAnsi="宋体" w:cs="宋体" w:eastAsia="宋体" w:hint="default"/>
                <w:sz w:val="21"/>
                <w:szCs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200,000.00</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sz w:val="20"/>
              </w:rPr>
              <w:t>0.00</w:t>
            </w:r>
          </w:p>
        </w:tc>
      </w:tr>
      <w:tr>
        <w:trPr>
          <w:trHeight w:val="554"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基于多能协同的综合能源智能管控服务平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台</w:t>
            </w:r>
            <w:r>
              <w:rPr>
                <w:rFonts w:ascii="宋体" w:hAnsi="宋体" w:cs="宋体" w:eastAsia="宋体" w:hint="default"/>
                <w:sz w:val="21"/>
                <w:szCs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0"/>
                <w:szCs w:val="20"/>
              </w:rPr>
            </w:pPr>
            <w:r>
              <w:rPr>
                <w:rFonts w:ascii="Times New Roman"/>
                <w:w w:val="95"/>
                <w:sz w:val="20"/>
              </w:rPr>
              <w:t>800,000.00</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0"/>
                <w:szCs w:val="20"/>
              </w:rPr>
            </w:pPr>
            <w:r>
              <w:rPr>
                <w:rFonts w:ascii="Times New Roman"/>
                <w:sz w:val="20"/>
              </w:rPr>
              <w:t>0.00</w:t>
            </w:r>
          </w:p>
        </w:tc>
      </w:tr>
      <w:tr>
        <w:trPr>
          <w:trHeight w:val="281"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软件收入流转税即征即退</w:t>
            </w:r>
            <w:r>
              <w:rPr>
                <w:rFonts w:ascii="宋体" w:hAnsi="宋体" w:cs="宋体" w:eastAsia="宋体" w:hint="default"/>
                <w:sz w:val="21"/>
                <w:szCs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2,280,067.39</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2,280,067.39</w:t>
            </w:r>
            <w:r>
              <w:rPr>
                <w:rFonts w:ascii="Times New Roman"/>
                <w:sz w:val="20"/>
              </w:rPr>
            </w:r>
          </w:p>
        </w:tc>
      </w:tr>
      <w:tr>
        <w:trPr>
          <w:trHeight w:val="283"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税收返还</w:t>
            </w:r>
            <w:r>
              <w:rPr>
                <w:rFonts w:ascii="宋体" w:hAnsi="宋体" w:cs="宋体" w:eastAsia="宋体" w:hint="default"/>
                <w:sz w:val="21"/>
                <w:szCs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18,325,413.57</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18,325,413.57</w:t>
            </w:r>
            <w:r>
              <w:rPr>
                <w:rFonts w:ascii="Times New Roman"/>
                <w:sz w:val="20"/>
              </w:rPr>
            </w:r>
          </w:p>
        </w:tc>
      </w:tr>
      <w:tr>
        <w:trPr>
          <w:trHeight w:val="284"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研究开发补助</w:t>
            </w:r>
            <w:r>
              <w:rPr>
                <w:rFonts w:ascii="宋体" w:hAnsi="宋体" w:cs="宋体" w:eastAsia="宋体" w:hint="default"/>
                <w:sz w:val="21"/>
                <w:szCs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3,294,200.00</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3,294,200.00</w:t>
            </w:r>
            <w:r>
              <w:rPr>
                <w:rFonts w:ascii="Times New Roman"/>
                <w:sz w:val="20"/>
              </w:rPr>
            </w:r>
          </w:p>
        </w:tc>
      </w:tr>
      <w:tr>
        <w:trPr>
          <w:trHeight w:val="281"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专利发明补助</w:t>
            </w:r>
            <w:r>
              <w:rPr>
                <w:rFonts w:ascii="宋体" w:hAnsi="宋体" w:cs="宋体" w:eastAsia="宋体" w:hint="default"/>
                <w:sz w:val="21"/>
                <w:szCs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500,000.00</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500,000.00</w:t>
            </w:r>
            <w:r>
              <w:rPr>
                <w:rFonts w:ascii="Times New Roman"/>
                <w:sz w:val="20"/>
              </w:rPr>
            </w:r>
          </w:p>
        </w:tc>
      </w:tr>
      <w:tr>
        <w:trPr>
          <w:trHeight w:val="283"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人才引进补助</w:t>
            </w:r>
            <w:r>
              <w:rPr>
                <w:rFonts w:ascii="宋体" w:hAnsi="宋体" w:cs="宋体" w:eastAsia="宋体" w:hint="default"/>
                <w:sz w:val="21"/>
                <w:szCs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1,060,000.00</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1,060,000.00</w:t>
            </w:r>
            <w:r>
              <w:rPr>
                <w:rFonts w:ascii="Times New Roman"/>
                <w:sz w:val="20"/>
              </w:rPr>
            </w:r>
          </w:p>
        </w:tc>
      </w:tr>
      <w:tr>
        <w:trPr>
          <w:trHeight w:val="283"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稳岗补贴</w:t>
            </w:r>
            <w:r>
              <w:rPr>
                <w:rFonts w:ascii="宋体" w:hAnsi="宋体" w:cs="宋体" w:eastAsia="宋体" w:hint="default"/>
                <w:sz w:val="21"/>
                <w:szCs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336,789.00</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336,789.00</w:t>
            </w:r>
            <w:r>
              <w:rPr>
                <w:rFonts w:ascii="Times New Roman"/>
                <w:sz w:val="20"/>
              </w:rPr>
            </w:r>
          </w:p>
        </w:tc>
      </w:tr>
      <w:tr>
        <w:trPr>
          <w:trHeight w:val="281"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产业升级专项资金补助</w:t>
            </w:r>
            <w:r>
              <w:rPr>
                <w:rFonts w:ascii="宋体" w:hAnsi="宋体" w:cs="宋体" w:eastAsia="宋体" w:hint="default"/>
                <w:sz w:val="21"/>
                <w:szCs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4,700,500.00</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4,700,500.00</w:t>
            </w:r>
            <w:r>
              <w:rPr>
                <w:rFonts w:ascii="Times New Roman"/>
                <w:sz w:val="20"/>
              </w:rPr>
            </w:r>
          </w:p>
        </w:tc>
      </w:tr>
      <w:tr>
        <w:trPr>
          <w:trHeight w:val="283"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外经贸发展扶持补助金</w:t>
            </w:r>
            <w:r>
              <w:rPr>
                <w:rFonts w:ascii="宋体" w:hAnsi="宋体" w:cs="宋体" w:eastAsia="宋体" w:hint="default"/>
                <w:sz w:val="21"/>
                <w:szCs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1,559,000.00</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1,559,000.00</w:t>
            </w:r>
            <w:r>
              <w:rPr>
                <w:rFonts w:ascii="Times New Roman"/>
                <w:sz w:val="20"/>
              </w:rPr>
            </w:r>
          </w:p>
        </w:tc>
      </w:tr>
      <w:tr>
        <w:trPr>
          <w:trHeight w:val="281"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其他补助</w:t>
            </w:r>
            <w:r>
              <w:rPr>
                <w:rFonts w:ascii="宋体" w:hAnsi="宋体" w:cs="宋体" w:eastAsia="宋体" w:hint="default"/>
                <w:sz w:val="21"/>
                <w:szCs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571,083.87</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571,083.87</w:t>
            </w:r>
            <w:r>
              <w:rPr>
                <w:rFonts w:ascii="Times New Roman"/>
                <w:sz w:val="20"/>
              </w:rPr>
            </w:r>
          </w:p>
        </w:tc>
      </w:tr>
      <w:tr>
        <w:trPr>
          <w:trHeight w:val="283"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科技创新奖励</w:t>
            </w:r>
            <w:r>
              <w:rPr>
                <w:rFonts w:ascii="宋体" w:hAnsi="宋体" w:cs="宋体" w:eastAsia="宋体" w:hint="default"/>
                <w:sz w:val="21"/>
                <w:szCs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1,153,868.00</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1,153,868.00</w:t>
            </w:r>
            <w:r>
              <w:rPr>
                <w:rFonts w:ascii="Times New Roman"/>
                <w:sz w:val="20"/>
              </w:rPr>
            </w:r>
          </w:p>
        </w:tc>
      </w:tr>
      <w:tr>
        <w:trPr>
          <w:trHeight w:val="283"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企业发展专项奖励</w:t>
            </w:r>
            <w:r>
              <w:rPr>
                <w:rFonts w:ascii="宋体" w:hAnsi="宋体" w:cs="宋体" w:eastAsia="宋体" w:hint="default"/>
                <w:sz w:val="21"/>
                <w:szCs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800,000.00</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800,000.00</w:t>
            </w:r>
            <w:r>
              <w:rPr>
                <w:rFonts w:ascii="Times New Roman"/>
                <w:sz w:val="20"/>
              </w:rPr>
            </w:r>
          </w:p>
        </w:tc>
      </w:tr>
      <w:tr>
        <w:trPr>
          <w:trHeight w:val="281"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外经贸发展专项资金</w:t>
            </w:r>
            <w:r>
              <w:rPr>
                <w:rFonts w:ascii="宋体" w:hAnsi="宋体" w:cs="宋体" w:eastAsia="宋体" w:hint="default"/>
                <w:sz w:val="21"/>
                <w:szCs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311,300.00</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311,300.00</w:t>
            </w:r>
            <w:r>
              <w:rPr>
                <w:rFonts w:ascii="Times New Roman"/>
                <w:sz w:val="20"/>
              </w:rPr>
            </w:r>
          </w:p>
        </w:tc>
      </w:tr>
      <w:tr>
        <w:trPr>
          <w:trHeight w:val="283"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推动工业发展十五条措施奖励</w:t>
            </w:r>
            <w:r>
              <w:rPr>
                <w:rFonts w:ascii="宋体" w:hAnsi="宋体" w:cs="宋体" w:eastAsia="宋体" w:hint="default"/>
                <w:sz w:val="21"/>
                <w:szCs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812,900.00</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812,900.00</w:t>
            </w:r>
            <w:r>
              <w:rPr>
                <w:rFonts w:ascii="Times New Roman"/>
                <w:sz w:val="20"/>
              </w:rPr>
            </w:r>
          </w:p>
        </w:tc>
      </w:tr>
      <w:tr>
        <w:trPr>
          <w:trHeight w:val="283"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中标奖励</w:t>
            </w:r>
            <w:r>
              <w:rPr>
                <w:rFonts w:ascii="宋体" w:hAnsi="宋体" w:cs="宋体" w:eastAsia="宋体" w:hint="default"/>
                <w:sz w:val="21"/>
                <w:szCs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707,900.00</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707,900.00</w:t>
            </w:r>
            <w:r>
              <w:rPr>
                <w:rFonts w:ascii="Times New Roman"/>
                <w:sz w:val="20"/>
              </w:rPr>
            </w:r>
          </w:p>
        </w:tc>
      </w:tr>
      <w:tr>
        <w:trPr>
          <w:trHeight w:val="281"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知识产权局专项奖励</w:t>
            </w:r>
            <w:r>
              <w:rPr>
                <w:rFonts w:ascii="宋体" w:hAnsi="宋体" w:cs="宋体" w:eastAsia="宋体" w:hint="default"/>
                <w:sz w:val="21"/>
                <w:szCs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139,500.00</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139,500.00</w:t>
            </w:r>
            <w:r>
              <w:rPr>
                <w:rFonts w:ascii="Times New Roman"/>
                <w:sz w:val="20"/>
              </w:rPr>
            </w:r>
          </w:p>
        </w:tc>
      </w:tr>
      <w:tr>
        <w:trPr>
          <w:trHeight w:val="283"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财政奖励款</w:t>
            </w:r>
            <w:r>
              <w:rPr>
                <w:rFonts w:ascii="宋体" w:hAnsi="宋体" w:cs="宋体" w:eastAsia="宋体" w:hint="default"/>
                <w:sz w:val="21"/>
                <w:szCs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51,500.00</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51,500.00</w:t>
            </w:r>
            <w:r>
              <w:rPr>
                <w:rFonts w:ascii="Times New Roman"/>
                <w:sz w:val="20"/>
              </w:rPr>
            </w:r>
          </w:p>
        </w:tc>
      </w:tr>
      <w:tr>
        <w:trPr>
          <w:trHeight w:val="283"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高新技术企业奖励</w:t>
            </w:r>
            <w:r>
              <w:rPr>
                <w:rFonts w:ascii="宋体" w:hAnsi="宋体" w:cs="宋体" w:eastAsia="宋体" w:hint="default"/>
                <w:sz w:val="21"/>
                <w:szCs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850,000.00</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850,000.00</w:t>
            </w:r>
            <w:r>
              <w:rPr>
                <w:rFonts w:ascii="Times New Roman"/>
                <w:sz w:val="20"/>
              </w:rPr>
            </w:r>
          </w:p>
        </w:tc>
      </w:tr>
      <w:tr>
        <w:trPr>
          <w:trHeight w:val="281"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环保奖励</w:t>
            </w:r>
            <w:r>
              <w:rPr>
                <w:rFonts w:ascii="宋体" w:hAnsi="宋体" w:cs="宋体" w:eastAsia="宋体" w:hint="default"/>
                <w:sz w:val="21"/>
                <w:szCs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400,000.00</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400,000.00</w:t>
            </w:r>
            <w:r>
              <w:rPr>
                <w:rFonts w:ascii="Times New Roman"/>
                <w:sz w:val="20"/>
              </w:rPr>
            </w:r>
          </w:p>
        </w:tc>
      </w:tr>
      <w:tr>
        <w:trPr>
          <w:trHeight w:val="283"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产业发展奖励</w:t>
            </w:r>
            <w:r>
              <w:rPr>
                <w:rFonts w:ascii="宋体" w:hAnsi="宋体" w:cs="宋体" w:eastAsia="宋体" w:hint="default"/>
                <w:sz w:val="21"/>
                <w:szCs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110,000.00</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110,000.00</w:t>
            </w:r>
            <w:r>
              <w:rPr>
                <w:rFonts w:ascii="Times New Roman"/>
                <w:sz w:val="20"/>
              </w:rPr>
            </w:r>
          </w:p>
        </w:tc>
      </w:tr>
      <w:tr>
        <w:trPr>
          <w:trHeight w:val="283"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两化融合奖励</w:t>
            </w:r>
            <w:r>
              <w:rPr>
                <w:rFonts w:ascii="宋体" w:hAnsi="宋体" w:cs="宋体" w:eastAsia="宋体" w:hint="default"/>
                <w:sz w:val="21"/>
                <w:szCs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100,000.00</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100,000.00</w:t>
            </w:r>
            <w:r>
              <w:rPr>
                <w:rFonts w:ascii="Times New Roman"/>
                <w:sz w:val="20"/>
              </w:rPr>
            </w:r>
          </w:p>
        </w:tc>
      </w:tr>
      <w:tr>
        <w:trPr>
          <w:trHeight w:val="281"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工业设计奖励</w:t>
            </w:r>
            <w:r>
              <w:rPr>
                <w:rFonts w:ascii="宋体" w:hAnsi="宋体" w:cs="宋体" w:eastAsia="宋体" w:hint="default"/>
                <w:sz w:val="21"/>
                <w:szCs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100,000.00</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100,000.00</w:t>
            </w:r>
            <w:r>
              <w:rPr>
                <w:rFonts w:ascii="Times New Roman"/>
                <w:sz w:val="20"/>
              </w:rPr>
            </w:r>
          </w:p>
        </w:tc>
      </w:tr>
      <w:tr>
        <w:trPr>
          <w:trHeight w:val="283"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文化产业奖励</w:t>
            </w:r>
            <w:r>
              <w:rPr>
                <w:rFonts w:ascii="宋体" w:hAnsi="宋体" w:cs="宋体" w:eastAsia="宋体" w:hint="default"/>
                <w:sz w:val="21"/>
                <w:szCs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60,000.00</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60,000.00</w:t>
            </w:r>
            <w:r>
              <w:rPr>
                <w:rFonts w:ascii="Times New Roman"/>
                <w:sz w:val="20"/>
              </w:rPr>
            </w:r>
          </w:p>
        </w:tc>
      </w:tr>
      <w:tr>
        <w:trPr>
          <w:trHeight w:val="283"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财政局企业改制上市挂牌和融资奖励</w:t>
            </w:r>
            <w:r>
              <w:rPr>
                <w:rFonts w:ascii="宋体" w:hAnsi="宋体" w:cs="宋体" w:eastAsia="宋体" w:hint="default"/>
                <w:sz w:val="21"/>
                <w:szCs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1,000,000.00</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1,000,000.00</w:t>
            </w:r>
            <w:r>
              <w:rPr>
                <w:rFonts w:ascii="Times New Roman"/>
                <w:sz w:val="20"/>
              </w:rPr>
            </w:r>
          </w:p>
        </w:tc>
      </w:tr>
      <w:tr>
        <w:trPr>
          <w:trHeight w:val="281"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重大技术装备奖励资金</w:t>
            </w:r>
            <w:r>
              <w:rPr>
                <w:rFonts w:ascii="宋体" w:hAnsi="宋体" w:cs="宋体" w:eastAsia="宋体" w:hint="default"/>
                <w:sz w:val="21"/>
                <w:szCs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0"/>
                <w:szCs w:val="20"/>
              </w:rPr>
            </w:pPr>
            <w:r>
              <w:rPr>
                <w:rFonts w:ascii="Times New Roman"/>
                <w:w w:val="95"/>
                <w:sz w:val="20"/>
              </w:rPr>
              <w:t>300,000.00</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0"/>
                <w:szCs w:val="20"/>
              </w:rPr>
            </w:pPr>
            <w:r>
              <w:rPr>
                <w:rFonts w:ascii="Times New Roman"/>
                <w:w w:val="95"/>
                <w:sz w:val="20"/>
              </w:rPr>
              <w:t>300,000.00</w:t>
            </w:r>
            <w:r>
              <w:rPr>
                <w:rFonts w:ascii="Times New Roman"/>
                <w:sz w:val="20"/>
              </w:rPr>
            </w:r>
          </w:p>
        </w:tc>
      </w:tr>
      <w:tr>
        <w:trPr>
          <w:trHeight w:val="283"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优秀新产品奖励</w:t>
            </w:r>
            <w:r>
              <w:rPr>
                <w:rFonts w:ascii="宋体" w:hAnsi="宋体" w:cs="宋体" w:eastAsia="宋体" w:hint="default"/>
                <w:sz w:val="21"/>
                <w:szCs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230,000.00</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230,000.00</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882" w:footer="1195"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4064"/>
        <w:gridCol w:w="1604"/>
        <w:gridCol w:w="1306"/>
        <w:gridCol w:w="2077"/>
      </w:tblGrid>
      <w:tr>
        <w:trPr>
          <w:trHeight w:val="283"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纳税先进企业补贴</w:t>
            </w:r>
            <w:r>
              <w:rPr>
                <w:rFonts w:ascii="宋体" w:hAnsi="宋体" w:cs="宋体" w:eastAsia="宋体" w:hint="default"/>
                <w:sz w:val="21"/>
                <w:szCs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400,000.00</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right"/>
              <w:rPr>
                <w:rFonts w:ascii="宋体" w:hAnsi="宋体" w:cs="宋体" w:eastAsia="宋体" w:hint="default"/>
                <w:sz w:val="21"/>
                <w:szCs w:val="21"/>
              </w:rPr>
            </w:pPr>
            <w:r>
              <w:rPr>
                <w:rFonts w:ascii="宋体" w:hAnsi="宋体" w:cs="宋体" w:eastAsia="宋体" w:hint="default"/>
                <w:spacing w:val="-2"/>
                <w:sz w:val="21"/>
                <w:szCs w:val="21"/>
              </w:rPr>
              <w:t>营业外收入</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400,000.00</w:t>
            </w:r>
            <w:r>
              <w:rPr>
                <w:rFonts w:ascii="Times New Roman"/>
                <w:sz w:val="20"/>
              </w:rPr>
            </w:r>
          </w:p>
        </w:tc>
      </w:tr>
      <w:tr>
        <w:trPr>
          <w:trHeight w:val="281"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其他政府补助</w:t>
            </w:r>
            <w:r>
              <w:rPr>
                <w:rFonts w:ascii="宋体" w:hAnsi="宋体" w:cs="宋体" w:eastAsia="宋体" w:hint="default"/>
                <w:sz w:val="21"/>
                <w:szCs w:val="21"/>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659,595.68</w:t>
            </w:r>
            <w:r>
              <w:rPr>
                <w:rFonts w:ascii="Times New Roman"/>
                <w:sz w:val="20"/>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right"/>
              <w:rPr>
                <w:rFonts w:ascii="宋体" w:hAnsi="宋体" w:cs="宋体" w:eastAsia="宋体" w:hint="default"/>
                <w:sz w:val="21"/>
                <w:szCs w:val="21"/>
              </w:rPr>
            </w:pPr>
            <w:r>
              <w:rPr>
                <w:rFonts w:ascii="宋体" w:hAnsi="宋体" w:cs="宋体" w:eastAsia="宋体" w:hint="default"/>
                <w:spacing w:val="-2"/>
                <w:sz w:val="21"/>
                <w:szCs w:val="21"/>
              </w:rPr>
              <w:t>营业外收入</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659,595.68</w:t>
            </w:r>
            <w:r>
              <w:rPr>
                <w:rFonts w:ascii="Times New Roman"/>
                <w:sz w:val="20"/>
              </w:rPr>
            </w:r>
          </w:p>
        </w:tc>
      </w:tr>
    </w:tbl>
    <w:p>
      <w:pPr>
        <w:spacing w:line="240" w:lineRule="auto" w:before="10"/>
        <w:rPr>
          <w:rFonts w:ascii="宋体" w:hAnsi="宋体" w:cs="宋体" w:eastAsia="宋体" w:hint="default"/>
          <w:sz w:val="17"/>
          <w:szCs w:val="17"/>
        </w:rPr>
      </w:pPr>
    </w:p>
    <w:p>
      <w:pPr>
        <w:pStyle w:val="Heading5"/>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t>政府补助退回情况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216" w:right="7475"/>
        <w:jc w:val="left"/>
      </w:pPr>
      <w:r>
        <w:rPr/>
        <w:t>□适用 √不适用</w:t>
      </w:r>
      <w:r>
        <w:rPr>
          <w:w w:val="100"/>
        </w:rPr>
        <w:t> </w:t>
      </w:r>
      <w:r>
        <w:rPr/>
        <w:t>其他说明：</w:t>
      </w:r>
    </w:p>
    <w:p>
      <w:pPr>
        <w:pStyle w:val="BodyText"/>
        <w:spacing w:line="246" w:lineRule="exact"/>
        <w:ind w:left="216" w:right="0"/>
        <w:jc w:val="left"/>
      </w:pPr>
      <w:r>
        <w:rPr/>
        <w:t>本公司今年确认的收到政府补助金额合计 </w:t>
      </w:r>
      <w:r>
        <w:rPr>
          <w:rFonts w:ascii="宋体" w:hAnsi="宋体" w:cs="宋体" w:eastAsia="宋体" w:hint="default"/>
        </w:rPr>
        <w:t>49,555,617.51</w:t>
      </w:r>
      <w:r>
        <w:rPr>
          <w:rFonts w:ascii="宋体" w:hAnsi="宋体" w:cs="宋体" w:eastAsia="宋体" w:hint="default"/>
          <w:spacing w:val="6"/>
        </w:rPr>
        <w:t> </w:t>
      </w:r>
      <w:r>
        <w:rPr/>
        <w:t>元</w:t>
      </w:r>
      <w:r>
        <w:rPr>
          <w:rFonts w:ascii="宋体" w:hAnsi="宋体" w:cs="宋体" w:eastAsia="宋体" w:hint="default"/>
        </w:rPr>
        <w:t>,</w:t>
      </w:r>
      <w:r>
        <w:rPr/>
        <w:t>其中收到与资产相关的政府补助金</w:t>
      </w:r>
    </w:p>
    <w:p>
      <w:pPr>
        <w:pStyle w:val="BodyText"/>
        <w:spacing w:line="269" w:lineRule="exact"/>
        <w:ind w:left="216" w:right="0"/>
        <w:jc w:val="left"/>
        <w:rPr>
          <w:rFonts w:ascii="宋体" w:hAnsi="宋体" w:cs="宋体" w:eastAsia="宋体" w:hint="default"/>
        </w:rPr>
      </w:pPr>
      <w:r>
        <w:rPr/>
        <w:t>额为</w:t>
      </w:r>
      <w:r>
        <w:rPr>
          <w:spacing w:val="-53"/>
        </w:rPr>
        <w:t> </w:t>
      </w:r>
      <w:r>
        <w:rPr>
          <w:rFonts w:ascii="宋体" w:hAnsi="宋体" w:cs="宋体" w:eastAsia="宋体" w:hint="default"/>
        </w:rPr>
        <w:t>8,742,000</w:t>
      </w:r>
      <w:r>
        <w:rPr>
          <w:rFonts w:ascii="宋体" w:hAnsi="宋体" w:cs="宋体" w:eastAsia="宋体" w:hint="default"/>
          <w:spacing w:val="-56"/>
        </w:rPr>
        <w:t> </w:t>
      </w:r>
      <w:r>
        <w:rPr/>
        <w:t>元</w:t>
      </w:r>
      <w:r>
        <w:rPr>
          <w:rFonts w:ascii="宋体" w:hAnsi="宋体" w:cs="宋体" w:eastAsia="宋体" w:hint="default"/>
        </w:rPr>
        <w:t>,</w:t>
      </w:r>
      <w:r>
        <w:rPr/>
        <w:t>收到与收益相关的政府补助金额为</w:t>
      </w:r>
      <w:r>
        <w:rPr>
          <w:spacing w:val="-54"/>
        </w:rPr>
        <w:t> </w:t>
      </w:r>
      <w:r>
        <w:rPr>
          <w:rFonts w:ascii="宋体" w:hAnsi="宋体" w:cs="宋体" w:eastAsia="宋体" w:hint="default"/>
        </w:rPr>
        <w:t>40,813,617.51</w:t>
      </w:r>
      <w:r>
        <w:rPr>
          <w:rFonts w:ascii="宋体" w:hAnsi="宋体" w:cs="宋体" w:eastAsia="宋体" w:hint="default"/>
          <w:spacing w:val="-54"/>
        </w:rPr>
        <w:t> </w:t>
      </w:r>
      <w:r>
        <w:rPr>
          <w:spacing w:val="-3"/>
        </w:rPr>
        <w:t>元。</w:t>
      </w:r>
      <w:r>
        <w:rPr>
          <w:rFonts w:ascii="宋体" w:hAnsi="宋体" w:cs="宋体" w:eastAsia="宋体" w:hint="default"/>
        </w:rPr>
        <w:t> </w:t>
      </w:r>
    </w:p>
    <w:p>
      <w:pPr>
        <w:pStyle w:val="Heading3"/>
        <w:spacing w:line="308" w:lineRule="exact"/>
        <w:ind w:right="0"/>
        <w:jc w:val="left"/>
        <w:rPr>
          <w:rFonts w:ascii="宋体" w:hAnsi="宋体" w:cs="宋体" w:eastAsia="宋体" w:hint="default"/>
        </w:rPr>
      </w:pPr>
      <w:r>
        <w:rPr>
          <w:rFonts w:ascii="宋体"/>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40" w:lineRule="auto"/>
        <w:ind w:right="0"/>
        <w:jc w:val="left"/>
        <w:rPr>
          <w:b w:val="0"/>
          <w:bCs w:val="0"/>
        </w:rPr>
      </w:pPr>
      <w:r>
        <w:rPr>
          <w:rFonts w:ascii="宋体" w:hAnsi="宋体" w:cs="宋体" w:eastAsia="宋体" w:hint="default"/>
        </w:rPr>
        <w:t>83</w:t>
      </w:r>
      <w:r>
        <w:rPr/>
        <w:t>、</w:t>
      </w:r>
      <w:r>
        <w:rPr>
          <w:spacing w:val="-25"/>
        </w:rPr>
        <w:t> </w:t>
      </w:r>
      <w:r>
        <w:rPr/>
        <w:t>其他</w:t>
      </w:r>
      <w:r>
        <w:rPr>
          <w:b w:val="0"/>
          <w:bCs w:val="0"/>
        </w:rPr>
      </w:r>
    </w:p>
    <w:p>
      <w:pPr>
        <w:pStyle w:val="Heading3"/>
        <w:spacing w:line="313" w:lineRule="exact"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40" w:lineRule="auto"/>
        <w:ind w:right="0"/>
        <w:jc w:val="left"/>
        <w:rPr>
          <w:b w:val="0"/>
          <w:bCs w:val="0"/>
        </w:rPr>
      </w:pPr>
      <w:r>
        <w:rPr/>
        <w:t>八、</w:t>
      </w:r>
      <w:r>
        <w:rPr>
          <w:spacing w:val="-101"/>
        </w:rPr>
        <w:t> </w:t>
      </w:r>
      <w:r>
        <w:rPr>
          <w:rFonts w:ascii="宋体" w:hAnsi="宋体" w:cs="宋体" w:eastAsia="宋体" w:hint="default"/>
          <w:spacing w:val="-101"/>
        </w:rPr>
      </w:r>
      <w:r>
        <w:rPr/>
        <w:t>合并范围的变更</w:t>
      </w:r>
      <w:r>
        <w:rPr>
          <w:b w:val="0"/>
          <w:bCs w:val="0"/>
        </w:rPr>
      </w:r>
    </w:p>
    <w:p>
      <w:pPr>
        <w:pStyle w:val="Heading5"/>
        <w:spacing w:line="240" w:lineRule="auto" w:before="56"/>
        <w:ind w:right="0"/>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非同一控制下企业合并</w:t>
      </w:r>
      <w:r>
        <w:rPr>
          <w:rFonts w:ascii="宋体" w:hAnsi="宋体" w:cs="宋体" w:eastAsia="宋体" w:hint="default"/>
          <w:w w:val="99"/>
        </w:rPr>
        <w:t> </w:t>
      </w:r>
      <w:r>
        <w:rPr>
          <w:rFonts w:ascii="宋体" w:hAnsi="宋体" w:cs="宋体" w:eastAsia="宋体" w:hint="default"/>
          <w:b w:val="0"/>
          <w:bCs w:val="0"/>
        </w:rPr>
      </w:r>
    </w:p>
    <w:p>
      <w:pPr>
        <w:pStyle w:val="Heading3"/>
        <w:spacing w:line="312" w:lineRule="exact"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right="0"/>
        <w:jc w:val="left"/>
        <w:rPr>
          <w:rFonts w:ascii="宋体" w:hAnsi="宋体" w:cs="宋体" w:eastAsia="宋体" w:hint="default"/>
        </w:rPr>
      </w:pPr>
      <w:r>
        <w:rPr>
          <w:rFonts w:ascii="宋体"/>
        </w:rPr>
        <w:t> </w:t>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2</w:t>
      </w:r>
      <w:r>
        <w:rPr/>
        <w:t>、</w:t>
      </w:r>
      <w:r>
        <w:rPr>
          <w:spacing w:val="-3"/>
        </w:rPr>
        <w:t> </w:t>
      </w:r>
      <w:r>
        <w:rPr/>
        <w:t>同一控制下企业合并</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反向购买</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right="0"/>
        <w:jc w:val="left"/>
        <w:rPr>
          <w:rFonts w:ascii="宋体" w:hAnsi="宋体" w:cs="宋体" w:eastAsia="宋体" w:hint="default"/>
        </w:rPr>
      </w:pPr>
      <w:r>
        <w:rPr>
          <w:rFonts w:ascii="宋体"/>
        </w:rPr>
        <w:t> </w:t>
      </w:r>
    </w:p>
    <w:p>
      <w:pPr>
        <w:pStyle w:val="Heading3"/>
        <w:spacing w:line="313" w:lineRule="exact"/>
        <w:ind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pgSz w:w="11910" w:h="16840"/>
          <w:pgMar w:header="882" w:footer="1195" w:top="1120" w:bottom="1380" w:left="1060" w:right="1560"/>
        </w:sectPr>
      </w:pPr>
    </w:p>
    <w:p>
      <w:pPr>
        <w:spacing w:line="240" w:lineRule="auto" w:before="10"/>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headerReference w:type="default" r:id="rId72"/>
          <w:footerReference w:type="default" r:id="rId73"/>
          <w:pgSz w:w="16840" w:h="11910" w:orient="landscape"/>
          <w:pgMar w:header="882" w:footer="1195" w:top="1120" w:bottom="1380" w:left="1380" w:right="1220"/>
          <w:pgNumType w:start="170"/>
        </w:sectPr>
      </w:pPr>
    </w:p>
    <w:p>
      <w:pPr>
        <w:spacing w:line="290" w:lineRule="auto" w:before="36"/>
        <w:ind w:left="144"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99"/>
          <w:sz w:val="21"/>
          <w:szCs w:val="21"/>
        </w:rPr>
        <w:t> </w:t>
      </w:r>
      <w:r>
        <w:rPr>
          <w:rFonts w:ascii="宋体" w:hAnsi="宋体" w:cs="宋体" w:eastAsia="宋体" w:hint="default"/>
          <w:sz w:val="21"/>
          <w:szCs w:val="21"/>
        </w:rPr>
        <w:t>是否存在单次处置对子公司投资即丧失控制权的情形</w:t>
      </w:r>
      <w:r>
        <w:rPr>
          <w:rFonts w:ascii="宋体" w:hAnsi="宋体" w:cs="宋体" w:eastAsia="宋体" w:hint="default"/>
          <w:sz w:val="21"/>
          <w:szCs w:val="21"/>
        </w:rPr>
        <w:t> </w:t>
      </w:r>
    </w:p>
    <w:p>
      <w:pPr>
        <w:pStyle w:val="Heading3"/>
        <w:spacing w:line="263" w:lineRule="exact"/>
        <w:ind w:left="14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4"/>
          <w:szCs w:val="24"/>
        </w:rPr>
      </w:pPr>
    </w:p>
    <w:p>
      <w:pPr>
        <w:pStyle w:val="BodyText"/>
        <w:spacing w:line="240" w:lineRule="auto"/>
        <w:ind w:left="144" w:right="0"/>
        <w:jc w:val="left"/>
        <w:rPr>
          <w:rFonts w:ascii="宋体" w:hAnsi="宋体" w:cs="宋体" w:eastAsia="宋体" w:hint="default"/>
          <w:sz w:val="24"/>
          <w:szCs w:val="24"/>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6840" w:h="11910" w:orient="landscape"/>
          <w:pgMar w:top="1120" w:bottom="1380" w:left="1380" w:right="1220"/>
          <w:cols w:num="2" w:equalWidth="0">
            <w:col w:w="5085" w:space="6689"/>
            <w:col w:w="2466"/>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684"/>
        <w:gridCol w:w="1162"/>
        <w:gridCol w:w="929"/>
        <w:gridCol w:w="948"/>
        <w:gridCol w:w="944"/>
        <w:gridCol w:w="1121"/>
        <w:gridCol w:w="1404"/>
        <w:gridCol w:w="1080"/>
        <w:gridCol w:w="1140"/>
        <w:gridCol w:w="1130"/>
        <w:gridCol w:w="1241"/>
        <w:gridCol w:w="1277"/>
        <w:gridCol w:w="842"/>
      </w:tblGrid>
      <w:tr>
        <w:trPr>
          <w:trHeight w:val="164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32" w:lineRule="exact"/>
              <w:ind w:left="155" w:right="65" w:hanging="89"/>
              <w:jc w:val="left"/>
              <w:rPr>
                <w:rFonts w:ascii="宋体" w:hAnsi="宋体" w:cs="宋体" w:eastAsia="宋体" w:hint="default"/>
                <w:sz w:val="18"/>
                <w:szCs w:val="18"/>
              </w:rPr>
            </w:pPr>
            <w:r>
              <w:rPr>
                <w:rFonts w:ascii="宋体" w:hAnsi="宋体" w:cs="宋体" w:eastAsia="宋体" w:hint="default"/>
                <w:sz w:val="18"/>
                <w:szCs w:val="18"/>
              </w:rPr>
              <w:t>子公司 名称</w:t>
            </w:r>
            <w:r>
              <w:rPr>
                <w:rFonts w:ascii="宋体" w:hAnsi="宋体" w:cs="宋体" w:eastAsia="宋体" w:hint="default"/>
                <w:sz w:val="18"/>
                <w:szCs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8"/>
                <w:szCs w:val="18"/>
              </w:rPr>
            </w:pPr>
            <w:r>
              <w:rPr>
                <w:rFonts w:ascii="宋体" w:hAnsi="宋体" w:cs="宋体" w:eastAsia="宋体" w:hint="default"/>
                <w:sz w:val="18"/>
                <w:szCs w:val="18"/>
              </w:rPr>
              <w:t>股权处置价款</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32" w:lineRule="exact"/>
              <w:ind w:left="144" w:right="7" w:hanging="135"/>
              <w:jc w:val="left"/>
              <w:rPr>
                <w:rFonts w:ascii="宋体" w:hAnsi="宋体" w:cs="宋体" w:eastAsia="宋体" w:hint="default"/>
                <w:sz w:val="18"/>
                <w:szCs w:val="18"/>
              </w:rPr>
            </w:pPr>
            <w:r>
              <w:rPr>
                <w:rFonts w:ascii="宋体" w:hAnsi="宋体" w:cs="宋体" w:eastAsia="宋体" w:hint="default"/>
                <w:sz w:val="18"/>
                <w:szCs w:val="18"/>
              </w:rPr>
              <w:t>股权处置比 例（</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32" w:lineRule="exact"/>
              <w:ind w:left="379" w:right="17" w:hanging="360"/>
              <w:jc w:val="left"/>
              <w:rPr>
                <w:rFonts w:ascii="宋体" w:hAnsi="宋体" w:cs="宋体" w:eastAsia="宋体" w:hint="default"/>
                <w:sz w:val="18"/>
                <w:szCs w:val="18"/>
              </w:rPr>
            </w:pPr>
            <w:r>
              <w:rPr>
                <w:rFonts w:ascii="宋体" w:hAnsi="宋体" w:cs="宋体" w:eastAsia="宋体" w:hint="default"/>
                <w:sz w:val="18"/>
                <w:szCs w:val="18"/>
              </w:rPr>
              <w:t>股权处置方 式</w:t>
            </w:r>
            <w:r>
              <w:rPr>
                <w:rFonts w:ascii="宋体" w:hAnsi="宋体" w:cs="宋体" w:eastAsia="宋体" w:hint="default"/>
                <w:sz w:val="18"/>
                <w:szCs w:val="18"/>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32" w:lineRule="exact"/>
              <w:ind w:left="197" w:right="14" w:hanging="180"/>
              <w:jc w:val="left"/>
              <w:rPr>
                <w:rFonts w:ascii="宋体" w:hAnsi="宋体" w:cs="宋体" w:eastAsia="宋体" w:hint="default"/>
                <w:sz w:val="18"/>
                <w:szCs w:val="18"/>
              </w:rPr>
            </w:pPr>
            <w:r>
              <w:rPr>
                <w:rFonts w:ascii="宋体" w:hAnsi="宋体" w:cs="宋体" w:eastAsia="宋体" w:hint="default"/>
                <w:sz w:val="18"/>
                <w:szCs w:val="18"/>
              </w:rPr>
              <w:t>丧失控制权 的时点</w:t>
            </w:r>
            <w:r>
              <w:rPr>
                <w:rFonts w:ascii="宋体" w:hAnsi="宋体" w:cs="宋体" w:eastAsia="宋体" w:hint="default"/>
                <w:sz w:val="18"/>
                <w:szCs w:val="18"/>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32" w:lineRule="exact"/>
              <w:ind w:left="14" w:right="14"/>
              <w:jc w:val="left"/>
              <w:rPr>
                <w:rFonts w:ascii="宋体" w:hAnsi="宋体" w:cs="宋体" w:eastAsia="宋体" w:hint="default"/>
                <w:sz w:val="18"/>
                <w:szCs w:val="18"/>
              </w:rPr>
            </w:pPr>
            <w:r>
              <w:rPr>
                <w:rFonts w:ascii="宋体" w:hAnsi="宋体" w:cs="宋体" w:eastAsia="宋体" w:hint="default"/>
                <w:sz w:val="18"/>
                <w:szCs w:val="18"/>
              </w:rPr>
              <w:t>丧失控制权时 点的确定依据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67" w:right="65"/>
              <w:jc w:val="both"/>
              <w:rPr>
                <w:rFonts w:ascii="宋体" w:hAnsi="宋体" w:cs="宋体" w:eastAsia="宋体" w:hint="default"/>
                <w:sz w:val="18"/>
                <w:szCs w:val="18"/>
              </w:rPr>
            </w:pPr>
            <w:r>
              <w:rPr>
                <w:rFonts w:ascii="宋体" w:hAnsi="宋体" w:cs="宋体" w:eastAsia="宋体" w:hint="default"/>
                <w:sz w:val="18"/>
                <w:szCs w:val="18"/>
              </w:rPr>
              <w:t>处置价款与处置 投资对应的合并 财务报表层面享 有该子公司净资 产份额的差额</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7" w:lineRule="auto"/>
              <w:ind w:left="2" w:right="83" w:firstLine="84"/>
              <w:jc w:val="both"/>
              <w:rPr>
                <w:rFonts w:ascii="宋体" w:hAnsi="宋体" w:cs="宋体" w:eastAsia="宋体" w:hint="default"/>
                <w:sz w:val="18"/>
                <w:szCs w:val="18"/>
              </w:rPr>
            </w:pPr>
            <w:r>
              <w:rPr>
                <w:rFonts w:ascii="宋体" w:hAnsi="宋体" w:cs="宋体" w:eastAsia="宋体" w:hint="default"/>
                <w:sz w:val="18"/>
                <w:szCs w:val="18"/>
              </w:rPr>
              <w:t>丧失控制权 之日剩余股 权的比例（</w:t>
            </w:r>
            <w:r>
              <w:rPr>
                <w:rFonts w:ascii="宋体" w:hAnsi="宋体" w:cs="宋体" w:eastAsia="宋体" w:hint="default"/>
                <w:sz w:val="18"/>
                <w:szCs w:val="18"/>
              </w:rPr>
              <w:t>%</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7" w:lineRule="auto"/>
              <w:ind w:left="26" w:right="23"/>
              <w:jc w:val="center"/>
              <w:rPr>
                <w:rFonts w:ascii="宋体" w:hAnsi="宋体" w:cs="宋体" w:eastAsia="宋体" w:hint="default"/>
                <w:sz w:val="18"/>
                <w:szCs w:val="18"/>
              </w:rPr>
            </w:pPr>
            <w:r>
              <w:rPr>
                <w:rFonts w:ascii="宋体" w:hAnsi="宋体" w:cs="宋体" w:eastAsia="宋体" w:hint="default"/>
                <w:sz w:val="18"/>
                <w:szCs w:val="18"/>
              </w:rPr>
              <w:t>丧失控制权之 日剩余股权的 账面价值</w:t>
            </w:r>
            <w:r>
              <w:rPr>
                <w:rFonts w:ascii="宋体" w:hAnsi="宋体" w:cs="宋体" w:eastAsia="宋体" w:hint="default"/>
                <w:sz w:val="18"/>
                <w:szCs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7" w:lineRule="auto"/>
              <w:ind w:left="21" w:right="17"/>
              <w:jc w:val="center"/>
              <w:rPr>
                <w:rFonts w:ascii="宋体" w:hAnsi="宋体" w:cs="宋体" w:eastAsia="宋体" w:hint="default"/>
                <w:sz w:val="18"/>
                <w:szCs w:val="18"/>
              </w:rPr>
            </w:pPr>
            <w:r>
              <w:rPr>
                <w:rFonts w:ascii="宋体" w:hAnsi="宋体" w:cs="宋体" w:eastAsia="宋体" w:hint="default"/>
                <w:sz w:val="18"/>
                <w:szCs w:val="18"/>
              </w:rPr>
              <w:t>丧失控制权之 日剩余股权的 公允价值</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76" w:right="74"/>
              <w:jc w:val="center"/>
              <w:rPr>
                <w:rFonts w:ascii="宋体" w:hAnsi="宋体" w:cs="宋体" w:eastAsia="宋体" w:hint="default"/>
                <w:sz w:val="18"/>
                <w:szCs w:val="18"/>
              </w:rPr>
            </w:pPr>
            <w:r>
              <w:rPr>
                <w:rFonts w:ascii="宋体" w:hAnsi="宋体" w:cs="宋体" w:eastAsia="宋体" w:hint="default"/>
                <w:sz w:val="18"/>
                <w:szCs w:val="18"/>
              </w:rPr>
              <w:t>按照公允价值 重新计量剩余 股权产生的利 得或损失</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4" w:right="0"/>
              <w:jc w:val="center"/>
              <w:rPr>
                <w:rFonts w:ascii="宋体" w:hAnsi="宋体" w:cs="宋体" w:eastAsia="宋体" w:hint="default"/>
                <w:sz w:val="18"/>
                <w:szCs w:val="18"/>
              </w:rPr>
            </w:pPr>
            <w:r>
              <w:rPr>
                <w:rFonts w:ascii="宋体" w:hAnsi="宋体" w:cs="宋体" w:eastAsia="宋体" w:hint="default"/>
                <w:sz w:val="18"/>
                <w:szCs w:val="18"/>
              </w:rPr>
              <w:t>丧失控制权之日 剩余股权公允价 值的确定方法及 主要假设</w:t>
            </w:r>
            <w:r>
              <w:rPr>
                <w:rFonts w:ascii="宋体" w:hAnsi="宋体" w:cs="宋体" w:eastAsia="宋体" w:hint="default"/>
                <w:sz w:val="18"/>
                <w:szCs w:val="18"/>
              </w:rPr>
              <w:t> </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5" w:right="0"/>
              <w:jc w:val="both"/>
              <w:rPr>
                <w:rFonts w:ascii="宋体" w:hAnsi="宋体" w:cs="宋体" w:eastAsia="宋体" w:hint="default"/>
                <w:sz w:val="18"/>
                <w:szCs w:val="18"/>
              </w:rPr>
            </w:pPr>
            <w:r>
              <w:rPr>
                <w:rFonts w:ascii="宋体" w:hAnsi="宋体" w:cs="宋体" w:eastAsia="宋体" w:hint="default"/>
                <w:sz w:val="18"/>
                <w:szCs w:val="18"/>
              </w:rPr>
              <w:t>与原子公</w:t>
            </w:r>
          </w:p>
          <w:p>
            <w:pPr>
              <w:pStyle w:val="TableParagraph"/>
              <w:spacing w:line="237" w:lineRule="auto"/>
              <w:ind w:left="55" w:right="54"/>
              <w:jc w:val="both"/>
              <w:rPr>
                <w:rFonts w:ascii="宋体" w:hAnsi="宋体" w:cs="宋体" w:eastAsia="宋体" w:hint="default"/>
                <w:sz w:val="18"/>
                <w:szCs w:val="18"/>
              </w:rPr>
            </w:pPr>
            <w:r>
              <w:rPr>
                <w:rFonts w:ascii="宋体" w:hAnsi="宋体" w:cs="宋体" w:eastAsia="宋体" w:hint="default"/>
                <w:sz w:val="18"/>
                <w:szCs w:val="18"/>
              </w:rPr>
              <w:t>司股权投 资相关的 其他综合 收益转入 投资损益 的金额</w:t>
            </w:r>
            <w:r>
              <w:rPr>
                <w:rFonts w:ascii="宋体" w:hAnsi="宋体" w:cs="宋体" w:eastAsia="宋体" w:hint="default"/>
                <w:sz w:val="18"/>
                <w:szCs w:val="18"/>
              </w:rPr>
              <w:t> </w:t>
            </w:r>
          </w:p>
        </w:tc>
      </w:tr>
      <w:tr>
        <w:trPr>
          <w:trHeight w:val="94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both"/>
              <w:rPr>
                <w:rFonts w:ascii="宋体" w:hAnsi="宋体" w:cs="宋体" w:eastAsia="宋体" w:hint="default"/>
                <w:sz w:val="18"/>
                <w:szCs w:val="18"/>
              </w:rPr>
            </w:pPr>
            <w:r>
              <w:rPr>
                <w:rFonts w:ascii="宋体" w:hAnsi="宋体" w:cs="宋体" w:eastAsia="宋体" w:hint="default"/>
                <w:spacing w:val="33"/>
                <w:sz w:val="18"/>
                <w:szCs w:val="18"/>
              </w:rPr>
              <w:t>湖南</w:t>
            </w:r>
            <w:r>
              <w:rPr>
                <w:rFonts w:ascii="宋体" w:hAnsi="宋体" w:cs="宋体" w:eastAsia="宋体" w:hint="default"/>
                <w:spacing w:val="-22"/>
                <w:sz w:val="18"/>
                <w:szCs w:val="18"/>
              </w:rPr>
              <w:t> </w:t>
            </w:r>
            <w:r>
              <w:rPr>
                <w:rFonts w:ascii="宋体" w:hAnsi="宋体" w:cs="宋体" w:eastAsia="宋体" w:hint="default"/>
                <w:sz w:val="18"/>
                <w:szCs w:val="18"/>
              </w:rPr>
              <w:t>基</w:t>
            </w:r>
          </w:p>
          <w:p>
            <w:pPr>
              <w:pStyle w:val="TableParagraph"/>
              <w:spacing w:line="237" w:lineRule="auto"/>
              <w:ind w:right="0"/>
              <w:jc w:val="both"/>
              <w:rPr>
                <w:rFonts w:ascii="宋体" w:hAnsi="宋体" w:cs="宋体" w:eastAsia="宋体" w:hint="default"/>
                <w:sz w:val="18"/>
                <w:szCs w:val="18"/>
              </w:rPr>
            </w:pPr>
            <w:r>
              <w:rPr>
                <w:rFonts w:ascii="宋体" w:hAnsi="宋体" w:cs="宋体" w:eastAsia="宋体" w:hint="default"/>
                <w:spacing w:val="33"/>
                <w:sz w:val="18"/>
                <w:szCs w:val="18"/>
              </w:rPr>
              <w:t>石通</w:t>
            </w:r>
            <w:r>
              <w:rPr>
                <w:rFonts w:ascii="宋体" w:hAnsi="宋体" w:cs="宋体" w:eastAsia="宋体" w:hint="default"/>
                <w:spacing w:val="-23"/>
                <w:sz w:val="18"/>
                <w:szCs w:val="18"/>
              </w:rPr>
              <w:t> </w:t>
            </w:r>
            <w:r>
              <w:rPr>
                <w:rFonts w:ascii="宋体" w:hAnsi="宋体" w:cs="宋体" w:eastAsia="宋体" w:hint="default"/>
                <w:sz w:val="18"/>
                <w:szCs w:val="18"/>
              </w:rPr>
              <w:t>信</w:t>
            </w:r>
            <w:r>
              <w:rPr>
                <w:rFonts w:ascii="宋体" w:hAnsi="宋体" w:cs="宋体" w:eastAsia="宋体" w:hint="default"/>
                <w:sz w:val="18"/>
                <w:szCs w:val="18"/>
              </w:rPr>
              <w:t> </w:t>
            </w:r>
            <w:r>
              <w:rPr>
                <w:rFonts w:ascii="宋体" w:hAnsi="宋体" w:cs="宋体" w:eastAsia="宋体" w:hint="default"/>
                <w:spacing w:val="33"/>
                <w:sz w:val="18"/>
                <w:szCs w:val="18"/>
              </w:rPr>
              <w:t>技术</w:t>
            </w:r>
            <w:r>
              <w:rPr>
                <w:rFonts w:ascii="宋体" w:hAnsi="宋体" w:cs="宋体" w:eastAsia="宋体" w:hint="default"/>
                <w:spacing w:val="-23"/>
                <w:sz w:val="18"/>
                <w:szCs w:val="18"/>
              </w:rPr>
              <w:t> </w:t>
            </w:r>
            <w:r>
              <w:rPr>
                <w:rFonts w:ascii="宋体" w:hAnsi="宋体" w:cs="宋体" w:eastAsia="宋体" w:hint="default"/>
                <w:sz w:val="18"/>
                <w:szCs w:val="18"/>
              </w:rPr>
              <w:t>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right"/>
              <w:rPr>
                <w:rFonts w:ascii="Times New Roman" w:hAnsi="Times New Roman" w:cs="Times New Roman" w:eastAsia="Times New Roman" w:hint="default"/>
                <w:sz w:val="20"/>
                <w:szCs w:val="20"/>
              </w:rPr>
            </w:pPr>
            <w:r>
              <w:rPr>
                <w:rFonts w:ascii="Times New Roman"/>
                <w:w w:val="95"/>
                <w:sz w:val="20"/>
              </w:rPr>
              <w:t>42,316,712.00</w:t>
            </w:r>
            <w:r>
              <w:rPr>
                <w:rFonts w:ascii="Times New Roman"/>
                <w:sz w:val="20"/>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3"/>
              <w:jc w:val="right"/>
              <w:rPr>
                <w:rFonts w:ascii="Times New Roman" w:hAnsi="Times New Roman" w:cs="Times New Roman" w:eastAsia="Times New Roman" w:hint="default"/>
                <w:sz w:val="20"/>
                <w:szCs w:val="20"/>
              </w:rPr>
            </w:pPr>
            <w:r>
              <w:rPr>
                <w:rFonts w:ascii="Times New Roman"/>
                <w:sz w:val="20"/>
              </w:rPr>
              <w:t>51</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现金转让</w:t>
            </w:r>
            <w:r>
              <w:rPr>
                <w:rFonts w:ascii="宋体" w:hAnsi="宋体" w:cs="宋体" w:eastAsia="宋体" w:hint="default"/>
                <w:sz w:val="18"/>
                <w:szCs w:val="18"/>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0"/>
                <w:szCs w:val="20"/>
              </w:rPr>
            </w:pPr>
            <w:r>
              <w:rPr>
                <w:rFonts w:ascii="Times New Roman"/>
                <w:sz w:val="20"/>
              </w:rPr>
              <w:t>2019-6-31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 w:right="29"/>
              <w:jc w:val="center"/>
              <w:rPr>
                <w:rFonts w:ascii="宋体" w:hAnsi="宋体" w:cs="宋体" w:eastAsia="宋体" w:hint="default"/>
                <w:sz w:val="18"/>
                <w:szCs w:val="18"/>
              </w:rPr>
            </w:pPr>
            <w:r>
              <w:rPr>
                <w:rFonts w:ascii="宋体" w:hAnsi="宋体" w:cs="宋体" w:eastAsia="宋体" w:hint="default"/>
                <w:sz w:val="18"/>
                <w:szCs w:val="18"/>
              </w:rPr>
              <w:t>工商办理变更</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right"/>
              <w:rPr>
                <w:rFonts w:ascii="Times New Roman" w:hAnsi="Times New Roman" w:cs="Times New Roman" w:eastAsia="Times New Roman" w:hint="default"/>
                <w:sz w:val="20"/>
                <w:szCs w:val="20"/>
              </w:rPr>
            </w:pPr>
            <w:r>
              <w:rPr>
                <w:rFonts w:ascii="Times New Roman"/>
                <w:w w:val="95"/>
                <w:sz w:val="20"/>
              </w:rPr>
              <w:t>3,783,224.18</w:t>
            </w:r>
            <w:r>
              <w:rPr>
                <w:rFonts w:ascii="Times New Roman"/>
                <w:sz w:val="20"/>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left"/>
              <w:rPr>
                <w:rFonts w:ascii="宋体" w:hAnsi="宋体" w:cs="宋体" w:eastAsia="宋体" w:hint="default"/>
                <w:sz w:val="18"/>
                <w:szCs w:val="18"/>
              </w:rPr>
            </w:pPr>
            <w:r>
              <w:rPr>
                <w:rFonts w:ascii="宋体"/>
                <w:sz w:val="18"/>
              </w:rPr>
              <w:t> </w:t>
            </w: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both"/>
              <w:rPr>
                <w:rFonts w:ascii="宋体" w:hAnsi="宋体" w:cs="宋体" w:eastAsia="宋体" w:hint="default"/>
                <w:sz w:val="18"/>
                <w:szCs w:val="18"/>
              </w:rPr>
            </w:pPr>
            <w:r>
              <w:rPr>
                <w:rFonts w:ascii="宋体" w:hAnsi="宋体" w:cs="宋体" w:eastAsia="宋体" w:hint="default"/>
                <w:spacing w:val="33"/>
                <w:sz w:val="18"/>
                <w:szCs w:val="18"/>
              </w:rPr>
              <w:t>济南</w:t>
            </w:r>
            <w:r>
              <w:rPr>
                <w:rFonts w:ascii="宋体" w:hAnsi="宋体" w:cs="宋体" w:eastAsia="宋体" w:hint="default"/>
                <w:spacing w:val="-22"/>
                <w:sz w:val="18"/>
                <w:szCs w:val="18"/>
              </w:rPr>
              <w:t> </w:t>
            </w:r>
            <w:r>
              <w:rPr>
                <w:rFonts w:ascii="宋体" w:hAnsi="宋体" w:cs="宋体" w:eastAsia="宋体" w:hint="default"/>
                <w:sz w:val="18"/>
                <w:szCs w:val="18"/>
              </w:rPr>
              <w:t>吉</w:t>
            </w:r>
          </w:p>
          <w:p>
            <w:pPr>
              <w:pStyle w:val="TableParagraph"/>
              <w:spacing w:line="237" w:lineRule="auto"/>
              <w:ind w:right="0"/>
              <w:jc w:val="both"/>
              <w:rPr>
                <w:rFonts w:ascii="宋体" w:hAnsi="宋体" w:cs="宋体" w:eastAsia="宋体" w:hint="default"/>
                <w:sz w:val="18"/>
                <w:szCs w:val="18"/>
              </w:rPr>
            </w:pPr>
            <w:r>
              <w:rPr>
                <w:rFonts w:ascii="宋体" w:hAnsi="宋体" w:cs="宋体" w:eastAsia="宋体" w:hint="default"/>
                <w:spacing w:val="33"/>
                <w:sz w:val="18"/>
                <w:szCs w:val="18"/>
              </w:rPr>
              <w:t>美乐</w:t>
            </w:r>
            <w:r>
              <w:rPr>
                <w:rFonts w:ascii="宋体" w:hAnsi="宋体" w:cs="宋体" w:eastAsia="宋体" w:hint="default"/>
                <w:spacing w:val="-23"/>
                <w:sz w:val="18"/>
                <w:szCs w:val="18"/>
              </w:rPr>
              <w:t> </w:t>
            </w:r>
            <w:r>
              <w:rPr>
                <w:rFonts w:ascii="宋体" w:hAnsi="宋体" w:cs="宋体" w:eastAsia="宋体" w:hint="default"/>
                <w:sz w:val="18"/>
                <w:szCs w:val="18"/>
              </w:rPr>
              <w:t>电</w:t>
            </w:r>
            <w:r>
              <w:rPr>
                <w:rFonts w:ascii="宋体" w:hAnsi="宋体" w:cs="宋体" w:eastAsia="宋体" w:hint="default"/>
                <w:sz w:val="18"/>
                <w:szCs w:val="18"/>
              </w:rPr>
              <w:t> </w:t>
            </w:r>
            <w:r>
              <w:rPr>
                <w:rFonts w:ascii="宋体" w:hAnsi="宋体" w:cs="宋体" w:eastAsia="宋体" w:hint="default"/>
                <w:spacing w:val="33"/>
                <w:sz w:val="18"/>
                <w:szCs w:val="18"/>
              </w:rPr>
              <w:t>源技</w:t>
            </w:r>
            <w:r>
              <w:rPr>
                <w:rFonts w:ascii="宋体" w:hAnsi="宋体" w:cs="宋体" w:eastAsia="宋体" w:hint="default"/>
                <w:spacing w:val="-23"/>
                <w:sz w:val="18"/>
                <w:szCs w:val="18"/>
              </w:rPr>
              <w:t> </w:t>
            </w:r>
            <w:r>
              <w:rPr>
                <w:rFonts w:ascii="宋体" w:hAnsi="宋体" w:cs="宋体" w:eastAsia="宋体" w:hint="default"/>
                <w:sz w:val="18"/>
                <w:szCs w:val="18"/>
              </w:rPr>
              <w:t>术</w:t>
            </w:r>
            <w:r>
              <w:rPr>
                <w:rFonts w:ascii="宋体" w:hAnsi="宋体" w:cs="宋体" w:eastAsia="宋体" w:hint="default"/>
                <w:sz w:val="18"/>
                <w:szCs w:val="18"/>
              </w:rPr>
              <w:t> </w:t>
            </w:r>
            <w:r>
              <w:rPr>
                <w:rFonts w:ascii="宋体" w:hAnsi="宋体" w:cs="宋体" w:eastAsia="宋体" w:hint="default"/>
                <w:spacing w:val="33"/>
                <w:sz w:val="18"/>
                <w:szCs w:val="18"/>
              </w:rPr>
              <w:t>有限</w:t>
            </w:r>
            <w:r>
              <w:rPr>
                <w:rFonts w:ascii="宋体" w:hAnsi="宋体" w:cs="宋体" w:eastAsia="宋体" w:hint="default"/>
                <w:spacing w:val="-23"/>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r>
              <w:rPr>
                <w:rFonts w:ascii="宋体" w:hAnsi="宋体" w:cs="宋体" w:eastAsia="宋体" w:hint="default"/>
                <w:sz w:val="18"/>
                <w:szCs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20"/>
                <w:szCs w:val="20"/>
              </w:rPr>
            </w:pPr>
            <w:r>
              <w:rPr>
                <w:rFonts w:ascii="Times New Roman"/>
                <w:w w:val="95"/>
                <w:sz w:val="20"/>
              </w:rPr>
              <w:t>70,000,000.00</w:t>
            </w:r>
            <w:r>
              <w:rPr>
                <w:rFonts w:ascii="Times New Roman"/>
                <w:sz w:val="20"/>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3"/>
              <w:jc w:val="right"/>
              <w:rPr>
                <w:rFonts w:ascii="Times New Roman" w:hAnsi="Times New Roman" w:cs="Times New Roman" w:eastAsia="Times New Roman" w:hint="default"/>
                <w:sz w:val="20"/>
                <w:szCs w:val="20"/>
              </w:rPr>
            </w:pPr>
            <w:r>
              <w:rPr>
                <w:rFonts w:ascii="Times New Roman"/>
                <w:sz w:val="20"/>
              </w:rPr>
              <w:t>100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现金转让</w:t>
            </w:r>
            <w:r>
              <w:rPr>
                <w:rFonts w:ascii="宋体" w:hAnsi="宋体" w:cs="宋体" w:eastAsia="宋体" w:hint="default"/>
                <w:sz w:val="18"/>
                <w:szCs w:val="18"/>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 w:right="0"/>
              <w:jc w:val="left"/>
              <w:rPr>
                <w:rFonts w:ascii="Times New Roman" w:hAnsi="Times New Roman" w:cs="Times New Roman" w:eastAsia="Times New Roman" w:hint="default"/>
                <w:sz w:val="20"/>
                <w:szCs w:val="20"/>
              </w:rPr>
            </w:pPr>
            <w:r>
              <w:rPr>
                <w:rFonts w:ascii="Times New Roman"/>
                <w:sz w:val="20"/>
              </w:rPr>
              <w:t>2019-5-30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 w:right="29"/>
              <w:jc w:val="center"/>
              <w:rPr>
                <w:rFonts w:ascii="宋体" w:hAnsi="宋体" w:cs="宋体" w:eastAsia="宋体" w:hint="default"/>
                <w:sz w:val="18"/>
                <w:szCs w:val="18"/>
              </w:rPr>
            </w:pPr>
            <w:r>
              <w:rPr>
                <w:rFonts w:ascii="宋体" w:hAnsi="宋体" w:cs="宋体" w:eastAsia="宋体" w:hint="default"/>
                <w:sz w:val="18"/>
                <w:szCs w:val="18"/>
              </w:rPr>
              <w:t>工商办理变更</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20"/>
                <w:szCs w:val="20"/>
              </w:rPr>
            </w:pPr>
            <w:r>
              <w:rPr>
                <w:rFonts w:ascii="Times New Roman"/>
                <w:w w:val="95"/>
                <w:sz w:val="20"/>
              </w:rPr>
              <w:t>5,376,923.69</w:t>
            </w:r>
            <w:r>
              <w:rPr>
                <w:rFonts w:ascii="Times New Roman"/>
                <w:sz w:val="20"/>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sz w:val="18"/>
              </w:rPr>
              <w:t> </w:t>
            </w: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both"/>
              <w:rPr>
                <w:rFonts w:ascii="宋体" w:hAnsi="宋体" w:cs="宋体" w:eastAsia="宋体" w:hint="default"/>
                <w:sz w:val="18"/>
                <w:szCs w:val="18"/>
              </w:rPr>
            </w:pPr>
            <w:r>
              <w:rPr>
                <w:rFonts w:ascii="宋体" w:hAnsi="宋体" w:cs="宋体" w:eastAsia="宋体" w:hint="default"/>
                <w:spacing w:val="33"/>
                <w:sz w:val="18"/>
                <w:szCs w:val="18"/>
              </w:rPr>
              <w:t>长春</w:t>
            </w:r>
            <w:r>
              <w:rPr>
                <w:rFonts w:ascii="宋体" w:hAnsi="宋体" w:cs="宋体" w:eastAsia="宋体" w:hint="default"/>
                <w:spacing w:val="-22"/>
                <w:sz w:val="18"/>
                <w:szCs w:val="18"/>
              </w:rPr>
              <w:t> </w:t>
            </w:r>
            <w:r>
              <w:rPr>
                <w:rFonts w:ascii="宋体" w:hAnsi="宋体" w:cs="宋体" w:eastAsia="宋体" w:hint="default"/>
                <w:sz w:val="18"/>
                <w:szCs w:val="18"/>
              </w:rPr>
              <w:t>泰</w:t>
            </w:r>
          </w:p>
          <w:p>
            <w:pPr>
              <w:pStyle w:val="TableParagraph"/>
              <w:spacing w:line="232" w:lineRule="exact" w:before="23"/>
              <w:ind w:right="0"/>
              <w:jc w:val="both"/>
              <w:rPr>
                <w:rFonts w:ascii="宋体" w:hAnsi="宋体" w:cs="宋体" w:eastAsia="宋体" w:hint="default"/>
                <w:sz w:val="18"/>
                <w:szCs w:val="18"/>
              </w:rPr>
            </w:pPr>
            <w:r>
              <w:rPr>
                <w:rFonts w:ascii="宋体" w:hAnsi="宋体" w:cs="宋体" w:eastAsia="宋体" w:hint="default"/>
                <w:spacing w:val="33"/>
                <w:sz w:val="18"/>
                <w:szCs w:val="18"/>
              </w:rPr>
              <w:t>豪电</w:t>
            </w:r>
            <w:r>
              <w:rPr>
                <w:rFonts w:ascii="宋体" w:hAnsi="宋体" w:cs="宋体" w:eastAsia="宋体" w:hint="default"/>
                <w:spacing w:val="-23"/>
                <w:sz w:val="18"/>
                <w:szCs w:val="18"/>
              </w:rPr>
              <w:t> </w:t>
            </w:r>
            <w:r>
              <w:rPr>
                <w:rFonts w:ascii="宋体" w:hAnsi="宋体" w:cs="宋体" w:eastAsia="宋体" w:hint="default"/>
                <w:sz w:val="18"/>
                <w:szCs w:val="18"/>
              </w:rPr>
              <w:t>子</w:t>
            </w:r>
            <w:r>
              <w:rPr>
                <w:rFonts w:ascii="宋体" w:hAnsi="宋体" w:cs="宋体" w:eastAsia="宋体" w:hint="default"/>
                <w:sz w:val="18"/>
                <w:szCs w:val="18"/>
              </w:rPr>
              <w:t> </w:t>
            </w:r>
            <w:r>
              <w:rPr>
                <w:rFonts w:ascii="宋体" w:hAnsi="宋体" w:cs="宋体" w:eastAsia="宋体" w:hint="default"/>
                <w:spacing w:val="33"/>
                <w:sz w:val="18"/>
                <w:szCs w:val="18"/>
              </w:rPr>
              <w:t>装备</w:t>
            </w:r>
            <w:r>
              <w:rPr>
                <w:rFonts w:ascii="宋体" w:hAnsi="宋体" w:cs="宋体" w:eastAsia="宋体" w:hint="default"/>
                <w:spacing w:val="-23"/>
                <w:sz w:val="18"/>
                <w:szCs w:val="18"/>
              </w:rPr>
              <w:t> </w:t>
            </w:r>
            <w:r>
              <w:rPr>
                <w:rFonts w:ascii="宋体" w:hAnsi="宋体" w:cs="宋体" w:eastAsia="宋体" w:hint="default"/>
                <w:sz w:val="18"/>
                <w:szCs w:val="18"/>
              </w:rPr>
              <w:t>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right"/>
              <w:rPr>
                <w:rFonts w:ascii="Times New Roman" w:hAnsi="Times New Roman" w:cs="Times New Roman" w:eastAsia="Times New Roman" w:hint="default"/>
                <w:sz w:val="20"/>
                <w:szCs w:val="20"/>
              </w:rPr>
            </w:pPr>
            <w:r>
              <w:rPr>
                <w:rFonts w:ascii="Times New Roman"/>
                <w:w w:val="95"/>
                <w:sz w:val="20"/>
              </w:rPr>
              <w:t>27,070,000.00</w:t>
            </w:r>
            <w:r>
              <w:rPr>
                <w:rFonts w:ascii="Times New Roman"/>
                <w:sz w:val="20"/>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3"/>
              <w:jc w:val="right"/>
              <w:rPr>
                <w:rFonts w:ascii="Times New Roman" w:hAnsi="Times New Roman" w:cs="Times New Roman" w:eastAsia="Times New Roman" w:hint="default"/>
                <w:sz w:val="20"/>
                <w:szCs w:val="20"/>
              </w:rPr>
            </w:pPr>
            <w:r>
              <w:rPr>
                <w:rFonts w:ascii="Times New Roman"/>
                <w:sz w:val="20"/>
              </w:rPr>
              <w:t>100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现金转让</w:t>
            </w:r>
            <w:r>
              <w:rPr>
                <w:rFonts w:ascii="宋体" w:hAnsi="宋体" w:cs="宋体" w:eastAsia="宋体" w:hint="default"/>
                <w:sz w:val="18"/>
                <w:szCs w:val="18"/>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0"/>
                <w:szCs w:val="20"/>
              </w:rPr>
            </w:pPr>
            <w:r>
              <w:rPr>
                <w:rFonts w:ascii="Times New Roman"/>
                <w:sz w:val="20"/>
              </w:rPr>
              <w:t>2019-1-1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 w:right="29"/>
              <w:jc w:val="center"/>
              <w:rPr>
                <w:rFonts w:ascii="宋体" w:hAnsi="宋体" w:cs="宋体" w:eastAsia="宋体" w:hint="default"/>
                <w:sz w:val="18"/>
                <w:szCs w:val="18"/>
              </w:rPr>
            </w:pPr>
            <w:r>
              <w:rPr>
                <w:rFonts w:ascii="宋体" w:hAnsi="宋体" w:cs="宋体" w:eastAsia="宋体" w:hint="default"/>
                <w:sz w:val="18"/>
                <w:szCs w:val="18"/>
              </w:rPr>
              <w:t>工商办理变更</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right"/>
              <w:rPr>
                <w:rFonts w:ascii="Times New Roman" w:hAnsi="Times New Roman" w:cs="Times New Roman" w:eastAsia="Times New Roman" w:hint="default"/>
                <w:sz w:val="20"/>
                <w:szCs w:val="20"/>
              </w:rPr>
            </w:pPr>
            <w:r>
              <w:rPr>
                <w:rFonts w:ascii="Times New Roman"/>
                <w:w w:val="95"/>
                <w:sz w:val="20"/>
              </w:rPr>
              <w:t>37,140,717.48</w:t>
            </w:r>
            <w:r>
              <w:rPr>
                <w:rFonts w:ascii="Times New Roman"/>
                <w:sz w:val="20"/>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 w:right="0"/>
              <w:jc w:val="left"/>
              <w:rPr>
                <w:rFonts w:ascii="宋体" w:hAnsi="宋体" w:cs="宋体" w:eastAsia="宋体" w:hint="default"/>
                <w:sz w:val="18"/>
                <w:szCs w:val="18"/>
              </w:rPr>
            </w:pPr>
            <w:r>
              <w:rPr>
                <w:rFonts w:ascii="宋体"/>
                <w:sz w:val="18"/>
              </w:rPr>
              <w:t> </w:t>
            </w: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both"/>
              <w:rPr>
                <w:rFonts w:ascii="宋体" w:hAnsi="宋体" w:cs="宋体" w:eastAsia="宋体" w:hint="default"/>
                <w:sz w:val="18"/>
                <w:szCs w:val="18"/>
              </w:rPr>
            </w:pPr>
            <w:r>
              <w:rPr>
                <w:rFonts w:ascii="宋体" w:hAnsi="宋体" w:cs="宋体" w:eastAsia="宋体" w:hint="default"/>
                <w:spacing w:val="33"/>
                <w:sz w:val="18"/>
                <w:szCs w:val="18"/>
              </w:rPr>
              <w:t>贵州</w:t>
            </w:r>
            <w:r>
              <w:rPr>
                <w:rFonts w:ascii="宋体" w:hAnsi="宋体" w:cs="宋体" w:eastAsia="宋体" w:hint="default"/>
                <w:spacing w:val="-22"/>
                <w:sz w:val="18"/>
                <w:szCs w:val="18"/>
              </w:rPr>
              <w:t> </w:t>
            </w:r>
            <w:r>
              <w:rPr>
                <w:rFonts w:ascii="宋体" w:hAnsi="宋体" w:cs="宋体" w:eastAsia="宋体" w:hint="default"/>
                <w:sz w:val="18"/>
                <w:szCs w:val="18"/>
              </w:rPr>
              <w:t>泰</w:t>
            </w:r>
          </w:p>
          <w:p>
            <w:pPr>
              <w:pStyle w:val="TableParagraph"/>
              <w:spacing w:line="237" w:lineRule="auto"/>
              <w:ind w:right="0"/>
              <w:jc w:val="both"/>
              <w:rPr>
                <w:rFonts w:ascii="宋体" w:hAnsi="宋体" w:cs="宋体" w:eastAsia="宋体" w:hint="default"/>
                <w:sz w:val="18"/>
                <w:szCs w:val="18"/>
              </w:rPr>
            </w:pPr>
            <w:r>
              <w:rPr>
                <w:rFonts w:ascii="宋体" w:hAnsi="宋体" w:cs="宋体" w:eastAsia="宋体" w:hint="default"/>
                <w:spacing w:val="33"/>
                <w:sz w:val="18"/>
                <w:szCs w:val="18"/>
              </w:rPr>
              <w:t>豪宝</w:t>
            </w:r>
            <w:r>
              <w:rPr>
                <w:rFonts w:ascii="宋体" w:hAnsi="宋体" w:cs="宋体" w:eastAsia="宋体" w:hint="default"/>
                <w:spacing w:val="-23"/>
                <w:sz w:val="18"/>
                <w:szCs w:val="18"/>
              </w:rPr>
              <w:t> </w:t>
            </w:r>
            <w:r>
              <w:rPr>
                <w:rFonts w:ascii="宋体" w:hAnsi="宋体" w:cs="宋体" w:eastAsia="宋体" w:hint="default"/>
                <w:sz w:val="18"/>
                <w:szCs w:val="18"/>
              </w:rPr>
              <w:t>碳</w:t>
            </w:r>
            <w:r>
              <w:rPr>
                <w:rFonts w:ascii="宋体" w:hAnsi="宋体" w:cs="宋体" w:eastAsia="宋体" w:hint="default"/>
                <w:sz w:val="18"/>
                <w:szCs w:val="18"/>
              </w:rPr>
              <w:t> </w:t>
            </w:r>
            <w:r>
              <w:rPr>
                <w:rFonts w:ascii="宋体" w:hAnsi="宋体" w:cs="宋体" w:eastAsia="宋体" w:hint="default"/>
                <w:spacing w:val="33"/>
                <w:sz w:val="18"/>
                <w:szCs w:val="18"/>
              </w:rPr>
              <w:t>智慧</w:t>
            </w:r>
            <w:r>
              <w:rPr>
                <w:rFonts w:ascii="宋体" w:hAnsi="宋体" w:cs="宋体" w:eastAsia="宋体" w:hint="default"/>
                <w:spacing w:val="-23"/>
                <w:sz w:val="18"/>
                <w:szCs w:val="18"/>
              </w:rPr>
              <w:t> </w:t>
            </w:r>
            <w:r>
              <w:rPr>
                <w:rFonts w:ascii="宋体" w:hAnsi="宋体" w:cs="宋体" w:eastAsia="宋体" w:hint="default"/>
                <w:sz w:val="18"/>
                <w:szCs w:val="18"/>
              </w:rPr>
              <w:t>能</w:t>
            </w:r>
            <w:r>
              <w:rPr>
                <w:rFonts w:ascii="宋体" w:hAnsi="宋体" w:cs="宋体" w:eastAsia="宋体" w:hint="default"/>
                <w:sz w:val="18"/>
                <w:szCs w:val="18"/>
              </w:rPr>
              <w:t> </w:t>
            </w:r>
            <w:r>
              <w:rPr>
                <w:rFonts w:ascii="宋体" w:hAnsi="宋体" w:cs="宋体" w:eastAsia="宋体" w:hint="default"/>
                <w:spacing w:val="33"/>
                <w:sz w:val="18"/>
                <w:szCs w:val="18"/>
              </w:rPr>
              <w:t>源有</w:t>
            </w:r>
            <w:r>
              <w:rPr>
                <w:rFonts w:ascii="宋体" w:hAnsi="宋体" w:cs="宋体" w:eastAsia="宋体" w:hint="default"/>
                <w:spacing w:val="-23"/>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r>
              <w:rPr>
                <w:rFonts w:ascii="宋体" w:hAnsi="宋体" w:cs="宋体" w:eastAsia="宋体" w:hint="default"/>
                <w:sz w:val="18"/>
                <w:szCs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
              <w:jc w:val="right"/>
              <w:rPr>
                <w:rFonts w:ascii="Times New Roman" w:hAnsi="Times New Roman" w:cs="Times New Roman" w:eastAsia="Times New Roman" w:hint="default"/>
                <w:sz w:val="20"/>
                <w:szCs w:val="20"/>
              </w:rPr>
            </w:pPr>
            <w:r>
              <w:rPr>
                <w:rFonts w:ascii="Times New Roman"/>
                <w:sz w:val="20"/>
              </w:rPr>
              <w:t>70%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现金转让</w:t>
            </w:r>
            <w:r>
              <w:rPr>
                <w:rFonts w:ascii="宋体" w:hAnsi="宋体" w:cs="宋体" w:eastAsia="宋体" w:hint="default"/>
                <w:sz w:val="18"/>
                <w:szCs w:val="18"/>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 w:right="0"/>
              <w:jc w:val="left"/>
              <w:rPr>
                <w:rFonts w:ascii="Times New Roman" w:hAnsi="Times New Roman" w:cs="Times New Roman" w:eastAsia="Times New Roman" w:hint="default"/>
                <w:sz w:val="20"/>
                <w:szCs w:val="20"/>
              </w:rPr>
            </w:pPr>
            <w:r>
              <w:rPr>
                <w:rFonts w:ascii="Times New Roman"/>
                <w:sz w:val="20"/>
              </w:rPr>
              <w:t>2019-5-30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 w:right="29"/>
              <w:jc w:val="center"/>
              <w:rPr>
                <w:rFonts w:ascii="宋体" w:hAnsi="宋体" w:cs="宋体" w:eastAsia="宋体" w:hint="default"/>
                <w:sz w:val="18"/>
                <w:szCs w:val="18"/>
              </w:rPr>
            </w:pPr>
            <w:r>
              <w:rPr>
                <w:rFonts w:ascii="宋体" w:hAnsi="宋体" w:cs="宋体" w:eastAsia="宋体" w:hint="default"/>
                <w:sz w:val="18"/>
                <w:szCs w:val="18"/>
              </w:rPr>
              <w:t>工商办理变更</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0"/>
              <w:jc w:val="right"/>
              <w:rPr>
                <w:rFonts w:ascii="Times New Roman" w:hAnsi="Times New Roman" w:cs="Times New Roman" w:eastAsia="Times New Roman" w:hint="default"/>
                <w:sz w:val="20"/>
                <w:szCs w:val="20"/>
              </w:rPr>
            </w:pPr>
            <w:r>
              <w:rPr>
                <w:rFonts w:ascii="Times New Roman"/>
                <w:w w:val="95"/>
                <w:sz w:val="20"/>
              </w:rPr>
              <w:t>-2,836,344.57</w:t>
            </w:r>
            <w:r>
              <w:rPr>
                <w:rFonts w:ascii="Times New Roman"/>
                <w:sz w:val="20"/>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sz w:val="18"/>
              </w:rPr>
              <w:t> </w:t>
            </w: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both"/>
              <w:rPr>
                <w:rFonts w:ascii="宋体" w:hAnsi="宋体" w:cs="宋体" w:eastAsia="宋体" w:hint="default"/>
                <w:sz w:val="18"/>
                <w:szCs w:val="18"/>
              </w:rPr>
            </w:pPr>
            <w:r>
              <w:rPr>
                <w:rFonts w:ascii="宋体" w:hAnsi="宋体" w:cs="宋体" w:eastAsia="宋体" w:hint="default"/>
                <w:spacing w:val="33"/>
                <w:sz w:val="18"/>
                <w:szCs w:val="18"/>
              </w:rPr>
              <w:t>上海</w:t>
            </w:r>
            <w:r>
              <w:rPr>
                <w:rFonts w:ascii="宋体" w:hAnsi="宋体" w:cs="宋体" w:eastAsia="宋体" w:hint="default"/>
                <w:spacing w:val="-22"/>
                <w:sz w:val="18"/>
                <w:szCs w:val="18"/>
              </w:rPr>
              <w:t> </w:t>
            </w:r>
            <w:r>
              <w:rPr>
                <w:rFonts w:ascii="宋体" w:hAnsi="宋体" w:cs="宋体" w:eastAsia="宋体" w:hint="default"/>
                <w:sz w:val="18"/>
                <w:szCs w:val="18"/>
              </w:rPr>
              <w:t>致</w:t>
            </w:r>
          </w:p>
          <w:p>
            <w:pPr>
              <w:pStyle w:val="TableParagraph"/>
              <w:spacing w:line="237" w:lineRule="auto" w:before="2"/>
              <w:ind w:right="0"/>
              <w:jc w:val="both"/>
              <w:rPr>
                <w:rFonts w:ascii="宋体" w:hAnsi="宋体" w:cs="宋体" w:eastAsia="宋体" w:hint="default"/>
                <w:sz w:val="18"/>
                <w:szCs w:val="18"/>
              </w:rPr>
            </w:pPr>
            <w:r>
              <w:rPr>
                <w:rFonts w:ascii="宋体" w:hAnsi="宋体" w:cs="宋体" w:eastAsia="宋体" w:hint="default"/>
                <w:spacing w:val="33"/>
                <w:sz w:val="18"/>
                <w:szCs w:val="18"/>
              </w:rPr>
              <w:t>胜信</w:t>
            </w:r>
            <w:r>
              <w:rPr>
                <w:rFonts w:ascii="宋体" w:hAnsi="宋体" w:cs="宋体" w:eastAsia="宋体" w:hint="default"/>
                <w:spacing w:val="-23"/>
                <w:sz w:val="18"/>
                <w:szCs w:val="18"/>
              </w:rPr>
              <w:t> </w:t>
            </w:r>
            <w:r>
              <w:rPr>
                <w:rFonts w:ascii="宋体" w:hAnsi="宋体" w:cs="宋体" w:eastAsia="宋体" w:hint="default"/>
                <w:sz w:val="18"/>
                <w:szCs w:val="18"/>
              </w:rPr>
              <w:t>息</w:t>
            </w:r>
            <w:r>
              <w:rPr>
                <w:rFonts w:ascii="宋体" w:hAnsi="宋体" w:cs="宋体" w:eastAsia="宋体" w:hint="default"/>
                <w:sz w:val="18"/>
                <w:szCs w:val="18"/>
              </w:rPr>
              <w:t> </w:t>
            </w:r>
            <w:r>
              <w:rPr>
                <w:rFonts w:ascii="宋体" w:hAnsi="宋体" w:cs="宋体" w:eastAsia="宋体" w:hint="default"/>
                <w:spacing w:val="33"/>
                <w:sz w:val="18"/>
                <w:szCs w:val="18"/>
              </w:rPr>
              <w:t>技术</w:t>
            </w:r>
            <w:r>
              <w:rPr>
                <w:rFonts w:ascii="宋体" w:hAnsi="宋体" w:cs="宋体" w:eastAsia="宋体" w:hint="default"/>
                <w:spacing w:val="-23"/>
                <w:sz w:val="18"/>
                <w:szCs w:val="18"/>
              </w:rPr>
              <w:t> </w:t>
            </w:r>
            <w:r>
              <w:rPr>
                <w:rFonts w:ascii="宋体" w:hAnsi="宋体" w:cs="宋体" w:eastAsia="宋体" w:hint="default"/>
                <w:sz w:val="18"/>
                <w:szCs w:val="18"/>
              </w:rPr>
              <w:t>有</w:t>
            </w:r>
            <w:r>
              <w:rPr>
                <w:rFonts w:ascii="宋体" w:hAnsi="宋体" w:cs="宋体" w:eastAsia="宋体" w:hint="default"/>
                <w:sz w:val="18"/>
                <w:szCs w:val="18"/>
              </w:rPr>
              <w:t> 限公司</w:t>
            </w:r>
            <w:r>
              <w:rPr>
                <w:rFonts w:ascii="宋体" w:hAnsi="宋体" w:cs="宋体" w:eastAsia="宋体" w:hint="default"/>
                <w:sz w:val="18"/>
                <w:szCs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right"/>
              <w:rPr>
                <w:rFonts w:ascii="Times New Roman" w:hAnsi="Times New Roman" w:cs="Times New Roman" w:eastAsia="Times New Roman" w:hint="default"/>
                <w:sz w:val="20"/>
                <w:szCs w:val="20"/>
              </w:rPr>
            </w:pPr>
            <w:r>
              <w:rPr>
                <w:rFonts w:ascii="Times New Roman"/>
                <w:w w:val="95"/>
                <w:sz w:val="20"/>
              </w:rPr>
              <w:t>1,202,309.51</w:t>
            </w:r>
            <w:r>
              <w:rPr>
                <w:rFonts w:ascii="Times New Roman"/>
                <w:sz w:val="20"/>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3"/>
              <w:jc w:val="right"/>
              <w:rPr>
                <w:rFonts w:ascii="Times New Roman" w:hAnsi="Times New Roman" w:cs="Times New Roman" w:eastAsia="Times New Roman" w:hint="default"/>
                <w:sz w:val="20"/>
                <w:szCs w:val="20"/>
              </w:rPr>
            </w:pPr>
            <w:r>
              <w:rPr>
                <w:rFonts w:ascii="Times New Roman"/>
                <w:sz w:val="20"/>
              </w:rPr>
              <w:t>51</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现金转让</w:t>
            </w:r>
            <w:r>
              <w:rPr>
                <w:rFonts w:ascii="宋体" w:hAnsi="宋体" w:cs="宋体" w:eastAsia="宋体" w:hint="default"/>
                <w:sz w:val="18"/>
                <w:szCs w:val="18"/>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 w:right="0"/>
              <w:jc w:val="left"/>
              <w:rPr>
                <w:rFonts w:ascii="Times New Roman" w:hAnsi="Times New Roman" w:cs="Times New Roman" w:eastAsia="Times New Roman" w:hint="default"/>
                <w:sz w:val="20"/>
                <w:szCs w:val="20"/>
              </w:rPr>
            </w:pPr>
            <w:r>
              <w:rPr>
                <w:rFonts w:ascii="Times New Roman"/>
                <w:sz w:val="20"/>
              </w:rPr>
              <w:t>2019-7-31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 w:right="29"/>
              <w:jc w:val="center"/>
              <w:rPr>
                <w:rFonts w:ascii="宋体" w:hAnsi="宋体" w:cs="宋体" w:eastAsia="宋体" w:hint="default"/>
                <w:sz w:val="18"/>
                <w:szCs w:val="18"/>
              </w:rPr>
            </w:pPr>
            <w:r>
              <w:rPr>
                <w:rFonts w:ascii="宋体" w:hAnsi="宋体" w:cs="宋体" w:eastAsia="宋体" w:hint="default"/>
                <w:sz w:val="18"/>
                <w:szCs w:val="18"/>
              </w:rPr>
              <w:t>工商办理变更</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right"/>
              <w:rPr>
                <w:rFonts w:ascii="Times New Roman" w:hAnsi="Times New Roman" w:cs="Times New Roman" w:eastAsia="Times New Roman" w:hint="default"/>
                <w:sz w:val="20"/>
                <w:szCs w:val="20"/>
              </w:rPr>
            </w:pPr>
            <w:r>
              <w:rPr>
                <w:rFonts w:ascii="Times New Roman"/>
                <w:w w:val="95"/>
                <w:sz w:val="20"/>
              </w:rPr>
              <w:t>-1,497,615.13</w:t>
            </w:r>
            <w:r>
              <w:rPr>
                <w:rFonts w:ascii="Times New Roman"/>
                <w:sz w:val="20"/>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left"/>
              <w:rPr>
                <w:rFonts w:ascii="宋体" w:hAnsi="宋体" w:cs="宋体" w:eastAsia="宋体" w:hint="default"/>
                <w:sz w:val="18"/>
                <w:szCs w:val="18"/>
              </w:rPr>
            </w:pPr>
            <w:r>
              <w:rPr>
                <w:rFonts w:ascii="宋体"/>
                <w:sz w:val="18"/>
              </w:rPr>
              <w:t> </w:t>
            </w:r>
          </w:p>
        </w:tc>
        <w:tc>
          <w:tcPr>
            <w:tcW w:w="84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2"/>
          <w:szCs w:val="12"/>
        </w:rPr>
      </w:pPr>
    </w:p>
    <w:p>
      <w:pPr>
        <w:pStyle w:val="BodyText"/>
        <w:spacing w:line="240" w:lineRule="auto" w:before="36"/>
        <w:ind w:left="144" w:right="0"/>
        <w:jc w:val="left"/>
        <w:rPr>
          <w:rFonts w:ascii="宋体" w:hAnsi="宋体" w:cs="宋体" w:eastAsia="宋体" w:hint="default"/>
        </w:rPr>
      </w:pPr>
      <w:r>
        <w:rPr/>
        <w:t>其他说明：</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80" w:right="1220"/>
        </w:sectPr>
      </w:pPr>
    </w:p>
    <w:p>
      <w:pPr>
        <w:pStyle w:val="Heading3"/>
        <w:spacing w:line="312" w:lineRule="exact" w:before="111"/>
        <w:ind w:left="14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left="144" w:right="0"/>
        <w:jc w:val="left"/>
        <w:rPr>
          <w:rFonts w:ascii="宋体" w:hAnsi="宋体" w:cs="宋体" w:eastAsia="宋体" w:hint="default"/>
        </w:rPr>
      </w:pPr>
      <w:r>
        <w:rPr>
          <w:rFonts w:ascii="宋体"/>
        </w:rPr>
        <w:t> </w:t>
      </w:r>
    </w:p>
    <w:p>
      <w:pPr>
        <w:pStyle w:val="BodyText"/>
        <w:spacing w:line="274" w:lineRule="exact" w:before="4"/>
        <w:ind w:left="144" w:right="0"/>
        <w:jc w:val="left"/>
        <w:rPr>
          <w:rFonts w:ascii="宋体" w:hAnsi="宋体" w:cs="宋体" w:eastAsia="宋体" w:hint="default"/>
        </w:rPr>
      </w:pPr>
      <w:r>
        <w:rPr/>
        <w:t>是否存在通过多次交易分步处置对子公司投资且在本期丧失控制权的情形</w:t>
      </w:r>
      <w:r>
        <w:rPr>
          <w:rFonts w:ascii="宋体" w:hAnsi="宋体" w:cs="宋体" w:eastAsia="宋体" w:hint="default"/>
        </w:rPr>
        <w:t> </w:t>
      </w:r>
    </w:p>
    <w:p>
      <w:pPr>
        <w:pStyle w:val="BodyText"/>
        <w:spacing w:line="290" w:lineRule="exact"/>
        <w:ind w:left="144" w:right="0"/>
        <w:jc w:val="left"/>
      </w:pPr>
      <w:r>
        <w:rPr/>
        <w:t>□适用</w:t>
      </w:r>
      <w:r>
        <w:rPr>
          <w:spacing w:val="1"/>
        </w:rPr>
        <w:t> </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2"/>
          <w:szCs w:val="22"/>
        </w:rPr>
      </w:pPr>
    </w:p>
    <w:p>
      <w:pPr>
        <w:pStyle w:val="Heading5"/>
        <w:spacing w:line="240" w:lineRule="auto" w:before="0"/>
        <w:ind w:left="144" w:right="0"/>
        <w:jc w:val="left"/>
        <w:rPr>
          <w:b w:val="0"/>
          <w:bCs w:val="0"/>
        </w:rPr>
      </w:pPr>
      <w:r>
        <w:rPr>
          <w:rFonts w:ascii="宋体" w:hAnsi="宋体" w:cs="宋体" w:eastAsia="宋体" w:hint="default"/>
        </w:rPr>
        <w:t>5</w:t>
      </w:r>
      <w:r>
        <w:rPr/>
        <w:t>、</w:t>
      </w:r>
      <w:r>
        <w:rPr>
          <w:spacing w:val="-2"/>
        </w:rPr>
        <w:t> </w:t>
      </w:r>
      <w:r>
        <w:rPr/>
        <w:t>其他原因的合并范围变动</w:t>
      </w:r>
      <w:r>
        <w:rPr>
          <w:b w:val="0"/>
          <w:bCs w:val="0"/>
        </w:rPr>
      </w:r>
    </w:p>
    <w:p>
      <w:pPr>
        <w:pStyle w:val="Heading3"/>
        <w:spacing w:line="313" w:lineRule="exact" w:before="50"/>
        <w:ind w:left="144" w:right="0"/>
        <w:jc w:val="left"/>
        <w:rPr>
          <w:rFonts w:ascii="宋体" w:hAnsi="宋体" w:cs="宋体" w:eastAsia="宋体" w:hint="default"/>
        </w:rPr>
      </w:pPr>
      <w:r>
        <w:rPr/>
        <w:t>说明其他原因导致的合并范围变动（如，新设子公司、清算子公司等）及其相关情况：</w:t>
      </w:r>
      <w:r>
        <w:rPr>
          <w:rFonts w:ascii="宋体" w:hAnsi="宋体" w:cs="宋体" w:eastAsia="宋体" w:hint="default"/>
        </w:rPr>
        <w:t> </w:t>
      </w:r>
    </w:p>
    <w:p>
      <w:pPr>
        <w:pStyle w:val="Heading3"/>
        <w:spacing w:line="240" w:lineRule="auto"/>
        <w:ind w:left="144" w:right="4854"/>
        <w:jc w:val="left"/>
      </w:pPr>
      <w:r>
        <w:rPr/>
        <w:t>√适用 </w:t>
      </w:r>
      <w:r>
        <w:rPr>
          <w:rFonts w:ascii="宋体" w:hAnsi="宋体" w:cs="宋体" w:eastAsia="宋体" w:hint="default"/>
        </w:rPr>
      </w:r>
      <w:r>
        <w:rPr/>
        <w:t>□不适用</w:t>
      </w:r>
      <w:r>
        <w:rPr>
          <w:rFonts w:ascii="宋体" w:hAnsi="宋体" w:cs="宋体" w:eastAsia="宋体" w:hint="default"/>
        </w:rPr>
        <w:t>  </w:t>
      </w:r>
      <w:r>
        <w:rPr/>
        <w:t>公司子公司杭州乾龙伟业电气成套有限公司本年度完成清算注销，不再纳入合并范围。</w:t>
      </w:r>
    </w:p>
    <w:p>
      <w:pPr>
        <w:spacing w:line="240" w:lineRule="auto" w:before="1"/>
        <w:rPr>
          <w:rFonts w:ascii="宋体" w:hAnsi="宋体" w:cs="宋体" w:eastAsia="宋体" w:hint="default"/>
          <w:sz w:val="27"/>
          <w:szCs w:val="27"/>
        </w:rPr>
      </w:pPr>
    </w:p>
    <w:p>
      <w:pPr>
        <w:pStyle w:val="Heading5"/>
        <w:spacing w:line="240" w:lineRule="auto" w:before="0"/>
        <w:ind w:left="144" w:right="0"/>
        <w:jc w:val="left"/>
        <w:rPr>
          <w:rFonts w:ascii="宋体" w:hAnsi="宋体" w:cs="宋体" w:eastAsia="宋体" w:hint="default"/>
          <w:b w:val="0"/>
          <w:bCs w:val="0"/>
        </w:rPr>
      </w:pPr>
      <w:r>
        <w:rPr>
          <w:rFonts w:ascii="宋体" w:hAnsi="宋体" w:cs="宋体" w:eastAsia="宋体" w:hint="default"/>
        </w:rPr>
        <w:t>6</w:t>
      </w:r>
      <w:r>
        <w:rPr/>
        <w:t>、</w:t>
      </w:r>
      <w:r>
        <w:rPr>
          <w:spacing w:val="-4"/>
        </w:rPr>
        <w:t> </w:t>
      </w:r>
      <w:r>
        <w:rPr/>
        <w:t>其他</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2"/>
        <w:ind w:left="144"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144"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pgSz w:w="16840" w:h="11910" w:orient="landscape"/>
          <w:pgMar w:header="882" w:footer="1195" w:top="1120" w:bottom="1380" w:left="1380" w:right="1320"/>
        </w:sectPr>
      </w:pPr>
    </w:p>
    <w:p>
      <w:pPr>
        <w:spacing w:line="240" w:lineRule="auto" w:before="10"/>
        <w:rPr>
          <w:rFonts w:ascii="宋体" w:hAnsi="宋体" w:cs="宋体" w:eastAsia="宋体" w:hint="default"/>
          <w:sz w:val="10"/>
          <w:szCs w:val="10"/>
        </w:rPr>
      </w:pPr>
    </w:p>
    <w:p>
      <w:pPr>
        <w:pStyle w:val="Heading5"/>
        <w:spacing w:line="290" w:lineRule="auto" w:before="36"/>
        <w:ind w:left="224" w:right="11585"/>
        <w:jc w:val="left"/>
        <w:rPr>
          <w:rFonts w:ascii="宋体" w:hAnsi="宋体" w:cs="宋体" w:eastAsia="宋体" w:hint="default"/>
          <w:b w:val="0"/>
          <w:bCs w:val="0"/>
        </w:rPr>
      </w:pPr>
      <w:r>
        <w:rPr/>
        <w:t>九、</w:t>
      </w:r>
      <w:r>
        <w:rPr>
          <w:spacing w:val="-105"/>
        </w:rPr>
        <w:t> </w:t>
      </w:r>
      <w:r>
        <w:rPr>
          <w:rFonts w:ascii="宋体" w:hAnsi="宋体" w:cs="宋体" w:eastAsia="宋体" w:hint="default"/>
          <w:spacing w:val="-105"/>
        </w:rPr>
      </w:r>
      <w:r>
        <w:rPr/>
        <w:t>在其他主体中的权益</w:t>
      </w:r>
      <w:r>
        <w:rPr>
          <w:rFonts w:ascii="宋体" w:hAnsi="宋体" w:cs="宋体" w:eastAsia="宋体" w:hint="default"/>
          <w:w w:val="99"/>
        </w:rPr>
        <w:t> </w:t>
      </w:r>
      <w:r>
        <w:rPr>
          <w:rFonts w:ascii="宋体" w:hAnsi="宋体" w:cs="宋体" w:eastAsia="宋体" w:hint="default"/>
        </w:rPr>
        <w:t>1</w:t>
      </w:r>
      <w:r>
        <w:rPr/>
        <w:t>、</w:t>
      </w:r>
      <w:r>
        <w:rPr>
          <w:spacing w:val="-3"/>
        </w:rPr>
        <w:t> </w:t>
      </w:r>
      <w:r>
        <w:rPr/>
        <w:t>在子公司中的权益</w:t>
      </w:r>
      <w:r>
        <w:rPr>
          <w:spacing w:val="-104"/>
        </w:rPr>
        <w:t> </w:t>
      </w:r>
      <w:r>
        <w:rPr>
          <w:spacing w:val="-104"/>
        </w:rPr>
      </w:r>
      <w:r>
        <w:rPr>
          <w:rFonts w:ascii="宋体" w:hAnsi="宋体" w:cs="宋体" w:eastAsia="宋体" w:hint="default"/>
        </w:rPr>
        <w:t>(1).</w:t>
      </w:r>
      <w:r>
        <w:rPr>
          <w:rFonts w:ascii="宋体" w:hAnsi="宋体" w:cs="宋体" w:eastAsia="宋体" w:hint="default"/>
          <w:spacing w:val="-46"/>
        </w:rPr>
        <w:t> </w:t>
      </w:r>
      <w:r>
        <w:rPr/>
        <w:t>企业集团的构成</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696"/>
        <w:gridCol w:w="1729"/>
        <w:gridCol w:w="1812"/>
        <w:gridCol w:w="3142"/>
        <w:gridCol w:w="1349"/>
        <w:gridCol w:w="1075"/>
        <w:gridCol w:w="1286"/>
      </w:tblGrid>
      <w:tr>
        <w:trPr>
          <w:trHeight w:val="281" w:hRule="exact"/>
        </w:trPr>
        <w:tc>
          <w:tcPr>
            <w:tcW w:w="3696" w:type="dxa"/>
            <w:vMerge w:val="restart"/>
            <w:tcBorders>
              <w:top w:val="single" w:sz="4" w:space="0" w:color="000000"/>
              <w:left w:val="single" w:sz="4" w:space="0" w:color="000000"/>
              <w:right w:val="single" w:sz="4" w:space="0" w:color="000000"/>
            </w:tcBorders>
          </w:tcPr>
          <w:p>
            <w:pPr>
              <w:pStyle w:val="TableParagraph"/>
              <w:spacing w:line="240" w:lineRule="auto" w:before="110"/>
              <w:ind w:left="1317" w:right="0"/>
              <w:jc w:val="left"/>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1729" w:type="dxa"/>
            <w:vMerge w:val="restart"/>
            <w:tcBorders>
              <w:top w:val="single" w:sz="4" w:space="0" w:color="000000"/>
              <w:left w:val="single" w:sz="4" w:space="0" w:color="000000"/>
              <w:right w:val="single" w:sz="4" w:space="0" w:color="000000"/>
            </w:tcBorders>
          </w:tcPr>
          <w:p>
            <w:pPr>
              <w:pStyle w:val="TableParagraph"/>
              <w:spacing w:line="240" w:lineRule="auto" w:before="110"/>
              <w:ind w:left="334" w:right="0"/>
              <w:jc w:val="left"/>
              <w:rPr>
                <w:rFonts w:ascii="宋体" w:hAnsi="宋体" w:cs="宋体" w:eastAsia="宋体" w:hint="default"/>
                <w:sz w:val="21"/>
                <w:szCs w:val="21"/>
              </w:rPr>
            </w:pPr>
            <w:r>
              <w:rPr>
                <w:rFonts w:ascii="宋体" w:hAnsi="宋体" w:cs="宋体" w:eastAsia="宋体" w:hint="default"/>
                <w:sz w:val="21"/>
                <w:szCs w:val="21"/>
              </w:rPr>
              <w:t>主要经营地</w:t>
            </w:r>
            <w:r>
              <w:rPr>
                <w:rFonts w:ascii="宋体" w:hAnsi="宋体" w:cs="宋体" w:eastAsia="宋体" w:hint="default"/>
                <w:sz w:val="21"/>
                <w:szCs w:val="21"/>
              </w:rPr>
              <w:t> </w:t>
            </w:r>
          </w:p>
        </w:tc>
        <w:tc>
          <w:tcPr>
            <w:tcW w:w="1812" w:type="dxa"/>
            <w:vMerge w:val="restart"/>
            <w:tcBorders>
              <w:top w:val="single" w:sz="4" w:space="0" w:color="000000"/>
              <w:left w:val="single" w:sz="4" w:space="0" w:color="000000"/>
              <w:right w:val="single" w:sz="4" w:space="0" w:color="000000"/>
            </w:tcBorders>
          </w:tcPr>
          <w:p>
            <w:pPr>
              <w:pStyle w:val="TableParagraph"/>
              <w:spacing w:line="240" w:lineRule="auto" w:before="110"/>
              <w:ind w:left="585"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3142" w:type="dxa"/>
            <w:vMerge w:val="restart"/>
            <w:tcBorders>
              <w:top w:val="single" w:sz="4" w:space="0" w:color="000000"/>
              <w:left w:val="single" w:sz="4" w:space="0" w:color="000000"/>
              <w:right w:val="single" w:sz="4" w:space="0" w:color="000000"/>
            </w:tcBorders>
          </w:tcPr>
          <w:p>
            <w:pPr>
              <w:pStyle w:val="TableParagraph"/>
              <w:spacing w:line="240" w:lineRule="auto" w:before="110"/>
              <w:ind w:left="1145"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24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9"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286" w:type="dxa"/>
            <w:vMerge w:val="restart"/>
            <w:tcBorders>
              <w:top w:val="single" w:sz="4" w:space="0" w:color="000000"/>
              <w:left w:val="single" w:sz="4" w:space="0" w:color="000000"/>
              <w:right w:val="single" w:sz="4" w:space="0" w:color="000000"/>
            </w:tcBorders>
          </w:tcPr>
          <w:p>
            <w:pPr>
              <w:pStyle w:val="TableParagraph"/>
              <w:spacing w:line="247" w:lineRule="exact"/>
              <w:ind w:left="429" w:right="0"/>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sz w:val="21"/>
                <w:szCs w:val="21"/>
              </w:rPr>
              <w:t> </w:t>
            </w:r>
          </w:p>
          <w:p>
            <w:pPr>
              <w:pStyle w:val="TableParagraph"/>
              <w:spacing w:line="274" w:lineRule="exact"/>
              <w:ind w:left="429" w:right="0"/>
              <w:jc w:val="left"/>
              <w:rPr>
                <w:rFonts w:ascii="宋体" w:hAnsi="宋体" w:cs="宋体" w:eastAsia="宋体" w:hint="default"/>
                <w:sz w:val="21"/>
                <w:szCs w:val="21"/>
              </w:rPr>
            </w:pPr>
            <w:r>
              <w:rPr>
                <w:rFonts w:ascii="宋体" w:hAnsi="宋体" w:cs="宋体" w:eastAsia="宋体" w:hint="default"/>
                <w:sz w:val="21"/>
                <w:szCs w:val="21"/>
              </w:rPr>
              <w:t>方式</w:t>
            </w:r>
            <w:r>
              <w:rPr>
                <w:rFonts w:ascii="宋体" w:hAnsi="宋体" w:cs="宋体" w:eastAsia="宋体" w:hint="default"/>
                <w:sz w:val="21"/>
                <w:szCs w:val="21"/>
              </w:rPr>
              <w:t> </w:t>
            </w:r>
          </w:p>
        </w:tc>
      </w:tr>
      <w:tr>
        <w:trPr>
          <w:trHeight w:val="288" w:hRule="exact"/>
        </w:trPr>
        <w:tc>
          <w:tcPr>
            <w:tcW w:w="3696" w:type="dxa"/>
            <w:vMerge/>
            <w:tcBorders>
              <w:left w:val="single" w:sz="4" w:space="0" w:color="000000"/>
              <w:bottom w:val="single" w:sz="4" w:space="0" w:color="000000"/>
              <w:right w:val="single" w:sz="4" w:space="0" w:color="000000"/>
            </w:tcBorders>
          </w:tcPr>
          <w:p>
            <w:pPr/>
          </w:p>
        </w:tc>
        <w:tc>
          <w:tcPr>
            <w:tcW w:w="1729" w:type="dxa"/>
            <w:vMerge/>
            <w:tcBorders>
              <w:left w:val="single" w:sz="4" w:space="0" w:color="000000"/>
              <w:bottom w:val="single" w:sz="4" w:space="0" w:color="000000"/>
              <w:right w:val="single" w:sz="4" w:space="0" w:color="000000"/>
            </w:tcBorders>
          </w:tcPr>
          <w:p>
            <w:pPr/>
          </w:p>
        </w:tc>
        <w:tc>
          <w:tcPr>
            <w:tcW w:w="1812" w:type="dxa"/>
            <w:vMerge/>
            <w:tcBorders>
              <w:left w:val="single" w:sz="4" w:space="0" w:color="000000"/>
              <w:bottom w:val="single" w:sz="4" w:space="0" w:color="000000"/>
              <w:right w:val="single" w:sz="4" w:space="0" w:color="000000"/>
            </w:tcBorders>
          </w:tcPr>
          <w:p>
            <w:pPr/>
          </w:p>
        </w:tc>
        <w:tc>
          <w:tcPr>
            <w:tcW w:w="3142" w:type="dxa"/>
            <w:vMerge/>
            <w:tcBorders>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59" w:right="0"/>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z w:val="21"/>
                <w:szCs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24" w:right="0"/>
              <w:jc w:val="left"/>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286" w:type="dxa"/>
            <w:vMerge/>
            <w:tcBorders>
              <w:left w:val="single" w:sz="4" w:space="0" w:color="000000"/>
              <w:bottom w:val="single" w:sz="4" w:space="0" w:color="000000"/>
              <w:right w:val="single" w:sz="4" w:space="0" w:color="000000"/>
            </w:tcBorders>
          </w:tcPr>
          <w:p>
            <w:pPr/>
          </w:p>
        </w:tc>
      </w:tr>
      <w:tr>
        <w:trPr>
          <w:trHeight w:val="283" w:hRule="exact"/>
        </w:trPr>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江西泰豪军工集团有限公司</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江西南昌</w:t>
            </w:r>
            <w:r>
              <w:rPr>
                <w:rFonts w:ascii="宋体" w:hAnsi="宋体" w:cs="宋体" w:eastAsia="宋体" w:hint="default"/>
                <w:sz w:val="21"/>
                <w:szCs w:val="21"/>
              </w:rPr>
              <w:t> </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江西南昌</w:t>
            </w:r>
            <w:r>
              <w:rPr>
                <w:rFonts w:ascii="宋体" w:hAnsi="宋体" w:cs="宋体" w:eastAsia="宋体" w:hint="default"/>
                <w:sz w:val="21"/>
                <w:szCs w:val="21"/>
              </w:rPr>
              <w:t> </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发电机及机组、其他机电设备</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555" w:hRule="exact"/>
        </w:trPr>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泰豪电源技术有限公司</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江西南昌</w:t>
            </w:r>
            <w:r>
              <w:rPr>
                <w:rFonts w:ascii="宋体" w:hAnsi="宋体" w:cs="宋体" w:eastAsia="宋体" w:hint="default"/>
                <w:sz w:val="21"/>
                <w:szCs w:val="21"/>
              </w:rPr>
              <w:t> </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江西南昌</w:t>
            </w:r>
            <w:r>
              <w:rPr>
                <w:rFonts w:ascii="宋体" w:hAnsi="宋体" w:cs="宋体" w:eastAsia="宋体" w:hint="default"/>
                <w:sz w:val="21"/>
                <w:szCs w:val="21"/>
              </w:rPr>
              <w:t> </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发电机及机组的设计、制造、销</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售与售后服务</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泰豪软件股份有限公司</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江西南昌</w:t>
            </w:r>
            <w:r>
              <w:rPr>
                <w:rFonts w:ascii="宋体" w:hAnsi="宋体" w:cs="宋体" w:eastAsia="宋体" w:hint="default"/>
                <w:sz w:val="21"/>
                <w:szCs w:val="21"/>
              </w:rPr>
              <w:t> </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江西南昌</w:t>
            </w:r>
            <w:r>
              <w:rPr>
                <w:rFonts w:ascii="宋体" w:hAnsi="宋体" w:cs="宋体" w:eastAsia="宋体" w:hint="default"/>
                <w:sz w:val="21"/>
                <w:szCs w:val="21"/>
              </w:rPr>
              <w:t> </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计算机软件及相关产品开发、生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产及销售</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r>
      <w:tr>
        <w:trPr>
          <w:trHeight w:val="828" w:hRule="exact"/>
        </w:trPr>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龙岩市海德馨汽车有限公司</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福建龙岩</w:t>
            </w:r>
            <w:r>
              <w:rPr>
                <w:rFonts w:ascii="宋体" w:hAnsi="宋体" w:cs="宋体" w:eastAsia="宋体" w:hint="default"/>
                <w:sz w:val="21"/>
                <w:szCs w:val="21"/>
              </w:rPr>
              <w:t> </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福建龙岩</w:t>
            </w:r>
            <w:r>
              <w:rPr>
                <w:rFonts w:ascii="宋体" w:hAnsi="宋体" w:cs="宋体" w:eastAsia="宋体" w:hint="default"/>
                <w:sz w:val="21"/>
                <w:szCs w:val="21"/>
              </w:rPr>
              <w:t> </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专用作业车（应急电源车、抢险</w:t>
            </w:r>
          </w:p>
          <w:p>
            <w:pPr>
              <w:pStyle w:val="TableParagraph"/>
              <w:spacing w:line="272" w:lineRule="exact" w:before="27"/>
              <w:ind w:left="103" w:right="191"/>
              <w:jc w:val="left"/>
              <w:rPr>
                <w:rFonts w:ascii="宋体" w:hAnsi="宋体" w:cs="宋体" w:eastAsia="宋体" w:hint="default"/>
                <w:sz w:val="21"/>
                <w:szCs w:val="21"/>
              </w:rPr>
            </w:pPr>
            <w:r>
              <w:rPr>
                <w:rFonts w:ascii="宋体" w:hAnsi="宋体" w:cs="宋体" w:eastAsia="宋体" w:hint="default"/>
                <w:spacing w:val="-2"/>
                <w:sz w:val="21"/>
                <w:szCs w:val="21"/>
              </w:rPr>
              <w:t>救援照明车、应急通信车</w:t>
            </w:r>
            <w:r>
              <w:rPr>
                <w:rFonts w:ascii="宋体" w:hAnsi="宋体" w:cs="宋体" w:eastAsia="宋体" w:hint="default"/>
                <w:spacing w:val="-2"/>
                <w:sz w:val="21"/>
                <w:szCs w:val="21"/>
              </w:rPr>
              <w:t>)</w:t>
            </w:r>
            <w:r>
              <w:rPr>
                <w:rFonts w:ascii="宋体" w:hAnsi="宋体" w:cs="宋体" w:eastAsia="宋体" w:hint="default"/>
                <w:spacing w:val="-2"/>
                <w:sz w:val="21"/>
                <w:szCs w:val="21"/>
              </w:rPr>
              <w:t>）生</w:t>
            </w:r>
            <w:r>
              <w:rPr>
                <w:rFonts w:ascii="宋体" w:hAnsi="宋体" w:cs="宋体" w:eastAsia="宋体" w:hint="default"/>
                <w:spacing w:val="-79"/>
                <w:sz w:val="21"/>
                <w:szCs w:val="21"/>
              </w:rPr>
              <w:t> </w:t>
            </w:r>
            <w:r>
              <w:rPr>
                <w:rFonts w:ascii="宋体" w:hAnsi="宋体" w:cs="宋体" w:eastAsia="宋体" w:hint="default"/>
                <w:sz w:val="21"/>
                <w:szCs w:val="21"/>
              </w:rPr>
              <w:t>产销售</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75.288</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上海红生系统工程有限公司</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3"/>
              <w:jc w:val="left"/>
              <w:rPr>
                <w:rFonts w:ascii="宋体" w:hAnsi="宋体" w:cs="宋体" w:eastAsia="宋体" w:hint="default"/>
                <w:sz w:val="21"/>
                <w:szCs w:val="21"/>
              </w:rPr>
            </w:pPr>
            <w:r>
              <w:rPr>
                <w:rFonts w:ascii="宋体" w:hAnsi="宋体" w:cs="宋体" w:eastAsia="宋体" w:hint="default"/>
                <w:spacing w:val="-3"/>
                <w:sz w:val="21"/>
                <w:szCs w:val="21"/>
              </w:rPr>
              <w:t>（通讯设备、计算机软硬件、网</w:t>
            </w:r>
          </w:p>
          <w:p>
            <w:pPr>
              <w:pStyle w:val="TableParagraph"/>
              <w:spacing w:line="274" w:lineRule="exact"/>
              <w:ind w:left="103" w:right="-3"/>
              <w:jc w:val="left"/>
              <w:rPr>
                <w:rFonts w:ascii="宋体" w:hAnsi="宋体" w:cs="宋体" w:eastAsia="宋体" w:hint="default"/>
                <w:sz w:val="21"/>
                <w:szCs w:val="21"/>
              </w:rPr>
            </w:pPr>
            <w:r>
              <w:rPr>
                <w:rFonts w:ascii="宋体" w:hAnsi="宋体" w:cs="宋体" w:eastAsia="宋体" w:hint="default"/>
                <w:spacing w:val="-3"/>
                <w:sz w:val="21"/>
                <w:szCs w:val="21"/>
              </w:rPr>
              <w:t>络技术）专业领域内的技术开发</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江西泰豪电力电气有限公司</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江西南昌</w:t>
            </w:r>
            <w:r>
              <w:rPr>
                <w:rFonts w:ascii="宋体" w:hAnsi="宋体" w:cs="宋体" w:eastAsia="宋体" w:hint="default"/>
                <w:sz w:val="21"/>
                <w:szCs w:val="21"/>
              </w:rPr>
              <w:t> </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江西南昌</w:t>
            </w:r>
            <w:r>
              <w:rPr>
                <w:rFonts w:ascii="宋体" w:hAnsi="宋体" w:cs="宋体" w:eastAsia="宋体" w:hint="default"/>
                <w:sz w:val="21"/>
                <w:szCs w:val="21"/>
              </w:rPr>
              <w:t> </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能源技术研究、技术开发服务</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826" w:hRule="exact"/>
        </w:trPr>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泰豪国际工程有限公司</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工程项目管理；专业承包、施工</w:t>
            </w:r>
          </w:p>
          <w:p>
            <w:pPr>
              <w:pStyle w:val="TableParagraph"/>
              <w:spacing w:line="240" w:lineRule="auto"/>
              <w:ind w:left="103" w:right="95"/>
              <w:jc w:val="left"/>
              <w:rPr>
                <w:rFonts w:ascii="宋体" w:hAnsi="宋体" w:cs="宋体" w:eastAsia="宋体" w:hint="default"/>
                <w:sz w:val="21"/>
                <w:szCs w:val="21"/>
              </w:rPr>
            </w:pPr>
            <w:r>
              <w:rPr>
                <w:rFonts w:ascii="宋体" w:hAnsi="宋体" w:cs="宋体" w:eastAsia="宋体" w:hint="default"/>
                <w:spacing w:val="-3"/>
                <w:sz w:val="21"/>
                <w:szCs w:val="21"/>
              </w:rPr>
              <w:t>总承包；销售电子产品、通讯设</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备、电子设备</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z w:val="21"/>
              </w:rPr>
              <w:t>60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泰豪国际投资有限公司</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BVI </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BVI </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贸易</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上海泰豪智能节能技术有限公司</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合同能源管理、建筑智能化工程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等</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泰豪晟大创业投资有限公司</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广东深圳</w:t>
            </w:r>
            <w:r>
              <w:rPr>
                <w:rFonts w:ascii="宋体" w:hAnsi="宋体" w:cs="宋体" w:eastAsia="宋体" w:hint="default"/>
                <w:sz w:val="21"/>
                <w:szCs w:val="21"/>
              </w:rPr>
              <w:t> </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广东深圳</w:t>
            </w:r>
            <w:r>
              <w:rPr>
                <w:rFonts w:ascii="宋体" w:hAnsi="宋体" w:cs="宋体" w:eastAsia="宋体" w:hint="default"/>
                <w:sz w:val="21"/>
                <w:szCs w:val="21"/>
              </w:rPr>
              <w:t> </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创业投资业务、创业投资咨询及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管理等</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83.33</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r>
      <w:tr>
        <w:trPr>
          <w:trHeight w:val="555" w:hRule="exact"/>
        </w:trPr>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上海博辕信息技术服务有限公司</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计算机科技领域内的技术开发、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技术转让、技术服务</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广东泰豪能源科技有限公司</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广东广州</w:t>
            </w:r>
            <w:r>
              <w:rPr>
                <w:rFonts w:ascii="宋体" w:hAnsi="宋体" w:cs="宋体" w:eastAsia="宋体" w:hint="default"/>
                <w:sz w:val="21"/>
                <w:szCs w:val="21"/>
              </w:rPr>
              <w:t> </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广东广州</w:t>
            </w:r>
            <w:r>
              <w:rPr>
                <w:rFonts w:ascii="宋体" w:hAnsi="宋体" w:cs="宋体" w:eastAsia="宋体" w:hint="default"/>
                <w:sz w:val="21"/>
                <w:szCs w:val="21"/>
              </w:rPr>
              <w:t> </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研究和试验发展</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上海泰豪迈能能源科技有限公司</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能源互联网科技、新能源科技</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泰豪新能源装备有限公司</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江西南昌</w:t>
            </w:r>
            <w:r>
              <w:rPr>
                <w:rFonts w:ascii="宋体" w:hAnsi="宋体" w:cs="宋体" w:eastAsia="宋体" w:hint="default"/>
                <w:sz w:val="21"/>
                <w:szCs w:val="21"/>
              </w:rPr>
              <w:t> </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江西南昌</w:t>
            </w:r>
            <w:r>
              <w:rPr>
                <w:rFonts w:ascii="宋体" w:hAnsi="宋体" w:cs="宋体" w:eastAsia="宋体" w:hint="default"/>
                <w:sz w:val="21"/>
                <w:szCs w:val="21"/>
              </w:rPr>
              <w:t> </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pacing w:val="-3"/>
                <w:sz w:val="21"/>
                <w:szCs w:val="21"/>
              </w:rPr>
              <w:t>电力销售、电力工程设计、施工</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90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3696"/>
        <w:gridCol w:w="1729"/>
        <w:gridCol w:w="1812"/>
        <w:gridCol w:w="3142"/>
        <w:gridCol w:w="1349"/>
        <w:gridCol w:w="1075"/>
        <w:gridCol w:w="1286"/>
      </w:tblGrid>
      <w:tr>
        <w:trPr>
          <w:trHeight w:val="555" w:hRule="exact"/>
        </w:trPr>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北京泰豪装备科技有限公司</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通讯设备、计算机软件及系统集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成开发销售等</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清大泰豪（厦门）能源科技有限公司</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福建厦门</w:t>
            </w:r>
            <w:r>
              <w:rPr>
                <w:rFonts w:ascii="宋体" w:hAnsi="宋体" w:cs="宋体" w:eastAsia="宋体" w:hint="default"/>
                <w:sz w:val="21"/>
                <w:szCs w:val="21"/>
              </w:rPr>
              <w:t> </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福建厦门</w:t>
            </w:r>
            <w:r>
              <w:rPr>
                <w:rFonts w:ascii="宋体" w:hAnsi="宋体" w:cs="宋体" w:eastAsia="宋体" w:hint="default"/>
                <w:sz w:val="21"/>
                <w:szCs w:val="21"/>
              </w:rPr>
              <w:t> </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软件开发、信息系统集成服务、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信息技术咨询服务等</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85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TELLHOW POWER     </w:t>
            </w:r>
            <w:r>
              <w:rPr>
                <w:rFonts w:ascii="宋体"/>
                <w:spacing w:val="100"/>
                <w:sz w:val="21"/>
              </w:rPr>
              <w:t> </w:t>
            </w:r>
            <w:r>
              <w:rPr>
                <w:rFonts w:ascii="宋体"/>
                <w:sz w:val="21"/>
              </w:rPr>
              <w:t>SOLUTION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w:t>
            </w:r>
            <w:r>
              <w:rPr>
                <w:rFonts w:ascii="宋体" w:hAnsi="宋体" w:cs="宋体" w:eastAsia="宋体" w:hint="default"/>
                <w:sz w:val="21"/>
                <w:szCs w:val="21"/>
              </w:rPr>
              <w:t> </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w:t>
            </w:r>
            <w:r>
              <w:rPr>
                <w:rFonts w:ascii="宋体" w:hAnsi="宋体" w:cs="宋体" w:eastAsia="宋体" w:hint="default"/>
                <w:sz w:val="21"/>
                <w:szCs w:val="21"/>
              </w:rPr>
              <w:t> </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贸易</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北京泰豪新源工程技术有限公司</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工程项目管理</w:t>
            </w:r>
            <w:r>
              <w:rPr>
                <w:rFonts w:ascii="宋体" w:hAnsi="宋体" w:cs="宋体" w:eastAsia="宋体" w:hint="default"/>
                <w:sz w:val="21"/>
                <w:szCs w:val="21"/>
              </w:rPr>
              <w:t>;</w:t>
            </w:r>
            <w:r>
              <w:rPr>
                <w:rFonts w:ascii="宋体" w:hAnsi="宋体" w:cs="宋体" w:eastAsia="宋体" w:hint="default"/>
                <w:sz w:val="21"/>
                <w:szCs w:val="21"/>
              </w:rPr>
              <w:t>、能源管理、施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工总承包等</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z w:val="21"/>
              </w:rPr>
              <w:t>80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w w:val="100"/>
                <w:sz w:val="21"/>
              </w:rPr>
              <w:t> </w:t>
            </w:r>
          </w:p>
        </w:tc>
      </w:tr>
      <w:tr>
        <w:trPr>
          <w:trHeight w:val="826" w:hRule="exact"/>
        </w:trPr>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泰豪福瑞斯动力设备有限公司</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辽宁沈阳</w:t>
            </w:r>
            <w:r>
              <w:rPr>
                <w:rFonts w:ascii="宋体" w:hAnsi="宋体" w:cs="宋体" w:eastAsia="宋体" w:hint="default"/>
                <w:sz w:val="21"/>
                <w:szCs w:val="21"/>
              </w:rPr>
              <w:t> </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辽宁沈阳</w:t>
            </w:r>
            <w:r>
              <w:rPr>
                <w:rFonts w:ascii="宋体" w:hAnsi="宋体" w:cs="宋体" w:eastAsia="宋体" w:hint="default"/>
                <w:sz w:val="21"/>
                <w:szCs w:val="21"/>
              </w:rPr>
              <w:t> </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6"/>
              <w:jc w:val="left"/>
              <w:rPr>
                <w:rFonts w:ascii="宋体" w:hAnsi="宋体" w:cs="宋体" w:eastAsia="宋体" w:hint="default"/>
                <w:sz w:val="21"/>
                <w:szCs w:val="21"/>
              </w:rPr>
            </w:pPr>
            <w:r>
              <w:rPr>
                <w:rFonts w:ascii="宋体" w:hAnsi="宋体" w:cs="宋体" w:eastAsia="宋体" w:hint="default"/>
                <w:spacing w:val="-3"/>
                <w:sz w:val="21"/>
                <w:szCs w:val="21"/>
              </w:rPr>
              <w:t>发电机、发电机组、燃气发电组</w:t>
            </w:r>
          </w:p>
          <w:p>
            <w:pPr>
              <w:pStyle w:val="TableParagraph"/>
              <w:spacing w:line="240" w:lineRule="auto"/>
              <w:ind w:left="103" w:right="-6"/>
              <w:jc w:val="left"/>
              <w:rPr>
                <w:rFonts w:ascii="宋体" w:hAnsi="宋体" w:cs="宋体" w:eastAsia="宋体" w:hint="default"/>
                <w:sz w:val="21"/>
                <w:szCs w:val="21"/>
              </w:rPr>
            </w:pPr>
            <w:r>
              <w:rPr>
                <w:rFonts w:ascii="宋体" w:hAnsi="宋体" w:cs="宋体" w:eastAsia="宋体" w:hint="default"/>
                <w:spacing w:val="-10"/>
                <w:sz w:val="21"/>
                <w:szCs w:val="21"/>
              </w:rPr>
              <w:t>开发、设计、制造、销售、安装、</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技术咨询</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z w:val="21"/>
              </w:rPr>
              <w:t>51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r>
      <w:tr>
        <w:trPr>
          <w:trHeight w:val="1099" w:hRule="exact"/>
        </w:trPr>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陕西泰豪沃达动力设备有限公司</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陕西西安</w:t>
            </w:r>
            <w:r>
              <w:rPr>
                <w:rFonts w:ascii="宋体" w:hAnsi="宋体" w:cs="宋体" w:eastAsia="宋体" w:hint="default"/>
                <w:sz w:val="21"/>
                <w:szCs w:val="21"/>
              </w:rPr>
              <w:t> </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陕西西安</w:t>
            </w:r>
            <w:r>
              <w:rPr>
                <w:rFonts w:ascii="宋体" w:hAnsi="宋体" w:cs="宋体" w:eastAsia="宋体" w:hint="default"/>
                <w:sz w:val="21"/>
                <w:szCs w:val="21"/>
              </w:rPr>
              <w:t> </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发电机、发电机组、工矿设备、</w:t>
            </w:r>
          </w:p>
          <w:p>
            <w:pPr>
              <w:pStyle w:val="TableParagraph"/>
              <w:spacing w:line="237" w:lineRule="auto" w:before="2"/>
              <w:ind w:left="103" w:right="81"/>
              <w:jc w:val="both"/>
              <w:rPr>
                <w:rFonts w:ascii="宋体" w:hAnsi="宋体" w:cs="宋体" w:eastAsia="宋体" w:hint="default"/>
                <w:sz w:val="21"/>
                <w:szCs w:val="21"/>
              </w:rPr>
            </w:pPr>
            <w:r>
              <w:rPr>
                <w:rFonts w:ascii="宋体" w:hAnsi="宋体" w:cs="宋体" w:eastAsia="宋体" w:hint="default"/>
                <w:spacing w:val="-3"/>
                <w:sz w:val="21"/>
                <w:szCs w:val="21"/>
              </w:rPr>
              <w:t>输变电配套设备的开发、技术咨</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询、维修、设计、制造、安装、</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销售和租赁</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3"/>
              <w:jc w:val="right"/>
              <w:rPr>
                <w:rFonts w:ascii="宋体" w:hAnsi="宋体" w:cs="宋体" w:eastAsia="宋体" w:hint="default"/>
                <w:sz w:val="21"/>
                <w:szCs w:val="21"/>
              </w:rPr>
            </w:pPr>
            <w:r>
              <w:rPr>
                <w:rFonts w:ascii="宋体"/>
                <w:sz w:val="21"/>
              </w:rPr>
              <w:t>51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3"/>
              <w:jc w:val="right"/>
              <w:rPr>
                <w:rFonts w:ascii="宋体" w:hAnsi="宋体" w:cs="宋体" w:eastAsia="宋体" w:hint="default"/>
                <w:sz w:val="21"/>
                <w:szCs w:val="21"/>
              </w:rPr>
            </w:pPr>
            <w:r>
              <w:rPr>
                <w:rFonts w:ascii="宋体"/>
                <w:w w:val="100"/>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广东泰豪三奥动力科技有限公司</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广东东莞</w:t>
            </w:r>
            <w:r>
              <w:rPr>
                <w:rFonts w:ascii="宋体" w:hAnsi="宋体" w:cs="宋体" w:eastAsia="宋体" w:hint="default"/>
                <w:sz w:val="21"/>
                <w:szCs w:val="21"/>
              </w:rPr>
              <w:t> </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广东东莞</w:t>
            </w:r>
            <w:r>
              <w:rPr>
                <w:rFonts w:ascii="宋体" w:hAnsi="宋体" w:cs="宋体" w:eastAsia="宋体" w:hint="default"/>
                <w:sz w:val="21"/>
                <w:szCs w:val="21"/>
              </w:rPr>
              <w:t> </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z w:val="21"/>
                <w:szCs w:val="21"/>
              </w:rPr>
              <w:t>机电设备、发电机、发电机组、</w:t>
            </w:r>
          </w:p>
          <w:p>
            <w:pPr>
              <w:pStyle w:val="TableParagraph"/>
              <w:spacing w:line="273" w:lineRule="exact"/>
              <w:ind w:left="103" w:right="-3"/>
              <w:jc w:val="left"/>
              <w:rPr>
                <w:rFonts w:ascii="宋体" w:hAnsi="宋体" w:cs="宋体" w:eastAsia="宋体" w:hint="default"/>
                <w:sz w:val="21"/>
                <w:szCs w:val="21"/>
              </w:rPr>
            </w:pPr>
            <w:r>
              <w:rPr>
                <w:rFonts w:ascii="宋体" w:hAnsi="宋体" w:cs="宋体" w:eastAsia="宋体" w:hint="default"/>
                <w:spacing w:val="-3"/>
                <w:sz w:val="21"/>
                <w:szCs w:val="21"/>
              </w:rPr>
              <w:t>柴油机研发、产销、安装、维修</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60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r>
      <w:tr>
        <w:trPr>
          <w:trHeight w:val="557" w:hRule="exact"/>
        </w:trPr>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衡阳泰豪通信车辆有限公司</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湖南衡阳</w:t>
            </w:r>
            <w:r>
              <w:rPr>
                <w:rFonts w:ascii="宋体" w:hAnsi="宋体" w:cs="宋体" w:eastAsia="宋体" w:hint="default"/>
                <w:sz w:val="21"/>
                <w:szCs w:val="21"/>
              </w:rPr>
              <w:t> </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湖南衡阳</w:t>
            </w:r>
            <w:r>
              <w:rPr>
                <w:rFonts w:ascii="宋体" w:hAnsi="宋体" w:cs="宋体" w:eastAsia="宋体" w:hint="default"/>
                <w:sz w:val="21"/>
                <w:szCs w:val="21"/>
              </w:rPr>
              <w:t> </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军用改装车及军用方舱研制生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产及销售等</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84.53</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江西清华泰豪三波电机有限公司</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江西南昌</w:t>
            </w:r>
            <w:r>
              <w:rPr>
                <w:rFonts w:ascii="宋体" w:hAnsi="宋体" w:cs="宋体" w:eastAsia="宋体" w:hint="default"/>
                <w:sz w:val="21"/>
                <w:szCs w:val="21"/>
              </w:rPr>
              <w:t> </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江西南昌</w:t>
            </w:r>
            <w:r>
              <w:rPr>
                <w:rFonts w:ascii="宋体" w:hAnsi="宋体" w:cs="宋体" w:eastAsia="宋体" w:hint="default"/>
                <w:sz w:val="21"/>
                <w:szCs w:val="21"/>
              </w:rPr>
              <w:t> </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电源、电机及成套设备</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嘉兴泰豪装备技术有限公司</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浙江嘉兴</w:t>
            </w:r>
            <w:r>
              <w:rPr>
                <w:rFonts w:ascii="宋体" w:hAnsi="宋体" w:cs="宋体" w:eastAsia="宋体" w:hint="default"/>
                <w:sz w:val="21"/>
                <w:szCs w:val="21"/>
              </w:rPr>
              <w:t> </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浙江嘉兴</w:t>
            </w:r>
            <w:r>
              <w:rPr>
                <w:rFonts w:ascii="宋体" w:hAnsi="宋体" w:cs="宋体" w:eastAsia="宋体" w:hint="default"/>
                <w:sz w:val="21"/>
                <w:szCs w:val="21"/>
              </w:rPr>
              <w:t> </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装备技术开发、技术咨询及技术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服务等</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90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r>
      <w:tr>
        <w:trPr>
          <w:trHeight w:val="828" w:hRule="exact"/>
        </w:trPr>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泰豪科技（深圳）电力技术有限公司</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广东深圳</w:t>
            </w:r>
            <w:r>
              <w:rPr>
                <w:rFonts w:ascii="宋体" w:hAnsi="宋体" w:cs="宋体" w:eastAsia="宋体" w:hint="default"/>
                <w:sz w:val="21"/>
                <w:szCs w:val="21"/>
              </w:rPr>
              <w:t> </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广东深圳</w:t>
            </w:r>
            <w:r>
              <w:rPr>
                <w:rFonts w:ascii="宋体" w:hAnsi="宋体" w:cs="宋体" w:eastAsia="宋体" w:hint="default"/>
                <w:sz w:val="21"/>
                <w:szCs w:val="21"/>
              </w:rPr>
              <w:t> </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电力设备、仪器仪表、自动化系</w:t>
            </w:r>
          </w:p>
          <w:p>
            <w:pPr>
              <w:pStyle w:val="TableParagraph"/>
              <w:spacing w:line="272" w:lineRule="exact" w:before="26"/>
              <w:ind w:left="103" w:right="95"/>
              <w:jc w:val="left"/>
              <w:rPr>
                <w:rFonts w:ascii="宋体" w:hAnsi="宋体" w:cs="宋体" w:eastAsia="宋体" w:hint="default"/>
                <w:sz w:val="21"/>
                <w:szCs w:val="21"/>
              </w:rPr>
            </w:pPr>
            <w:r>
              <w:rPr>
                <w:rFonts w:ascii="宋体" w:hAnsi="宋体" w:cs="宋体" w:eastAsia="宋体" w:hint="default"/>
                <w:spacing w:val="-3"/>
                <w:sz w:val="21"/>
                <w:szCs w:val="21"/>
              </w:rPr>
              <w:t>统、电力工程设计与施工、电力</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技术服务及咨询</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z w:val="21"/>
              </w:rPr>
              <w:t>60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r>
      <w:tr>
        <w:trPr>
          <w:trHeight w:val="828" w:hRule="exact"/>
        </w:trPr>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北京泰豪电力技术有限公司</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技术开发、咨询、服务、转让；</w:t>
            </w:r>
          </w:p>
          <w:p>
            <w:pPr>
              <w:pStyle w:val="TableParagraph"/>
              <w:spacing w:line="272" w:lineRule="exact" w:before="27"/>
              <w:ind w:left="103" w:right="95"/>
              <w:jc w:val="left"/>
              <w:rPr>
                <w:rFonts w:ascii="宋体" w:hAnsi="宋体" w:cs="宋体" w:eastAsia="宋体" w:hint="default"/>
                <w:sz w:val="21"/>
                <w:szCs w:val="21"/>
              </w:rPr>
            </w:pPr>
            <w:r>
              <w:rPr>
                <w:rFonts w:ascii="宋体" w:hAnsi="宋体" w:cs="宋体" w:eastAsia="宋体" w:hint="default"/>
                <w:spacing w:val="-3"/>
                <w:sz w:val="21"/>
                <w:szCs w:val="21"/>
              </w:rPr>
              <w:t>销售电子产品等；投资管理；施</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工总承包等</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r>
      <w:tr>
        <w:trPr>
          <w:trHeight w:val="826" w:hRule="exact"/>
        </w:trPr>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北京泰豪电力科技有限公司</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技术开发、咨询、服务、培训；</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3"/>
                <w:sz w:val="21"/>
                <w:szCs w:val="21"/>
              </w:rPr>
              <w:t>销售机械设备、计算机系统集成</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等</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泰豪科技（亚洲）有限公司</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w:t>
            </w:r>
            <w:r>
              <w:rPr>
                <w:rFonts w:ascii="宋体" w:hAnsi="宋体" w:cs="宋体" w:eastAsia="宋体" w:hint="default"/>
                <w:sz w:val="21"/>
                <w:szCs w:val="21"/>
              </w:rPr>
              <w:t> </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w:t>
            </w:r>
            <w:r>
              <w:rPr>
                <w:rFonts w:ascii="宋体" w:hAnsi="宋体" w:cs="宋体" w:eastAsia="宋体" w:hint="default"/>
                <w:sz w:val="21"/>
                <w:szCs w:val="21"/>
              </w:rPr>
              <w:t> </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贸易</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3696"/>
        <w:gridCol w:w="1729"/>
        <w:gridCol w:w="1812"/>
        <w:gridCol w:w="3142"/>
        <w:gridCol w:w="1349"/>
        <w:gridCol w:w="1075"/>
        <w:gridCol w:w="1286"/>
      </w:tblGrid>
      <w:tr>
        <w:trPr>
          <w:trHeight w:val="555" w:hRule="exact"/>
        </w:trPr>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3"/>
              <w:jc w:val="left"/>
              <w:rPr>
                <w:rFonts w:ascii="宋体" w:hAnsi="宋体" w:cs="宋体" w:eastAsia="宋体" w:hint="default"/>
                <w:sz w:val="21"/>
                <w:szCs w:val="21"/>
              </w:rPr>
            </w:pPr>
            <w:r>
              <w:rPr>
                <w:rFonts w:ascii="宋体" w:hAnsi="宋体" w:cs="宋体" w:eastAsia="宋体" w:hint="default"/>
                <w:spacing w:val="-7"/>
                <w:sz w:val="21"/>
                <w:szCs w:val="21"/>
              </w:rPr>
              <w:t>莱福士电力电子设备（深圳）有限公司</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广东深圳</w:t>
            </w:r>
            <w:r>
              <w:rPr>
                <w:rFonts w:ascii="宋体" w:hAnsi="宋体" w:cs="宋体" w:eastAsia="宋体" w:hint="default"/>
                <w:sz w:val="21"/>
                <w:szCs w:val="21"/>
              </w:rPr>
              <w:t> </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广东深圳</w:t>
            </w:r>
            <w:r>
              <w:rPr>
                <w:rFonts w:ascii="宋体" w:hAnsi="宋体" w:cs="宋体" w:eastAsia="宋体" w:hint="default"/>
                <w:sz w:val="21"/>
                <w:szCs w:val="21"/>
              </w:rPr>
              <w:t> </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智能中高压开关元件产品及成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套设备等</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上海博辕信息技术服务如皋有限公司</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江苏如皋</w:t>
            </w:r>
            <w:r>
              <w:rPr>
                <w:rFonts w:ascii="宋体" w:hAnsi="宋体" w:cs="宋体" w:eastAsia="宋体" w:hint="default"/>
                <w:sz w:val="21"/>
                <w:szCs w:val="21"/>
              </w:rPr>
              <w:t> </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江苏如皋</w:t>
            </w:r>
            <w:r>
              <w:rPr>
                <w:rFonts w:ascii="宋体" w:hAnsi="宋体" w:cs="宋体" w:eastAsia="宋体" w:hint="default"/>
                <w:sz w:val="21"/>
                <w:szCs w:val="21"/>
              </w:rPr>
              <w:t> </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计算机软件、通讯领域内的技术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开发，技术转让</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北京博辕捷迅科技发展有限公司</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技术推广服务、经济贸易咨询</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Meinergy</w:t>
            </w:r>
            <w:r>
              <w:rPr>
                <w:rFonts w:ascii="宋体"/>
                <w:spacing w:val="-2"/>
                <w:sz w:val="21"/>
              </w:rPr>
              <w:t> </w:t>
            </w:r>
            <w:r>
              <w:rPr>
                <w:rFonts w:ascii="宋体"/>
                <w:sz w:val="21"/>
              </w:rPr>
              <w:t>GMBH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德国柏林</w:t>
            </w:r>
            <w:r>
              <w:rPr>
                <w:rFonts w:ascii="宋体" w:hAnsi="宋体" w:cs="宋体" w:eastAsia="宋体" w:hint="default"/>
                <w:sz w:val="21"/>
                <w:szCs w:val="21"/>
              </w:rPr>
              <w:t> </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德国柏林</w:t>
            </w:r>
            <w:r>
              <w:rPr>
                <w:rFonts w:ascii="宋体" w:hAnsi="宋体" w:cs="宋体" w:eastAsia="宋体" w:hint="default"/>
                <w:sz w:val="21"/>
                <w:szCs w:val="21"/>
              </w:rPr>
              <w:t> </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配售电运营、电力交易软件等的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技术引进</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Meinergy</w:t>
            </w:r>
            <w:r>
              <w:rPr>
                <w:rFonts w:ascii="宋体"/>
                <w:spacing w:val="-2"/>
                <w:sz w:val="21"/>
              </w:rPr>
              <w:t> </w:t>
            </w:r>
            <w:r>
              <w:rPr>
                <w:rFonts w:ascii="宋体"/>
                <w:sz w:val="21"/>
              </w:rPr>
              <w:t>Inc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美国加州</w:t>
            </w:r>
            <w:r>
              <w:rPr>
                <w:rFonts w:ascii="宋体" w:hAnsi="宋体" w:cs="宋体" w:eastAsia="宋体" w:hint="default"/>
                <w:sz w:val="21"/>
                <w:szCs w:val="21"/>
              </w:rPr>
              <w:t> </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美国加州</w:t>
            </w:r>
            <w:r>
              <w:rPr>
                <w:rFonts w:ascii="宋体" w:hAnsi="宋体" w:cs="宋体" w:eastAsia="宋体" w:hint="default"/>
                <w:sz w:val="21"/>
                <w:szCs w:val="21"/>
              </w:rPr>
              <w:t> </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配售电运营、电力交易软件等的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技术引进</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中能华电（北京）电力技术研究院</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工程和技术研究与试验发展</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49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7" w:hRule="exact"/>
        </w:trPr>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西安泰豪红外科技有限公司</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陕西西安</w:t>
            </w:r>
            <w:r>
              <w:rPr>
                <w:rFonts w:ascii="宋体" w:hAnsi="宋体" w:cs="宋体" w:eastAsia="宋体" w:hint="default"/>
                <w:sz w:val="21"/>
                <w:szCs w:val="21"/>
              </w:rPr>
              <w:t> </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陕西西安</w:t>
            </w:r>
            <w:r>
              <w:rPr>
                <w:rFonts w:ascii="宋体" w:hAnsi="宋体" w:cs="宋体" w:eastAsia="宋体" w:hint="default"/>
                <w:sz w:val="21"/>
                <w:szCs w:val="21"/>
              </w:rPr>
              <w:t> </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光电设备的研发、生产、销售及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技术服务</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70.297</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r>
      <w:tr>
        <w:trPr>
          <w:trHeight w:val="1099" w:hRule="exact"/>
        </w:trPr>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北京海德馨应急科技有限公司</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10"/>
                <w:sz w:val="21"/>
                <w:szCs w:val="21"/>
              </w:rPr>
              <w:t>技术开发、技术咨询、技术转让、</w:t>
            </w:r>
          </w:p>
          <w:p>
            <w:pPr>
              <w:pStyle w:val="TableParagraph"/>
              <w:spacing w:line="237" w:lineRule="auto"/>
              <w:ind w:left="103" w:right="81"/>
              <w:jc w:val="both"/>
              <w:rPr>
                <w:rFonts w:ascii="宋体" w:hAnsi="宋体" w:cs="宋体" w:eastAsia="宋体" w:hint="default"/>
                <w:sz w:val="21"/>
                <w:szCs w:val="21"/>
              </w:rPr>
            </w:pPr>
            <w:r>
              <w:rPr>
                <w:rFonts w:ascii="宋体" w:hAnsi="宋体" w:cs="宋体" w:eastAsia="宋体" w:hint="default"/>
                <w:spacing w:val="-3"/>
                <w:sz w:val="21"/>
                <w:szCs w:val="21"/>
              </w:rPr>
              <w:t>技术服务；销售汽车零配件、机</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2"/>
                <w:sz w:val="21"/>
                <w:szCs w:val="21"/>
              </w:rPr>
              <w:t>械设备、电气设备；设备维修、</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租赁</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3"/>
              <w:jc w:val="right"/>
              <w:rPr>
                <w:rFonts w:ascii="宋体" w:hAnsi="宋体" w:cs="宋体" w:eastAsia="宋体" w:hint="default"/>
                <w:sz w:val="21"/>
                <w:szCs w:val="21"/>
              </w:rPr>
            </w:pPr>
            <w:r>
              <w:rPr>
                <w:rFonts w:ascii="宋体"/>
                <w:spacing w:val="-1"/>
                <w:sz w:val="21"/>
              </w:rPr>
              <w:t>75.288</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3"/>
              <w:jc w:val="right"/>
              <w:rPr>
                <w:rFonts w:ascii="宋体" w:hAnsi="宋体" w:cs="宋体" w:eastAsia="宋体" w:hint="default"/>
                <w:sz w:val="21"/>
                <w:szCs w:val="21"/>
              </w:rPr>
            </w:pPr>
            <w:r>
              <w:rPr>
                <w:rFonts w:ascii="宋体"/>
                <w:w w:val="100"/>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left"/>
              <w:rPr>
                <w:rFonts w:ascii="宋体" w:hAnsi="宋体" w:cs="宋体" w:eastAsia="宋体" w:hint="default"/>
                <w:sz w:val="21"/>
                <w:szCs w:val="21"/>
              </w:rPr>
            </w:pPr>
            <w:r>
              <w:rPr>
                <w:rFonts w:ascii="宋体"/>
                <w:w w:val="100"/>
                <w:sz w:val="21"/>
              </w:rPr>
              <w:t> </w:t>
            </w:r>
          </w:p>
        </w:tc>
      </w:tr>
      <w:tr>
        <w:trPr>
          <w:trHeight w:val="826" w:hRule="exact"/>
        </w:trPr>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江西泰豪智能电力科技有限公司</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江西南昌</w:t>
            </w:r>
            <w:r>
              <w:rPr>
                <w:rFonts w:ascii="宋体" w:hAnsi="宋体" w:cs="宋体" w:eastAsia="宋体" w:hint="default"/>
                <w:sz w:val="21"/>
                <w:szCs w:val="21"/>
              </w:rPr>
              <w:t> </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江西南昌</w:t>
            </w:r>
            <w:r>
              <w:rPr>
                <w:rFonts w:ascii="宋体" w:hAnsi="宋体" w:cs="宋体" w:eastAsia="宋体" w:hint="default"/>
                <w:sz w:val="21"/>
                <w:szCs w:val="21"/>
              </w:rPr>
              <w:t> </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电力设备、仪器仪表、自动化系</w:t>
            </w:r>
          </w:p>
          <w:p>
            <w:pPr>
              <w:pStyle w:val="TableParagraph"/>
              <w:spacing w:line="240" w:lineRule="auto"/>
              <w:ind w:left="103" w:right="95"/>
              <w:jc w:val="left"/>
              <w:rPr>
                <w:rFonts w:ascii="宋体" w:hAnsi="宋体" w:cs="宋体" w:eastAsia="宋体" w:hint="default"/>
                <w:sz w:val="21"/>
                <w:szCs w:val="21"/>
              </w:rPr>
            </w:pPr>
            <w:r>
              <w:rPr>
                <w:rFonts w:ascii="宋体" w:hAnsi="宋体" w:cs="宋体" w:eastAsia="宋体" w:hint="default"/>
                <w:spacing w:val="-3"/>
                <w:sz w:val="21"/>
                <w:szCs w:val="21"/>
              </w:rPr>
              <w:t>统、电力工程设计与施工、电力</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技术服务及咨询</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重庆市梁平区泰豪售电有限公司</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w:t>
            </w:r>
            <w:r>
              <w:rPr>
                <w:rFonts w:ascii="宋体" w:hAnsi="宋体" w:cs="宋体" w:eastAsia="宋体" w:hint="default"/>
                <w:sz w:val="21"/>
                <w:szCs w:val="21"/>
              </w:rPr>
              <w:t> </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w:t>
            </w:r>
            <w:r>
              <w:rPr>
                <w:rFonts w:ascii="宋体" w:hAnsi="宋体" w:cs="宋体" w:eastAsia="宋体" w:hint="default"/>
                <w:sz w:val="21"/>
                <w:szCs w:val="21"/>
              </w:rPr>
              <w:t> </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配售电业务</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828" w:hRule="exact"/>
        </w:trPr>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湖南泰豪系统工程研究院有限公司</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湖南长沙</w:t>
            </w:r>
            <w:r>
              <w:rPr>
                <w:rFonts w:ascii="宋体" w:hAnsi="宋体" w:cs="宋体" w:eastAsia="宋体" w:hint="default"/>
                <w:sz w:val="21"/>
                <w:szCs w:val="21"/>
              </w:rPr>
              <w:t> </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湖南长沙</w:t>
            </w:r>
            <w:r>
              <w:rPr>
                <w:rFonts w:ascii="宋体" w:hAnsi="宋体" w:cs="宋体" w:eastAsia="宋体" w:hint="default"/>
                <w:sz w:val="21"/>
                <w:szCs w:val="21"/>
              </w:rPr>
              <w:t> </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color w:val="212121"/>
                <w:spacing w:val="-3"/>
                <w:sz w:val="21"/>
                <w:szCs w:val="21"/>
              </w:rPr>
              <w:t>通信技术、物联网技术、车辆工</w:t>
            </w:r>
            <w:r>
              <w:rPr>
                <w:rFonts w:ascii="宋体" w:hAnsi="宋体" w:cs="宋体" w:eastAsia="宋体" w:hint="default"/>
                <w:spacing w:val="-3"/>
                <w:sz w:val="21"/>
                <w:szCs w:val="21"/>
              </w:rPr>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color w:val="212121"/>
                <w:spacing w:val="-3"/>
                <w:sz w:val="21"/>
                <w:szCs w:val="21"/>
              </w:rPr>
              <w:t>程的技术研发、软件开发系统集</w:t>
            </w:r>
            <w:r>
              <w:rPr>
                <w:rFonts w:ascii="宋体" w:hAnsi="宋体" w:cs="宋体" w:eastAsia="宋体" w:hint="default"/>
                <w:color w:val="212121"/>
                <w:spacing w:val="-76"/>
                <w:sz w:val="21"/>
                <w:szCs w:val="21"/>
              </w:rPr>
              <w:t> </w:t>
            </w:r>
            <w:r>
              <w:rPr>
                <w:rFonts w:ascii="宋体" w:hAnsi="宋体" w:cs="宋体" w:eastAsia="宋体" w:hint="default"/>
                <w:color w:val="212121"/>
                <w:spacing w:val="-76"/>
                <w:sz w:val="21"/>
                <w:szCs w:val="21"/>
              </w:rPr>
            </w:r>
            <w:r>
              <w:rPr>
                <w:rFonts w:ascii="宋体" w:hAnsi="宋体" w:cs="宋体" w:eastAsia="宋体" w:hint="default"/>
                <w:color w:val="212121"/>
                <w:sz w:val="21"/>
                <w:szCs w:val="21"/>
              </w:rPr>
              <w:t>成服务；信息系统集成服务</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r>
    </w:tbl>
    <w:p>
      <w:pPr>
        <w:pStyle w:val="Heading3"/>
        <w:spacing w:line="274" w:lineRule="exact"/>
        <w:ind w:left="224" w:right="0"/>
        <w:jc w:val="left"/>
        <w:rPr>
          <w:rFonts w:ascii="宋体" w:hAnsi="宋体" w:cs="宋体" w:eastAsia="宋体" w:hint="default"/>
        </w:rPr>
      </w:pPr>
      <w:r>
        <w:rPr>
          <w:rFonts w:ascii="宋体"/>
        </w:rPr>
        <w:t> </w:t>
      </w:r>
    </w:p>
    <w:p>
      <w:pPr>
        <w:pStyle w:val="BodyText"/>
        <w:spacing w:line="237" w:lineRule="auto" w:before="4"/>
        <w:ind w:left="224" w:right="213"/>
        <w:jc w:val="left"/>
        <w:rPr>
          <w:rFonts w:ascii="宋体" w:hAnsi="宋体" w:cs="宋体" w:eastAsia="宋体" w:hint="default"/>
        </w:rPr>
      </w:pPr>
      <w:r>
        <w:rPr/>
        <w:t>持有半数或以下表决权但仍控制被投资单位、以及持有半数以上表决权但不控制被投资单位的依据：</w:t>
      </w:r>
      <w:r>
        <w:rPr>
          <w:rFonts w:ascii="宋体" w:hAnsi="宋体" w:cs="宋体" w:eastAsia="宋体" w:hint="default"/>
          <w:w w:val="100"/>
        </w:rPr>
        <w:t> </w:t>
      </w:r>
      <w:r>
        <w:rPr>
          <w:spacing w:val="-3"/>
        </w:rPr>
        <w:t>公司对中能华电（北京）电力技术研究院持股比例 </w:t>
      </w:r>
      <w:r>
        <w:rPr>
          <w:rFonts w:ascii="宋体" w:hAnsi="宋体" w:cs="宋体" w:eastAsia="宋体" w:hint="default"/>
          <w:spacing w:val="-3"/>
        </w:rPr>
        <w:t>49%</w:t>
      </w:r>
      <w:r>
        <w:rPr>
          <w:spacing w:val="-3"/>
        </w:rPr>
        <w:t>，同时公司管理人员涂彦彬持有 </w:t>
      </w:r>
      <w:r>
        <w:rPr>
          <w:rFonts w:ascii="宋体" w:hAnsi="宋体" w:cs="宋体" w:eastAsia="宋体" w:hint="default"/>
          <w:spacing w:val="-4"/>
        </w:rPr>
        <w:t>40%</w:t>
      </w:r>
      <w:r>
        <w:rPr>
          <w:spacing w:val="-4"/>
        </w:rPr>
        <w:t>股权，且同意表决权由本公司代为行使，因此，公司对中能华</w:t>
      </w:r>
      <w:r>
        <w:rPr>
          <w:spacing w:val="-79"/>
        </w:rPr>
        <w:t> </w:t>
      </w:r>
      <w:r>
        <w:rPr>
          <w:spacing w:val="-79"/>
        </w:rPr>
      </w:r>
      <w:r>
        <w:rPr>
          <w:spacing w:val="-2"/>
        </w:rPr>
        <w:t>电（北京）电力技术研究院表决权比例为</w:t>
      </w:r>
      <w:r>
        <w:rPr>
          <w:spacing w:val="16"/>
        </w:rPr>
        <w:t> </w:t>
      </w:r>
      <w:r>
        <w:rPr>
          <w:rFonts w:ascii="宋体" w:hAnsi="宋体" w:cs="宋体" w:eastAsia="宋体" w:hint="default"/>
          <w:spacing w:val="-2"/>
        </w:rPr>
        <w:t>89%</w:t>
      </w:r>
      <w:r>
        <w:rPr>
          <w:spacing w:val="-2"/>
        </w:rPr>
        <w:t>，公司对该子公司拥有实质控制权。</w:t>
      </w:r>
      <w:r>
        <w:rPr>
          <w:rFonts w:ascii="宋体" w:hAnsi="宋体" w:cs="宋体" w:eastAsia="宋体" w:hint="default"/>
        </w:rPr>
        <w:t> </w:t>
      </w:r>
    </w:p>
    <w:p>
      <w:pPr>
        <w:pStyle w:val="Heading3"/>
        <w:spacing w:line="307" w:lineRule="exact"/>
        <w:ind w:left="224" w:right="0"/>
        <w:jc w:val="left"/>
        <w:rPr>
          <w:rFonts w:ascii="宋体" w:hAnsi="宋体" w:cs="宋体" w:eastAsia="宋体" w:hint="default"/>
        </w:rPr>
      </w:pPr>
      <w:r>
        <w:rPr>
          <w:rFonts w:ascii="宋体"/>
        </w:rPr>
        <w:t> </w:t>
      </w:r>
    </w:p>
    <w:p>
      <w:pPr>
        <w:pStyle w:val="Heading5"/>
        <w:spacing w:line="240" w:lineRule="auto" w:before="62"/>
        <w:ind w:left="224"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5"/>
        </w:rPr>
        <w:t> </w:t>
      </w:r>
      <w:r>
        <w:rPr/>
        <w:t>重要的非全资子公司</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6840" w:h="11910" w:orient="landscape"/>
          <w:pgMar w:header="882" w:footer="1195" w:top="1120" w:bottom="1380" w:left="1300" w:right="1220"/>
        </w:sectPr>
      </w:pPr>
    </w:p>
    <w:p>
      <w:pPr>
        <w:pStyle w:val="Heading3"/>
        <w:spacing w:line="240" w:lineRule="auto" w:before="111"/>
        <w:ind w:left="0" w:right="98"/>
        <w:jc w:val="right"/>
        <w:rPr>
          <w:rFonts w:ascii="宋体" w:hAnsi="宋体" w:cs="宋体" w:eastAsia="宋体" w:hint="default"/>
        </w:rPr>
      </w:pPr>
      <w:r>
        <w:rPr/>
        <w:t>单位</w:t>
      </w:r>
      <w:r>
        <w:rPr>
          <w:rFonts w:ascii="宋体" w:hAnsi="宋体" w:cs="宋体" w:eastAsia="宋体" w:hint="default"/>
        </w:rPr>
        <w:t>:</w:t>
      </w:r>
      <w:r>
        <w:rPr/>
        <w:t>元  </w:t>
      </w:r>
      <w:r>
        <w:rPr>
          <w:rFonts w:ascii="宋体" w:hAnsi="宋体" w:cs="宋体" w:eastAsia="宋体" w:hint="default"/>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10"/>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511"/>
        <w:gridCol w:w="2825"/>
        <w:gridCol w:w="3015"/>
        <w:gridCol w:w="3025"/>
        <w:gridCol w:w="2714"/>
      </w:tblGrid>
      <w:tr>
        <w:trPr>
          <w:trHeight w:val="554"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25" w:right="0"/>
              <w:jc w:val="left"/>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少数股东持股</w:t>
            </w:r>
            <w:r>
              <w:rPr>
                <w:rFonts w:ascii="宋体" w:hAnsi="宋体" w:cs="宋体" w:eastAsia="宋体" w:hint="default"/>
                <w:sz w:val="21"/>
                <w:szCs w:val="21"/>
              </w:rPr>
              <w:t> </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2"/>
              <w:jc w:val="right"/>
              <w:rPr>
                <w:rFonts w:ascii="宋体" w:hAnsi="宋体" w:cs="宋体" w:eastAsia="宋体" w:hint="default"/>
                <w:sz w:val="21"/>
                <w:szCs w:val="21"/>
              </w:rPr>
            </w:pPr>
            <w:r>
              <w:rPr>
                <w:rFonts w:ascii="宋体" w:hAnsi="宋体" w:cs="宋体" w:eastAsia="宋体" w:hint="default"/>
                <w:spacing w:val="-2"/>
                <w:sz w:val="21"/>
                <w:szCs w:val="21"/>
              </w:rPr>
              <w:t>本期归属于少数股东的损益</w:t>
            </w:r>
            <w:r>
              <w:rPr>
                <w:rFonts w:ascii="宋体" w:hAnsi="宋体" w:cs="宋体" w:eastAsia="宋体" w:hint="default"/>
                <w:spacing w:val="-2"/>
                <w:sz w:val="21"/>
                <w:szCs w:val="21"/>
              </w:rPr>
              <w:t> </w:t>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本期向少数股东宣告分派的股</w:t>
            </w:r>
          </w:p>
          <w:p>
            <w:pPr>
              <w:pStyle w:val="TableParagraph"/>
              <w:spacing w:line="273" w:lineRule="exact"/>
              <w:ind w:left="109" w:right="0"/>
              <w:jc w:val="center"/>
              <w:rPr>
                <w:rFonts w:ascii="宋体" w:hAnsi="宋体" w:cs="宋体" w:eastAsia="宋体" w:hint="default"/>
                <w:sz w:val="21"/>
                <w:szCs w:val="21"/>
              </w:rPr>
            </w:pPr>
            <w:r>
              <w:rPr>
                <w:rFonts w:ascii="宋体" w:hAnsi="宋体" w:cs="宋体" w:eastAsia="宋体" w:hint="default"/>
                <w:sz w:val="21"/>
                <w:szCs w:val="21"/>
              </w:rPr>
              <w:t>利</w:t>
            </w:r>
            <w:r>
              <w:rPr>
                <w:rFonts w:ascii="宋体" w:hAnsi="宋体" w:cs="宋体" w:eastAsia="宋体" w:hint="default"/>
                <w:sz w:val="21"/>
                <w:szCs w:val="21"/>
              </w:rPr>
              <w:t> </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2" w:right="0"/>
              <w:jc w:val="left"/>
              <w:rPr>
                <w:rFonts w:ascii="宋体" w:hAnsi="宋体" w:cs="宋体" w:eastAsia="宋体" w:hint="default"/>
                <w:sz w:val="21"/>
                <w:szCs w:val="21"/>
              </w:rPr>
            </w:pPr>
            <w:r>
              <w:rPr>
                <w:rFonts w:ascii="宋体" w:hAnsi="宋体" w:cs="宋体" w:eastAsia="宋体" w:hint="default"/>
                <w:sz w:val="21"/>
                <w:szCs w:val="21"/>
              </w:rPr>
              <w:t>期末少数股东权益余额</w:t>
            </w:r>
            <w:r>
              <w:rPr>
                <w:rFonts w:ascii="宋体" w:hAnsi="宋体" w:cs="宋体" w:eastAsia="宋体" w:hint="default"/>
                <w:sz w:val="21"/>
                <w:szCs w:val="21"/>
              </w:rPr>
              <w:t> </w:t>
            </w:r>
          </w:p>
        </w:tc>
      </w:tr>
      <w:tr>
        <w:trPr>
          <w:trHeight w:val="557"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衡阳泰豪通信车辆有限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9"/>
              <w:jc w:val="right"/>
              <w:rPr>
                <w:rFonts w:ascii="Times New Roman" w:hAnsi="Times New Roman" w:cs="Times New Roman" w:eastAsia="Times New Roman" w:hint="default"/>
                <w:sz w:val="20"/>
                <w:szCs w:val="20"/>
              </w:rPr>
            </w:pPr>
            <w:r>
              <w:rPr>
                <w:rFonts w:ascii="Times New Roman"/>
                <w:sz w:val="20"/>
              </w:rPr>
              <w:t>15.47%</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9"/>
              <w:jc w:val="right"/>
              <w:rPr>
                <w:rFonts w:ascii="Times New Roman" w:hAnsi="Times New Roman" w:cs="Times New Roman" w:eastAsia="Times New Roman" w:hint="default"/>
                <w:sz w:val="20"/>
                <w:szCs w:val="20"/>
              </w:rPr>
            </w:pPr>
            <w:r>
              <w:rPr>
                <w:rFonts w:ascii="Times New Roman"/>
                <w:w w:val="95"/>
                <w:sz w:val="20"/>
              </w:rPr>
              <w:t>10,775,644.03</w:t>
            </w:r>
            <w:r>
              <w:rPr>
                <w:rFonts w:ascii="Times New Roman"/>
                <w:sz w:val="20"/>
              </w:rPr>
            </w:r>
          </w:p>
        </w:tc>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862" w:right="0"/>
              <w:jc w:val="left"/>
              <w:rPr>
                <w:rFonts w:ascii="Times New Roman" w:hAnsi="Times New Roman" w:cs="Times New Roman" w:eastAsia="Times New Roman" w:hint="default"/>
                <w:sz w:val="20"/>
                <w:szCs w:val="20"/>
              </w:rPr>
            </w:pPr>
            <w:r>
              <w:rPr>
                <w:rFonts w:ascii="Times New Roman"/>
                <w:sz w:val="20"/>
              </w:rPr>
              <w:t>7,733,123.66</w:t>
            </w: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9"/>
              <w:jc w:val="right"/>
              <w:rPr>
                <w:rFonts w:ascii="Times New Roman" w:hAnsi="Times New Roman" w:cs="Times New Roman" w:eastAsia="Times New Roman" w:hint="default"/>
                <w:sz w:val="20"/>
                <w:szCs w:val="20"/>
              </w:rPr>
            </w:pPr>
            <w:r>
              <w:rPr>
                <w:rFonts w:ascii="Times New Roman"/>
                <w:w w:val="95"/>
                <w:sz w:val="20"/>
              </w:rPr>
              <w:t>50,455,360.06</w:t>
            </w:r>
            <w:r>
              <w:rPr>
                <w:rFonts w:ascii="Times New Roman"/>
                <w:sz w:val="20"/>
              </w:rPr>
            </w:r>
          </w:p>
        </w:tc>
      </w:tr>
      <w:tr>
        <w:trPr>
          <w:trHeight w:val="554"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龙岩市海德馨汽车有限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0"/>
                <w:szCs w:val="20"/>
              </w:rPr>
            </w:pPr>
            <w:r>
              <w:rPr>
                <w:rFonts w:ascii="Times New Roman"/>
                <w:w w:val="95"/>
                <w:sz w:val="20"/>
              </w:rPr>
              <w:t>24.712%</w:t>
            </w:r>
            <w:r>
              <w:rPr>
                <w:rFonts w:ascii="Times New Roman"/>
                <w:sz w:val="20"/>
              </w:rPr>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9"/>
              <w:jc w:val="right"/>
              <w:rPr>
                <w:rFonts w:ascii="Times New Roman" w:hAnsi="Times New Roman" w:cs="Times New Roman" w:eastAsia="Times New Roman" w:hint="default"/>
                <w:sz w:val="20"/>
                <w:szCs w:val="20"/>
              </w:rPr>
            </w:pPr>
            <w:r>
              <w:rPr>
                <w:rFonts w:ascii="Times New Roman"/>
                <w:w w:val="95"/>
                <w:sz w:val="20"/>
              </w:rPr>
              <w:t>8,158,767.20</w:t>
            </w:r>
            <w:r>
              <w:rPr>
                <w:rFonts w:ascii="Times New Roman"/>
                <w:sz w:val="20"/>
              </w:rPr>
            </w:r>
          </w:p>
        </w:tc>
        <w:tc>
          <w:tcPr>
            <w:tcW w:w="3025" w:type="dxa"/>
            <w:tcBorders>
              <w:top w:val="single" w:sz="4" w:space="0" w:color="000000"/>
              <w:left w:val="single" w:sz="4" w:space="0" w:color="000000"/>
              <w:bottom w:val="single" w:sz="4" w:space="0" w:color="000000"/>
              <w:right w:val="single" w:sz="4" w:space="0" w:color="000000"/>
            </w:tcBorders>
          </w:tcPr>
          <w:p>
            <w:pPr/>
          </w:p>
        </w:tc>
        <w:tc>
          <w:tcPr>
            <w:tcW w:w="2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9"/>
              <w:jc w:val="right"/>
              <w:rPr>
                <w:rFonts w:ascii="Times New Roman" w:hAnsi="Times New Roman" w:cs="Times New Roman" w:eastAsia="Times New Roman" w:hint="default"/>
                <w:sz w:val="20"/>
                <w:szCs w:val="20"/>
              </w:rPr>
            </w:pPr>
            <w:r>
              <w:rPr>
                <w:rFonts w:ascii="Times New Roman"/>
                <w:w w:val="95"/>
                <w:sz w:val="20"/>
              </w:rPr>
              <w:t>39,117,571.65</w:t>
            </w:r>
            <w:r>
              <w:rPr>
                <w:rFonts w:ascii="Times New Roman"/>
                <w:sz w:val="20"/>
              </w:rPr>
            </w:r>
          </w:p>
        </w:tc>
      </w:tr>
    </w:tbl>
    <w:p>
      <w:pPr>
        <w:spacing w:line="240" w:lineRule="auto" w:before="4"/>
        <w:rPr>
          <w:rFonts w:ascii="宋体" w:hAnsi="宋体" w:cs="宋体" w:eastAsia="宋体" w:hint="default"/>
          <w:sz w:val="13"/>
          <w:szCs w:val="13"/>
        </w:rPr>
      </w:pPr>
    </w:p>
    <w:p>
      <w:pPr>
        <w:pStyle w:val="Heading3"/>
        <w:spacing w:line="313" w:lineRule="exact" w:before="26"/>
        <w:ind w:left="224" w:right="0"/>
        <w:jc w:val="left"/>
        <w:rPr>
          <w:rFonts w:ascii="宋体" w:hAnsi="宋体" w:cs="宋体" w:eastAsia="宋体" w:hint="default"/>
        </w:rPr>
      </w:pPr>
      <w:r>
        <w:rPr/>
        <w:t>子公司少数股东的持股比例不同于表决权比例的说明：</w:t>
      </w:r>
      <w:r>
        <w:rPr>
          <w:rFonts w:ascii="宋体" w:hAnsi="宋体" w:cs="宋体" w:eastAsia="宋体" w:hint="default"/>
        </w:rPr>
        <w:t> </w:t>
      </w:r>
    </w:p>
    <w:p>
      <w:pPr>
        <w:pStyle w:val="Heading3"/>
        <w:spacing w:line="312" w:lineRule="exact"/>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before="29"/>
        <w:ind w:left="224" w:right="0"/>
        <w:jc w:val="left"/>
        <w:rPr>
          <w:rFonts w:ascii="宋体" w:hAnsi="宋体" w:cs="宋体" w:eastAsia="宋体" w:hint="default"/>
        </w:rPr>
      </w:pPr>
      <w:r>
        <w:rPr>
          <w:rFonts w:ascii="宋体" w:hAnsi="宋体" w:cs="宋体" w:eastAsia="宋体" w:hint="default"/>
        </w:rPr>
        <w:t>  </w:t>
      </w:r>
      <w:r>
        <w:rPr/>
        <w:t>其他说明：</w:t>
      </w:r>
      <w:r>
        <w:rPr>
          <w:rFonts w:ascii="宋体" w:hAnsi="宋体" w:cs="宋体" w:eastAsia="宋体" w:hint="default"/>
        </w:rPr>
        <w:t> </w:t>
      </w:r>
    </w:p>
    <w:p>
      <w:pPr>
        <w:pStyle w:val="Heading3"/>
        <w:spacing w:line="281" w:lineRule="exact"/>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81" w:lineRule="exact"/>
        <w:jc w:val="left"/>
        <w:rPr>
          <w:rFonts w:ascii="宋体" w:hAnsi="宋体" w:cs="宋体" w:eastAsia="宋体" w:hint="default"/>
        </w:rPr>
        <w:sectPr>
          <w:pgSz w:w="16840" w:h="11910" w:orient="landscape"/>
          <w:pgMar w:header="882" w:footer="1195" w:top="1120" w:bottom="1380" w:left="1300" w:right="1220"/>
        </w:sectPr>
      </w:pPr>
    </w:p>
    <w:p>
      <w:pPr>
        <w:spacing w:line="240" w:lineRule="auto" w:before="10"/>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6840" w:h="11910" w:orient="landscape"/>
          <w:pgMar w:header="882" w:footer="1195" w:top="1120" w:bottom="1380" w:left="860" w:right="760"/>
        </w:sectPr>
      </w:pPr>
    </w:p>
    <w:p>
      <w:pPr>
        <w:pStyle w:val="Heading5"/>
        <w:spacing w:line="240" w:lineRule="auto" w:before="36"/>
        <w:ind w:left="664"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49"/>
        </w:rPr>
        <w:t> </w:t>
      </w:r>
      <w:r>
        <w:rPr/>
        <w:t>重要非全资子公司的主要财务信息</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66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left="664"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860" w:right="760"/>
          <w:cols w:num="2" w:equalWidth="0">
            <w:col w:w="4416" w:space="7358"/>
            <w:col w:w="3446"/>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004"/>
        <w:gridCol w:w="1298"/>
        <w:gridCol w:w="1152"/>
        <w:gridCol w:w="1153"/>
        <w:gridCol w:w="1154"/>
        <w:gridCol w:w="1150"/>
        <w:gridCol w:w="1155"/>
        <w:gridCol w:w="1010"/>
        <w:gridCol w:w="1152"/>
        <w:gridCol w:w="1294"/>
        <w:gridCol w:w="1154"/>
        <w:gridCol w:w="1150"/>
        <w:gridCol w:w="1152"/>
      </w:tblGrid>
      <w:tr>
        <w:trPr>
          <w:trHeight w:val="252" w:hRule="exact"/>
        </w:trPr>
        <w:tc>
          <w:tcPr>
            <w:tcW w:w="1004" w:type="dxa"/>
            <w:vMerge w:val="restart"/>
            <w:tcBorders>
              <w:top w:val="single" w:sz="4" w:space="0" w:color="000000"/>
              <w:left w:val="single" w:sz="4" w:space="0" w:color="000000"/>
              <w:right w:val="single" w:sz="4" w:space="0" w:color="000000"/>
            </w:tcBorders>
          </w:tcPr>
          <w:p>
            <w:pPr>
              <w:pStyle w:val="TableParagraph"/>
              <w:spacing w:line="232" w:lineRule="exact" w:before="8"/>
              <w:ind w:left="415" w:right="128" w:hanging="272"/>
              <w:jc w:val="left"/>
              <w:rPr>
                <w:rFonts w:ascii="宋体" w:hAnsi="宋体" w:cs="宋体" w:eastAsia="宋体" w:hint="default"/>
                <w:sz w:val="18"/>
                <w:szCs w:val="18"/>
              </w:rPr>
            </w:pPr>
            <w:r>
              <w:rPr>
                <w:rFonts w:ascii="宋体" w:hAnsi="宋体" w:cs="宋体" w:eastAsia="宋体" w:hint="default"/>
                <w:sz w:val="18"/>
                <w:szCs w:val="18"/>
              </w:rPr>
              <w:t>子公司名 称</w:t>
            </w:r>
            <w:r>
              <w:rPr>
                <w:rFonts w:ascii="宋体" w:hAnsi="宋体" w:cs="宋体" w:eastAsia="宋体" w:hint="default"/>
                <w:sz w:val="18"/>
                <w:szCs w:val="18"/>
              </w:rPr>
              <w:t> </w:t>
            </w:r>
          </w:p>
        </w:tc>
        <w:tc>
          <w:tcPr>
            <w:tcW w:w="7062" w:type="dxa"/>
            <w:gridSpan w:val="6"/>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8"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6913" w:type="dxa"/>
            <w:gridSpan w:val="6"/>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8"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250" w:hRule="exact"/>
        </w:trPr>
        <w:tc>
          <w:tcPr>
            <w:tcW w:w="1004" w:type="dxa"/>
            <w:vMerge/>
            <w:tcBorders>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92" w:right="0"/>
              <w:jc w:val="center"/>
              <w:rPr>
                <w:rFonts w:ascii="宋体" w:hAnsi="宋体" w:cs="宋体" w:eastAsia="宋体" w:hint="default"/>
                <w:sz w:val="18"/>
                <w:szCs w:val="18"/>
              </w:rPr>
            </w:pPr>
            <w:r>
              <w:rPr>
                <w:rFonts w:ascii="宋体" w:hAnsi="宋体" w:cs="宋体" w:eastAsia="宋体" w:hint="default"/>
                <w:sz w:val="18"/>
                <w:szCs w:val="18"/>
              </w:rPr>
              <w:t>流动资产</w:t>
            </w:r>
            <w:r>
              <w:rPr>
                <w:rFonts w:ascii="宋体" w:hAnsi="宋体" w:cs="宋体" w:eastAsia="宋体" w:hint="default"/>
                <w:sz w:val="18"/>
                <w:szCs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51" w:right="0"/>
              <w:jc w:val="left"/>
              <w:rPr>
                <w:rFonts w:ascii="宋体" w:hAnsi="宋体" w:cs="宋体" w:eastAsia="宋体" w:hint="default"/>
                <w:sz w:val="18"/>
                <w:szCs w:val="18"/>
              </w:rPr>
            </w:pPr>
            <w:r>
              <w:rPr>
                <w:rFonts w:ascii="宋体" w:hAnsi="宋体" w:cs="宋体" w:eastAsia="宋体" w:hint="default"/>
                <w:sz w:val="18"/>
                <w:szCs w:val="18"/>
              </w:rPr>
              <w:t>非流动资产</w:t>
            </w:r>
            <w:r>
              <w:rPr>
                <w:rFonts w:ascii="宋体" w:hAnsi="宋体" w:cs="宋体" w:eastAsia="宋体" w:hint="default"/>
                <w:sz w:val="18"/>
                <w:szCs w:val="18"/>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211" w:right="0"/>
              <w:jc w:val="left"/>
              <w:rPr>
                <w:rFonts w:ascii="宋体" w:hAnsi="宋体" w:cs="宋体" w:eastAsia="宋体" w:hint="default"/>
                <w:sz w:val="18"/>
                <w:szCs w:val="18"/>
              </w:rPr>
            </w:pPr>
            <w:r>
              <w:rPr>
                <w:rFonts w:ascii="宋体" w:hAnsi="宋体" w:cs="宋体" w:eastAsia="宋体" w:hint="default"/>
                <w:sz w:val="18"/>
                <w:szCs w:val="18"/>
              </w:rPr>
              <w:t>资产合计</w:t>
            </w:r>
            <w:r>
              <w:rPr>
                <w:rFonts w:ascii="宋体" w:hAnsi="宋体" w:cs="宋体" w:eastAsia="宋体" w:hint="default"/>
                <w:sz w:val="18"/>
                <w:szCs w:val="18"/>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213" w:right="0"/>
              <w:jc w:val="left"/>
              <w:rPr>
                <w:rFonts w:ascii="宋体" w:hAnsi="宋体" w:cs="宋体" w:eastAsia="宋体" w:hint="default"/>
                <w:sz w:val="18"/>
                <w:szCs w:val="18"/>
              </w:rPr>
            </w:pPr>
            <w:r>
              <w:rPr>
                <w:rFonts w:ascii="宋体" w:hAnsi="宋体" w:cs="宋体" w:eastAsia="宋体" w:hint="default"/>
                <w:sz w:val="18"/>
                <w:szCs w:val="18"/>
              </w:rPr>
              <w:t>流动负债</w:t>
            </w:r>
            <w:r>
              <w:rPr>
                <w:rFonts w:ascii="宋体" w:hAnsi="宋体" w:cs="宋体" w:eastAsia="宋体" w:hint="default"/>
                <w:sz w:val="18"/>
                <w:szCs w:val="18"/>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48" w:right="0"/>
              <w:jc w:val="left"/>
              <w:rPr>
                <w:rFonts w:ascii="宋体" w:hAnsi="宋体" w:cs="宋体" w:eastAsia="宋体" w:hint="default"/>
                <w:sz w:val="18"/>
                <w:szCs w:val="18"/>
              </w:rPr>
            </w:pPr>
            <w:r>
              <w:rPr>
                <w:rFonts w:ascii="宋体" w:hAnsi="宋体" w:cs="宋体" w:eastAsia="宋体" w:hint="default"/>
                <w:sz w:val="18"/>
                <w:szCs w:val="18"/>
              </w:rPr>
              <w:t>非流动负债</w:t>
            </w:r>
            <w:r>
              <w:rPr>
                <w:rFonts w:ascii="宋体" w:hAnsi="宋体" w:cs="宋体" w:eastAsia="宋体" w:hint="default"/>
                <w:sz w:val="18"/>
                <w:szCs w:val="18"/>
              </w:rPr>
              <w:t> </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213" w:right="0"/>
              <w:jc w:val="left"/>
              <w:rPr>
                <w:rFonts w:ascii="宋体" w:hAnsi="宋体" w:cs="宋体" w:eastAsia="宋体" w:hint="default"/>
                <w:sz w:val="18"/>
                <w:szCs w:val="18"/>
              </w:rPr>
            </w:pPr>
            <w:r>
              <w:rPr>
                <w:rFonts w:ascii="宋体" w:hAnsi="宋体" w:cs="宋体" w:eastAsia="宋体" w:hint="default"/>
                <w:sz w:val="18"/>
                <w:szCs w:val="18"/>
              </w:rPr>
              <w:t>负债合计</w:t>
            </w:r>
            <w:r>
              <w:rPr>
                <w:rFonts w:ascii="宋体" w:hAnsi="宋体" w:cs="宋体" w:eastAsia="宋体" w:hint="default"/>
                <w:sz w:val="18"/>
                <w:szCs w:val="18"/>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41" w:right="0"/>
              <w:jc w:val="left"/>
              <w:rPr>
                <w:rFonts w:ascii="宋体" w:hAnsi="宋体" w:cs="宋体" w:eastAsia="宋体" w:hint="default"/>
                <w:sz w:val="18"/>
                <w:szCs w:val="18"/>
              </w:rPr>
            </w:pPr>
            <w:r>
              <w:rPr>
                <w:rFonts w:ascii="宋体" w:hAnsi="宋体" w:cs="宋体" w:eastAsia="宋体" w:hint="default"/>
                <w:sz w:val="18"/>
                <w:szCs w:val="18"/>
              </w:rPr>
              <w:t>流动资产</w:t>
            </w:r>
            <w:r>
              <w:rPr>
                <w:rFonts w:ascii="宋体" w:hAnsi="宋体" w:cs="宋体" w:eastAsia="宋体" w:hint="default"/>
                <w:sz w:val="18"/>
                <w:szCs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48" w:right="0"/>
              <w:jc w:val="left"/>
              <w:rPr>
                <w:rFonts w:ascii="宋体" w:hAnsi="宋体" w:cs="宋体" w:eastAsia="宋体" w:hint="default"/>
                <w:sz w:val="18"/>
                <w:szCs w:val="18"/>
              </w:rPr>
            </w:pPr>
            <w:r>
              <w:rPr>
                <w:rFonts w:ascii="宋体" w:hAnsi="宋体" w:cs="宋体" w:eastAsia="宋体" w:hint="default"/>
                <w:sz w:val="18"/>
                <w:szCs w:val="18"/>
              </w:rPr>
              <w:t>非流动资产</w:t>
            </w:r>
            <w:r>
              <w:rPr>
                <w:rFonts w:ascii="宋体" w:hAnsi="宋体" w:cs="宋体" w:eastAsia="宋体" w:hint="default"/>
                <w:sz w:val="18"/>
                <w:szCs w:val="18"/>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91" w:right="0"/>
              <w:jc w:val="center"/>
              <w:rPr>
                <w:rFonts w:ascii="宋体" w:hAnsi="宋体" w:cs="宋体" w:eastAsia="宋体" w:hint="default"/>
                <w:sz w:val="18"/>
                <w:szCs w:val="18"/>
              </w:rPr>
            </w:pPr>
            <w:r>
              <w:rPr>
                <w:rFonts w:ascii="宋体" w:hAnsi="宋体" w:cs="宋体" w:eastAsia="宋体" w:hint="default"/>
                <w:sz w:val="18"/>
                <w:szCs w:val="18"/>
              </w:rPr>
              <w:t>资产合计</w:t>
            </w:r>
            <w:r>
              <w:rPr>
                <w:rFonts w:ascii="宋体" w:hAnsi="宋体" w:cs="宋体" w:eastAsia="宋体" w:hint="default"/>
                <w:sz w:val="18"/>
                <w:szCs w:val="18"/>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213" w:right="0"/>
              <w:jc w:val="left"/>
              <w:rPr>
                <w:rFonts w:ascii="宋体" w:hAnsi="宋体" w:cs="宋体" w:eastAsia="宋体" w:hint="default"/>
                <w:sz w:val="18"/>
                <w:szCs w:val="18"/>
              </w:rPr>
            </w:pPr>
            <w:r>
              <w:rPr>
                <w:rFonts w:ascii="宋体" w:hAnsi="宋体" w:cs="宋体" w:eastAsia="宋体" w:hint="default"/>
                <w:sz w:val="18"/>
                <w:szCs w:val="18"/>
              </w:rPr>
              <w:t>流动负债</w:t>
            </w:r>
            <w:r>
              <w:rPr>
                <w:rFonts w:ascii="宋体" w:hAnsi="宋体" w:cs="宋体" w:eastAsia="宋体" w:hint="default"/>
                <w:sz w:val="18"/>
                <w:szCs w:val="18"/>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48" w:right="0"/>
              <w:jc w:val="left"/>
              <w:rPr>
                <w:rFonts w:ascii="宋体" w:hAnsi="宋体" w:cs="宋体" w:eastAsia="宋体" w:hint="default"/>
                <w:sz w:val="18"/>
                <w:szCs w:val="18"/>
              </w:rPr>
            </w:pPr>
            <w:r>
              <w:rPr>
                <w:rFonts w:ascii="宋体" w:hAnsi="宋体" w:cs="宋体" w:eastAsia="宋体" w:hint="default"/>
                <w:sz w:val="18"/>
                <w:szCs w:val="18"/>
              </w:rPr>
              <w:t>非流动负债</w:t>
            </w:r>
            <w:r>
              <w:rPr>
                <w:rFonts w:ascii="宋体" w:hAnsi="宋体" w:cs="宋体" w:eastAsia="宋体" w:hint="default"/>
                <w:sz w:val="18"/>
                <w:szCs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211" w:right="0"/>
              <w:jc w:val="left"/>
              <w:rPr>
                <w:rFonts w:ascii="宋体" w:hAnsi="宋体" w:cs="宋体" w:eastAsia="宋体" w:hint="default"/>
                <w:sz w:val="18"/>
                <w:szCs w:val="18"/>
              </w:rPr>
            </w:pPr>
            <w:r>
              <w:rPr>
                <w:rFonts w:ascii="宋体" w:hAnsi="宋体" w:cs="宋体" w:eastAsia="宋体" w:hint="default"/>
                <w:sz w:val="18"/>
                <w:szCs w:val="18"/>
              </w:rPr>
              <w:t>负债合计</w:t>
            </w:r>
            <w:r>
              <w:rPr>
                <w:rFonts w:ascii="宋体" w:hAnsi="宋体" w:cs="宋体" w:eastAsia="宋体" w:hint="default"/>
                <w:sz w:val="18"/>
                <w:szCs w:val="18"/>
              </w:rPr>
              <w:t> </w:t>
            </w:r>
          </w:p>
        </w:tc>
      </w:tr>
      <w:tr>
        <w:trPr>
          <w:trHeight w:val="710"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衡阳泰豪</w:t>
            </w:r>
          </w:p>
          <w:p>
            <w:pPr>
              <w:pStyle w:val="TableParagraph"/>
              <w:spacing w:line="232" w:lineRule="exact" w:before="23"/>
              <w:ind w:left="103" w:right="78"/>
              <w:jc w:val="left"/>
              <w:rPr>
                <w:rFonts w:ascii="宋体" w:hAnsi="宋体" w:cs="宋体" w:eastAsia="宋体" w:hint="default"/>
                <w:sz w:val="18"/>
                <w:szCs w:val="18"/>
              </w:rPr>
            </w:pPr>
            <w:r>
              <w:rPr>
                <w:rFonts w:ascii="宋体" w:hAnsi="宋体" w:cs="宋体" w:eastAsia="宋体" w:hint="default"/>
                <w:sz w:val="18"/>
                <w:szCs w:val="18"/>
              </w:rPr>
              <w:t>通信车辆 有限公司</w:t>
            </w:r>
            <w:r>
              <w:rPr>
                <w:rFonts w:ascii="宋体" w:hAnsi="宋体" w:cs="宋体" w:eastAsia="宋体" w:hint="default"/>
                <w:sz w:val="18"/>
                <w:szCs w:val="18"/>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2"/>
                <w:sz w:val="16"/>
              </w:rPr>
              <w:t>1,048,219,875.6</w:t>
            </w:r>
          </w:p>
          <w:p>
            <w:pPr>
              <w:pStyle w:val="TableParagraph"/>
              <w:spacing w:line="240" w:lineRule="auto" w:before="1"/>
              <w:ind w:right="97"/>
              <w:jc w:val="right"/>
              <w:rPr>
                <w:rFonts w:ascii="Times New Roman" w:hAnsi="Times New Roman" w:cs="Times New Roman" w:eastAsia="Times New Roman" w:hint="default"/>
                <w:sz w:val="16"/>
                <w:szCs w:val="16"/>
              </w:rPr>
            </w:pPr>
            <w:r>
              <w:rPr>
                <w:rFonts w:ascii="Times New Roman"/>
                <w:w w:val="100"/>
                <w:sz w:val="16"/>
              </w:rPr>
              <w:t>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2"/>
                <w:sz w:val="16"/>
              </w:rPr>
              <w:t>130,592,204.9</w:t>
            </w:r>
          </w:p>
          <w:p>
            <w:pPr>
              <w:pStyle w:val="TableParagraph"/>
              <w:spacing w:line="240" w:lineRule="auto" w:before="1"/>
              <w:ind w:right="97"/>
              <w:jc w:val="right"/>
              <w:rPr>
                <w:rFonts w:ascii="Times New Roman" w:hAnsi="Times New Roman" w:cs="Times New Roman" w:eastAsia="Times New Roman" w:hint="default"/>
                <w:sz w:val="16"/>
                <w:szCs w:val="16"/>
              </w:rPr>
            </w:pPr>
            <w:r>
              <w:rPr>
                <w:rFonts w:ascii="Times New Roman"/>
                <w:w w:val="100"/>
                <w:sz w:val="16"/>
              </w:rPr>
              <w:t>4</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2"/>
                <w:sz w:val="16"/>
              </w:rPr>
              <w:t>1,178,812,080</w:t>
            </w:r>
          </w:p>
          <w:p>
            <w:pPr>
              <w:pStyle w:val="TableParagraph"/>
              <w:spacing w:line="240" w:lineRule="auto" w:before="1"/>
              <w:ind w:right="100"/>
              <w:jc w:val="right"/>
              <w:rPr>
                <w:rFonts w:ascii="Times New Roman" w:hAnsi="Times New Roman" w:cs="Times New Roman" w:eastAsia="Times New Roman" w:hint="default"/>
                <w:sz w:val="16"/>
                <w:szCs w:val="16"/>
              </w:rPr>
            </w:pPr>
            <w:r>
              <w:rPr>
                <w:rFonts w:ascii="Times New Roman"/>
                <w:spacing w:val="-1"/>
                <w:sz w:val="16"/>
              </w:rPr>
              <w:t>.58</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835,744,277.8</w:t>
            </w:r>
          </w:p>
          <w:p>
            <w:pPr>
              <w:pStyle w:val="TableParagraph"/>
              <w:spacing w:line="240" w:lineRule="auto" w:before="1"/>
              <w:ind w:right="101"/>
              <w:jc w:val="right"/>
              <w:rPr>
                <w:rFonts w:ascii="Times New Roman" w:hAnsi="Times New Roman" w:cs="Times New Roman" w:eastAsia="Times New Roman" w:hint="default"/>
                <w:sz w:val="16"/>
                <w:szCs w:val="16"/>
              </w:rPr>
            </w:pPr>
            <w:r>
              <w:rPr>
                <w:rFonts w:ascii="Times New Roman"/>
                <w:w w:val="100"/>
                <w:sz w:val="16"/>
              </w:rPr>
              <w:t>1</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96" w:right="0"/>
              <w:jc w:val="left"/>
              <w:rPr>
                <w:rFonts w:ascii="Times New Roman" w:hAnsi="Times New Roman" w:cs="Times New Roman" w:eastAsia="Times New Roman" w:hint="default"/>
                <w:sz w:val="16"/>
                <w:szCs w:val="16"/>
              </w:rPr>
            </w:pPr>
            <w:r>
              <w:rPr>
                <w:rFonts w:ascii="Times New Roman"/>
                <w:sz w:val="16"/>
              </w:rPr>
              <w:t>1,000,000.00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2"/>
                <w:sz w:val="16"/>
              </w:rPr>
              <w:t>836,744,277.8</w:t>
            </w:r>
          </w:p>
          <w:p>
            <w:pPr>
              <w:pStyle w:val="TableParagraph"/>
              <w:spacing w:line="240" w:lineRule="auto" w:before="1"/>
              <w:ind w:right="97"/>
              <w:jc w:val="right"/>
              <w:rPr>
                <w:rFonts w:ascii="Times New Roman" w:hAnsi="Times New Roman" w:cs="Times New Roman" w:eastAsia="Times New Roman" w:hint="default"/>
                <w:sz w:val="16"/>
                <w:szCs w:val="16"/>
              </w:rPr>
            </w:pPr>
            <w:r>
              <w:rPr>
                <w:rFonts w:ascii="Times New Roman"/>
                <w:w w:val="100"/>
                <w:sz w:val="16"/>
              </w:rPr>
              <w:t>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6"/>
                <w:szCs w:val="16"/>
              </w:rPr>
            </w:pPr>
            <w:r>
              <w:rPr>
                <w:rFonts w:ascii="Times New Roman"/>
                <w:sz w:val="16"/>
              </w:rPr>
              <w:t>787,124,47</w:t>
            </w:r>
          </w:p>
          <w:p>
            <w:pPr>
              <w:pStyle w:val="TableParagraph"/>
              <w:spacing w:line="240" w:lineRule="auto" w:before="1"/>
              <w:ind w:left="616" w:right="0"/>
              <w:jc w:val="left"/>
              <w:rPr>
                <w:rFonts w:ascii="Times New Roman" w:hAnsi="Times New Roman" w:cs="Times New Roman" w:eastAsia="Times New Roman" w:hint="default"/>
                <w:sz w:val="16"/>
                <w:szCs w:val="16"/>
              </w:rPr>
            </w:pPr>
            <w:r>
              <w:rPr>
                <w:rFonts w:ascii="Times New Roman"/>
                <w:sz w:val="16"/>
              </w:rPr>
              <w:t>2.26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163,155,596.7</w:t>
            </w:r>
          </w:p>
          <w:p>
            <w:pPr>
              <w:pStyle w:val="TableParagraph"/>
              <w:spacing w:line="240" w:lineRule="auto" w:before="1"/>
              <w:ind w:right="101"/>
              <w:jc w:val="right"/>
              <w:rPr>
                <w:rFonts w:ascii="Times New Roman" w:hAnsi="Times New Roman" w:cs="Times New Roman" w:eastAsia="Times New Roman" w:hint="default"/>
                <w:sz w:val="16"/>
                <w:szCs w:val="16"/>
              </w:rPr>
            </w:pPr>
            <w:r>
              <w:rPr>
                <w:rFonts w:ascii="Times New Roman"/>
                <w:w w:val="100"/>
                <w:sz w:val="16"/>
              </w:rPr>
              <w:t>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81" w:right="0"/>
              <w:jc w:val="center"/>
              <w:rPr>
                <w:rFonts w:ascii="Times New Roman" w:hAnsi="Times New Roman" w:cs="Times New Roman" w:eastAsia="Times New Roman" w:hint="default"/>
                <w:sz w:val="16"/>
                <w:szCs w:val="16"/>
              </w:rPr>
            </w:pPr>
            <w:r>
              <w:rPr>
                <w:rFonts w:ascii="Times New Roman"/>
                <w:sz w:val="16"/>
              </w:rPr>
              <w:t>950,280,069.04</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634,090,868.9</w:t>
            </w:r>
          </w:p>
          <w:p>
            <w:pPr>
              <w:pStyle w:val="TableParagraph"/>
              <w:spacing w:line="240" w:lineRule="auto" w:before="1"/>
              <w:ind w:right="101"/>
              <w:jc w:val="right"/>
              <w:rPr>
                <w:rFonts w:ascii="Times New Roman" w:hAnsi="Times New Roman" w:cs="Times New Roman" w:eastAsia="Times New Roman" w:hint="default"/>
                <w:sz w:val="16"/>
                <w:szCs w:val="16"/>
              </w:rPr>
            </w:pPr>
            <w:r>
              <w:rPr>
                <w:rFonts w:ascii="Times New Roman"/>
                <w:w w:val="100"/>
                <w:sz w:val="16"/>
              </w:rPr>
              <w:t>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6" w:right="0"/>
              <w:jc w:val="left"/>
              <w:rPr>
                <w:rFonts w:ascii="Times New Roman" w:hAnsi="Times New Roman" w:cs="Times New Roman" w:eastAsia="Times New Roman" w:hint="default"/>
                <w:sz w:val="16"/>
                <w:szCs w:val="16"/>
              </w:rPr>
            </w:pPr>
            <w:r>
              <w:rPr>
                <w:rFonts w:ascii="Times New Roman"/>
                <w:sz w:val="16"/>
              </w:rPr>
              <w:t>800,000.00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2"/>
                <w:sz w:val="16"/>
              </w:rPr>
              <w:t>634,890,868.9</w:t>
            </w:r>
          </w:p>
          <w:p>
            <w:pPr>
              <w:pStyle w:val="TableParagraph"/>
              <w:spacing w:line="240" w:lineRule="auto" w:before="1"/>
              <w:ind w:right="101"/>
              <w:jc w:val="right"/>
              <w:rPr>
                <w:rFonts w:ascii="Times New Roman" w:hAnsi="Times New Roman" w:cs="Times New Roman" w:eastAsia="Times New Roman" w:hint="default"/>
                <w:sz w:val="16"/>
                <w:szCs w:val="16"/>
              </w:rPr>
            </w:pPr>
            <w:r>
              <w:rPr>
                <w:rFonts w:ascii="Times New Roman"/>
                <w:w w:val="100"/>
                <w:sz w:val="16"/>
              </w:rPr>
              <w:t>0</w:t>
            </w:r>
          </w:p>
        </w:tc>
      </w:tr>
      <w:tr>
        <w:trPr>
          <w:trHeight w:val="713" w:hRule="exact"/>
        </w:trPr>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龙岩市海</w:t>
            </w:r>
          </w:p>
          <w:p>
            <w:pPr>
              <w:pStyle w:val="TableParagraph"/>
              <w:spacing w:line="232" w:lineRule="exact" w:before="23"/>
              <w:ind w:left="103" w:right="78"/>
              <w:jc w:val="left"/>
              <w:rPr>
                <w:rFonts w:ascii="宋体" w:hAnsi="宋体" w:cs="宋体" w:eastAsia="宋体" w:hint="default"/>
                <w:sz w:val="18"/>
                <w:szCs w:val="18"/>
              </w:rPr>
            </w:pPr>
            <w:r>
              <w:rPr>
                <w:rFonts w:ascii="宋体" w:hAnsi="宋体" w:cs="宋体" w:eastAsia="宋体" w:hint="default"/>
                <w:sz w:val="18"/>
                <w:szCs w:val="18"/>
              </w:rPr>
              <w:t>德馨汽车 有限公司</w:t>
            </w:r>
            <w:r>
              <w:rPr>
                <w:rFonts w:ascii="宋体" w:hAnsi="宋体" w:cs="宋体" w:eastAsia="宋体" w:hint="default"/>
                <w:sz w:val="18"/>
                <w:szCs w:val="18"/>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86" w:right="0"/>
              <w:jc w:val="center"/>
              <w:rPr>
                <w:rFonts w:ascii="Times New Roman" w:hAnsi="Times New Roman" w:cs="Times New Roman" w:eastAsia="Times New Roman" w:hint="default"/>
                <w:sz w:val="16"/>
                <w:szCs w:val="16"/>
              </w:rPr>
            </w:pPr>
            <w:r>
              <w:rPr>
                <w:rFonts w:ascii="Times New Roman"/>
                <w:sz w:val="16"/>
              </w:rPr>
              <w:t>460,005,439.70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22" w:right="0"/>
              <w:jc w:val="left"/>
              <w:rPr>
                <w:rFonts w:ascii="Times New Roman" w:hAnsi="Times New Roman" w:cs="Times New Roman" w:eastAsia="Times New Roman" w:hint="default"/>
                <w:sz w:val="16"/>
                <w:szCs w:val="16"/>
              </w:rPr>
            </w:pPr>
            <w:r>
              <w:rPr>
                <w:rFonts w:ascii="Times New Roman"/>
                <w:sz w:val="16"/>
              </w:rPr>
              <w:t>84,959,601.37</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2"/>
                <w:sz w:val="16"/>
              </w:rPr>
              <w:t>544,965,041.0</w:t>
            </w:r>
          </w:p>
          <w:p>
            <w:pPr>
              <w:pStyle w:val="TableParagraph"/>
              <w:spacing w:line="240" w:lineRule="auto" w:before="1"/>
              <w:ind w:right="101"/>
              <w:jc w:val="right"/>
              <w:rPr>
                <w:rFonts w:ascii="Times New Roman" w:hAnsi="Times New Roman" w:cs="Times New Roman" w:eastAsia="Times New Roman" w:hint="default"/>
                <w:sz w:val="16"/>
                <w:szCs w:val="16"/>
              </w:rPr>
            </w:pPr>
            <w:r>
              <w:rPr>
                <w:rFonts w:ascii="Times New Roman"/>
                <w:w w:val="100"/>
                <w:sz w:val="16"/>
              </w:rPr>
              <w:t>7</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388,456,191.9</w:t>
            </w:r>
          </w:p>
          <w:p>
            <w:pPr>
              <w:pStyle w:val="TableParagraph"/>
              <w:spacing w:line="240" w:lineRule="auto" w:before="1"/>
              <w:ind w:right="101"/>
              <w:jc w:val="right"/>
              <w:rPr>
                <w:rFonts w:ascii="Times New Roman" w:hAnsi="Times New Roman" w:cs="Times New Roman" w:eastAsia="Times New Roman" w:hint="default"/>
                <w:sz w:val="16"/>
                <w:szCs w:val="16"/>
              </w:rPr>
            </w:pPr>
            <w:r>
              <w:rPr>
                <w:rFonts w:ascii="Times New Roman"/>
                <w:w w:val="100"/>
                <w:sz w:val="16"/>
              </w:rPr>
              <w:t>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96" w:right="0"/>
              <w:jc w:val="left"/>
              <w:rPr>
                <w:rFonts w:ascii="Times New Roman" w:hAnsi="Times New Roman" w:cs="Times New Roman" w:eastAsia="Times New Roman" w:hint="default"/>
                <w:sz w:val="16"/>
                <w:szCs w:val="16"/>
              </w:rPr>
            </w:pPr>
            <w:r>
              <w:rPr>
                <w:rFonts w:ascii="Times New Roman"/>
                <w:sz w:val="16"/>
              </w:rPr>
              <w:t>2,062,513.50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2"/>
                <w:sz w:val="16"/>
              </w:rPr>
              <w:t>390,518,705.4</w:t>
            </w:r>
          </w:p>
          <w:p>
            <w:pPr>
              <w:pStyle w:val="TableParagraph"/>
              <w:spacing w:line="240" w:lineRule="auto" w:before="1"/>
              <w:ind w:right="97"/>
              <w:jc w:val="right"/>
              <w:rPr>
                <w:rFonts w:ascii="Times New Roman" w:hAnsi="Times New Roman" w:cs="Times New Roman" w:eastAsia="Times New Roman" w:hint="default"/>
                <w:sz w:val="16"/>
                <w:szCs w:val="16"/>
              </w:rPr>
            </w:pPr>
            <w:r>
              <w:rPr>
                <w:rFonts w:ascii="Times New Roman"/>
                <w:w w:val="100"/>
                <w:sz w:val="16"/>
              </w:rPr>
              <w:t>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6"/>
                <w:szCs w:val="16"/>
              </w:rPr>
            </w:pPr>
            <w:r>
              <w:rPr>
                <w:rFonts w:ascii="Times New Roman"/>
                <w:sz w:val="16"/>
              </w:rPr>
              <w:t>461,686,63</w:t>
            </w:r>
          </w:p>
          <w:p>
            <w:pPr>
              <w:pStyle w:val="TableParagraph"/>
              <w:spacing w:line="240" w:lineRule="auto" w:before="1"/>
              <w:ind w:left="616" w:right="0"/>
              <w:jc w:val="left"/>
              <w:rPr>
                <w:rFonts w:ascii="Times New Roman" w:hAnsi="Times New Roman" w:cs="Times New Roman" w:eastAsia="Times New Roman" w:hint="default"/>
                <w:sz w:val="16"/>
                <w:szCs w:val="16"/>
              </w:rPr>
            </w:pPr>
            <w:r>
              <w:rPr>
                <w:rFonts w:ascii="Times New Roman"/>
                <w:sz w:val="16"/>
              </w:rPr>
              <w:t>9.30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19" w:right="0"/>
              <w:jc w:val="left"/>
              <w:rPr>
                <w:rFonts w:ascii="Times New Roman" w:hAnsi="Times New Roman" w:cs="Times New Roman" w:eastAsia="Times New Roman" w:hint="default"/>
                <w:sz w:val="16"/>
                <w:szCs w:val="16"/>
              </w:rPr>
            </w:pPr>
            <w:r>
              <w:rPr>
                <w:rFonts w:ascii="Times New Roman"/>
                <w:sz w:val="16"/>
              </w:rPr>
              <w:t>88,983,906.16</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81" w:right="0"/>
              <w:jc w:val="center"/>
              <w:rPr>
                <w:rFonts w:ascii="Times New Roman" w:hAnsi="Times New Roman" w:cs="Times New Roman" w:eastAsia="Times New Roman" w:hint="default"/>
                <w:sz w:val="16"/>
                <w:szCs w:val="16"/>
              </w:rPr>
            </w:pPr>
            <w:r>
              <w:rPr>
                <w:rFonts w:ascii="Times New Roman"/>
                <w:sz w:val="16"/>
              </w:rPr>
              <w:t>550,670,545.46</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427,485,384.9</w:t>
            </w:r>
          </w:p>
          <w:p>
            <w:pPr>
              <w:pStyle w:val="TableParagraph"/>
              <w:spacing w:line="240" w:lineRule="auto" w:before="1"/>
              <w:ind w:right="101"/>
              <w:jc w:val="right"/>
              <w:rPr>
                <w:rFonts w:ascii="Times New Roman" w:hAnsi="Times New Roman" w:cs="Times New Roman" w:eastAsia="Times New Roman" w:hint="default"/>
                <w:sz w:val="16"/>
                <w:szCs w:val="16"/>
              </w:rPr>
            </w:pPr>
            <w:r>
              <w:rPr>
                <w:rFonts w:ascii="Times New Roman"/>
                <w:w w:val="100"/>
                <w:sz w:val="16"/>
              </w:rPr>
              <w:t>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96" w:right="0"/>
              <w:jc w:val="left"/>
              <w:rPr>
                <w:rFonts w:ascii="Times New Roman" w:hAnsi="Times New Roman" w:cs="Times New Roman" w:eastAsia="Times New Roman" w:hint="default"/>
                <w:sz w:val="16"/>
                <w:szCs w:val="16"/>
              </w:rPr>
            </w:pPr>
            <w:r>
              <w:rPr>
                <w:rFonts w:ascii="Times New Roman"/>
                <w:sz w:val="16"/>
              </w:rPr>
              <w:t>2,112,818.70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2"/>
                <w:sz w:val="16"/>
              </w:rPr>
              <w:t>429,598,203.6</w:t>
            </w:r>
          </w:p>
          <w:p>
            <w:pPr>
              <w:pStyle w:val="TableParagraph"/>
              <w:spacing w:line="240" w:lineRule="auto" w:before="1"/>
              <w:ind w:right="101"/>
              <w:jc w:val="right"/>
              <w:rPr>
                <w:rFonts w:ascii="Times New Roman" w:hAnsi="Times New Roman" w:cs="Times New Roman" w:eastAsia="Times New Roman" w:hint="default"/>
                <w:sz w:val="16"/>
                <w:szCs w:val="16"/>
              </w:rPr>
            </w:pPr>
            <w:r>
              <w:rPr>
                <w:rFonts w:ascii="Times New Roman"/>
                <w:w w:val="100"/>
                <w:sz w:val="16"/>
              </w:rPr>
              <w:t>9</w:t>
            </w:r>
          </w:p>
        </w:tc>
      </w:tr>
    </w:tbl>
    <w:p>
      <w:pPr>
        <w:spacing w:line="240" w:lineRule="auto" w:before="9"/>
        <w:rPr>
          <w:rFonts w:ascii="宋体" w:hAnsi="宋体" w:cs="宋体" w:eastAsia="宋体" w:hint="default"/>
          <w:sz w:val="23"/>
          <w:szCs w:val="23"/>
        </w:rPr>
      </w:pPr>
    </w:p>
    <w:tbl>
      <w:tblPr>
        <w:tblW w:w="0" w:type="auto"/>
        <w:jc w:val="left"/>
        <w:tblInd w:w="551" w:type="dxa"/>
        <w:tblLayout w:type="fixed"/>
        <w:tblCellMar>
          <w:top w:w="0" w:type="dxa"/>
          <w:left w:w="0" w:type="dxa"/>
          <w:bottom w:w="0" w:type="dxa"/>
          <w:right w:w="0" w:type="dxa"/>
        </w:tblCellMar>
        <w:tblLook w:val="01E0"/>
      </w:tblPr>
      <w:tblGrid>
        <w:gridCol w:w="2312"/>
        <w:gridCol w:w="1466"/>
        <w:gridCol w:w="1366"/>
        <w:gridCol w:w="1452"/>
        <w:gridCol w:w="1608"/>
        <w:gridCol w:w="1464"/>
        <w:gridCol w:w="1369"/>
        <w:gridCol w:w="1450"/>
        <w:gridCol w:w="1603"/>
      </w:tblGrid>
      <w:tr>
        <w:trPr>
          <w:trHeight w:val="370" w:hRule="exact"/>
        </w:trPr>
        <w:tc>
          <w:tcPr>
            <w:tcW w:w="231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559" w:right="0"/>
              <w:jc w:val="left"/>
              <w:rPr>
                <w:rFonts w:ascii="宋体" w:hAnsi="宋体" w:cs="宋体" w:eastAsia="宋体" w:hint="default"/>
                <w:sz w:val="24"/>
                <w:szCs w:val="24"/>
              </w:rPr>
            </w:pPr>
            <w:r>
              <w:rPr>
                <w:rFonts w:ascii="宋体" w:hAnsi="宋体" w:cs="宋体" w:eastAsia="宋体" w:hint="default"/>
                <w:sz w:val="24"/>
                <w:szCs w:val="24"/>
              </w:rPr>
              <w:t>子公司名称</w:t>
            </w:r>
            <w:r>
              <w:rPr>
                <w:rFonts w:ascii="宋体" w:hAnsi="宋体" w:cs="宋体" w:eastAsia="宋体" w:hint="default"/>
                <w:sz w:val="24"/>
                <w:szCs w:val="24"/>
              </w:rPr>
              <w:t> </w:t>
            </w:r>
          </w:p>
        </w:tc>
        <w:tc>
          <w:tcPr>
            <w:tcW w:w="5893" w:type="dxa"/>
            <w:gridSpan w:val="4"/>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36" w:right="0"/>
              <w:jc w:val="center"/>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c>
          <w:tcPr>
            <w:tcW w:w="5885" w:type="dxa"/>
            <w:gridSpan w:val="4"/>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39" w:right="0"/>
              <w:jc w:val="center"/>
              <w:rPr>
                <w:rFonts w:ascii="宋体" w:hAnsi="宋体" w:cs="宋体" w:eastAsia="宋体" w:hint="default"/>
                <w:sz w:val="24"/>
                <w:szCs w:val="24"/>
              </w:rPr>
            </w:pPr>
            <w:r>
              <w:rPr>
                <w:rFonts w:ascii="宋体" w:hAnsi="宋体" w:cs="宋体" w:eastAsia="宋体" w:hint="default"/>
                <w:sz w:val="24"/>
                <w:szCs w:val="24"/>
              </w:rPr>
              <w:t>上期发生额</w:t>
            </w:r>
            <w:r>
              <w:rPr>
                <w:rFonts w:ascii="宋体" w:hAnsi="宋体" w:cs="宋体" w:eastAsia="宋体" w:hint="default"/>
                <w:sz w:val="24"/>
                <w:szCs w:val="24"/>
              </w:rPr>
              <w:t> </w:t>
            </w:r>
          </w:p>
        </w:tc>
      </w:tr>
      <w:tr>
        <w:trPr>
          <w:trHeight w:val="725" w:hRule="exact"/>
        </w:trPr>
        <w:tc>
          <w:tcPr>
            <w:tcW w:w="2312" w:type="dxa"/>
            <w:vMerge/>
            <w:tcBorders>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25"/>
              <w:jc w:val="right"/>
              <w:rPr>
                <w:rFonts w:ascii="宋体" w:hAnsi="宋体" w:cs="宋体" w:eastAsia="宋体" w:hint="default"/>
                <w:sz w:val="24"/>
                <w:szCs w:val="24"/>
              </w:rPr>
            </w:pPr>
            <w:r>
              <w:rPr>
                <w:rFonts w:ascii="宋体" w:hAnsi="宋体" w:cs="宋体" w:eastAsia="宋体" w:hint="default"/>
                <w:sz w:val="24"/>
                <w:szCs w:val="24"/>
              </w:rPr>
              <w:t>营业收入</w:t>
            </w:r>
            <w:r>
              <w:rPr>
                <w:rFonts w:ascii="宋体" w:hAnsi="宋体" w:cs="宋体" w:eastAsia="宋体" w:hint="default"/>
                <w:sz w:val="24"/>
                <w:szCs w:val="24"/>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319" w:right="0"/>
              <w:jc w:val="left"/>
              <w:rPr>
                <w:rFonts w:ascii="宋体" w:hAnsi="宋体" w:cs="宋体" w:eastAsia="宋体" w:hint="default"/>
                <w:sz w:val="24"/>
                <w:szCs w:val="24"/>
              </w:rPr>
            </w:pPr>
            <w:r>
              <w:rPr>
                <w:rFonts w:ascii="宋体" w:hAnsi="宋体" w:cs="宋体" w:eastAsia="宋体" w:hint="default"/>
                <w:sz w:val="24"/>
                <w:szCs w:val="24"/>
              </w:rPr>
              <w:t>净利润</w:t>
            </w:r>
            <w:r>
              <w:rPr>
                <w:rFonts w:ascii="宋体" w:hAnsi="宋体" w:cs="宋体" w:eastAsia="宋体" w:hint="default"/>
                <w:sz w:val="24"/>
                <w:szCs w:val="24"/>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 w:right="0"/>
              <w:jc w:val="center"/>
              <w:rPr>
                <w:rFonts w:ascii="宋体" w:hAnsi="宋体" w:cs="宋体" w:eastAsia="宋体" w:hint="default"/>
                <w:sz w:val="24"/>
                <w:szCs w:val="24"/>
              </w:rPr>
            </w:pPr>
            <w:r>
              <w:rPr>
                <w:rFonts w:ascii="宋体" w:hAnsi="宋体" w:cs="宋体" w:eastAsia="宋体" w:hint="default"/>
                <w:sz w:val="24"/>
                <w:szCs w:val="24"/>
              </w:rPr>
              <w:t>综合收益总</w:t>
            </w:r>
          </w:p>
          <w:p>
            <w:pPr>
              <w:pStyle w:val="TableParagraph"/>
              <w:spacing w:line="240" w:lineRule="auto" w:before="43"/>
              <w:ind w:left="122" w:right="0"/>
              <w:jc w:val="center"/>
              <w:rPr>
                <w:rFonts w:ascii="宋体" w:hAnsi="宋体" w:cs="宋体" w:eastAsia="宋体" w:hint="default"/>
                <w:sz w:val="24"/>
                <w:szCs w:val="24"/>
              </w:rPr>
            </w:pPr>
            <w:r>
              <w:rPr>
                <w:rFonts w:ascii="宋体" w:hAnsi="宋体" w:cs="宋体" w:eastAsia="宋体" w:hint="default"/>
                <w:sz w:val="24"/>
                <w:szCs w:val="24"/>
              </w:rPr>
              <w:t>额</w:t>
            </w:r>
            <w:r>
              <w:rPr>
                <w:rFonts w:ascii="宋体" w:hAnsi="宋体" w:cs="宋体" w:eastAsia="宋体" w:hint="default"/>
                <w:sz w:val="24"/>
                <w:szCs w:val="24"/>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经营活动现</w:t>
            </w:r>
          </w:p>
          <w:p>
            <w:pPr>
              <w:pStyle w:val="TableParagraph"/>
              <w:spacing w:line="240" w:lineRule="auto" w:before="43"/>
              <w:ind w:left="120" w:right="0"/>
              <w:jc w:val="center"/>
              <w:rPr>
                <w:rFonts w:ascii="宋体" w:hAnsi="宋体" w:cs="宋体" w:eastAsia="宋体" w:hint="default"/>
                <w:sz w:val="24"/>
                <w:szCs w:val="24"/>
              </w:rPr>
            </w:pPr>
            <w:r>
              <w:rPr>
                <w:rFonts w:ascii="宋体" w:hAnsi="宋体" w:cs="宋体" w:eastAsia="宋体" w:hint="default"/>
                <w:sz w:val="24"/>
                <w:szCs w:val="24"/>
              </w:rPr>
              <w:t>金流量</w:t>
            </w:r>
            <w:r>
              <w:rPr>
                <w:rFonts w:ascii="宋体" w:hAnsi="宋体" w:cs="宋体" w:eastAsia="宋体" w:hint="default"/>
                <w:sz w:val="24"/>
                <w:szCs w:val="24"/>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25"/>
              <w:jc w:val="right"/>
              <w:rPr>
                <w:rFonts w:ascii="宋体" w:hAnsi="宋体" w:cs="宋体" w:eastAsia="宋体" w:hint="default"/>
                <w:sz w:val="24"/>
                <w:szCs w:val="24"/>
              </w:rPr>
            </w:pPr>
            <w:r>
              <w:rPr>
                <w:rFonts w:ascii="宋体" w:hAnsi="宋体" w:cs="宋体" w:eastAsia="宋体" w:hint="default"/>
                <w:sz w:val="24"/>
                <w:szCs w:val="24"/>
              </w:rPr>
              <w:t>营业收入</w:t>
            </w:r>
            <w:r>
              <w:rPr>
                <w:rFonts w:ascii="宋体" w:hAnsi="宋体" w:cs="宋体" w:eastAsia="宋体" w:hint="default"/>
                <w:sz w:val="24"/>
                <w:szCs w:val="24"/>
              </w:rPr>
              <w:t> </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19" w:right="0"/>
              <w:jc w:val="center"/>
              <w:rPr>
                <w:rFonts w:ascii="宋体" w:hAnsi="宋体" w:cs="宋体" w:eastAsia="宋体" w:hint="default"/>
                <w:sz w:val="24"/>
                <w:szCs w:val="24"/>
              </w:rPr>
            </w:pPr>
            <w:r>
              <w:rPr>
                <w:rFonts w:ascii="宋体" w:hAnsi="宋体" w:cs="宋体" w:eastAsia="宋体" w:hint="default"/>
                <w:sz w:val="24"/>
                <w:szCs w:val="24"/>
              </w:rPr>
              <w:t>净利润</w:t>
            </w:r>
            <w:r>
              <w:rPr>
                <w:rFonts w:ascii="宋体" w:hAnsi="宋体" w:cs="宋体" w:eastAsia="宋体" w:hint="default"/>
                <w:sz w:val="24"/>
                <w:szCs w:val="24"/>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综合收益总</w:t>
            </w:r>
          </w:p>
          <w:p>
            <w:pPr>
              <w:pStyle w:val="TableParagraph"/>
              <w:spacing w:line="240" w:lineRule="auto" w:before="43"/>
              <w:ind w:left="120" w:right="0"/>
              <w:jc w:val="center"/>
              <w:rPr>
                <w:rFonts w:ascii="宋体" w:hAnsi="宋体" w:cs="宋体" w:eastAsia="宋体" w:hint="default"/>
                <w:sz w:val="24"/>
                <w:szCs w:val="24"/>
              </w:rPr>
            </w:pPr>
            <w:r>
              <w:rPr>
                <w:rFonts w:ascii="宋体" w:hAnsi="宋体" w:cs="宋体" w:eastAsia="宋体" w:hint="default"/>
                <w:sz w:val="24"/>
                <w:szCs w:val="24"/>
              </w:rPr>
              <w:t>额</w:t>
            </w:r>
            <w:r>
              <w:rPr>
                <w:rFonts w:ascii="宋体" w:hAnsi="宋体" w:cs="宋体" w:eastAsia="宋体" w:hint="default"/>
                <w:sz w:val="24"/>
                <w:szCs w:val="24"/>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经营活动现</w:t>
            </w:r>
          </w:p>
          <w:p>
            <w:pPr>
              <w:pStyle w:val="TableParagraph"/>
              <w:spacing w:line="240" w:lineRule="auto" w:before="43"/>
              <w:ind w:left="120" w:right="0"/>
              <w:jc w:val="center"/>
              <w:rPr>
                <w:rFonts w:ascii="宋体" w:hAnsi="宋体" w:cs="宋体" w:eastAsia="宋体" w:hint="default"/>
                <w:sz w:val="24"/>
                <w:szCs w:val="24"/>
              </w:rPr>
            </w:pPr>
            <w:r>
              <w:rPr>
                <w:rFonts w:ascii="宋体" w:hAnsi="宋体" w:cs="宋体" w:eastAsia="宋体" w:hint="default"/>
                <w:sz w:val="24"/>
                <w:szCs w:val="24"/>
              </w:rPr>
              <w:t>金流量</w:t>
            </w:r>
            <w:r>
              <w:rPr>
                <w:rFonts w:ascii="宋体" w:hAnsi="宋体" w:cs="宋体" w:eastAsia="宋体" w:hint="default"/>
                <w:sz w:val="24"/>
                <w:szCs w:val="24"/>
              </w:rPr>
              <w:t> </w:t>
            </w:r>
          </w:p>
        </w:tc>
      </w:tr>
      <w:tr>
        <w:trPr>
          <w:trHeight w:val="547"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衡阳泰豪通信车辆有限公</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18"/>
                <w:szCs w:val="18"/>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9"/>
              <w:jc w:val="right"/>
              <w:rPr>
                <w:rFonts w:ascii="Times New Roman" w:hAnsi="Times New Roman" w:cs="Times New Roman" w:eastAsia="Times New Roman" w:hint="default"/>
                <w:sz w:val="20"/>
                <w:szCs w:val="20"/>
              </w:rPr>
            </w:pPr>
            <w:r>
              <w:rPr>
                <w:rFonts w:ascii="Times New Roman"/>
                <w:w w:val="95"/>
                <w:sz w:val="20"/>
              </w:rPr>
              <w:t>741,584,011.95</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06" w:right="0"/>
              <w:jc w:val="left"/>
              <w:rPr>
                <w:rFonts w:ascii="Times New Roman" w:hAnsi="Times New Roman" w:cs="Times New Roman" w:eastAsia="Times New Roman" w:hint="default"/>
                <w:sz w:val="20"/>
                <w:szCs w:val="20"/>
              </w:rPr>
            </w:pPr>
            <w:r>
              <w:rPr>
                <w:rFonts w:ascii="Times New Roman"/>
                <w:sz w:val="20"/>
              </w:rPr>
              <w:t>76,678,602.63</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20"/>
                <w:szCs w:val="20"/>
              </w:rPr>
            </w:pPr>
            <w:r>
              <w:rPr>
                <w:rFonts w:ascii="Times New Roman"/>
                <w:w w:val="95"/>
                <w:sz w:val="20"/>
              </w:rPr>
              <w:t>76,678,602.63</w:t>
            </w:r>
            <w:r>
              <w:rPr>
                <w:rFonts w:ascii="Times New Roman"/>
                <w:sz w:val="20"/>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2"/>
              <w:jc w:val="right"/>
              <w:rPr>
                <w:rFonts w:ascii="Times New Roman" w:hAnsi="Times New Roman" w:cs="Times New Roman" w:eastAsia="Times New Roman" w:hint="default"/>
                <w:sz w:val="20"/>
                <w:szCs w:val="20"/>
              </w:rPr>
            </w:pPr>
            <w:r>
              <w:rPr>
                <w:rFonts w:ascii="Times New Roman"/>
                <w:w w:val="95"/>
                <w:sz w:val="20"/>
              </w:rPr>
              <w:t>339,159,078.47</w:t>
            </w:r>
            <w:r>
              <w:rPr>
                <w:rFonts w:ascii="Times New Roman"/>
                <w:sz w:val="20"/>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9"/>
              <w:jc w:val="right"/>
              <w:rPr>
                <w:rFonts w:ascii="Times New Roman" w:hAnsi="Times New Roman" w:cs="Times New Roman" w:eastAsia="Times New Roman" w:hint="default"/>
                <w:sz w:val="20"/>
                <w:szCs w:val="20"/>
              </w:rPr>
            </w:pPr>
            <w:r>
              <w:rPr>
                <w:rFonts w:ascii="Times New Roman"/>
                <w:w w:val="95"/>
                <w:sz w:val="20"/>
              </w:rPr>
              <w:t>670,990,194.78</w:t>
            </w:r>
            <w:r>
              <w:rPr>
                <w:rFonts w:ascii="Times New Roman"/>
                <w:sz w:val="20"/>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 w:right="0"/>
              <w:jc w:val="center"/>
              <w:rPr>
                <w:rFonts w:ascii="Times New Roman" w:hAnsi="Times New Roman" w:cs="Times New Roman" w:eastAsia="Times New Roman" w:hint="default"/>
                <w:sz w:val="20"/>
                <w:szCs w:val="20"/>
              </w:rPr>
            </w:pPr>
            <w:r>
              <w:rPr>
                <w:rFonts w:ascii="Times New Roman"/>
                <w:sz w:val="20"/>
              </w:rPr>
              <w:t>50,877,396.26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83" w:right="0"/>
              <w:jc w:val="center"/>
              <w:rPr>
                <w:rFonts w:ascii="Times New Roman" w:hAnsi="Times New Roman" w:cs="Times New Roman" w:eastAsia="Times New Roman" w:hint="default"/>
                <w:sz w:val="20"/>
                <w:szCs w:val="20"/>
              </w:rPr>
            </w:pPr>
            <w:r>
              <w:rPr>
                <w:rFonts w:ascii="Times New Roman"/>
                <w:sz w:val="20"/>
              </w:rPr>
              <w:t>50,877,396.26</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9"/>
              <w:jc w:val="right"/>
              <w:rPr>
                <w:rFonts w:ascii="Times New Roman" w:hAnsi="Times New Roman" w:cs="Times New Roman" w:eastAsia="Times New Roman" w:hint="default"/>
                <w:sz w:val="20"/>
                <w:szCs w:val="20"/>
              </w:rPr>
            </w:pPr>
            <w:r>
              <w:rPr>
                <w:rFonts w:ascii="Times New Roman"/>
                <w:w w:val="95"/>
                <w:sz w:val="20"/>
              </w:rPr>
              <w:t>-14,787,318.43</w:t>
            </w:r>
            <w:r>
              <w:rPr>
                <w:rFonts w:ascii="Times New Roman"/>
                <w:sz w:val="20"/>
              </w:rPr>
            </w:r>
          </w:p>
        </w:tc>
      </w:tr>
      <w:tr>
        <w:trPr>
          <w:trHeight w:val="548"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龙岩市海德馨汽车有限公</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18"/>
                <w:szCs w:val="18"/>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99"/>
              <w:jc w:val="right"/>
              <w:rPr>
                <w:rFonts w:ascii="Times New Roman" w:hAnsi="Times New Roman" w:cs="Times New Roman" w:eastAsia="Times New Roman" w:hint="default"/>
                <w:sz w:val="20"/>
                <w:szCs w:val="20"/>
              </w:rPr>
            </w:pPr>
            <w:r>
              <w:rPr>
                <w:rFonts w:ascii="Times New Roman"/>
                <w:w w:val="95"/>
                <w:sz w:val="20"/>
              </w:rPr>
              <w:t>321,219,604.62</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6" w:right="0"/>
              <w:jc w:val="left"/>
              <w:rPr>
                <w:rFonts w:ascii="Times New Roman" w:hAnsi="Times New Roman" w:cs="Times New Roman" w:eastAsia="Times New Roman" w:hint="default"/>
                <w:sz w:val="20"/>
                <w:szCs w:val="20"/>
              </w:rPr>
            </w:pPr>
            <w:r>
              <w:rPr>
                <w:rFonts w:ascii="Times New Roman"/>
                <w:sz w:val="20"/>
              </w:rPr>
              <w:t>33,373,993.83</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Times New Roman" w:hAnsi="Times New Roman" w:cs="Times New Roman" w:eastAsia="Times New Roman" w:hint="default"/>
                <w:sz w:val="20"/>
                <w:szCs w:val="20"/>
              </w:rPr>
            </w:pPr>
            <w:r>
              <w:rPr>
                <w:rFonts w:ascii="Times New Roman"/>
                <w:w w:val="95"/>
                <w:sz w:val="20"/>
              </w:rPr>
              <w:t>33,373,993.83</w:t>
            </w:r>
            <w:r>
              <w:rPr>
                <w:rFonts w:ascii="Times New Roman"/>
                <w:sz w:val="20"/>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2"/>
              <w:jc w:val="right"/>
              <w:rPr>
                <w:rFonts w:ascii="Times New Roman" w:hAnsi="Times New Roman" w:cs="Times New Roman" w:eastAsia="Times New Roman" w:hint="default"/>
                <w:sz w:val="20"/>
                <w:szCs w:val="20"/>
              </w:rPr>
            </w:pPr>
            <w:r>
              <w:rPr>
                <w:rFonts w:ascii="Times New Roman"/>
                <w:w w:val="95"/>
                <w:sz w:val="20"/>
              </w:rPr>
              <w:t>77,229,799.44</w:t>
            </w:r>
            <w:r>
              <w:rPr>
                <w:rFonts w:ascii="Times New Roman"/>
                <w:sz w:val="20"/>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99"/>
              <w:jc w:val="right"/>
              <w:rPr>
                <w:rFonts w:ascii="Times New Roman" w:hAnsi="Times New Roman" w:cs="Times New Roman" w:eastAsia="Times New Roman" w:hint="default"/>
                <w:sz w:val="20"/>
                <w:szCs w:val="20"/>
              </w:rPr>
            </w:pPr>
            <w:r>
              <w:rPr>
                <w:rFonts w:ascii="Times New Roman"/>
                <w:w w:val="95"/>
                <w:sz w:val="20"/>
              </w:rPr>
              <w:t>309,829,256.41</w:t>
            </w:r>
            <w:r>
              <w:rPr>
                <w:rFonts w:ascii="Times New Roman"/>
                <w:sz w:val="20"/>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 w:right="0"/>
              <w:jc w:val="center"/>
              <w:rPr>
                <w:rFonts w:ascii="Times New Roman" w:hAnsi="Times New Roman" w:cs="Times New Roman" w:eastAsia="Times New Roman" w:hint="default"/>
                <w:sz w:val="20"/>
                <w:szCs w:val="20"/>
              </w:rPr>
            </w:pPr>
            <w:r>
              <w:rPr>
                <w:rFonts w:ascii="Times New Roman"/>
                <w:sz w:val="20"/>
              </w:rPr>
              <w:t>32,977,185.66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83" w:right="0"/>
              <w:jc w:val="center"/>
              <w:rPr>
                <w:rFonts w:ascii="Times New Roman" w:hAnsi="Times New Roman" w:cs="Times New Roman" w:eastAsia="Times New Roman" w:hint="default"/>
                <w:sz w:val="20"/>
                <w:szCs w:val="20"/>
              </w:rPr>
            </w:pPr>
            <w:r>
              <w:rPr>
                <w:rFonts w:ascii="Times New Roman"/>
                <w:sz w:val="20"/>
              </w:rPr>
              <w:t>32,977,185.66</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99"/>
              <w:jc w:val="right"/>
              <w:rPr>
                <w:rFonts w:ascii="Times New Roman" w:hAnsi="Times New Roman" w:cs="Times New Roman" w:eastAsia="Times New Roman" w:hint="default"/>
                <w:sz w:val="20"/>
                <w:szCs w:val="20"/>
              </w:rPr>
            </w:pPr>
            <w:r>
              <w:rPr>
                <w:rFonts w:ascii="Times New Roman"/>
                <w:w w:val="95"/>
                <w:sz w:val="20"/>
              </w:rPr>
              <w:t>21,860,760.52</w:t>
            </w:r>
            <w:r>
              <w:rPr>
                <w:rFonts w:ascii="Times New Roman"/>
                <w:sz w:val="20"/>
              </w:rPr>
            </w:r>
          </w:p>
        </w:tc>
      </w:tr>
    </w:tbl>
    <w:p>
      <w:pPr>
        <w:pStyle w:val="Heading3"/>
        <w:spacing w:line="274" w:lineRule="exact"/>
        <w:ind w:left="664" w:right="0"/>
        <w:jc w:val="left"/>
        <w:rPr>
          <w:rFonts w:ascii="宋体" w:hAnsi="宋体" w:cs="宋体" w:eastAsia="宋体" w:hint="default"/>
        </w:rPr>
      </w:pPr>
      <w:r>
        <w:rPr>
          <w:rFonts w:ascii="宋体"/>
        </w:rPr>
        <w:t> </w:t>
      </w:r>
    </w:p>
    <w:p>
      <w:pPr>
        <w:pStyle w:val="Heading5"/>
        <w:spacing w:line="240" w:lineRule="auto"/>
        <w:ind w:left="664"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49"/>
        </w:rPr>
        <w:t> </w:t>
      </w:r>
      <w:r>
        <w:rPr/>
        <w:t>使用企业集团资产和清偿企业集团债务的重大限制</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left="66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rFonts w:ascii="宋体" w:hAnsi="宋体" w:cs="宋体" w:eastAsia="宋体" w:hint="default"/>
          <w:b/>
          <w:bCs/>
          <w:w w:val="99"/>
        </w:rPr>
        <w:t> </w:t>
      </w:r>
      <w:r>
        <w:rPr>
          <w:rFonts w:ascii="宋体" w:hAnsi="宋体" w:cs="宋体" w:eastAsia="宋体" w:hint="default"/>
        </w:rPr>
      </w:r>
    </w:p>
    <w:p>
      <w:pPr>
        <w:pStyle w:val="Heading2"/>
        <w:spacing w:line="311" w:lineRule="exact"/>
        <w:ind w:left="664" w:right="0"/>
        <w:jc w:val="left"/>
        <w:rPr>
          <w:rFonts w:ascii="宋体" w:hAnsi="宋体" w:cs="宋体" w:eastAsia="宋体" w:hint="default"/>
          <w:b w:val="0"/>
          <w:bCs w:val="0"/>
        </w:rPr>
      </w:pPr>
      <w:r>
        <w:rPr>
          <w:rFonts w:ascii="宋体"/>
          <w:w w:val="99"/>
        </w:rPr>
        <w:t> </w:t>
      </w:r>
      <w:r>
        <w:rPr>
          <w:rFonts w:ascii="宋体"/>
          <w:b w:val="0"/>
        </w:rPr>
      </w:r>
    </w:p>
    <w:p>
      <w:pPr>
        <w:pStyle w:val="Heading3"/>
        <w:spacing w:line="312" w:lineRule="exact"/>
        <w:ind w:left="664" w:right="0"/>
        <w:jc w:val="left"/>
        <w:rPr>
          <w:rFonts w:ascii="宋体" w:hAnsi="宋体" w:cs="宋体" w:eastAsia="宋体" w:hint="default"/>
        </w:rPr>
      </w:pPr>
      <w:r>
        <w:rPr>
          <w:rFonts w:ascii="宋体"/>
        </w:rPr>
        <w:t> </w:t>
      </w:r>
    </w:p>
    <w:p>
      <w:pPr>
        <w:pStyle w:val="Heading5"/>
        <w:spacing w:line="240" w:lineRule="auto"/>
        <w:ind w:left="664"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49"/>
        </w:rPr>
        <w:t> </w:t>
      </w:r>
      <w:r>
        <w:rPr/>
        <w:t>向纳入合并财务报表范围的结构化主体提供的财务支持或其他支持</w:t>
      </w:r>
      <w:r>
        <w:rPr>
          <w:rFonts w:ascii="宋体" w:hAnsi="宋体" w:cs="宋体" w:eastAsia="宋体" w:hint="default"/>
          <w:w w:val="99"/>
        </w:rPr>
        <w:t> </w:t>
      </w:r>
      <w:r>
        <w:rPr>
          <w:rFonts w:ascii="宋体" w:hAnsi="宋体" w:cs="宋体" w:eastAsia="宋体" w:hint="default"/>
          <w:b w:val="0"/>
          <w:bCs w:val="0"/>
        </w:rPr>
      </w:r>
    </w:p>
    <w:p>
      <w:pPr>
        <w:pStyle w:val="Heading3"/>
        <w:spacing w:line="312" w:lineRule="exact" w:before="52"/>
        <w:ind w:left="664"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312" w:lineRule="exact" w:before="28"/>
        <w:ind w:left="664" w:right="0" w:firstLine="0"/>
        <w:jc w:val="left"/>
        <w:rPr>
          <w:rFonts w:ascii="宋体" w:hAnsi="宋体" w:cs="宋体" w:eastAsia="宋体" w:hint="default"/>
          <w:sz w:val="24"/>
          <w:szCs w:val="24"/>
        </w:rPr>
      </w:pPr>
      <w:r>
        <w:rPr>
          <w:rFonts w:ascii="宋体" w:hAnsi="宋体" w:cs="宋体" w:eastAsia="宋体" w:hint="default"/>
          <w:b/>
          <w:bCs/>
          <w:w w:val="99"/>
          <w:sz w:val="24"/>
          <w:szCs w:val="24"/>
        </w:rPr>
        <w:t>  </w:t>
      </w:r>
      <w:r>
        <w:rPr>
          <w:rFonts w:ascii="宋体" w:hAnsi="宋体" w:cs="宋体" w:eastAsia="宋体" w:hint="default"/>
          <w:sz w:val="24"/>
          <w:szCs w:val="24"/>
        </w:rPr>
        <w:t>其他说明：</w:t>
      </w:r>
      <w:r>
        <w:rPr>
          <w:rFonts w:ascii="宋体" w:hAnsi="宋体" w:cs="宋体" w:eastAsia="宋体" w:hint="default"/>
          <w:sz w:val="24"/>
          <w:szCs w:val="24"/>
        </w:rPr>
        <w:t> </w:t>
      </w:r>
    </w:p>
    <w:p>
      <w:pPr>
        <w:pStyle w:val="Heading3"/>
        <w:spacing w:line="283" w:lineRule="exact"/>
        <w:ind w:left="66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83" w:lineRule="exact"/>
        <w:jc w:val="left"/>
        <w:rPr>
          <w:rFonts w:ascii="宋体" w:hAnsi="宋体" w:cs="宋体" w:eastAsia="宋体" w:hint="default"/>
        </w:rPr>
        <w:sectPr>
          <w:type w:val="continuous"/>
          <w:pgSz w:w="16840" w:h="11910" w:orient="landscape"/>
          <w:pgMar w:top="1120" w:bottom="1380" w:left="860" w:right="760"/>
        </w:sectPr>
      </w:pP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headerReference w:type="default" r:id="rId74"/>
          <w:footerReference w:type="default" r:id="rId75"/>
          <w:pgSz w:w="11910" w:h="16840"/>
          <w:pgMar w:header="882" w:footer="1195" w:top="1120" w:bottom="1380" w:left="1060" w:right="1560"/>
          <w:pgNumType w:start="177"/>
        </w:sectPr>
      </w:pPr>
    </w:p>
    <w:p>
      <w:pPr>
        <w:pStyle w:val="Heading5"/>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t>、</w:t>
      </w:r>
      <w:r>
        <w:rPr>
          <w:spacing w:val="-7"/>
        </w:rPr>
        <w:t> </w:t>
      </w:r>
      <w:r>
        <w:rPr/>
        <w:t>在子公司的所有者权益份额发生变化且仍控制子公司的交易</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(1).</w:t>
      </w:r>
      <w:r>
        <w:rPr/>
        <w:t>在子公司所有者权益份额的变化情况的说明</w:t>
      </w:r>
      <w:r>
        <w:rPr>
          <w:rFonts w:ascii="宋体" w:hAnsi="宋体" w:cs="宋体" w:eastAsia="宋体" w:hint="default"/>
          <w:w w:val="99"/>
        </w:rPr>
        <w:t> </w:t>
      </w:r>
      <w:r>
        <w:rPr>
          <w:rFonts w:ascii="宋体" w:hAnsi="宋体" w:cs="宋体" w:eastAsia="宋体" w:hint="default"/>
          <w:b w:val="0"/>
          <w:bCs w:val="0"/>
        </w:rPr>
      </w:r>
    </w:p>
    <w:p>
      <w:pPr>
        <w:pStyle w:val="Heading3"/>
        <w:spacing w:line="312" w:lineRule="exact"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2" w:lineRule="exact"/>
        <w:ind w:right="0"/>
        <w:jc w:val="left"/>
        <w:rPr>
          <w:rFonts w:ascii="宋体" w:hAnsi="宋体" w:cs="宋体" w:eastAsia="宋体" w:hint="default"/>
        </w:rPr>
      </w:pPr>
      <w:r>
        <w:rPr>
          <w:rFonts w:ascii="宋体"/>
        </w:rPr>
        <w:t> </w:t>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(2).</w:t>
      </w:r>
      <w:r>
        <w:rPr/>
        <w:t>交易对于少数股东权益及归属于母公司所有者权益的影响</w:t>
      </w:r>
      <w:r>
        <w:rPr>
          <w:rFonts w:ascii="宋体" w:hAnsi="宋体" w:cs="宋体" w:eastAsia="宋体" w:hint="default"/>
          <w:w w:val="99"/>
        </w:rPr>
        <w:t> </w:t>
      </w:r>
      <w:r>
        <w:rPr>
          <w:rFonts w:ascii="宋体" w:hAnsi="宋体" w:cs="宋体" w:eastAsia="宋体" w:hint="default"/>
          <w:b w:val="0"/>
          <w:bCs w:val="0"/>
        </w:rPr>
      </w:r>
    </w:p>
    <w:p>
      <w:pPr>
        <w:pStyle w:val="BodyText"/>
        <w:tabs>
          <w:tab w:pos="963" w:val="left" w:leader="none"/>
        </w:tabs>
        <w:spacing w:line="240" w:lineRule="auto" w:before="56"/>
        <w:ind w:left="216"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35"/>
          <w:szCs w:val="35"/>
        </w:rPr>
      </w:pPr>
    </w:p>
    <w:p>
      <w:pPr>
        <w:pStyle w:val="Heading3"/>
        <w:spacing w:line="240" w:lineRule="auto"/>
        <w:ind w:right="0"/>
        <w:jc w:val="left"/>
        <w:rPr>
          <w:rFonts w:ascii="宋体" w:hAnsi="宋体" w:cs="宋体" w:eastAsia="宋体" w:hint="default"/>
        </w:rPr>
      </w:pPr>
      <w:r>
        <w:rPr/>
        <w:t>单位</w:t>
      </w:r>
      <w:r>
        <w:rPr>
          <w:rFonts w:ascii="宋体" w:hAnsi="宋体" w:cs="宋体" w:eastAsia="宋体" w:hint="default"/>
        </w:rPr>
        <w:t>:</w:t>
      </w:r>
      <w:r>
        <w:rPr/>
        <w:t>元  </w:t>
      </w:r>
      <w:r>
        <w:rPr>
          <w:rFonts w:ascii="宋体" w:hAnsi="宋体" w:cs="宋体" w:eastAsia="宋体" w:hint="default"/>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6224" w:space="210"/>
            <w:col w:w="2856"/>
          </w:cols>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503"/>
        <w:gridCol w:w="4547"/>
      </w:tblGrid>
      <w:tr>
        <w:trPr>
          <w:trHeight w:val="322"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17" w:right="0"/>
              <w:jc w:val="left"/>
              <w:rPr>
                <w:rFonts w:ascii="宋体" w:hAnsi="宋体" w:cs="宋体" w:eastAsia="宋体" w:hint="default"/>
                <w:sz w:val="24"/>
                <w:szCs w:val="24"/>
              </w:rPr>
            </w:pPr>
            <w:r>
              <w:rPr>
                <w:rFonts w:ascii="宋体" w:hAnsi="宋体" w:cs="宋体" w:eastAsia="宋体" w:hint="default"/>
                <w:sz w:val="21"/>
                <w:szCs w:val="21"/>
              </w:rPr>
              <w:t>泰豪软件股份有限公司</w:t>
            </w:r>
            <w:r>
              <w:rPr>
                <w:rFonts w:ascii="宋体" w:hAnsi="宋体" w:cs="宋体" w:eastAsia="宋体" w:hint="default"/>
                <w:sz w:val="24"/>
                <w:szCs w:val="24"/>
              </w:rPr>
              <w:t> </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79,411,500.00</w:t>
            </w:r>
            <w:r>
              <w:rPr>
                <w:rFonts w:ascii="Times New Roman"/>
                <w:sz w:val="20"/>
              </w:rPr>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79,411,500.00</w:t>
            </w:r>
            <w:r>
              <w:rPr>
                <w:rFonts w:ascii="Times New Roman"/>
                <w:sz w:val="20"/>
              </w:rPr>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处置对价合计</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Times New Roman" w:hAnsi="Times New Roman" w:cs="Times New Roman" w:eastAsia="Times New Roman" w:hint="default"/>
                <w:sz w:val="20"/>
                <w:szCs w:val="20"/>
              </w:rPr>
            </w:pPr>
            <w:r>
              <w:rPr>
                <w:rFonts w:ascii="Times New Roman"/>
                <w:w w:val="95"/>
                <w:sz w:val="20"/>
              </w:rPr>
              <w:t>79,411,500.00</w:t>
            </w:r>
            <w:r>
              <w:rPr>
                <w:rFonts w:ascii="Times New Roman"/>
                <w:sz w:val="20"/>
              </w:rPr>
            </w:r>
          </w:p>
        </w:tc>
      </w:tr>
      <w:tr>
        <w:trPr>
          <w:trHeight w:val="55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减：按取得</w:t>
            </w:r>
            <w:r>
              <w:rPr>
                <w:rFonts w:ascii="宋体" w:hAnsi="宋体" w:cs="宋体" w:eastAsia="宋体" w:hint="default"/>
                <w:spacing w:val="-3"/>
                <w:sz w:val="21"/>
                <w:szCs w:val="21"/>
              </w:rPr>
              <w:t>/</w:t>
            </w:r>
            <w:r>
              <w:rPr>
                <w:rFonts w:ascii="宋体" w:hAnsi="宋体" w:cs="宋体" w:eastAsia="宋体" w:hint="default"/>
                <w:spacing w:val="-3"/>
                <w:sz w:val="21"/>
                <w:szCs w:val="21"/>
              </w:rPr>
              <w:t>处置的股权比例计算的子公司净资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产份额</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104,031,361.09</w:t>
            </w:r>
            <w:r>
              <w:rPr>
                <w:rFonts w:ascii="Times New Roman"/>
                <w:sz w:val="20"/>
              </w:rPr>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-24,619,861.09</w:t>
            </w:r>
            <w:r>
              <w:rPr>
                <w:rFonts w:ascii="Times New Roman"/>
                <w:sz w:val="20"/>
              </w:rPr>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其中：调整资本公积</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24,619,861.09</w:t>
            </w:r>
            <w:r>
              <w:rPr>
                <w:rFonts w:ascii="Times New Roman"/>
                <w:sz w:val="20"/>
              </w:rPr>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调整盈余公积</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调整未分配利润</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3"/>
          <w:szCs w:val="13"/>
        </w:rPr>
      </w:pPr>
    </w:p>
    <w:p>
      <w:pPr>
        <w:pStyle w:val="Heading3"/>
        <w:spacing w:line="312" w:lineRule="exact" w:before="26"/>
        <w:ind w:right="0"/>
        <w:jc w:val="left"/>
        <w:rPr>
          <w:rFonts w:ascii="宋体" w:hAnsi="宋体" w:cs="宋体" w:eastAsia="宋体" w:hint="default"/>
        </w:rPr>
      </w:pPr>
      <w:r>
        <w:rPr/>
        <w:t>其他说明</w:t>
      </w:r>
      <w:r>
        <w:rPr>
          <w:rFonts w:ascii="宋体" w:hAnsi="宋体" w:cs="宋体" w:eastAsia="宋体" w:hint="default"/>
        </w:rPr>
        <w:t> </w:t>
      </w:r>
    </w:p>
    <w:p>
      <w:pPr>
        <w:pStyle w:val="Heading3"/>
        <w:spacing w:line="312"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60" w:right="1560"/>
        </w:sectPr>
      </w:pPr>
    </w:p>
    <w:p>
      <w:pPr>
        <w:pStyle w:val="Heading5"/>
        <w:spacing w:line="240" w:lineRule="auto" w:before="36"/>
        <w:ind w:right="0"/>
        <w:jc w:val="left"/>
        <w:rPr>
          <w:rFonts w:ascii="宋体" w:hAnsi="宋体" w:cs="宋体" w:eastAsia="宋体" w:hint="default"/>
          <w:b w:val="0"/>
          <w:bCs w:val="0"/>
        </w:rPr>
      </w:pPr>
      <w:r>
        <w:rPr>
          <w:rFonts w:ascii="宋体" w:hAnsi="宋体" w:cs="宋体" w:eastAsia="宋体" w:hint="default"/>
        </w:rPr>
        <w:t>3</w:t>
      </w:r>
      <w:r>
        <w:rPr/>
        <w:t>、</w:t>
      </w:r>
      <w:r>
        <w:rPr>
          <w:spacing w:val="-4"/>
        </w:rPr>
        <w:t> </w:t>
      </w:r>
      <w:r>
        <w:rPr/>
        <w:t>在合营企业或联营企业中的权益</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6"/>
        </w:rPr>
        <w:t> </w:t>
      </w:r>
      <w:r>
        <w:rPr/>
        <w:t>重要的合营企业或联营企业</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3"/>
          <w:szCs w:val="33"/>
        </w:rPr>
      </w:pPr>
    </w:p>
    <w:p>
      <w:pPr>
        <w:pStyle w:val="BodyText"/>
        <w:spacing w:line="240" w:lineRule="auto"/>
        <w:ind w:left="216" w:right="0"/>
        <w:jc w:val="left"/>
        <w:rPr>
          <w:rFonts w:ascii="宋体" w:hAnsi="宋体" w:cs="宋体" w:eastAsia="宋体" w:hint="default"/>
          <w:sz w:val="24"/>
          <w:szCs w:val="24"/>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1060" w:right="1560"/>
          <w:cols w:num="2" w:equalWidth="0">
            <w:col w:w="3696" w:space="3037"/>
            <w:col w:w="255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208"/>
        <w:gridCol w:w="1330"/>
        <w:gridCol w:w="1251"/>
        <w:gridCol w:w="2460"/>
        <w:gridCol w:w="725"/>
        <w:gridCol w:w="730"/>
        <w:gridCol w:w="1347"/>
      </w:tblGrid>
      <w:tr>
        <w:trPr>
          <w:trHeight w:val="461" w:hRule="exact"/>
        </w:trPr>
        <w:tc>
          <w:tcPr>
            <w:tcW w:w="1208" w:type="dxa"/>
            <w:vMerge w:val="restart"/>
            <w:tcBorders>
              <w:top w:val="single" w:sz="4" w:space="0" w:color="000000"/>
              <w:left w:val="single" w:sz="4" w:space="0" w:color="000000"/>
              <w:right w:val="single" w:sz="4" w:space="0" w:color="000000"/>
            </w:tcBorders>
          </w:tcPr>
          <w:p>
            <w:pPr>
              <w:pStyle w:val="TableParagraph"/>
              <w:spacing w:line="237" w:lineRule="auto" w:before="89"/>
              <w:ind w:left="149" w:right="146"/>
              <w:jc w:val="center"/>
              <w:rPr>
                <w:rFonts w:ascii="宋体" w:hAnsi="宋体" w:cs="宋体" w:eastAsia="宋体" w:hint="default"/>
                <w:sz w:val="18"/>
                <w:szCs w:val="18"/>
              </w:rPr>
            </w:pPr>
            <w:r>
              <w:rPr>
                <w:rFonts w:ascii="宋体" w:hAnsi="宋体" w:cs="宋体" w:eastAsia="宋体" w:hint="default"/>
                <w:sz w:val="18"/>
                <w:szCs w:val="18"/>
              </w:rPr>
              <w:t>合营企业或 联营企业名 称</w:t>
            </w:r>
            <w:r>
              <w:rPr>
                <w:rFonts w:ascii="宋体" w:hAnsi="宋体" w:cs="宋体" w:eastAsia="宋体" w:hint="default"/>
                <w:sz w:val="18"/>
                <w:szCs w:val="18"/>
              </w:rPr>
              <w:t> </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主要经营地</w:t>
            </w:r>
            <w:r>
              <w:rPr>
                <w:rFonts w:ascii="宋体" w:hAnsi="宋体" w:cs="宋体" w:eastAsia="宋体" w:hint="default"/>
                <w:sz w:val="18"/>
                <w:szCs w:val="18"/>
              </w:rPr>
              <w:t> </w:t>
            </w:r>
          </w:p>
        </w:tc>
        <w:tc>
          <w:tcPr>
            <w:tcW w:w="125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注册地</w:t>
            </w:r>
            <w:r>
              <w:rPr>
                <w:rFonts w:ascii="宋体" w:hAnsi="宋体" w:cs="宋体" w:eastAsia="宋体" w:hint="default"/>
                <w:sz w:val="18"/>
                <w:szCs w:val="18"/>
              </w:rPr>
              <w:t> </w:t>
            </w:r>
          </w:p>
        </w:tc>
        <w:tc>
          <w:tcPr>
            <w:tcW w:w="24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63" w:right="0"/>
              <w:jc w:val="left"/>
              <w:rPr>
                <w:rFonts w:ascii="宋体" w:hAnsi="宋体" w:cs="宋体" w:eastAsia="宋体" w:hint="default"/>
                <w:sz w:val="18"/>
                <w:szCs w:val="18"/>
              </w:rPr>
            </w:pPr>
            <w:r>
              <w:rPr>
                <w:rFonts w:ascii="宋体" w:hAnsi="宋体" w:cs="宋体" w:eastAsia="宋体" w:hint="default"/>
                <w:sz w:val="18"/>
                <w:szCs w:val="18"/>
              </w:rPr>
              <w:t>业务性质</w:t>
            </w:r>
            <w:r>
              <w:rPr>
                <w:rFonts w:ascii="宋体" w:hAnsi="宋体" w:cs="宋体" w:eastAsia="宋体" w:hint="default"/>
                <w:sz w:val="18"/>
                <w:szCs w:val="18"/>
              </w:rPr>
              <w:t> </w:t>
            </w:r>
          </w:p>
        </w:tc>
        <w:tc>
          <w:tcPr>
            <w:tcW w:w="14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25"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 </w:t>
            </w:r>
          </w:p>
        </w:tc>
        <w:tc>
          <w:tcPr>
            <w:tcW w:w="1347" w:type="dxa"/>
            <w:vMerge w:val="restart"/>
            <w:tcBorders>
              <w:top w:val="single" w:sz="4" w:space="0" w:color="000000"/>
              <w:left w:val="single" w:sz="4" w:space="0" w:color="000000"/>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对合营企业或</w:t>
            </w:r>
          </w:p>
          <w:p>
            <w:pPr>
              <w:pStyle w:val="TableParagraph"/>
              <w:spacing w:line="232" w:lineRule="exact" w:before="23"/>
              <w:ind w:left="127" w:right="128"/>
              <w:jc w:val="center"/>
              <w:rPr>
                <w:rFonts w:ascii="宋体" w:hAnsi="宋体" w:cs="宋体" w:eastAsia="宋体" w:hint="default"/>
                <w:sz w:val="18"/>
                <w:szCs w:val="18"/>
              </w:rPr>
            </w:pPr>
            <w:r>
              <w:rPr>
                <w:rFonts w:ascii="宋体" w:hAnsi="宋体" w:cs="宋体" w:eastAsia="宋体" w:hint="default"/>
                <w:sz w:val="18"/>
                <w:szCs w:val="18"/>
              </w:rPr>
              <w:t>联营企业投资 的会计处理方 法</w:t>
            </w:r>
            <w:r>
              <w:rPr>
                <w:rFonts w:ascii="宋体" w:hAnsi="宋体" w:cs="宋体" w:eastAsia="宋体" w:hint="default"/>
                <w:sz w:val="18"/>
                <w:szCs w:val="18"/>
              </w:rPr>
              <w:t> </w:t>
            </w:r>
          </w:p>
        </w:tc>
      </w:tr>
      <w:tr>
        <w:trPr>
          <w:trHeight w:val="485" w:hRule="exact"/>
        </w:trPr>
        <w:tc>
          <w:tcPr>
            <w:tcW w:w="1208"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251" w:type="dxa"/>
            <w:vMerge/>
            <w:tcBorders>
              <w:left w:val="single" w:sz="4" w:space="0" w:color="000000"/>
              <w:bottom w:val="single" w:sz="4" w:space="0" w:color="000000"/>
              <w:right w:val="single" w:sz="4" w:space="0" w:color="000000"/>
            </w:tcBorders>
          </w:tcPr>
          <w:p>
            <w:pPr/>
          </w:p>
        </w:tc>
        <w:tc>
          <w:tcPr>
            <w:tcW w:w="2460" w:type="dxa"/>
            <w:vMerge/>
            <w:tcBorders>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77" w:right="0"/>
              <w:jc w:val="left"/>
              <w:rPr>
                <w:rFonts w:ascii="宋体" w:hAnsi="宋体" w:cs="宋体" w:eastAsia="宋体" w:hint="default"/>
                <w:sz w:val="18"/>
                <w:szCs w:val="18"/>
              </w:rPr>
            </w:pPr>
            <w:r>
              <w:rPr>
                <w:rFonts w:ascii="宋体" w:hAnsi="宋体" w:cs="宋体" w:eastAsia="宋体" w:hint="default"/>
                <w:sz w:val="18"/>
                <w:szCs w:val="18"/>
              </w:rPr>
              <w:t>直接</w:t>
            </w:r>
            <w:r>
              <w:rPr>
                <w:rFonts w:ascii="宋体" w:hAnsi="宋体" w:cs="宋体" w:eastAsia="宋体" w:hint="default"/>
                <w:sz w:val="18"/>
                <w:szCs w:val="18"/>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77" w:right="0"/>
              <w:jc w:val="left"/>
              <w:rPr>
                <w:rFonts w:ascii="宋体" w:hAnsi="宋体" w:cs="宋体" w:eastAsia="宋体" w:hint="default"/>
                <w:sz w:val="18"/>
                <w:szCs w:val="18"/>
              </w:rPr>
            </w:pPr>
            <w:r>
              <w:rPr>
                <w:rFonts w:ascii="宋体" w:hAnsi="宋体" w:cs="宋体" w:eastAsia="宋体" w:hint="default"/>
                <w:sz w:val="18"/>
                <w:szCs w:val="18"/>
              </w:rPr>
              <w:t>间接</w:t>
            </w:r>
            <w:r>
              <w:rPr>
                <w:rFonts w:ascii="宋体" w:hAnsi="宋体" w:cs="宋体" w:eastAsia="宋体" w:hint="default"/>
                <w:sz w:val="18"/>
                <w:szCs w:val="18"/>
              </w:rPr>
              <w:t> </w:t>
            </w:r>
          </w:p>
        </w:tc>
        <w:tc>
          <w:tcPr>
            <w:tcW w:w="1347" w:type="dxa"/>
            <w:vMerge/>
            <w:tcBorders>
              <w:left w:val="single" w:sz="4" w:space="0" w:color="000000"/>
              <w:bottom w:val="single" w:sz="4" w:space="0" w:color="000000"/>
              <w:right w:val="single" w:sz="4" w:space="0" w:color="000000"/>
            </w:tcBorders>
          </w:tcPr>
          <w:p>
            <w:pPr/>
          </w:p>
        </w:tc>
      </w:tr>
      <w:tr>
        <w:trPr>
          <w:trHeight w:val="710"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江</w:t>
            </w:r>
            <w:r>
              <w:rPr>
                <w:rFonts w:ascii="宋体" w:hAnsi="宋体" w:cs="宋体" w:eastAsia="宋体" w:hint="default"/>
                <w:spacing w:val="-67"/>
                <w:sz w:val="18"/>
                <w:szCs w:val="18"/>
              </w:rPr>
              <w:t> </w:t>
            </w:r>
            <w:r>
              <w:rPr>
                <w:rFonts w:ascii="宋体" w:hAnsi="宋体" w:cs="宋体" w:eastAsia="宋体" w:hint="default"/>
                <w:sz w:val="18"/>
                <w:szCs w:val="18"/>
              </w:rPr>
              <w:t>西</w:t>
            </w:r>
            <w:r>
              <w:rPr>
                <w:rFonts w:ascii="宋体" w:hAnsi="宋体" w:cs="宋体" w:eastAsia="宋体" w:hint="default"/>
                <w:spacing w:val="-67"/>
                <w:sz w:val="18"/>
                <w:szCs w:val="18"/>
              </w:rPr>
              <w:t> </w:t>
            </w:r>
            <w:r>
              <w:rPr>
                <w:rFonts w:ascii="宋体" w:hAnsi="宋体" w:cs="宋体" w:eastAsia="宋体" w:hint="default"/>
                <w:spacing w:val="10"/>
                <w:sz w:val="18"/>
                <w:szCs w:val="18"/>
              </w:rPr>
              <w:t>国科</w:t>
            </w:r>
            <w:r>
              <w:rPr>
                <w:rFonts w:ascii="宋体" w:hAnsi="宋体" w:cs="宋体" w:eastAsia="宋体" w:hint="default"/>
                <w:spacing w:val="-67"/>
                <w:sz w:val="18"/>
                <w:szCs w:val="18"/>
              </w:rPr>
              <w:t> </w:t>
            </w:r>
            <w:r>
              <w:rPr>
                <w:rFonts w:ascii="宋体" w:hAnsi="宋体" w:cs="宋体" w:eastAsia="宋体" w:hint="default"/>
                <w:sz w:val="18"/>
                <w:szCs w:val="18"/>
              </w:rPr>
              <w:t>军</w:t>
            </w:r>
          </w:p>
          <w:p>
            <w:pPr>
              <w:pStyle w:val="TableParagraph"/>
              <w:spacing w:line="232" w:lineRule="exact" w:before="23"/>
              <w:ind w:left="103" w:right="100"/>
              <w:jc w:val="left"/>
              <w:rPr>
                <w:rFonts w:ascii="宋体" w:hAnsi="宋体" w:cs="宋体" w:eastAsia="宋体" w:hint="default"/>
                <w:sz w:val="18"/>
                <w:szCs w:val="18"/>
              </w:rPr>
            </w:pPr>
            <w:r>
              <w:rPr>
                <w:rFonts w:ascii="宋体" w:hAnsi="宋体" w:cs="宋体" w:eastAsia="宋体" w:hint="default"/>
                <w:sz w:val="18"/>
                <w:szCs w:val="18"/>
              </w:rPr>
              <w:t>工</w:t>
            </w:r>
            <w:r>
              <w:rPr>
                <w:rFonts w:ascii="宋体" w:hAnsi="宋体" w:cs="宋体" w:eastAsia="宋体" w:hint="default"/>
                <w:spacing w:val="-67"/>
                <w:sz w:val="18"/>
                <w:szCs w:val="18"/>
              </w:rPr>
              <w:t> </w:t>
            </w:r>
            <w:r>
              <w:rPr>
                <w:rFonts w:ascii="宋体" w:hAnsi="宋体" w:cs="宋体" w:eastAsia="宋体" w:hint="default"/>
                <w:sz w:val="18"/>
                <w:szCs w:val="18"/>
              </w:rPr>
              <w:t>集</w:t>
            </w:r>
            <w:r>
              <w:rPr>
                <w:rFonts w:ascii="宋体" w:hAnsi="宋体" w:cs="宋体" w:eastAsia="宋体" w:hint="default"/>
                <w:spacing w:val="-67"/>
                <w:sz w:val="18"/>
                <w:szCs w:val="18"/>
              </w:rPr>
              <w:t> </w:t>
            </w:r>
            <w:r>
              <w:rPr>
                <w:rFonts w:ascii="宋体" w:hAnsi="宋体" w:cs="宋体" w:eastAsia="宋体" w:hint="default"/>
                <w:spacing w:val="10"/>
                <w:sz w:val="18"/>
                <w:szCs w:val="18"/>
              </w:rPr>
              <w:t>团股</w:t>
            </w:r>
            <w:r>
              <w:rPr>
                <w:rFonts w:ascii="宋体" w:hAnsi="宋体" w:cs="宋体" w:eastAsia="宋体" w:hint="default"/>
                <w:spacing w:val="-67"/>
                <w:sz w:val="18"/>
                <w:szCs w:val="18"/>
              </w:rPr>
              <w:t> </w:t>
            </w:r>
            <w:r>
              <w:rPr>
                <w:rFonts w:ascii="宋体" w:hAnsi="宋体" w:cs="宋体" w:eastAsia="宋体" w:hint="default"/>
                <w:sz w:val="18"/>
                <w:szCs w:val="18"/>
              </w:rPr>
              <w:t>份</w:t>
            </w:r>
            <w:r>
              <w:rPr>
                <w:rFonts w:ascii="宋体" w:hAnsi="宋体" w:cs="宋体" w:eastAsia="宋体" w:hint="default"/>
                <w:sz w:val="18"/>
                <w:szCs w:val="18"/>
              </w:rPr>
              <w:t> 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江西南昌</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民爆行业的研究；机械、电</w:t>
            </w:r>
          </w:p>
          <w:p>
            <w:pPr>
              <w:pStyle w:val="TableParagraph"/>
              <w:spacing w:line="232" w:lineRule="exact" w:before="23"/>
              <w:ind w:left="103" w:right="10"/>
              <w:jc w:val="left"/>
              <w:rPr>
                <w:rFonts w:ascii="宋体" w:hAnsi="宋体" w:cs="宋体" w:eastAsia="宋体" w:hint="default"/>
                <w:sz w:val="18"/>
                <w:szCs w:val="18"/>
              </w:rPr>
            </w:pPr>
            <w:r>
              <w:rPr>
                <w:rFonts w:ascii="宋体" w:hAnsi="宋体" w:cs="宋体" w:eastAsia="宋体" w:hint="default"/>
                <w:sz w:val="18"/>
                <w:szCs w:val="18"/>
              </w:rPr>
              <w:t>子产品的加工；投资；咨询、 服务等</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374" w:right="-20"/>
              <w:jc w:val="left"/>
              <w:rPr>
                <w:rFonts w:ascii="宋体" w:hAnsi="宋体" w:cs="宋体" w:eastAsia="宋体" w:hint="default"/>
                <w:sz w:val="24"/>
                <w:szCs w:val="24"/>
              </w:rPr>
            </w:pPr>
            <w:r>
              <w:rPr>
                <w:rFonts w:ascii="宋体"/>
                <w:sz w:val="24"/>
              </w:rPr>
              <w:t>20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374" w:right="-15"/>
              <w:jc w:val="left"/>
              <w:rPr>
                <w:rFonts w:ascii="宋体" w:hAnsi="宋体" w:cs="宋体" w:eastAsia="宋体" w:hint="default"/>
                <w:sz w:val="24"/>
                <w:szCs w:val="24"/>
              </w:rPr>
            </w:pPr>
            <w:r>
              <w:rPr>
                <w:rFonts w:ascii="宋体"/>
                <w:sz w:val="24"/>
              </w:rPr>
              <w:t>20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after="0" w:line="240" w:lineRule="auto"/>
        <w:jc w:val="left"/>
        <w:rPr>
          <w:rFonts w:ascii="宋体" w:hAnsi="宋体" w:cs="宋体" w:eastAsia="宋体" w:hint="default"/>
          <w:sz w:val="18"/>
          <w:szCs w:val="18"/>
        </w:rPr>
        <w:sectPr>
          <w:type w:val="continuous"/>
          <w:pgSz w:w="11910" w:h="16840"/>
          <w:pgMar w:top="1120" w:bottom="1380" w:left="1060" w:right="1560"/>
        </w:sectPr>
      </w:pPr>
    </w:p>
    <w:p>
      <w:pPr>
        <w:pStyle w:val="Heading3"/>
        <w:spacing w:line="274" w:lineRule="exact"/>
        <w:ind w:right="0"/>
        <w:jc w:val="left"/>
        <w:rPr>
          <w:rFonts w:ascii="宋体" w:hAnsi="宋体" w:cs="宋体" w:eastAsia="宋体" w:hint="default"/>
        </w:rPr>
      </w:pPr>
      <w:r>
        <w:rPr>
          <w:rFonts w:ascii="宋体"/>
        </w:rPr>
        <w:t> </w:t>
      </w:r>
    </w:p>
    <w:p>
      <w:pPr>
        <w:pStyle w:val="Heading5"/>
        <w:spacing w:line="240" w:lineRule="auto" w:before="62"/>
        <w:ind w:right="0"/>
        <w:jc w:val="left"/>
        <w:rPr>
          <w:rFonts w:ascii="宋体" w:hAnsi="宋体" w:cs="宋体" w:eastAsia="宋体" w:hint="default"/>
          <w:b w:val="0"/>
          <w:bCs w:val="0"/>
        </w:rPr>
      </w:pPr>
      <w:r>
        <w:rPr>
          <w:rFonts w:ascii="宋体" w:hAnsi="宋体" w:cs="宋体" w:eastAsia="宋体" w:hint="default"/>
        </w:rPr>
        <w:t>(2).</w:t>
      </w:r>
      <w:r>
        <w:rPr/>
        <w:t>重要合营企业的主要财务信息</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40" w:lineRule="auto" w:before="61"/>
        <w:ind w:right="0"/>
        <w:jc w:val="left"/>
        <w:rPr>
          <w:rFonts w:ascii="宋体" w:hAnsi="宋体" w:cs="宋体" w:eastAsia="宋体" w:hint="default"/>
          <w:b w:val="0"/>
          <w:bCs w:val="0"/>
        </w:rPr>
      </w:pPr>
      <w:r>
        <w:rPr>
          <w:rFonts w:ascii="宋体" w:hAnsi="宋体" w:cs="宋体" w:eastAsia="宋体" w:hint="default"/>
        </w:rPr>
        <w:t>(3).</w:t>
      </w:r>
      <w:r>
        <w:rPr/>
        <w:t>重要联营企业的主要财务信息</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32"/>
          <w:szCs w:val="32"/>
        </w:rPr>
      </w:pPr>
    </w:p>
    <w:p>
      <w:pPr>
        <w:pStyle w:val="BodyText"/>
        <w:spacing w:line="240" w:lineRule="auto"/>
        <w:ind w:left="216"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1060" w:right="1560"/>
          <w:cols w:num="2" w:equalWidth="0">
            <w:col w:w="3490" w:space="3033"/>
            <w:col w:w="276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949"/>
        <w:gridCol w:w="2552"/>
        <w:gridCol w:w="2549"/>
      </w:tblGrid>
      <w:tr>
        <w:trPr>
          <w:trHeight w:val="286" w:hRule="exact"/>
        </w:trPr>
        <w:tc>
          <w:tcPr>
            <w:tcW w:w="3949" w:type="dxa"/>
            <w:vMerge w:val="restart"/>
            <w:tcBorders>
              <w:top w:val="single" w:sz="4" w:space="0" w:color="000000"/>
              <w:left w:val="single" w:sz="4"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19" w:right="0"/>
              <w:jc w:val="center"/>
              <w:rPr>
                <w:rFonts w:ascii="宋体" w:hAnsi="宋体" w:cs="宋体" w:eastAsia="宋体" w:hint="default"/>
                <w:sz w:val="24"/>
                <w:szCs w:val="24"/>
              </w:rPr>
            </w:pPr>
            <w:r>
              <w:rPr>
                <w:rFonts w:ascii="宋体"/>
                <w:sz w:val="24"/>
              </w:rPr>
              <w:t> </w:t>
            </w:r>
          </w:p>
        </w:tc>
        <w:tc>
          <w:tcPr>
            <w:tcW w:w="2552"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right="113"/>
              <w:jc w:val="righ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本期发生额</w:t>
            </w:r>
            <w:r>
              <w:rPr>
                <w:rFonts w:ascii="宋体" w:hAnsi="宋体" w:cs="宋体" w:eastAsia="宋体" w:hint="default"/>
                <w:sz w:val="21"/>
                <w:szCs w:val="21"/>
              </w:rPr>
              <w:t> </w:t>
            </w:r>
          </w:p>
        </w:tc>
        <w:tc>
          <w:tcPr>
            <w:tcW w:w="2549"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559" w:hRule="exact"/>
        </w:trPr>
        <w:tc>
          <w:tcPr>
            <w:tcW w:w="3949" w:type="dxa"/>
            <w:vMerge/>
            <w:tcBorders>
              <w:left w:val="single" w:sz="4"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江西国科军工集团股份有</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江西国科军工集团股份有</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513,039,957.37</w:t>
            </w:r>
            <w:r>
              <w:rPr>
                <w:rFonts w:ascii="Times New Roman"/>
                <w:sz w:val="20"/>
              </w:rPr>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w w:val="95"/>
                <w:sz w:val="20"/>
              </w:rPr>
              <w:t>447,323,071.55</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949"/>
        <w:gridCol w:w="2552"/>
        <w:gridCol w:w="2549"/>
      </w:tblGrid>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r>
              <w:rPr>
                <w:rFonts w:ascii="宋体" w:hAnsi="宋体" w:cs="宋体" w:eastAsia="宋体" w:hint="default"/>
                <w:sz w:val="21"/>
                <w:szCs w:val="21"/>
              </w:rPr>
              <w:t> </w:t>
            </w:r>
          </w:p>
        </w:tc>
        <w:tc>
          <w:tcPr>
            <w:tcW w:w="255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7"/>
              <w:ind w:left="1183" w:right="0"/>
              <w:jc w:val="left"/>
              <w:rPr>
                <w:rFonts w:ascii="Times New Roman" w:hAnsi="Times New Roman" w:cs="Times New Roman" w:eastAsia="Times New Roman" w:hint="default"/>
                <w:sz w:val="20"/>
                <w:szCs w:val="20"/>
              </w:rPr>
            </w:pPr>
            <w:r>
              <w:rPr>
                <w:rFonts w:ascii="Times New Roman"/>
                <w:sz w:val="20"/>
              </w:rPr>
              <w:t>479,301,638.85</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183" w:right="0"/>
              <w:jc w:val="left"/>
              <w:rPr>
                <w:rFonts w:ascii="Times New Roman" w:hAnsi="Times New Roman" w:cs="Times New Roman" w:eastAsia="Times New Roman" w:hint="default"/>
                <w:sz w:val="20"/>
                <w:szCs w:val="20"/>
              </w:rPr>
            </w:pPr>
            <w:r>
              <w:rPr>
                <w:rFonts w:ascii="Times New Roman"/>
                <w:sz w:val="20"/>
              </w:rPr>
              <w:t>342,377,787.96</w:t>
            </w:r>
          </w:p>
        </w:tc>
      </w:tr>
      <w:tr>
        <w:trPr>
          <w:trHeight w:val="286"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183" w:right="0"/>
              <w:jc w:val="left"/>
              <w:rPr>
                <w:rFonts w:ascii="Times New Roman" w:hAnsi="Times New Roman" w:cs="Times New Roman" w:eastAsia="Times New Roman" w:hint="default"/>
                <w:sz w:val="20"/>
                <w:szCs w:val="20"/>
              </w:rPr>
            </w:pPr>
            <w:r>
              <w:rPr>
                <w:rFonts w:ascii="Times New Roman"/>
                <w:sz w:val="20"/>
              </w:rPr>
              <w:t>992,341,596.22</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183" w:right="0"/>
              <w:jc w:val="left"/>
              <w:rPr>
                <w:rFonts w:ascii="Times New Roman" w:hAnsi="Times New Roman" w:cs="Times New Roman" w:eastAsia="Times New Roman" w:hint="default"/>
                <w:sz w:val="20"/>
                <w:szCs w:val="20"/>
              </w:rPr>
            </w:pPr>
            <w:r>
              <w:rPr>
                <w:rFonts w:ascii="Times New Roman"/>
                <w:sz w:val="20"/>
              </w:rPr>
              <w:t>789,700,859.51</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83" w:right="0"/>
              <w:jc w:val="left"/>
              <w:rPr>
                <w:rFonts w:ascii="Times New Roman" w:hAnsi="Times New Roman" w:cs="Times New Roman" w:eastAsia="Times New Roman" w:hint="default"/>
                <w:sz w:val="20"/>
                <w:szCs w:val="20"/>
              </w:rPr>
            </w:pPr>
            <w:r>
              <w:rPr>
                <w:rFonts w:ascii="Times New Roman"/>
                <w:sz w:val="20"/>
              </w:rPr>
              <w:t>647,682,160.59</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83" w:right="0"/>
              <w:jc w:val="left"/>
              <w:rPr>
                <w:rFonts w:ascii="Times New Roman" w:hAnsi="Times New Roman" w:cs="Times New Roman" w:eastAsia="Times New Roman" w:hint="default"/>
                <w:sz w:val="20"/>
                <w:szCs w:val="20"/>
              </w:rPr>
            </w:pPr>
            <w:r>
              <w:rPr>
                <w:rFonts w:ascii="Times New Roman"/>
                <w:sz w:val="20"/>
              </w:rPr>
              <w:t>471,899,015.68</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83" w:right="0"/>
              <w:jc w:val="left"/>
              <w:rPr>
                <w:rFonts w:ascii="Times New Roman" w:hAnsi="Times New Roman" w:cs="Times New Roman" w:eastAsia="Times New Roman" w:hint="default"/>
                <w:sz w:val="20"/>
                <w:szCs w:val="20"/>
              </w:rPr>
            </w:pPr>
            <w:r>
              <w:rPr>
                <w:rFonts w:ascii="Times New Roman"/>
                <w:sz w:val="20"/>
              </w:rPr>
              <w:t>26,939,944.47</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83" w:right="0"/>
              <w:jc w:val="left"/>
              <w:rPr>
                <w:rFonts w:ascii="Times New Roman" w:hAnsi="Times New Roman" w:cs="Times New Roman" w:eastAsia="Times New Roman" w:hint="default"/>
                <w:sz w:val="20"/>
                <w:szCs w:val="20"/>
              </w:rPr>
            </w:pPr>
            <w:r>
              <w:rPr>
                <w:rFonts w:ascii="Times New Roman"/>
                <w:sz w:val="20"/>
              </w:rPr>
              <w:t>41,636,611.15</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183" w:right="0"/>
              <w:jc w:val="left"/>
              <w:rPr>
                <w:rFonts w:ascii="Times New Roman" w:hAnsi="Times New Roman" w:cs="Times New Roman" w:eastAsia="Times New Roman" w:hint="default"/>
                <w:sz w:val="20"/>
                <w:szCs w:val="20"/>
              </w:rPr>
            </w:pPr>
            <w:r>
              <w:rPr>
                <w:rFonts w:ascii="Times New Roman"/>
                <w:sz w:val="20"/>
              </w:rPr>
              <w:t>674,622,105.06</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183" w:right="0"/>
              <w:jc w:val="left"/>
              <w:rPr>
                <w:rFonts w:ascii="Times New Roman" w:hAnsi="Times New Roman" w:cs="Times New Roman" w:eastAsia="Times New Roman" w:hint="default"/>
                <w:sz w:val="20"/>
                <w:szCs w:val="20"/>
              </w:rPr>
            </w:pPr>
            <w:r>
              <w:rPr>
                <w:rFonts w:ascii="Times New Roman"/>
                <w:sz w:val="20"/>
              </w:rPr>
              <w:t>513,535,626.83</w:t>
            </w:r>
          </w:p>
        </w:tc>
      </w:tr>
      <w:tr>
        <w:trPr>
          <w:trHeight w:val="286"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382" w:right="0"/>
              <w:jc w:val="left"/>
              <w:rPr>
                <w:rFonts w:ascii="Times New Roman" w:hAnsi="Times New Roman" w:cs="Times New Roman" w:eastAsia="Times New Roman" w:hint="default"/>
                <w:sz w:val="20"/>
                <w:szCs w:val="20"/>
              </w:rPr>
            </w:pPr>
            <w:r>
              <w:rPr>
                <w:rFonts w:ascii="Times New Roman"/>
                <w:sz w:val="20"/>
              </w:rPr>
              <w:t>5,256,364.60</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382" w:right="0"/>
              <w:jc w:val="left"/>
              <w:rPr>
                <w:rFonts w:ascii="Times New Roman" w:hAnsi="Times New Roman" w:cs="Times New Roman" w:eastAsia="Times New Roman" w:hint="default"/>
                <w:sz w:val="20"/>
                <w:szCs w:val="20"/>
              </w:rPr>
            </w:pPr>
            <w:r>
              <w:rPr>
                <w:rFonts w:ascii="Times New Roman"/>
                <w:sz w:val="20"/>
              </w:rPr>
              <w:t>5,058,556.80</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183" w:right="0"/>
              <w:jc w:val="left"/>
              <w:rPr>
                <w:rFonts w:ascii="Times New Roman" w:hAnsi="Times New Roman" w:cs="Times New Roman" w:eastAsia="Times New Roman" w:hint="default"/>
                <w:sz w:val="20"/>
                <w:szCs w:val="20"/>
              </w:rPr>
            </w:pPr>
            <w:r>
              <w:rPr>
                <w:rFonts w:ascii="Times New Roman"/>
                <w:sz w:val="20"/>
              </w:rPr>
              <w:t>312,463,126.56</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183" w:right="0"/>
              <w:jc w:val="left"/>
              <w:rPr>
                <w:rFonts w:ascii="Times New Roman" w:hAnsi="Times New Roman" w:cs="Times New Roman" w:eastAsia="Times New Roman" w:hint="default"/>
                <w:sz w:val="20"/>
                <w:szCs w:val="20"/>
              </w:rPr>
            </w:pPr>
            <w:r>
              <w:rPr>
                <w:rFonts w:ascii="Times New Roman"/>
                <w:sz w:val="20"/>
              </w:rPr>
              <w:t>271,106,675.88</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83" w:right="0"/>
              <w:jc w:val="left"/>
              <w:rPr>
                <w:rFonts w:ascii="Times New Roman" w:hAnsi="Times New Roman" w:cs="Times New Roman" w:eastAsia="Times New Roman" w:hint="default"/>
                <w:sz w:val="20"/>
                <w:szCs w:val="20"/>
              </w:rPr>
            </w:pPr>
            <w:r>
              <w:rPr>
                <w:rFonts w:ascii="Times New Roman"/>
                <w:sz w:val="20"/>
              </w:rPr>
              <w:t>62,492,625.31</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183" w:right="0"/>
              <w:jc w:val="left"/>
              <w:rPr>
                <w:rFonts w:ascii="Times New Roman" w:hAnsi="Times New Roman" w:cs="Times New Roman" w:eastAsia="Times New Roman" w:hint="default"/>
                <w:sz w:val="20"/>
                <w:szCs w:val="20"/>
              </w:rPr>
            </w:pPr>
            <w:r>
              <w:rPr>
                <w:rFonts w:ascii="Times New Roman"/>
                <w:sz w:val="20"/>
              </w:rPr>
              <w:t>109,662,536.15</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对联营企业权益投资的账面价值</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83" w:right="0"/>
              <w:jc w:val="left"/>
              <w:rPr>
                <w:rFonts w:ascii="Times New Roman" w:hAnsi="Times New Roman" w:cs="Times New Roman" w:eastAsia="Times New Roman" w:hint="default"/>
                <w:sz w:val="20"/>
                <w:szCs w:val="20"/>
              </w:rPr>
            </w:pPr>
            <w:r>
              <w:rPr>
                <w:rFonts w:ascii="Times New Roman"/>
                <w:sz w:val="20"/>
              </w:rPr>
              <w:t>62,492,625.31</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183" w:right="0"/>
              <w:jc w:val="left"/>
              <w:rPr>
                <w:rFonts w:ascii="Times New Roman" w:hAnsi="Times New Roman" w:cs="Times New Roman" w:eastAsia="Times New Roman" w:hint="default"/>
                <w:sz w:val="20"/>
                <w:szCs w:val="20"/>
              </w:rPr>
            </w:pPr>
            <w:r>
              <w:rPr>
                <w:rFonts w:ascii="Times New Roman"/>
                <w:sz w:val="20"/>
              </w:rPr>
              <w:t>109,662,536.15</w:t>
            </w:r>
          </w:p>
        </w:tc>
      </w:tr>
      <w:tr>
        <w:trPr>
          <w:trHeight w:val="562"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存在公开报价的联营企业权益投资的公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允价值</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183" w:right="0"/>
              <w:jc w:val="left"/>
              <w:rPr>
                <w:rFonts w:ascii="Times New Roman" w:hAnsi="Times New Roman" w:cs="Times New Roman" w:eastAsia="Times New Roman" w:hint="default"/>
                <w:sz w:val="20"/>
                <w:szCs w:val="20"/>
              </w:rPr>
            </w:pPr>
            <w:r>
              <w:rPr>
                <w:rFonts w:ascii="Times New Roman"/>
                <w:sz w:val="20"/>
              </w:rPr>
              <w:t>369,326,071.10</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183" w:right="0"/>
              <w:jc w:val="left"/>
              <w:rPr>
                <w:rFonts w:ascii="Times New Roman" w:hAnsi="Times New Roman" w:cs="Times New Roman" w:eastAsia="Times New Roman" w:hint="default"/>
                <w:sz w:val="20"/>
                <w:szCs w:val="20"/>
              </w:rPr>
            </w:pPr>
            <w:r>
              <w:rPr>
                <w:rFonts w:ascii="Times New Roman"/>
                <w:sz w:val="20"/>
              </w:rPr>
              <w:t>345,892,279.81</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83" w:right="0"/>
              <w:jc w:val="left"/>
              <w:rPr>
                <w:rFonts w:ascii="Times New Roman" w:hAnsi="Times New Roman" w:cs="Times New Roman" w:eastAsia="Times New Roman" w:hint="default"/>
                <w:sz w:val="20"/>
                <w:szCs w:val="20"/>
              </w:rPr>
            </w:pPr>
            <w:r>
              <w:rPr>
                <w:rFonts w:ascii="Times New Roman"/>
                <w:sz w:val="20"/>
              </w:rPr>
              <w:t>42,651,221.68</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16" w:right="0"/>
              <w:jc w:val="left"/>
              <w:rPr>
                <w:rFonts w:ascii="Times New Roman" w:hAnsi="Times New Roman" w:cs="Times New Roman" w:eastAsia="Times New Roman" w:hint="default"/>
                <w:sz w:val="20"/>
                <w:szCs w:val="20"/>
              </w:rPr>
            </w:pPr>
            <w:r>
              <w:rPr>
                <w:rFonts w:ascii="Times New Roman"/>
                <w:sz w:val="20"/>
              </w:rPr>
              <w:t>-45,436,202.37</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83" w:right="0"/>
              <w:jc w:val="left"/>
              <w:rPr>
                <w:rFonts w:ascii="Times New Roman" w:hAnsi="Times New Roman" w:cs="Times New Roman" w:eastAsia="Times New Roman" w:hint="default"/>
                <w:sz w:val="20"/>
                <w:szCs w:val="20"/>
              </w:rPr>
            </w:pPr>
            <w:r>
              <w:rPr>
                <w:rFonts w:ascii="Times New Roman"/>
                <w:sz w:val="20"/>
              </w:rPr>
              <w:t>42,651,221.68</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16" w:right="0"/>
              <w:jc w:val="left"/>
              <w:rPr>
                <w:rFonts w:ascii="Times New Roman" w:hAnsi="Times New Roman" w:cs="Times New Roman" w:eastAsia="Times New Roman" w:hint="default"/>
                <w:sz w:val="20"/>
                <w:szCs w:val="20"/>
              </w:rPr>
            </w:pPr>
            <w:r>
              <w:rPr>
                <w:rFonts w:ascii="Times New Roman"/>
                <w:sz w:val="20"/>
              </w:rPr>
              <w:t>-45,436,202.37</w:t>
            </w:r>
          </w:p>
        </w:tc>
      </w:tr>
      <w:tr>
        <w:trPr>
          <w:trHeight w:val="324" w:hRule="exact"/>
        </w:trPr>
        <w:tc>
          <w:tcPr>
            <w:tcW w:w="3949" w:type="dxa"/>
            <w:tcBorders>
              <w:top w:val="single" w:sz="6" w:space="0" w:color="000000"/>
              <w:left w:val="single" w:sz="4" w:space="0" w:color="000000"/>
              <w:bottom w:val="single" w:sz="4"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本年度收到的来自联营企业的股利</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4" w:space="0" w:color="000000"/>
              <w:right w:val="single" w:sz="6"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2549" w:type="dxa"/>
            <w:tcBorders>
              <w:top w:val="single" w:sz="6" w:space="0" w:color="000000"/>
              <w:left w:val="single" w:sz="6" w:space="0" w:color="000000"/>
              <w:bottom w:val="single" w:sz="4" w:space="0" w:color="000000"/>
              <w:right w:val="single" w:sz="6" w:space="0" w:color="000000"/>
            </w:tcBorders>
          </w:tcPr>
          <w:p>
            <w:pPr>
              <w:pStyle w:val="TableParagraph"/>
              <w:spacing w:line="276" w:lineRule="exact"/>
              <w:ind w:right="-20"/>
              <w:jc w:val="right"/>
              <w:rPr>
                <w:rFonts w:ascii="宋体" w:hAnsi="宋体" w:cs="宋体" w:eastAsia="宋体" w:hint="default"/>
                <w:sz w:val="24"/>
                <w:szCs w:val="24"/>
              </w:rPr>
            </w:pPr>
            <w:r>
              <w:rPr>
                <w:rFonts w:ascii="宋体"/>
                <w:sz w:val="24"/>
              </w:rPr>
              <w:t> </w:t>
            </w:r>
          </w:p>
        </w:tc>
      </w:tr>
    </w:tbl>
    <w:p>
      <w:pPr>
        <w:spacing w:after="0" w:line="276" w:lineRule="exact"/>
        <w:jc w:val="right"/>
        <w:rPr>
          <w:rFonts w:ascii="宋体" w:hAnsi="宋体" w:cs="宋体" w:eastAsia="宋体" w:hint="default"/>
          <w:sz w:val="24"/>
          <w:szCs w:val="24"/>
        </w:rPr>
        <w:sectPr>
          <w:footerReference w:type="default" r:id="rId76"/>
          <w:pgSz w:w="11910" w:h="16840"/>
          <w:pgMar w:footer="2167" w:header="882" w:top="1120" w:bottom="2360" w:left="1060" w:right="1560"/>
          <w:pgNumType w:start="178"/>
        </w:sectPr>
      </w:pPr>
    </w:p>
    <w:p>
      <w:pPr>
        <w:pStyle w:val="Heading3"/>
        <w:spacing w:line="274" w:lineRule="exact"/>
        <w:ind w:right="0"/>
        <w:jc w:val="left"/>
        <w:rPr>
          <w:rFonts w:ascii="宋体" w:hAnsi="宋体" w:cs="宋体" w:eastAsia="宋体" w:hint="default"/>
        </w:rPr>
      </w:pPr>
      <w:r>
        <w:rPr>
          <w:rFonts w:ascii="宋体"/>
        </w:rPr>
        <w:t> </w:t>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46"/>
        </w:rPr>
        <w:t> </w:t>
      </w:r>
      <w:r>
        <w:rPr/>
        <w:t>不重要的合营企业和联营企业的汇总财务信息</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6"/>
          <w:szCs w:val="26"/>
        </w:rPr>
      </w:pPr>
    </w:p>
    <w:p>
      <w:pPr>
        <w:pStyle w:val="BodyText"/>
        <w:spacing w:line="240" w:lineRule="auto"/>
        <w:ind w:left="216"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1060" w:right="1560"/>
          <w:cols w:num="2" w:equalWidth="0">
            <w:col w:w="5026" w:space="1497"/>
            <w:col w:w="276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632"/>
        <w:gridCol w:w="2907"/>
        <w:gridCol w:w="2511"/>
      </w:tblGrid>
      <w:tr>
        <w:trPr>
          <w:trHeight w:val="322"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sz w:val="24"/>
              </w:rPr>
              <w:t> </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本期发生额</w:t>
            </w:r>
            <w:r>
              <w:rPr>
                <w:rFonts w:ascii="宋体" w:hAnsi="宋体" w:cs="宋体" w:eastAsia="宋体" w:hint="default"/>
                <w:sz w:val="21"/>
                <w:szCs w:val="21"/>
              </w:rPr>
              <w:t> </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19"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r>
              <w:rPr>
                <w:rFonts w:ascii="宋体" w:hAnsi="宋体" w:cs="宋体" w:eastAsia="宋体" w:hint="default"/>
                <w:sz w:val="21"/>
                <w:szCs w:val="21"/>
              </w:rPr>
              <w:t> </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r>
              <w:rPr>
                <w:rFonts w:ascii="宋体" w:hAnsi="宋体" w:cs="宋体" w:eastAsia="宋体" w:hint="default"/>
                <w:sz w:val="21"/>
                <w:szCs w:val="21"/>
              </w:rPr>
              <w:t> </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 </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r>
              <w:rPr>
                <w:rFonts w:ascii="宋体" w:hAnsi="宋体" w:cs="宋体" w:eastAsia="宋体" w:hint="default"/>
                <w:sz w:val="21"/>
                <w:szCs w:val="21"/>
              </w:rPr>
              <w:t> </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r>
              <w:rPr>
                <w:rFonts w:ascii="宋体" w:hAnsi="宋体" w:cs="宋体" w:eastAsia="宋体" w:hint="default"/>
                <w:sz w:val="21"/>
                <w:szCs w:val="21"/>
              </w:rPr>
              <w:t> </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4"/>
                <w:szCs w:val="24"/>
              </w:rPr>
            </w:pPr>
            <w:r>
              <w:rPr>
                <w:rFonts w:ascii="宋体"/>
                <w:sz w:val="24"/>
              </w:rPr>
              <w:t> </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r>
              <w:rPr>
                <w:rFonts w:ascii="宋体" w:hAnsi="宋体" w:cs="宋体" w:eastAsia="宋体" w:hint="default"/>
                <w:sz w:val="21"/>
                <w:szCs w:val="21"/>
              </w:rPr>
              <w:t> </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187,263,179.19</w:t>
            </w:r>
            <w:r>
              <w:rPr>
                <w:rFonts w:ascii="Times New Roman"/>
                <w:sz w:val="20"/>
              </w:rPr>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147" w:right="0"/>
              <w:jc w:val="left"/>
              <w:rPr>
                <w:rFonts w:ascii="Times New Roman" w:hAnsi="Times New Roman" w:cs="Times New Roman" w:eastAsia="Times New Roman" w:hint="default"/>
                <w:sz w:val="20"/>
                <w:szCs w:val="20"/>
              </w:rPr>
            </w:pPr>
            <w:r>
              <w:rPr>
                <w:rFonts w:ascii="Times New Roman"/>
                <w:sz w:val="20"/>
              </w:rPr>
              <w:t>176,963,572.51</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r>
              <w:rPr>
                <w:rFonts w:ascii="宋体" w:hAnsi="宋体" w:cs="宋体" w:eastAsia="宋体" w:hint="default"/>
                <w:sz w:val="21"/>
                <w:szCs w:val="21"/>
              </w:rPr>
              <w:t> </w:t>
            </w:r>
          </w:p>
        </w:tc>
        <w:tc>
          <w:tcPr>
            <w:tcW w:w="2907"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r>
              <w:rPr>
                <w:rFonts w:ascii="宋体" w:hAnsi="宋体" w:cs="宋体" w:eastAsia="宋体" w:hint="default"/>
                <w:sz w:val="21"/>
                <w:szCs w:val="21"/>
              </w:rPr>
              <w:t> </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11,979,606.70</w:t>
            </w:r>
            <w:r>
              <w:rPr>
                <w:rFonts w:ascii="Times New Roman"/>
                <w:sz w:val="20"/>
              </w:rPr>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347" w:right="0"/>
              <w:jc w:val="left"/>
              <w:rPr>
                <w:rFonts w:ascii="Times New Roman" w:hAnsi="Times New Roman" w:cs="Times New Roman" w:eastAsia="Times New Roman" w:hint="default"/>
                <w:sz w:val="20"/>
                <w:szCs w:val="20"/>
              </w:rPr>
            </w:pPr>
            <w:r>
              <w:rPr>
                <w:rFonts w:ascii="Times New Roman"/>
                <w:sz w:val="20"/>
              </w:rPr>
              <w:t>4,598,182.79</w:t>
            </w:r>
          </w:p>
        </w:tc>
      </w:tr>
      <w:tr>
        <w:trPr>
          <w:trHeight w:val="284"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907" w:type="dxa"/>
            <w:tcBorders>
              <w:top w:val="single" w:sz="4" w:space="0" w:color="000000"/>
              <w:left w:val="single" w:sz="4" w:space="0" w:color="000000"/>
              <w:bottom w:val="single" w:sz="4" w:space="0" w:color="000000"/>
              <w:right w:val="single" w:sz="4" w:space="0" w:color="000000"/>
            </w:tcBorders>
          </w:tcPr>
          <w:p>
            <w:pPr/>
          </w:p>
        </w:tc>
        <w:tc>
          <w:tcPr>
            <w:tcW w:w="251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11,979,606.70</w:t>
            </w:r>
            <w:r>
              <w:rPr>
                <w:rFonts w:ascii="Times New Roman"/>
                <w:sz w:val="20"/>
              </w:rPr>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347" w:right="0"/>
              <w:jc w:val="left"/>
              <w:rPr>
                <w:rFonts w:ascii="Times New Roman" w:hAnsi="Times New Roman" w:cs="Times New Roman" w:eastAsia="Times New Roman" w:hint="default"/>
                <w:sz w:val="20"/>
                <w:szCs w:val="20"/>
              </w:rPr>
            </w:pPr>
            <w:r>
              <w:rPr>
                <w:rFonts w:ascii="Times New Roman"/>
                <w:sz w:val="20"/>
              </w:rPr>
              <w:t>4,598,182.79</w:t>
            </w:r>
          </w:p>
        </w:tc>
      </w:tr>
    </w:tbl>
    <w:p>
      <w:pPr>
        <w:pStyle w:val="Heading3"/>
        <w:spacing w:line="274" w:lineRule="exact"/>
        <w:ind w:right="0"/>
        <w:jc w:val="left"/>
        <w:rPr>
          <w:rFonts w:ascii="宋体" w:hAnsi="宋体" w:cs="宋体" w:eastAsia="宋体" w:hint="default"/>
        </w:rPr>
      </w:pPr>
      <w:r>
        <w:rPr>
          <w:rFonts w:ascii="宋体"/>
        </w:rPr>
        <w:t> </w:t>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47"/>
        </w:rPr>
        <w:t> </w:t>
      </w:r>
      <w:r>
        <w:rPr/>
        <w:t>合营企业或联营企业向本公司转移资金的能力存在重大限制的说明</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40" w:lineRule="auto" w:before="61"/>
        <w:ind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47"/>
        </w:rPr>
        <w:t> </w:t>
      </w:r>
      <w:r>
        <w:rPr/>
        <w:t>合营企业或联营企业发生的超额亏损</w:t>
      </w:r>
      <w:r>
        <w:rPr>
          <w:rFonts w:ascii="宋体" w:hAnsi="宋体" w:cs="宋体" w:eastAsia="宋体" w:hint="default"/>
          <w:w w:val="99"/>
        </w:rPr>
        <w:t> </w:t>
      </w:r>
      <w:r>
        <w:rPr>
          <w:rFonts w:ascii="宋体" w:hAnsi="宋体" w:cs="宋体" w:eastAsia="宋体" w:hint="default"/>
          <w:b w:val="0"/>
          <w:bCs w:val="0"/>
        </w:rPr>
      </w:r>
    </w:p>
    <w:p>
      <w:pPr>
        <w:spacing w:after="0" w:line="240" w:lineRule="auto"/>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b/>
          <w:bCs/>
          <w:sz w:val="18"/>
          <w:szCs w:val="18"/>
        </w:rPr>
      </w:pPr>
    </w:p>
    <w:p>
      <w:pPr>
        <w:pStyle w:val="Heading5"/>
        <w:spacing w:line="240" w:lineRule="auto" w:before="36"/>
        <w:ind w:left="136"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48"/>
        </w:rPr>
        <w:t> </w:t>
      </w:r>
      <w:r>
        <w:rPr/>
        <w:t>与合营企业投资相关的未确认承诺</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left="1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136" w:right="0"/>
        <w:jc w:val="left"/>
        <w:rPr>
          <w:rFonts w:ascii="宋体" w:hAnsi="宋体" w:cs="宋体" w:eastAsia="宋体" w:hint="default"/>
        </w:rPr>
      </w:pPr>
      <w:r>
        <w:rPr>
          <w:rFonts w:ascii="宋体"/>
        </w:rPr>
        <w:t> </w:t>
      </w:r>
    </w:p>
    <w:p>
      <w:pPr>
        <w:pStyle w:val="Heading5"/>
        <w:spacing w:line="240" w:lineRule="auto"/>
        <w:ind w:left="136" w:right="0"/>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46"/>
        </w:rPr>
        <w:t> </w:t>
      </w:r>
      <w:r>
        <w:rPr/>
        <w:t>与合营企业或联营企业投资相关的或有负债</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left="1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136" w:right="0"/>
        <w:jc w:val="left"/>
        <w:rPr>
          <w:rFonts w:ascii="宋体" w:hAnsi="宋体" w:cs="宋体" w:eastAsia="宋体" w:hint="default"/>
        </w:rPr>
      </w:pPr>
      <w:r>
        <w:rPr>
          <w:rFonts w:ascii="宋体"/>
        </w:rPr>
        <w:t> </w:t>
      </w:r>
    </w:p>
    <w:p>
      <w:pPr>
        <w:pStyle w:val="Heading5"/>
        <w:spacing w:line="240" w:lineRule="auto"/>
        <w:ind w:left="136" w:right="0"/>
        <w:jc w:val="left"/>
        <w:rPr>
          <w:rFonts w:ascii="宋体" w:hAnsi="宋体" w:cs="宋体" w:eastAsia="宋体" w:hint="default"/>
          <w:b w:val="0"/>
          <w:bCs w:val="0"/>
        </w:rPr>
      </w:pPr>
      <w:r>
        <w:rPr>
          <w:rFonts w:ascii="宋体" w:hAnsi="宋体" w:cs="宋体" w:eastAsia="宋体" w:hint="default"/>
        </w:rPr>
        <w:t>4</w:t>
      </w:r>
      <w:r>
        <w:rPr/>
        <w:t>、</w:t>
      </w:r>
      <w:r>
        <w:rPr>
          <w:spacing w:val="-4"/>
        </w:rPr>
        <w:t> </w:t>
      </w:r>
      <w:r>
        <w:rPr/>
        <w:t>重要的共同经营</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left="136" w:right="0"/>
        <w:jc w:val="left"/>
        <w:rPr>
          <w:rFonts w:ascii="宋体" w:hAnsi="宋体" w:cs="宋体" w:eastAsia="宋体" w:hint="default"/>
        </w:rPr>
      </w:pPr>
      <w:r>
        <w:rPr>
          <w:rFonts w:ascii="宋体"/>
        </w:rPr>
        <w:t> </w:t>
      </w:r>
    </w:p>
    <w:p>
      <w:pPr>
        <w:pStyle w:val="Heading3"/>
        <w:spacing w:line="313" w:lineRule="exact"/>
        <w:ind w:left="136" w:right="0"/>
        <w:jc w:val="left"/>
        <w:rPr>
          <w:rFonts w:ascii="宋体" w:hAnsi="宋体" w:cs="宋体" w:eastAsia="宋体" w:hint="default"/>
        </w:rPr>
      </w:pPr>
      <w:r>
        <w:rPr>
          <w:rFonts w:ascii="宋体"/>
        </w:rPr>
        <w:t> </w:t>
      </w:r>
    </w:p>
    <w:p>
      <w:pPr>
        <w:pStyle w:val="Heading5"/>
        <w:spacing w:line="240" w:lineRule="auto" w:before="61"/>
        <w:ind w:left="136" w:right="0"/>
        <w:jc w:val="left"/>
        <w:rPr>
          <w:rFonts w:ascii="宋体" w:hAnsi="宋体" w:cs="宋体" w:eastAsia="宋体" w:hint="default"/>
          <w:b w:val="0"/>
          <w:bCs w:val="0"/>
        </w:rPr>
      </w:pPr>
      <w:r>
        <w:rPr>
          <w:rFonts w:ascii="宋体" w:hAnsi="宋体" w:cs="宋体" w:eastAsia="宋体" w:hint="default"/>
        </w:rPr>
        <w:t>5</w:t>
      </w:r>
      <w:r>
        <w:rPr/>
        <w:t>、</w:t>
      </w:r>
      <w:r>
        <w:rPr>
          <w:spacing w:val="-7"/>
        </w:rPr>
        <w:t> </w:t>
      </w:r>
      <w:r>
        <w:rPr/>
        <w:t>在未纳入合并财务报表范围的结构化主体中的权益</w:t>
      </w:r>
      <w:r>
        <w:rPr>
          <w:rFonts w:ascii="宋体" w:hAnsi="宋体" w:cs="宋体" w:eastAsia="宋体" w:hint="default"/>
          <w:w w:val="99"/>
        </w:rPr>
        <w:t> </w:t>
      </w:r>
      <w:r>
        <w:rPr>
          <w:rFonts w:ascii="宋体" w:hAnsi="宋体" w:cs="宋体" w:eastAsia="宋体" w:hint="default"/>
          <w:b w:val="0"/>
          <w:bCs w:val="0"/>
        </w:rPr>
      </w:r>
    </w:p>
    <w:p>
      <w:pPr>
        <w:pStyle w:val="Heading3"/>
        <w:spacing w:line="312" w:lineRule="exact" w:before="53"/>
        <w:ind w:left="136" w:right="0"/>
        <w:jc w:val="left"/>
        <w:rPr>
          <w:rFonts w:ascii="宋体" w:hAnsi="宋体" w:cs="宋体" w:eastAsia="宋体" w:hint="default"/>
        </w:rPr>
      </w:pPr>
      <w:r>
        <w:rPr/>
        <w:t>未纳入合并财务报表范围的结构化主体的相关说明：</w:t>
      </w:r>
      <w:r>
        <w:rPr>
          <w:rFonts w:ascii="宋体" w:hAnsi="宋体" w:cs="宋体" w:eastAsia="宋体" w:hint="default"/>
        </w:rPr>
        <w:t> </w:t>
      </w:r>
    </w:p>
    <w:p>
      <w:pPr>
        <w:pStyle w:val="Heading3"/>
        <w:spacing w:line="311" w:lineRule="exact"/>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136" w:right="0"/>
        <w:jc w:val="left"/>
        <w:rPr>
          <w:rFonts w:ascii="宋体" w:hAnsi="宋体" w:cs="宋体" w:eastAsia="宋体" w:hint="default"/>
        </w:rPr>
      </w:pPr>
      <w:r>
        <w:rPr>
          <w:rFonts w:ascii="宋体"/>
        </w:rPr>
        <w:t> </w:t>
      </w:r>
    </w:p>
    <w:p>
      <w:pPr>
        <w:pStyle w:val="Heading5"/>
        <w:spacing w:line="240" w:lineRule="auto"/>
        <w:ind w:left="136" w:right="0"/>
        <w:jc w:val="left"/>
        <w:rPr>
          <w:rFonts w:ascii="宋体" w:hAnsi="宋体" w:cs="宋体" w:eastAsia="宋体" w:hint="default"/>
          <w:b w:val="0"/>
          <w:bCs w:val="0"/>
        </w:rPr>
      </w:pPr>
      <w:r>
        <w:rPr>
          <w:rFonts w:ascii="宋体" w:hAnsi="宋体" w:cs="宋体" w:eastAsia="宋体" w:hint="default"/>
        </w:rPr>
        <w:t>6</w:t>
      </w:r>
      <w:r>
        <w:rPr/>
        <w:t>、</w:t>
      </w:r>
      <w:r>
        <w:rPr>
          <w:spacing w:val="-4"/>
        </w:rPr>
        <w:t> </w:t>
      </w:r>
      <w:r>
        <w:rPr/>
        <w:t>其他</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left="1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136" w:right="0"/>
        <w:jc w:val="left"/>
        <w:rPr>
          <w:rFonts w:ascii="宋体" w:hAnsi="宋体" w:cs="宋体" w:eastAsia="宋体" w:hint="default"/>
        </w:rPr>
      </w:pPr>
      <w:r>
        <w:rPr>
          <w:rFonts w:ascii="宋体"/>
        </w:rPr>
        <w:t> </w:t>
      </w:r>
    </w:p>
    <w:p>
      <w:pPr>
        <w:pStyle w:val="Heading5"/>
        <w:spacing w:line="240" w:lineRule="auto"/>
        <w:ind w:left="136" w:right="0"/>
        <w:jc w:val="left"/>
        <w:rPr>
          <w:rFonts w:ascii="宋体" w:hAnsi="宋体" w:cs="宋体" w:eastAsia="宋体" w:hint="default"/>
          <w:b w:val="0"/>
          <w:bCs w:val="0"/>
        </w:rPr>
      </w:pPr>
      <w:r>
        <w:rPr/>
        <w:t>十、</w:t>
      </w:r>
      <w:r>
        <w:rPr>
          <w:spacing w:val="-96"/>
        </w:rPr>
        <w:t> </w:t>
      </w:r>
      <w:r>
        <w:rPr>
          <w:rFonts w:ascii="宋体" w:hAnsi="宋体" w:cs="宋体" w:eastAsia="宋体" w:hint="default"/>
          <w:spacing w:val="-96"/>
        </w:rPr>
      </w:r>
      <w:r>
        <w:rPr>
          <w:spacing w:val="-1"/>
        </w:rPr>
        <w:t>与金融工具相关的风险</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rFonts w:ascii="宋体" w:hAnsi="宋体" w:cs="宋体" w:eastAsia="宋体" w:hint="default"/>
          <w:b/>
          <w:bCs/>
          <w:w w:val="99"/>
        </w:rPr>
        <w:t> </w:t>
      </w:r>
      <w:r>
        <w:rPr>
          <w:rFonts w:ascii="宋体" w:hAnsi="宋体" w:cs="宋体" w:eastAsia="宋体" w:hint="default"/>
        </w:rPr>
      </w:r>
    </w:p>
    <w:p>
      <w:pPr>
        <w:pStyle w:val="Heading3"/>
        <w:spacing w:line="313" w:lineRule="exact"/>
        <w:ind w:left="136" w:right="0"/>
        <w:jc w:val="left"/>
        <w:rPr>
          <w:rFonts w:ascii="宋体" w:hAnsi="宋体" w:cs="宋体" w:eastAsia="宋体" w:hint="default"/>
        </w:rPr>
      </w:pPr>
      <w:r>
        <w:rPr>
          <w:rFonts w:ascii="宋体"/>
          <w:color w:val="808080"/>
        </w:rPr>
        <w:t> </w:t>
      </w:r>
      <w:r>
        <w:rPr>
          <w:rFonts w:ascii="宋体"/>
        </w:rPr>
      </w:r>
    </w:p>
    <w:p>
      <w:pPr>
        <w:pStyle w:val="Heading5"/>
        <w:spacing w:line="240" w:lineRule="auto" w:before="61"/>
        <w:ind w:left="136" w:right="0"/>
        <w:jc w:val="left"/>
        <w:rPr>
          <w:rFonts w:ascii="宋体" w:hAnsi="宋体" w:cs="宋体" w:eastAsia="宋体" w:hint="default"/>
          <w:b w:val="0"/>
          <w:bCs w:val="0"/>
        </w:rPr>
      </w:pPr>
      <w:r>
        <w:rPr/>
        <w:t>十一、</w:t>
      </w:r>
      <w:r>
        <w:rPr>
          <w:spacing w:val="100"/>
        </w:rPr>
        <w:t> </w:t>
      </w:r>
      <w:r>
        <w:rPr>
          <w:rFonts w:ascii="宋体" w:hAnsi="宋体" w:cs="宋体" w:eastAsia="宋体" w:hint="default"/>
          <w:spacing w:val="100"/>
        </w:rPr>
      </w:r>
      <w:r>
        <w:rPr/>
        <w:t>公允价值的披露</w:t>
      </w:r>
      <w:r>
        <w:rPr>
          <w:rFonts w:ascii="宋体" w:hAnsi="宋体" w:cs="宋体" w:eastAsia="宋体" w:hint="default"/>
          <w:w w:val="99"/>
        </w:rPr>
        <w:t> </w:t>
      </w:r>
      <w:r>
        <w:rPr>
          <w:rFonts w:ascii="宋体" w:hAnsi="宋体" w:cs="宋体" w:eastAsia="宋体" w:hint="default"/>
          <w:b w:val="0"/>
          <w:bCs w:val="0"/>
        </w:rPr>
      </w:r>
    </w:p>
    <w:p>
      <w:pPr>
        <w:pStyle w:val="Heading5"/>
        <w:spacing w:line="240" w:lineRule="auto" w:before="58"/>
        <w:ind w:left="136" w:right="0"/>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Heading3"/>
        <w:spacing w:line="313" w:lineRule="exact" w:before="50"/>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136" w:right="0"/>
        <w:jc w:val="left"/>
        <w:rPr>
          <w:rFonts w:ascii="宋体" w:hAnsi="宋体" w:cs="宋体" w:eastAsia="宋体" w:hint="default"/>
        </w:rPr>
      </w:pPr>
      <w:r>
        <w:rPr>
          <w:rFonts w:ascii="宋体"/>
        </w:rPr>
        <w:t> </w:t>
      </w:r>
    </w:p>
    <w:p>
      <w:pPr>
        <w:pStyle w:val="Heading5"/>
        <w:spacing w:line="240" w:lineRule="auto"/>
        <w:ind w:left="136" w:right="0"/>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持续和非持续第一层次公允价值计量项目市价的确定依据</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left="1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2"/>
        <w:spacing w:line="313" w:lineRule="exact"/>
        <w:ind w:right="0"/>
        <w:jc w:val="left"/>
        <w:rPr>
          <w:rFonts w:ascii="宋体" w:hAnsi="宋体" w:cs="宋体" w:eastAsia="宋体" w:hint="default"/>
          <w:b w:val="0"/>
          <w:bCs w:val="0"/>
        </w:rPr>
      </w:pPr>
      <w:r>
        <w:rPr>
          <w:rFonts w:ascii="宋体"/>
          <w:w w:val="99"/>
        </w:rPr>
        <w:t> </w:t>
      </w:r>
      <w:r>
        <w:rPr>
          <w:rFonts w:ascii="宋体"/>
          <w:b w:val="0"/>
        </w:rPr>
      </w:r>
    </w:p>
    <w:p>
      <w:pPr>
        <w:pStyle w:val="Heading5"/>
        <w:spacing w:line="240" w:lineRule="auto"/>
        <w:ind w:left="136" w:right="0"/>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Heading3"/>
        <w:spacing w:line="313" w:lineRule="exact" w:before="50"/>
        <w:ind w:left="1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136" w:right="0"/>
        <w:jc w:val="left"/>
        <w:rPr>
          <w:rFonts w:ascii="宋体" w:hAnsi="宋体" w:cs="宋体" w:eastAsia="宋体" w:hint="default"/>
        </w:rPr>
      </w:pPr>
      <w:r>
        <w:rPr>
          <w:rFonts w:ascii="宋体"/>
        </w:rPr>
        <w:t> </w:t>
      </w:r>
    </w:p>
    <w:p>
      <w:pPr>
        <w:pStyle w:val="Heading5"/>
        <w:spacing w:line="240" w:lineRule="auto"/>
        <w:ind w:left="136" w:right="0"/>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Heading3"/>
        <w:spacing w:line="313" w:lineRule="exact" w:before="50"/>
        <w:ind w:left="1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2"/>
        <w:spacing w:line="313" w:lineRule="exact"/>
        <w:ind w:right="0"/>
        <w:jc w:val="left"/>
        <w:rPr>
          <w:rFonts w:ascii="宋体" w:hAnsi="宋体" w:cs="宋体" w:eastAsia="宋体" w:hint="default"/>
          <w:b w:val="0"/>
          <w:bCs w:val="0"/>
        </w:rPr>
      </w:pPr>
      <w:r>
        <w:rPr>
          <w:rFonts w:ascii="宋体"/>
          <w:w w:val="99"/>
        </w:rPr>
        <w:t> </w:t>
      </w:r>
      <w:r>
        <w:rPr>
          <w:rFonts w:ascii="宋体"/>
          <w:b w:val="0"/>
        </w:rPr>
      </w:r>
    </w:p>
    <w:p>
      <w:pPr>
        <w:pStyle w:val="Heading5"/>
        <w:spacing w:line="240" w:lineRule="auto" w:before="61"/>
        <w:ind w:left="562" w:right="98" w:hanging="426"/>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Heading3"/>
        <w:spacing w:line="313" w:lineRule="exact" w:before="50"/>
        <w:ind w:left="1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2"/>
        <w:spacing w:line="313" w:lineRule="exact"/>
        <w:ind w:right="0"/>
        <w:jc w:val="left"/>
        <w:rPr>
          <w:rFonts w:ascii="宋体" w:hAnsi="宋体" w:cs="宋体" w:eastAsia="宋体" w:hint="default"/>
          <w:b w:val="0"/>
          <w:bCs w:val="0"/>
        </w:rPr>
      </w:pPr>
      <w:r>
        <w:rPr>
          <w:rFonts w:ascii="宋体"/>
          <w:w w:val="99"/>
        </w:rPr>
        <w:t> </w:t>
      </w:r>
      <w:r>
        <w:rPr>
          <w:rFonts w:ascii="宋体"/>
          <w:b w:val="0"/>
        </w:rPr>
      </w:r>
    </w:p>
    <w:p>
      <w:pPr>
        <w:pStyle w:val="Heading5"/>
        <w:spacing w:line="272" w:lineRule="exact" w:before="92"/>
        <w:ind w:left="562" w:right="99" w:hanging="426"/>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spacing w:after="0" w:line="272" w:lineRule="exact"/>
        <w:jc w:val="left"/>
        <w:sectPr>
          <w:pgSz w:w="11910" w:h="16840"/>
          <w:pgMar w:header="882" w:footer="2167" w:top="1120" w:bottom="2360" w:left="1140" w:right="1680"/>
        </w:sectPr>
      </w:pPr>
    </w:p>
    <w:p>
      <w:pPr>
        <w:spacing w:line="240" w:lineRule="auto" w:before="9"/>
        <w:rPr>
          <w:rFonts w:ascii="宋体" w:hAnsi="宋体" w:cs="宋体" w:eastAsia="宋体" w:hint="default"/>
          <w:b/>
          <w:bCs/>
          <w:sz w:val="18"/>
          <w:szCs w:val="18"/>
        </w:rPr>
      </w:pPr>
    </w:p>
    <w:p>
      <w:pPr>
        <w:pStyle w:val="Heading5"/>
        <w:spacing w:line="240" w:lineRule="auto" w:before="36"/>
        <w:ind w:right="0"/>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Heading3"/>
        <w:spacing w:line="313" w:lineRule="exact"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40" w:lineRule="auto"/>
        <w:ind w:right="0"/>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Heading3"/>
        <w:spacing w:line="313" w:lineRule="exact"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40" w:lineRule="auto"/>
        <w:ind w:right="0"/>
        <w:jc w:val="left"/>
        <w:rPr>
          <w:b w:val="0"/>
          <w:bCs w:val="0"/>
        </w:rPr>
      </w:pPr>
      <w:r>
        <w:rPr>
          <w:rFonts w:ascii="宋体" w:hAnsi="宋体" w:cs="宋体" w:eastAsia="宋体" w:hint="default"/>
        </w:rPr>
        <w:t>9</w:t>
      </w:r>
      <w:r>
        <w:rPr/>
        <w:t>、</w:t>
      </w:r>
      <w:r>
        <w:rPr>
          <w:spacing w:val="2"/>
        </w:rPr>
        <w:t> </w:t>
      </w:r>
      <w:r>
        <w:rPr/>
        <w:t>其他</w:t>
      </w:r>
      <w:r>
        <w:rPr>
          <w:b w:val="0"/>
          <w:bCs w:val="0"/>
        </w:rPr>
      </w:r>
    </w:p>
    <w:p>
      <w:pPr>
        <w:spacing w:line="288" w:lineRule="auto" w:before="50"/>
        <w:ind w:left="216" w:right="6434" w:firstLine="0"/>
        <w:jc w:val="left"/>
        <w:rPr>
          <w:rFonts w:ascii="宋体" w:hAnsi="宋体" w:cs="宋体" w:eastAsia="宋体" w:hint="default"/>
          <w:sz w:val="21"/>
          <w:szCs w:val="21"/>
        </w:rPr>
      </w:pPr>
      <w:r>
        <w:rPr>
          <w:rFonts w:ascii="宋体" w:hAnsi="宋体" w:cs="宋体" w:eastAsia="宋体" w:hint="default"/>
          <w:sz w:val="24"/>
          <w:szCs w:val="24"/>
        </w:rPr>
        <w:t>□适用 </w:t>
      </w:r>
      <w:r>
        <w:rPr>
          <w:rFonts w:ascii="宋体" w:hAnsi="宋体" w:cs="宋体" w:eastAsia="宋体" w:hint="default"/>
          <w:spacing w:val="87"/>
          <w:sz w:val="24"/>
          <w:szCs w:val="24"/>
        </w:rPr>
        <w:t> </w:t>
      </w:r>
      <w:r>
        <w:rPr>
          <w:rFonts w:ascii="宋体" w:hAnsi="宋体" w:cs="宋体" w:eastAsia="宋体" w:hint="default"/>
          <w:spacing w:val="87"/>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1"/>
          <w:szCs w:val="21"/>
        </w:rPr>
        <w:t>十二、</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b/>
          <w:bCs/>
          <w:sz w:val="21"/>
          <w:szCs w:val="21"/>
        </w:rPr>
        <w:t>关联方及关联交易</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pStyle w:val="Heading3"/>
        <w:spacing w:line="313" w:lineRule="exact" w:before="1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40" w:lineRule="auto" w:before="61"/>
        <w:ind w:right="0"/>
        <w:jc w:val="left"/>
        <w:rPr>
          <w:rFonts w:ascii="宋体" w:hAnsi="宋体" w:cs="宋体" w:eastAsia="宋体" w:hint="default"/>
          <w:b w:val="0"/>
          <w:bCs w:val="0"/>
        </w:rPr>
      </w:pPr>
      <w:r>
        <w:rPr>
          <w:rFonts w:ascii="宋体" w:hAnsi="宋体" w:cs="宋体" w:eastAsia="宋体" w:hint="default"/>
        </w:rPr>
        <w:t>2</w:t>
      </w:r>
      <w:r>
        <w:rPr/>
        <w:t>、</w:t>
      </w:r>
      <w:r>
        <w:rPr>
          <w:spacing w:val="2"/>
        </w:rPr>
        <w:t> </w:t>
      </w:r>
      <w:r>
        <w:rPr/>
        <w:t>本企业的子公司情况</w:t>
      </w:r>
      <w:r>
        <w:rPr>
          <w:rFonts w:ascii="宋体" w:hAnsi="宋体" w:cs="宋体" w:eastAsia="宋体" w:hint="default"/>
          <w:w w:val="99"/>
        </w:rPr>
        <w:t> </w:t>
      </w:r>
      <w:r>
        <w:rPr>
          <w:rFonts w:ascii="宋体" w:hAnsi="宋体" w:cs="宋体" w:eastAsia="宋体" w:hint="default"/>
          <w:b w:val="0"/>
          <w:bCs w:val="0"/>
        </w:rPr>
      </w:r>
    </w:p>
    <w:p>
      <w:pPr>
        <w:pStyle w:val="Heading3"/>
        <w:spacing w:line="312" w:lineRule="exact" w:before="52"/>
        <w:ind w:right="0"/>
        <w:jc w:val="left"/>
        <w:rPr>
          <w:rFonts w:ascii="宋体" w:hAnsi="宋体" w:cs="宋体" w:eastAsia="宋体" w:hint="default"/>
        </w:rPr>
      </w:pPr>
      <w:r>
        <w:rPr/>
        <w:t>本企业子公司的情况详见附注</w:t>
      </w:r>
      <w:r>
        <w:rPr>
          <w:rFonts w:ascii="宋体" w:hAnsi="宋体" w:cs="宋体" w:eastAsia="宋体" w:hint="default"/>
        </w:rPr>
        <w:t> </w:t>
      </w:r>
    </w:p>
    <w:p>
      <w:pPr>
        <w:pStyle w:val="Heading3"/>
        <w:spacing w:line="312" w:lineRule="exact" w:before="28"/>
        <w:ind w:right="1504"/>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r>
        <w:rPr/>
        <w:t>本企业子公司的情况详见附注“九、在其他主体中的权益”</w:t>
      </w:r>
      <w:r>
        <w:rPr>
          <w:rFonts w:ascii="宋体" w:hAnsi="宋体" w:cs="宋体" w:eastAsia="宋体" w:hint="default"/>
        </w:rPr>
        <w:t> </w:t>
      </w:r>
    </w:p>
    <w:p>
      <w:pPr>
        <w:pStyle w:val="Heading3"/>
        <w:spacing w:line="281" w:lineRule="exact"/>
        <w:ind w:right="0"/>
        <w:jc w:val="left"/>
        <w:rPr>
          <w:rFonts w:ascii="宋体" w:hAnsi="宋体" w:cs="宋体" w:eastAsia="宋体" w:hint="default"/>
        </w:rPr>
      </w:pPr>
      <w:r>
        <w:rPr>
          <w:rFonts w:ascii="宋体"/>
        </w:rPr>
        <w:t> </w:t>
      </w:r>
    </w:p>
    <w:p>
      <w:pPr>
        <w:pStyle w:val="Heading3"/>
        <w:spacing w:line="312" w:lineRule="exact"/>
        <w:ind w:right="0"/>
        <w:jc w:val="left"/>
        <w:rPr>
          <w:rFonts w:ascii="宋体" w:hAnsi="宋体" w:cs="宋体" w:eastAsia="宋体" w:hint="default"/>
        </w:rPr>
      </w:pPr>
      <w:r>
        <w:rPr>
          <w:rFonts w:ascii="宋体"/>
        </w:rPr>
        <w:t> </w:t>
      </w:r>
    </w:p>
    <w:p>
      <w:pPr>
        <w:pStyle w:val="Heading5"/>
        <w:spacing w:line="240" w:lineRule="auto"/>
        <w:ind w:right="0"/>
        <w:jc w:val="left"/>
        <w:rPr>
          <w:b w:val="0"/>
          <w:bCs w:val="0"/>
        </w:rPr>
      </w:pPr>
      <w:r>
        <w:rPr>
          <w:rFonts w:ascii="宋体" w:hAnsi="宋体" w:cs="宋体" w:eastAsia="宋体" w:hint="default"/>
        </w:rPr>
        <w:t>3</w:t>
      </w:r>
      <w:r>
        <w:rPr/>
        <w:t>、 本企业合营和联营企业情况</w:t>
      </w:r>
      <w:r>
        <w:rPr>
          <w:b w:val="0"/>
          <w:bCs w:val="0"/>
        </w:rPr>
      </w:r>
    </w:p>
    <w:p>
      <w:pPr>
        <w:pStyle w:val="Heading3"/>
        <w:spacing w:line="240" w:lineRule="auto"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4" w:lineRule="exact" w:before="1"/>
        <w:ind w:left="216" w:right="0"/>
        <w:jc w:val="left"/>
        <w:rPr>
          <w:rFonts w:ascii="宋体" w:hAnsi="宋体" w:cs="宋体" w:eastAsia="宋体" w:hint="default"/>
        </w:rPr>
      </w:pPr>
      <w:r>
        <w:rPr/>
        <w:t>本企业重要的合营或联营企业详见附注</w:t>
      </w:r>
      <w:r>
        <w:rPr>
          <w:rFonts w:ascii="宋体" w:hAnsi="宋体" w:cs="宋体" w:eastAsia="宋体" w:hint="default"/>
        </w:rPr>
        <w:t> </w:t>
      </w:r>
    </w:p>
    <w:p>
      <w:pPr>
        <w:pStyle w:val="BodyText"/>
        <w:spacing w:line="237" w:lineRule="auto" w:before="2"/>
        <w:ind w:left="216" w:right="230"/>
        <w:jc w:val="left"/>
        <w:rPr>
          <w:rFonts w:ascii="宋体" w:hAnsi="宋体" w:cs="宋体" w:eastAsia="宋体" w:hint="default"/>
        </w:rPr>
      </w:pPr>
      <w:r>
        <w:rPr>
          <w:rFonts w:ascii="宋体" w:hAnsi="宋体" w:cs="宋体" w:eastAsia="宋体" w:hint="default"/>
          <w:w w:val="100"/>
        </w:rPr>
        <w:t> </w:t>
      </w:r>
      <w:r>
        <w:rPr/>
        <w:t>本期与本公司发生关联方交易，或前期与本公司发生关联方交易形成余额的其他合营或联营企业                                                                   </w:t>
      </w:r>
      <w:r>
        <w:rPr>
          <w:spacing w:val="101"/>
        </w:rPr>
        <w:t> </w:t>
      </w:r>
      <w:r>
        <w:rPr>
          <w:spacing w:val="101"/>
        </w:rPr>
      </w:r>
      <w:r>
        <w:rPr>
          <w:w w:val="100"/>
        </w:rPr>
        <w:t>情况</w:t>
      </w:r>
      <w:r>
        <w:rPr>
          <w:spacing w:val="-3"/>
          <w:w w:val="100"/>
        </w:rPr>
        <w:t>如下</w:t>
      </w:r>
      <w:r>
        <w:rPr>
          <w:rFonts w:ascii="宋体" w:hAnsi="宋体" w:cs="宋体" w:eastAsia="宋体" w:hint="default"/>
          <w:w w:val="100"/>
        </w:rPr>
        <w:t> </w:t>
      </w:r>
    </w:p>
    <w:p>
      <w:pPr>
        <w:pStyle w:val="Heading3"/>
        <w:spacing w:line="305"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377"/>
        <w:gridCol w:w="3673"/>
      </w:tblGrid>
      <w:tr>
        <w:trPr>
          <w:trHeight w:val="293"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38"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r>
              <w:rPr>
                <w:rFonts w:ascii="宋体" w:hAnsi="宋体" w:cs="宋体" w:eastAsia="宋体" w:hint="default"/>
                <w:sz w:val="21"/>
                <w:szCs w:val="21"/>
              </w:rPr>
              <w:t> </w:t>
            </w: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与本企业关系</w:t>
            </w:r>
            <w:r>
              <w:rPr>
                <w:rFonts w:ascii="宋体" w:hAnsi="宋体" w:cs="宋体" w:eastAsia="宋体" w:hint="default"/>
                <w:sz w:val="21"/>
                <w:szCs w:val="21"/>
              </w:rPr>
              <w:t> </w:t>
            </w:r>
          </w:p>
        </w:tc>
      </w:tr>
      <w:tr>
        <w:trPr>
          <w:trHeight w:val="283"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江西国科军工集团有限公司</w:t>
            </w:r>
            <w:r>
              <w:rPr>
                <w:rFonts w:ascii="宋体" w:hAnsi="宋体" w:cs="宋体" w:eastAsia="宋体" w:hint="default"/>
                <w:sz w:val="21"/>
                <w:szCs w:val="21"/>
              </w:rPr>
              <w:t> </w:t>
            </w: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3"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南昌创业投资有限公司</w:t>
            </w:r>
            <w:r>
              <w:rPr>
                <w:rFonts w:ascii="宋体" w:hAnsi="宋体" w:cs="宋体" w:eastAsia="宋体" w:hint="default"/>
                <w:sz w:val="21"/>
                <w:szCs w:val="21"/>
              </w:rPr>
              <w:t> </w:t>
            </w: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1"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南昌小蓝创新创业基地管理有限公司</w:t>
            </w:r>
            <w:r>
              <w:rPr>
                <w:rFonts w:ascii="宋体" w:hAnsi="宋体" w:cs="宋体" w:eastAsia="宋体" w:hint="default"/>
                <w:sz w:val="21"/>
                <w:szCs w:val="21"/>
              </w:rPr>
              <w:t> </w:t>
            </w: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3"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福州德塔动力设备有限公司</w:t>
            </w:r>
            <w:r>
              <w:rPr>
                <w:rFonts w:ascii="宋体" w:hAnsi="宋体" w:cs="宋体" w:eastAsia="宋体" w:hint="default"/>
                <w:sz w:val="21"/>
                <w:szCs w:val="21"/>
              </w:rPr>
              <w:t> </w:t>
            </w:r>
          </w:p>
        </w:tc>
        <w:tc>
          <w:tcPr>
            <w:tcW w:w="3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bl>
    <w:p>
      <w:pPr>
        <w:pStyle w:val="Heading3"/>
        <w:spacing w:line="274" w:lineRule="exact"/>
        <w:ind w:right="0"/>
        <w:jc w:val="left"/>
        <w:rPr>
          <w:rFonts w:ascii="宋体" w:hAnsi="宋体" w:cs="宋体" w:eastAsia="宋体" w:hint="default"/>
        </w:rPr>
      </w:pPr>
      <w:r>
        <w:rPr>
          <w:rFonts w:ascii="宋体"/>
        </w:rPr>
        <w:t> </w:t>
      </w:r>
    </w:p>
    <w:p>
      <w:pPr>
        <w:pStyle w:val="BodyText"/>
        <w:spacing w:line="270" w:lineRule="exact" w:before="4"/>
        <w:ind w:left="216" w:right="0"/>
        <w:jc w:val="left"/>
        <w:rPr>
          <w:rFonts w:ascii="宋体" w:hAnsi="宋体" w:cs="宋体" w:eastAsia="宋体" w:hint="default"/>
        </w:rPr>
      </w:pPr>
      <w:r>
        <w:rPr/>
        <w:t>其他说明</w:t>
      </w:r>
      <w:r>
        <w:rPr>
          <w:rFonts w:ascii="宋体" w:hAnsi="宋体" w:cs="宋体" w:eastAsia="宋体" w:hint="default"/>
        </w:rPr>
        <w:t> </w:t>
      </w:r>
    </w:p>
    <w:p>
      <w:pPr>
        <w:pStyle w:val="Heading3"/>
        <w:spacing w:line="309"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left="216" w:right="0"/>
        <w:jc w:val="left"/>
      </w:pPr>
      <w:r>
        <w:rPr/>
        <w:t>本公司的第一及第二大股东情况</w:t>
      </w:r>
    </w:p>
    <w:p>
      <w:pPr>
        <w:spacing w:line="240" w:lineRule="auto" w:before="4"/>
        <w:rPr>
          <w:rFonts w:ascii="宋体" w:hAnsi="宋体" w:cs="宋体" w:eastAsia="宋体" w:hint="default"/>
          <w:sz w:val="2"/>
          <w:szCs w:val="2"/>
        </w:rPr>
      </w:pPr>
    </w:p>
    <w:tbl>
      <w:tblPr>
        <w:tblW w:w="0" w:type="auto"/>
        <w:jc w:val="left"/>
        <w:tblInd w:w="159" w:type="dxa"/>
        <w:tblLayout w:type="fixed"/>
        <w:tblCellMar>
          <w:top w:w="0" w:type="dxa"/>
          <w:left w:w="0" w:type="dxa"/>
          <w:bottom w:w="0" w:type="dxa"/>
          <w:right w:w="0" w:type="dxa"/>
        </w:tblCellMar>
        <w:tblLook w:val="01E0"/>
      </w:tblPr>
      <w:tblGrid>
        <w:gridCol w:w="2000"/>
        <w:gridCol w:w="1561"/>
        <w:gridCol w:w="1560"/>
        <w:gridCol w:w="1133"/>
        <w:gridCol w:w="1277"/>
        <w:gridCol w:w="1320"/>
      </w:tblGrid>
      <w:tr>
        <w:trPr>
          <w:trHeight w:val="567" w:hRule="exact"/>
        </w:trPr>
        <w:tc>
          <w:tcPr>
            <w:tcW w:w="200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5"/>
              <w:ind w:left="43"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5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5"/>
              <w:ind w:left="23"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5"/>
              <w:ind w:left="21"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1133" w:type="dxa"/>
            <w:tcBorders>
              <w:top w:val="single" w:sz="12" w:space="0" w:color="000000"/>
              <w:left w:val="single" w:sz="4" w:space="0" w:color="000000"/>
              <w:bottom w:val="single" w:sz="4" w:space="0" w:color="000000"/>
              <w:right w:val="single" w:sz="4" w:space="0" w:color="000000"/>
            </w:tcBorders>
          </w:tcPr>
          <w:p>
            <w:pPr>
              <w:pStyle w:val="TableParagraph"/>
              <w:spacing w:line="242" w:lineRule="exact"/>
              <w:ind w:left="21" w:right="0"/>
              <w:jc w:val="left"/>
              <w:rPr>
                <w:rFonts w:ascii="宋体" w:hAnsi="宋体" w:cs="宋体" w:eastAsia="宋体" w:hint="default"/>
                <w:sz w:val="21"/>
                <w:szCs w:val="21"/>
              </w:rPr>
            </w:pPr>
            <w:r>
              <w:rPr>
                <w:rFonts w:ascii="宋体" w:hAnsi="宋体" w:cs="宋体" w:eastAsia="宋体" w:hint="default"/>
                <w:sz w:val="21"/>
                <w:szCs w:val="21"/>
              </w:rPr>
              <w:t>注册资本</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万元</w:t>
            </w:r>
            <w:r>
              <w:rPr>
                <w:rFonts w:ascii="宋体" w:hAnsi="宋体" w:cs="宋体" w:eastAsia="宋体" w:hint="default"/>
                <w:sz w:val="21"/>
                <w:szCs w:val="21"/>
              </w:rPr>
              <w:t>) </w:t>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2" w:lineRule="exact"/>
              <w:ind w:left="21" w:right="-15"/>
              <w:jc w:val="left"/>
              <w:rPr>
                <w:rFonts w:ascii="宋体" w:hAnsi="宋体" w:cs="宋体" w:eastAsia="宋体" w:hint="default"/>
                <w:sz w:val="21"/>
                <w:szCs w:val="21"/>
              </w:rPr>
            </w:pPr>
            <w:r>
              <w:rPr>
                <w:rFonts w:ascii="宋体" w:hAnsi="宋体" w:cs="宋体" w:eastAsia="宋体" w:hint="default"/>
                <w:sz w:val="21"/>
                <w:szCs w:val="21"/>
              </w:rPr>
              <w:t>对本公司的</w:t>
            </w:r>
          </w:p>
          <w:p>
            <w:pPr>
              <w:pStyle w:val="TableParagraph"/>
              <w:spacing w:line="273" w:lineRule="exact"/>
              <w:ind w:left="21" w:right="-15"/>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320" w:type="dxa"/>
            <w:tcBorders>
              <w:top w:val="single" w:sz="12" w:space="0" w:color="000000"/>
              <w:left w:val="single" w:sz="4" w:space="0" w:color="000000"/>
              <w:bottom w:val="single" w:sz="4" w:space="0" w:color="000000"/>
              <w:right w:val="nil" w:sz="6" w:space="0" w:color="auto"/>
            </w:tcBorders>
          </w:tcPr>
          <w:p>
            <w:pPr>
              <w:pStyle w:val="TableParagraph"/>
              <w:spacing w:line="242" w:lineRule="exact"/>
              <w:ind w:left="21" w:right="0"/>
              <w:jc w:val="left"/>
              <w:rPr>
                <w:rFonts w:ascii="宋体" w:hAnsi="宋体" w:cs="宋体" w:eastAsia="宋体" w:hint="default"/>
                <w:sz w:val="21"/>
                <w:szCs w:val="21"/>
              </w:rPr>
            </w:pPr>
            <w:r>
              <w:rPr>
                <w:rFonts w:ascii="宋体" w:hAnsi="宋体" w:cs="宋体" w:eastAsia="宋体" w:hint="default"/>
                <w:sz w:val="21"/>
                <w:szCs w:val="21"/>
              </w:rPr>
              <w:t>对本公司的表</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决权比例</w:t>
            </w:r>
            <w:r>
              <w:rPr>
                <w:rFonts w:ascii="宋体" w:hAnsi="宋体" w:cs="宋体" w:eastAsia="宋体" w:hint="default"/>
                <w:sz w:val="21"/>
                <w:szCs w:val="21"/>
              </w:rPr>
              <w:t>(%) </w:t>
            </w:r>
          </w:p>
        </w:tc>
      </w:tr>
      <w:tr>
        <w:trPr>
          <w:trHeight w:val="350"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同方股份有限公司</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互联网信息等</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20"/>
                <w:szCs w:val="20"/>
              </w:rPr>
            </w:pPr>
            <w:r>
              <w:rPr>
                <w:rFonts w:ascii="Times New Roman"/>
                <w:w w:val="95"/>
                <w:sz w:val="20"/>
              </w:rPr>
              <w:t>296,389.90</w:t>
            </w:r>
            <w:r>
              <w:rPr>
                <w:rFonts w:ascii="Times New Roman"/>
                <w:sz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05" w:right="0"/>
              <w:jc w:val="left"/>
              <w:rPr>
                <w:rFonts w:ascii="Times New Roman" w:hAnsi="Times New Roman" w:cs="Times New Roman" w:eastAsia="Times New Roman" w:hint="default"/>
                <w:sz w:val="20"/>
                <w:szCs w:val="20"/>
              </w:rPr>
            </w:pPr>
            <w:r>
              <w:rPr>
                <w:rFonts w:ascii="Times New Roman"/>
                <w:sz w:val="20"/>
              </w:rPr>
              <w:t>19.31</w:t>
            </w:r>
          </w:p>
        </w:tc>
        <w:tc>
          <w:tcPr>
            <w:tcW w:w="13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6"/>
              <w:jc w:val="center"/>
              <w:rPr>
                <w:rFonts w:ascii="Times New Roman" w:hAnsi="Times New Roman" w:cs="Times New Roman" w:eastAsia="Times New Roman" w:hint="default"/>
                <w:sz w:val="20"/>
                <w:szCs w:val="20"/>
              </w:rPr>
            </w:pPr>
            <w:r>
              <w:rPr>
                <w:rFonts w:ascii="Times New Roman"/>
                <w:sz w:val="20"/>
              </w:rPr>
              <w:t>19.31</w:t>
            </w:r>
          </w:p>
        </w:tc>
      </w:tr>
      <w:tr>
        <w:trPr>
          <w:trHeight w:val="360" w:hRule="exact"/>
        </w:trPr>
        <w:tc>
          <w:tcPr>
            <w:tcW w:w="2000" w:type="dxa"/>
            <w:tcBorders>
              <w:top w:val="single" w:sz="4" w:space="0" w:color="000000"/>
              <w:left w:val="nil" w:sz="6" w:space="0" w:color="auto"/>
              <w:bottom w:val="single" w:sz="12" w:space="0" w:color="000000"/>
              <w:right w:val="single" w:sz="4" w:space="0" w:color="000000"/>
            </w:tcBorders>
          </w:tcPr>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泰豪集团有限公司</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12" w:space="0" w:color="000000"/>
              <w:right w:val="single" w:sz="4" w:space="0" w:color="000000"/>
            </w:tcBorders>
          </w:tcPr>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江西南昌</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制造业</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20"/>
                <w:szCs w:val="20"/>
              </w:rPr>
            </w:pPr>
            <w:r>
              <w:rPr>
                <w:rFonts w:ascii="Times New Roman"/>
                <w:w w:val="95"/>
                <w:sz w:val="20"/>
              </w:rPr>
              <w:t>70,000.00</w:t>
            </w:r>
            <w:r>
              <w:rPr>
                <w:rFonts w:ascii="Times New Roman"/>
                <w:sz w:val="20"/>
              </w:rPr>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left="405" w:right="0"/>
              <w:jc w:val="left"/>
              <w:rPr>
                <w:rFonts w:ascii="Times New Roman" w:hAnsi="Times New Roman" w:cs="Times New Roman" w:eastAsia="Times New Roman" w:hint="default"/>
                <w:sz w:val="20"/>
                <w:szCs w:val="20"/>
              </w:rPr>
            </w:pPr>
            <w:r>
              <w:rPr>
                <w:rFonts w:ascii="Times New Roman"/>
                <w:sz w:val="20"/>
              </w:rPr>
              <w:t>14.84</w:t>
            </w:r>
          </w:p>
        </w:tc>
        <w:tc>
          <w:tcPr>
            <w:tcW w:w="13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8"/>
              <w:ind w:right="6"/>
              <w:jc w:val="center"/>
              <w:rPr>
                <w:rFonts w:ascii="Times New Roman" w:hAnsi="Times New Roman" w:cs="Times New Roman" w:eastAsia="Times New Roman" w:hint="default"/>
                <w:sz w:val="20"/>
                <w:szCs w:val="20"/>
              </w:rPr>
            </w:pPr>
            <w:r>
              <w:rPr>
                <w:rFonts w:ascii="Times New Roman"/>
                <w:sz w:val="20"/>
              </w:rPr>
              <w:t>14.84</w:t>
            </w:r>
          </w:p>
        </w:tc>
      </w:tr>
    </w:tbl>
    <w:p>
      <w:pPr>
        <w:pStyle w:val="Heading3"/>
        <w:spacing w:line="273" w:lineRule="exact"/>
        <w:ind w:right="0"/>
        <w:jc w:val="left"/>
        <w:rPr>
          <w:rFonts w:ascii="宋体" w:hAnsi="宋体" w:cs="宋体" w:eastAsia="宋体" w:hint="default"/>
        </w:rPr>
      </w:pPr>
      <w:r>
        <w:rPr>
          <w:rFonts w:ascii="宋体"/>
        </w:rPr>
        <w:t> </w:t>
      </w:r>
    </w:p>
    <w:p>
      <w:pPr>
        <w:pStyle w:val="Heading3"/>
        <w:spacing w:line="311" w:lineRule="exact"/>
        <w:ind w:right="0"/>
        <w:jc w:val="left"/>
        <w:rPr>
          <w:rFonts w:ascii="宋体" w:hAnsi="宋体" w:cs="宋体" w:eastAsia="宋体" w:hint="default"/>
        </w:rPr>
      </w:pPr>
      <w:r>
        <w:rPr>
          <w:rFonts w:ascii="宋体"/>
        </w:rPr>
        <w:t> </w:t>
      </w:r>
    </w:p>
    <w:p>
      <w:pPr>
        <w:pStyle w:val="Heading3"/>
        <w:spacing w:line="311" w:lineRule="exact"/>
        <w:ind w:right="0"/>
        <w:jc w:val="left"/>
        <w:rPr>
          <w:rFonts w:ascii="宋体" w:hAnsi="宋体" w:cs="宋体" w:eastAsia="宋体" w:hint="default"/>
        </w:rPr>
      </w:pPr>
      <w:r>
        <w:rPr>
          <w:rFonts w:ascii="宋体"/>
        </w:rPr>
        <w:t> </w:t>
      </w:r>
    </w:p>
    <w:p>
      <w:pPr>
        <w:pStyle w:val="Heading3"/>
        <w:spacing w:line="313" w:lineRule="exact"/>
        <w:ind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footerReference w:type="default" r:id="rId77"/>
          <w:pgSz w:w="11910" w:h="16840"/>
          <w:pgMar w:footer="1195" w:header="882" w:top="1120" w:bottom="1380" w:left="1060" w:right="1560"/>
        </w:sectPr>
      </w:pPr>
    </w:p>
    <w:p>
      <w:pPr>
        <w:spacing w:line="240" w:lineRule="auto" w:before="9"/>
        <w:rPr>
          <w:rFonts w:ascii="宋体" w:hAnsi="宋体" w:cs="宋体" w:eastAsia="宋体" w:hint="default"/>
          <w:sz w:val="18"/>
          <w:szCs w:val="18"/>
        </w:rPr>
      </w:pPr>
    </w:p>
    <w:p>
      <w:pPr>
        <w:pStyle w:val="Heading5"/>
        <w:spacing w:line="240" w:lineRule="auto" w:before="36"/>
        <w:ind w:right="0"/>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Heading3"/>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794"/>
        <w:gridCol w:w="4256"/>
      </w:tblGrid>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6" w:right="0"/>
              <w:jc w:val="left"/>
              <w:rPr>
                <w:rFonts w:ascii="宋体" w:hAnsi="宋体" w:cs="宋体" w:eastAsia="宋体" w:hint="default"/>
                <w:sz w:val="21"/>
                <w:szCs w:val="21"/>
              </w:rPr>
            </w:pPr>
            <w:r>
              <w:rPr>
                <w:rFonts w:ascii="宋体" w:hAnsi="宋体" w:cs="宋体" w:eastAsia="宋体" w:hint="default"/>
                <w:sz w:val="21"/>
                <w:szCs w:val="21"/>
              </w:rPr>
              <w:t>其他关联方名称</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其他关联方与本企业关系</w:t>
            </w:r>
            <w:r>
              <w:rPr>
                <w:rFonts w:ascii="宋体" w:hAnsi="宋体" w:cs="宋体" w:eastAsia="宋体" w:hint="default"/>
                <w:sz w:val="21"/>
                <w:szCs w:val="21"/>
              </w:rPr>
              <w:t> </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同方股份有限公司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公司股东</w:t>
            </w:r>
            <w:r>
              <w:rPr>
                <w:rFonts w:ascii="宋体" w:hAnsi="宋体" w:cs="宋体" w:eastAsia="宋体" w:hint="default"/>
                <w:sz w:val="21"/>
                <w:szCs w:val="21"/>
              </w:rPr>
              <w:t> </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泰豪集团有限公司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公司股东</w:t>
            </w:r>
            <w:r>
              <w:rPr>
                <w:rFonts w:ascii="宋体" w:hAnsi="宋体" w:cs="宋体" w:eastAsia="宋体" w:hint="default"/>
                <w:sz w:val="21"/>
                <w:szCs w:val="21"/>
              </w:rPr>
              <w:t> </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江西泰豪动漫职业学院</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同一股东</w:t>
            </w:r>
            <w:r>
              <w:rPr>
                <w:rFonts w:ascii="宋体" w:hAnsi="宋体" w:cs="宋体" w:eastAsia="宋体" w:hint="default"/>
                <w:sz w:val="21"/>
                <w:szCs w:val="21"/>
              </w:rPr>
              <w:t> </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江西泰豪动漫有限公司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同一股东</w:t>
            </w:r>
            <w:r>
              <w:rPr>
                <w:rFonts w:ascii="宋体" w:hAnsi="宋体" w:cs="宋体" w:eastAsia="宋体" w:hint="default"/>
                <w:sz w:val="21"/>
                <w:szCs w:val="21"/>
              </w:rPr>
              <w:t> </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泰豪（上海）股权投资管理有限公司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同一股东</w:t>
            </w:r>
            <w:r>
              <w:rPr>
                <w:rFonts w:ascii="宋体" w:hAnsi="宋体" w:cs="宋体" w:eastAsia="宋体" w:hint="default"/>
                <w:sz w:val="21"/>
                <w:szCs w:val="21"/>
              </w:rPr>
              <w:t> </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江西泰豪集通技术有限公司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同一股东</w:t>
            </w:r>
            <w:r>
              <w:rPr>
                <w:rFonts w:ascii="宋体" w:hAnsi="宋体" w:cs="宋体" w:eastAsia="宋体" w:hint="default"/>
                <w:sz w:val="21"/>
                <w:szCs w:val="21"/>
              </w:rPr>
              <w:t> </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同方物业管理有限公司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同一股东</w:t>
            </w:r>
            <w:r>
              <w:rPr>
                <w:rFonts w:ascii="宋体" w:hAnsi="宋体" w:cs="宋体" w:eastAsia="宋体" w:hint="default"/>
                <w:sz w:val="21"/>
                <w:szCs w:val="21"/>
              </w:rPr>
              <w:t> </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江西笛卡传媒有限公司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同一股东</w:t>
            </w:r>
            <w:r>
              <w:rPr>
                <w:rFonts w:ascii="宋体" w:hAnsi="宋体" w:cs="宋体" w:eastAsia="宋体" w:hint="default"/>
                <w:sz w:val="21"/>
                <w:szCs w:val="21"/>
              </w:rPr>
              <w:t> </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泰豪地产控股有限公司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同一股东</w:t>
            </w:r>
            <w:r>
              <w:rPr>
                <w:rFonts w:ascii="宋体" w:hAnsi="宋体" w:cs="宋体" w:eastAsia="宋体" w:hint="default"/>
                <w:sz w:val="21"/>
                <w:szCs w:val="21"/>
              </w:rPr>
              <w:t> </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江西泰豪信息技术有限公司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同一股东</w:t>
            </w:r>
            <w:r>
              <w:rPr>
                <w:rFonts w:ascii="宋体" w:hAnsi="宋体" w:cs="宋体" w:eastAsia="宋体" w:hint="default"/>
                <w:sz w:val="21"/>
                <w:szCs w:val="21"/>
              </w:rPr>
              <w:t> </w:t>
            </w:r>
          </w:p>
        </w:tc>
      </w:tr>
      <w:tr>
        <w:trPr>
          <w:trHeight w:val="284"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贵州万华科技有限公司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同一股东</w:t>
            </w:r>
            <w:r>
              <w:rPr>
                <w:rFonts w:ascii="宋体" w:hAnsi="宋体" w:cs="宋体" w:eastAsia="宋体" w:hint="default"/>
                <w:sz w:val="21"/>
                <w:szCs w:val="21"/>
              </w:rPr>
              <w:t> </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北京泰豪智能科技有限公司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同一股东</w:t>
            </w:r>
            <w:r>
              <w:rPr>
                <w:rFonts w:ascii="宋体" w:hAnsi="宋体" w:cs="宋体" w:eastAsia="宋体" w:hint="default"/>
                <w:sz w:val="21"/>
                <w:szCs w:val="21"/>
              </w:rPr>
              <w:t> </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泰豪产城集团股份有限公司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同一股东</w:t>
            </w:r>
            <w:r>
              <w:rPr>
                <w:rFonts w:ascii="宋体" w:hAnsi="宋体" w:cs="宋体" w:eastAsia="宋体" w:hint="default"/>
                <w:sz w:val="21"/>
                <w:szCs w:val="21"/>
              </w:rPr>
              <w:t> </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泰豪创意科技集团股份有限公司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同一股东</w:t>
            </w:r>
            <w:r>
              <w:rPr>
                <w:rFonts w:ascii="宋体" w:hAnsi="宋体" w:cs="宋体" w:eastAsia="宋体" w:hint="default"/>
                <w:sz w:val="21"/>
                <w:szCs w:val="21"/>
              </w:rPr>
              <w:t> </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南昌昆腾教育科技有限公司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同一股东</w:t>
            </w:r>
            <w:r>
              <w:rPr>
                <w:rFonts w:ascii="宋体" w:hAnsi="宋体" w:cs="宋体" w:eastAsia="宋体" w:hint="default"/>
                <w:sz w:val="21"/>
                <w:szCs w:val="21"/>
              </w:rPr>
              <w:t> </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江西广泰传媒股份有限公司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同一股东</w:t>
            </w:r>
            <w:r>
              <w:rPr>
                <w:rFonts w:ascii="宋体" w:hAnsi="宋体" w:cs="宋体" w:eastAsia="宋体" w:hint="default"/>
                <w:sz w:val="21"/>
                <w:szCs w:val="21"/>
              </w:rPr>
              <w:t> </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江西泰豪职业技能培训学院</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同一股东</w:t>
            </w:r>
            <w:r>
              <w:rPr>
                <w:rFonts w:ascii="宋体" w:hAnsi="宋体" w:cs="宋体" w:eastAsia="宋体" w:hint="default"/>
                <w:sz w:val="21"/>
                <w:szCs w:val="21"/>
              </w:rPr>
              <w:t> </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长春泰豪房地产置业有限公司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同一股东</w:t>
            </w:r>
            <w:r>
              <w:rPr>
                <w:rFonts w:ascii="宋体" w:hAnsi="宋体" w:cs="宋体" w:eastAsia="宋体" w:hint="default"/>
                <w:sz w:val="21"/>
                <w:szCs w:val="21"/>
              </w:rPr>
              <w:t> </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景德镇同方科技建设有限公司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同一股东</w:t>
            </w:r>
            <w:r>
              <w:rPr>
                <w:rFonts w:ascii="宋体" w:hAnsi="宋体" w:cs="宋体" w:eastAsia="宋体" w:hint="default"/>
                <w:sz w:val="21"/>
                <w:szCs w:val="21"/>
              </w:rPr>
              <w:t> </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贵州泰豪文创置业发展有限公司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同一股东</w:t>
            </w:r>
            <w:r>
              <w:rPr>
                <w:rFonts w:ascii="宋体" w:hAnsi="宋体" w:cs="宋体" w:eastAsia="宋体" w:hint="default"/>
                <w:sz w:val="21"/>
                <w:szCs w:val="21"/>
              </w:rPr>
              <w:t> </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江西泰豪科技广场有限公司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同一股东</w:t>
            </w:r>
            <w:r>
              <w:rPr>
                <w:rFonts w:ascii="宋体" w:hAnsi="宋体" w:cs="宋体" w:eastAsia="宋体" w:hint="default"/>
                <w:sz w:val="21"/>
                <w:szCs w:val="21"/>
              </w:rPr>
              <w:t> </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同方电子科技有限公司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同一股东</w:t>
            </w:r>
            <w:r>
              <w:rPr>
                <w:rFonts w:ascii="宋体" w:hAnsi="宋体" w:cs="宋体" w:eastAsia="宋体" w:hint="default"/>
                <w:sz w:val="21"/>
                <w:szCs w:val="21"/>
              </w:rPr>
              <w:t> </w:t>
            </w:r>
          </w:p>
        </w:tc>
      </w:tr>
      <w:tr>
        <w:trPr>
          <w:trHeight w:val="284"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南昌泰豪动漫园区服务有限公司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同一股东</w:t>
            </w:r>
            <w:r>
              <w:rPr>
                <w:rFonts w:ascii="宋体" w:hAnsi="宋体" w:cs="宋体" w:eastAsia="宋体" w:hint="default"/>
                <w:sz w:val="21"/>
                <w:szCs w:val="21"/>
              </w:rPr>
              <w:t> </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江西泰豪信息技术有限公司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同一股东</w:t>
            </w:r>
            <w:r>
              <w:rPr>
                <w:rFonts w:ascii="宋体" w:hAnsi="宋体" w:cs="宋体" w:eastAsia="宋体" w:hint="default"/>
                <w:sz w:val="21"/>
                <w:szCs w:val="21"/>
              </w:rPr>
              <w:t> </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江西大麦互娱科技股份有限公司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同一股东</w:t>
            </w:r>
            <w:r>
              <w:rPr>
                <w:rFonts w:ascii="宋体" w:hAnsi="宋体" w:cs="宋体" w:eastAsia="宋体" w:hint="default"/>
                <w:sz w:val="21"/>
                <w:szCs w:val="21"/>
              </w:rPr>
              <w:t> </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南昌泰豪文化创意产业园建设发展有限公司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同一股东</w:t>
            </w:r>
            <w:r>
              <w:rPr>
                <w:rFonts w:ascii="宋体" w:hAnsi="宋体" w:cs="宋体" w:eastAsia="宋体" w:hint="default"/>
                <w:sz w:val="21"/>
                <w:szCs w:val="21"/>
              </w:rPr>
              <w:t> </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清华同方（哈尔滨）水务有限公司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同一股东</w:t>
            </w:r>
            <w:r>
              <w:rPr>
                <w:rFonts w:ascii="宋体" w:hAnsi="宋体" w:cs="宋体" w:eastAsia="宋体" w:hint="default"/>
                <w:sz w:val="21"/>
                <w:szCs w:val="21"/>
              </w:rPr>
              <w:t> </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同方环境股份有限公司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同一股东</w:t>
            </w:r>
            <w:r>
              <w:rPr>
                <w:rFonts w:ascii="宋体" w:hAnsi="宋体" w:cs="宋体" w:eastAsia="宋体" w:hint="default"/>
                <w:sz w:val="21"/>
                <w:szCs w:val="21"/>
              </w:rPr>
              <w:t> </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同方江新造船有限公司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同一股东</w:t>
            </w:r>
            <w:r>
              <w:rPr>
                <w:rFonts w:ascii="宋体" w:hAnsi="宋体" w:cs="宋体" w:eastAsia="宋体" w:hint="default"/>
                <w:sz w:val="21"/>
                <w:szCs w:val="21"/>
              </w:rPr>
              <w:t> </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赣资泰豪（上海）股权管理有限公司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同一股东</w:t>
            </w:r>
            <w:r>
              <w:rPr>
                <w:rFonts w:ascii="宋体" w:hAnsi="宋体" w:cs="宋体" w:eastAsia="宋体" w:hint="default"/>
                <w:sz w:val="21"/>
                <w:szCs w:val="21"/>
              </w:rPr>
              <w:t> </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泰豪园区投资有限公司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同一股东</w:t>
            </w:r>
            <w:r>
              <w:rPr>
                <w:rFonts w:ascii="宋体" w:hAnsi="宋体" w:cs="宋体" w:eastAsia="宋体" w:hint="default"/>
                <w:sz w:val="21"/>
                <w:szCs w:val="21"/>
              </w:rPr>
              <w:t> </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贵州大学明德学院</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同一股东</w:t>
            </w:r>
            <w:r>
              <w:rPr>
                <w:rFonts w:ascii="宋体" w:hAnsi="宋体" w:cs="宋体" w:eastAsia="宋体" w:hint="default"/>
                <w:sz w:val="21"/>
                <w:szCs w:val="21"/>
              </w:rPr>
              <w:t> </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山东吉美乐有限公司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同一股东</w:t>
            </w:r>
            <w:r>
              <w:rPr>
                <w:rFonts w:ascii="宋体" w:hAnsi="宋体" w:cs="宋体" w:eastAsia="宋体" w:hint="default"/>
                <w:sz w:val="21"/>
                <w:szCs w:val="21"/>
              </w:rPr>
              <w:t> </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江西瑞悦装饰设计工程有限公司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同一股东</w:t>
            </w:r>
            <w:r>
              <w:rPr>
                <w:rFonts w:ascii="宋体" w:hAnsi="宋体" w:cs="宋体" w:eastAsia="宋体" w:hint="default"/>
                <w:sz w:val="21"/>
                <w:szCs w:val="21"/>
              </w:rPr>
              <w:t> </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江西泰达空调电器有限公司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同一股东</w:t>
            </w:r>
            <w:r>
              <w:rPr>
                <w:rFonts w:ascii="宋体" w:hAnsi="宋体" w:cs="宋体" w:eastAsia="宋体" w:hint="default"/>
                <w:sz w:val="21"/>
                <w:szCs w:val="21"/>
              </w:rPr>
              <w:t> </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贵州泰豪电力科技有限公司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同一股东</w:t>
            </w:r>
            <w:r>
              <w:rPr>
                <w:rFonts w:ascii="宋体" w:hAnsi="宋体" w:cs="宋体" w:eastAsia="宋体" w:hint="default"/>
                <w:sz w:val="21"/>
                <w:szCs w:val="21"/>
              </w:rPr>
              <w:t> </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康富科技有限公司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同一股东</w:t>
            </w:r>
            <w:r>
              <w:rPr>
                <w:rFonts w:ascii="宋体" w:hAnsi="宋体" w:cs="宋体" w:eastAsia="宋体" w:hint="default"/>
                <w:sz w:val="21"/>
                <w:szCs w:val="21"/>
              </w:rPr>
              <w:t> </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济南吉美乐电源技术有限公司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同一股东</w:t>
            </w:r>
            <w:r>
              <w:rPr>
                <w:rFonts w:ascii="宋体" w:hAnsi="宋体" w:cs="宋体" w:eastAsia="宋体" w:hint="default"/>
                <w:sz w:val="21"/>
                <w:szCs w:val="21"/>
              </w:rPr>
              <w:t> </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江西国科军工集团有限公司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南昌创业投资有限公司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南昌小蓝创新创业基地管理有限公司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成都华太航空科技有限公司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 Tech Power Solution</w:t>
            </w:r>
            <w:r>
              <w:rPr>
                <w:rFonts w:ascii="宋体"/>
                <w:spacing w:val="-3"/>
                <w:sz w:val="21"/>
              </w:rPr>
              <w:t> </w:t>
            </w:r>
            <w:r>
              <w:rPr>
                <w:rFonts w:ascii="宋体"/>
                <w:sz w:val="21"/>
              </w:rPr>
              <w:t>Limited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重庆园业售电有限公司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上海朋迈能源科技有限公司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bl>
    <w:p>
      <w:pPr>
        <w:spacing w:after="0" w:line="241" w:lineRule="exact"/>
        <w:jc w:val="center"/>
        <w:rPr>
          <w:rFonts w:ascii="宋体" w:hAnsi="宋体" w:cs="宋体" w:eastAsia="宋体" w:hint="default"/>
          <w:sz w:val="21"/>
          <w:szCs w:val="21"/>
        </w:rPr>
        <w:sectPr>
          <w:footerReference w:type="default" r:id="rId78"/>
          <w:pgSz w:w="11910" w:h="16840"/>
          <w:pgMar w:footer="1195" w:header="882" w:top="1120" w:bottom="1380" w:left="1060" w:right="1560"/>
          <w:pgNumType w:start="181"/>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4794"/>
        <w:gridCol w:w="4256"/>
      </w:tblGrid>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上海中汇金泰豪物业管理有限公司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深圳市中航比特通讯技术有限公司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福州德塔动力设备有限公司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泰豪沈阳电机有限公司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南昌</w:t>
            </w:r>
            <w:r>
              <w:rPr>
                <w:rFonts w:ascii="宋体" w:hAnsi="宋体" w:cs="宋体" w:eastAsia="宋体" w:hint="default"/>
                <w:spacing w:val="-54"/>
                <w:sz w:val="21"/>
                <w:szCs w:val="21"/>
              </w:rPr>
              <w:t> </w:t>
            </w:r>
            <w:r>
              <w:rPr>
                <w:rFonts w:ascii="宋体" w:hAnsi="宋体" w:cs="宋体" w:eastAsia="宋体" w:hint="default"/>
                <w:sz w:val="21"/>
                <w:szCs w:val="21"/>
              </w:rPr>
              <w:t>ABB</w:t>
            </w:r>
            <w:r>
              <w:rPr>
                <w:rFonts w:ascii="宋体" w:hAnsi="宋体" w:cs="宋体" w:eastAsia="宋体" w:hint="default"/>
                <w:spacing w:val="-55"/>
                <w:sz w:val="21"/>
                <w:szCs w:val="21"/>
              </w:rPr>
              <w:t> </w:t>
            </w:r>
            <w:r>
              <w:rPr>
                <w:rFonts w:ascii="宋体" w:hAnsi="宋体" w:cs="宋体" w:eastAsia="宋体" w:hint="default"/>
                <w:sz w:val="21"/>
                <w:szCs w:val="21"/>
              </w:rPr>
              <w:t>发电机有限公司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共青城以琳投资管理合伙企业（有限合伙）</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bl>
    <w:p>
      <w:pPr>
        <w:spacing w:after="0" w:line="241" w:lineRule="exact"/>
        <w:jc w:val="center"/>
        <w:rPr>
          <w:rFonts w:ascii="宋体" w:hAnsi="宋体" w:cs="宋体" w:eastAsia="宋体" w:hint="default"/>
          <w:sz w:val="21"/>
          <w:szCs w:val="21"/>
        </w:rPr>
        <w:sectPr>
          <w:pgSz w:w="11910" w:h="16840"/>
          <w:pgMar w:header="882" w:footer="1195" w:top="1120" w:bottom="1380" w:left="1060" w:right="1560"/>
        </w:sectPr>
      </w:pPr>
    </w:p>
    <w:p>
      <w:pPr>
        <w:pStyle w:val="Heading3"/>
        <w:spacing w:line="273" w:lineRule="exact"/>
        <w:ind w:right="0"/>
        <w:jc w:val="left"/>
        <w:rPr>
          <w:rFonts w:ascii="宋体" w:hAnsi="宋体" w:cs="宋体" w:eastAsia="宋体" w:hint="default"/>
        </w:rPr>
      </w:pPr>
      <w:r>
        <w:rPr>
          <w:rFonts w:ascii="宋体"/>
        </w:rPr>
        <w:t> </w:t>
      </w:r>
    </w:p>
    <w:p>
      <w:pPr>
        <w:pStyle w:val="Heading2"/>
        <w:spacing w:line="313" w:lineRule="exact"/>
        <w:ind w:left="216" w:right="0"/>
        <w:jc w:val="left"/>
        <w:rPr>
          <w:rFonts w:ascii="宋体" w:hAnsi="宋体" w:cs="宋体" w:eastAsia="宋体" w:hint="default"/>
          <w:b w:val="0"/>
          <w:bCs w:val="0"/>
        </w:rPr>
      </w:pPr>
      <w:r>
        <w:rPr>
          <w:rFonts w:ascii="宋体"/>
          <w:w w:val="99"/>
        </w:rPr>
        <w:t> </w:t>
      </w:r>
      <w:r>
        <w:rPr>
          <w:rFonts w:ascii="宋体"/>
          <w:b w:val="0"/>
        </w:rPr>
      </w:r>
    </w:p>
    <w:p>
      <w:pPr>
        <w:spacing w:line="288" w:lineRule="auto" w:before="61"/>
        <w:ind w:left="216" w:right="0" w:firstLine="0"/>
        <w:jc w:val="left"/>
        <w:rPr>
          <w:rFonts w:ascii="宋体" w:hAnsi="宋体" w:cs="宋体" w:eastAsia="宋体" w:hint="default"/>
          <w:sz w:val="24"/>
          <w:szCs w:val="24"/>
        </w:rPr>
      </w:pPr>
      <w:r>
        <w:rPr>
          <w:rFonts w:ascii="宋体" w:hAnsi="宋体" w:cs="宋体" w:eastAsia="宋体" w:hint="default"/>
          <w:b/>
          <w:bCs/>
          <w:sz w:val="21"/>
          <w:szCs w:val="21"/>
        </w:rPr>
        <w:t>5</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4"/>
          <w:szCs w:val="24"/>
        </w:rPr>
        <w:t>采购商品</w:t>
      </w:r>
      <w:r>
        <w:rPr>
          <w:rFonts w:ascii="宋体" w:hAnsi="宋体" w:cs="宋体" w:eastAsia="宋体" w:hint="default"/>
          <w:sz w:val="24"/>
          <w:szCs w:val="24"/>
        </w:rPr>
        <w:t>/</w:t>
      </w:r>
      <w:r>
        <w:rPr>
          <w:rFonts w:ascii="宋体" w:hAnsi="宋体" w:cs="宋体" w:eastAsia="宋体" w:hint="default"/>
          <w:sz w:val="24"/>
          <w:szCs w:val="24"/>
        </w:rPr>
        <w:t>接受劳务情况表</w:t>
      </w:r>
      <w:r>
        <w:rPr>
          <w:rFonts w:ascii="宋体" w:hAnsi="宋体" w:cs="宋体" w:eastAsia="宋体" w:hint="default"/>
          <w:sz w:val="24"/>
          <w:szCs w:val="24"/>
        </w:rPr>
        <w:t> </w:t>
      </w:r>
    </w:p>
    <w:p>
      <w:pPr>
        <w:pStyle w:val="Heading3"/>
        <w:spacing w:line="264" w:lineRule="exact"/>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8"/>
          <w:szCs w:val="28"/>
        </w:rPr>
      </w:pPr>
    </w:p>
    <w:p>
      <w:pPr>
        <w:pStyle w:val="BodyText"/>
        <w:spacing w:line="240" w:lineRule="auto"/>
        <w:ind w:left="216"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sz w:val="24"/>
          <w:szCs w:val="24"/>
        </w:rPr>
        <w:t> </w:t>
      </w:r>
      <w:r>
        <w:rPr>
          <w:rFonts w:ascii="宋体" w:hAnsi="宋体" w:cs="宋体" w:eastAsia="宋体" w:hint="default"/>
          <w:sz w:val="24"/>
          <w:szCs w:val="24"/>
        </w:rPr>
      </w:r>
    </w:p>
    <w:p>
      <w:pPr>
        <w:spacing w:after="0" w:line="240" w:lineRule="auto"/>
        <w:jc w:val="left"/>
        <w:rPr>
          <w:rFonts w:ascii="宋体" w:hAnsi="宋体" w:cs="宋体" w:eastAsia="宋体" w:hint="default"/>
          <w:sz w:val="24"/>
          <w:szCs w:val="24"/>
        </w:rPr>
        <w:sectPr>
          <w:type w:val="continuous"/>
          <w:pgSz w:w="11910" w:h="16840"/>
          <w:pgMar w:top="1120" w:bottom="1380" w:left="1060" w:right="1560"/>
          <w:cols w:num="2" w:equalWidth="0">
            <w:col w:w="4332" w:space="2190"/>
            <w:col w:w="2768"/>
          </w:cols>
        </w:sectPr>
      </w:pPr>
    </w:p>
    <w:p>
      <w:pPr>
        <w:spacing w:line="240" w:lineRule="auto" w:before="4"/>
        <w:rPr>
          <w:rFonts w:ascii="宋体" w:hAnsi="宋体" w:cs="宋体" w:eastAsia="宋体" w:hint="default"/>
          <w:b/>
          <w:bCs/>
          <w:sz w:val="2"/>
          <w:szCs w:val="2"/>
        </w:rPr>
      </w:pPr>
    </w:p>
    <w:tbl>
      <w:tblPr>
        <w:tblW w:w="0" w:type="auto"/>
        <w:jc w:val="left"/>
        <w:tblInd w:w="180" w:type="dxa"/>
        <w:tblLayout w:type="fixed"/>
        <w:tblCellMar>
          <w:top w:w="0" w:type="dxa"/>
          <w:left w:w="0" w:type="dxa"/>
          <w:bottom w:w="0" w:type="dxa"/>
          <w:right w:w="0" w:type="dxa"/>
        </w:tblCellMar>
        <w:tblLook w:val="01E0"/>
      </w:tblPr>
      <w:tblGrid>
        <w:gridCol w:w="3570"/>
        <w:gridCol w:w="2144"/>
        <w:gridCol w:w="1572"/>
        <w:gridCol w:w="1611"/>
      </w:tblGrid>
      <w:tr>
        <w:trPr>
          <w:trHeight w:val="305"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5"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34" w:right="0"/>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5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7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同方赛威讯信息技术有限公司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智能电力产品</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1,203,185.84</w:t>
            </w:r>
            <w:r>
              <w:rPr>
                <w:rFonts w:ascii="Times New Roman"/>
                <w:sz w:val="20"/>
              </w:rPr>
            </w:r>
          </w:p>
        </w:tc>
        <w:tc>
          <w:tcPr>
            <w:tcW w:w="161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同方工业信息技术有限公司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智能电力产品</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20"/>
                <w:szCs w:val="20"/>
              </w:rPr>
            </w:pPr>
            <w:r>
              <w:rPr>
                <w:rFonts w:ascii="Times New Roman"/>
                <w:w w:val="95"/>
                <w:sz w:val="20"/>
              </w:rPr>
              <w:t>174,808.85</w:t>
            </w:r>
            <w:r>
              <w:rPr>
                <w:rFonts w:ascii="Times New Roman"/>
                <w:sz w:val="20"/>
              </w:rPr>
            </w:r>
          </w:p>
        </w:tc>
        <w:tc>
          <w:tcPr>
            <w:tcW w:w="161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泰豪集团有限公司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智能电力产品</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20"/>
                <w:szCs w:val="20"/>
              </w:rPr>
            </w:pPr>
            <w:r>
              <w:rPr>
                <w:rFonts w:ascii="Times New Roman"/>
                <w:w w:val="95"/>
                <w:sz w:val="20"/>
              </w:rPr>
              <w:t>424,778.74</w:t>
            </w:r>
            <w:r>
              <w:rPr>
                <w:rFonts w:ascii="Times New Roman"/>
                <w:sz w:val="20"/>
              </w:rPr>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20"/>
                <w:szCs w:val="20"/>
              </w:rPr>
            </w:pPr>
            <w:r>
              <w:rPr>
                <w:rFonts w:ascii="Times New Roman"/>
                <w:w w:val="95"/>
                <w:sz w:val="20"/>
              </w:rPr>
              <w:t>217,615.22</w:t>
            </w:r>
            <w:r>
              <w:rPr>
                <w:rFonts w:ascii="Times New Roman"/>
                <w:sz w:val="20"/>
              </w:rPr>
            </w:r>
          </w:p>
        </w:tc>
      </w:tr>
      <w:tr>
        <w:trPr>
          <w:trHeight w:val="283"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贵州泰豪电力科技有限公司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智能电力产品</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23,367,324.50</w:t>
            </w:r>
            <w:r>
              <w:rPr>
                <w:rFonts w:ascii="Times New Roman"/>
                <w:sz w:val="20"/>
              </w:rPr>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22,342,598.87</w:t>
            </w:r>
            <w:r>
              <w:rPr>
                <w:rFonts w:ascii="Times New Roman"/>
                <w:sz w:val="20"/>
              </w:rPr>
            </w:r>
          </w:p>
        </w:tc>
      </w:tr>
      <w:tr>
        <w:trPr>
          <w:trHeight w:val="283"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康富科技有限公司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智能电力产品</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20,902,407.86</w:t>
            </w:r>
            <w:r>
              <w:rPr>
                <w:rFonts w:ascii="Times New Roman"/>
                <w:sz w:val="20"/>
              </w:rPr>
            </w:r>
          </w:p>
        </w:tc>
        <w:tc>
          <w:tcPr>
            <w:tcW w:w="161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江西泰达空调电器有限公司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智能电力产品</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4"/>
              <w:jc w:val="right"/>
              <w:rPr>
                <w:rFonts w:ascii="Times New Roman" w:hAnsi="Times New Roman" w:cs="Times New Roman" w:eastAsia="Times New Roman" w:hint="default"/>
                <w:sz w:val="20"/>
                <w:szCs w:val="20"/>
              </w:rPr>
            </w:pPr>
            <w:r>
              <w:rPr>
                <w:rFonts w:ascii="Times New Roman"/>
                <w:w w:val="95"/>
                <w:sz w:val="20"/>
              </w:rPr>
              <w:t>703,650.44</w:t>
            </w:r>
            <w:r>
              <w:rPr>
                <w:rFonts w:ascii="Times New Roman"/>
                <w:sz w:val="20"/>
              </w:rPr>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4"/>
              <w:jc w:val="right"/>
              <w:rPr>
                <w:rFonts w:ascii="Times New Roman" w:hAnsi="Times New Roman" w:cs="Times New Roman" w:eastAsia="Times New Roman" w:hint="default"/>
                <w:sz w:val="20"/>
                <w:szCs w:val="20"/>
              </w:rPr>
            </w:pPr>
            <w:r>
              <w:rPr>
                <w:rFonts w:ascii="Times New Roman"/>
                <w:w w:val="95"/>
                <w:sz w:val="20"/>
              </w:rPr>
              <w:t>41,206.03</w:t>
            </w:r>
            <w:r>
              <w:rPr>
                <w:rFonts w:ascii="Times New Roman"/>
                <w:sz w:val="20"/>
              </w:rPr>
            </w:r>
          </w:p>
        </w:tc>
      </w:tr>
      <w:tr>
        <w:trPr>
          <w:trHeight w:val="283"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北京泰豪智能科技有限公司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智能电力产品</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20"/>
                <w:szCs w:val="20"/>
              </w:rPr>
            </w:pPr>
            <w:r>
              <w:rPr>
                <w:rFonts w:ascii="Times New Roman"/>
                <w:w w:val="95"/>
                <w:sz w:val="20"/>
              </w:rPr>
              <w:t>365,923.93</w:t>
            </w:r>
            <w:r>
              <w:rPr>
                <w:rFonts w:ascii="Times New Roman"/>
                <w:sz w:val="20"/>
              </w:rPr>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20,000,000.00</w:t>
            </w:r>
            <w:r>
              <w:rPr>
                <w:rFonts w:ascii="Times New Roman"/>
                <w:sz w:val="20"/>
              </w:rPr>
            </w:r>
          </w:p>
        </w:tc>
      </w:tr>
      <w:tr>
        <w:trPr>
          <w:trHeight w:val="281"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泰豪信息技术有限公司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智能电力产品</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20"/>
                <w:szCs w:val="20"/>
              </w:rPr>
            </w:pPr>
            <w:r>
              <w:rPr>
                <w:rFonts w:ascii="Times New Roman"/>
                <w:w w:val="95"/>
                <w:sz w:val="20"/>
              </w:rPr>
              <w:t>308,297.73</w:t>
            </w:r>
            <w:r>
              <w:rPr>
                <w:rFonts w:ascii="Times New Roman"/>
                <w:sz w:val="20"/>
              </w:rPr>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20"/>
                <w:szCs w:val="20"/>
              </w:rPr>
            </w:pPr>
            <w:r>
              <w:rPr>
                <w:rFonts w:ascii="Times New Roman"/>
                <w:w w:val="95"/>
                <w:sz w:val="20"/>
              </w:rPr>
              <w:t>541,117.90</w:t>
            </w:r>
            <w:r>
              <w:rPr>
                <w:rFonts w:ascii="Times New Roman"/>
                <w:sz w:val="20"/>
              </w:rPr>
            </w:r>
          </w:p>
        </w:tc>
      </w:tr>
      <w:tr>
        <w:trPr>
          <w:trHeight w:val="283"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泰豪沈阳电机有限公司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智能电力产品</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20"/>
                <w:szCs w:val="20"/>
              </w:rPr>
            </w:pPr>
            <w:r>
              <w:rPr>
                <w:rFonts w:ascii="Times New Roman"/>
                <w:w w:val="95"/>
                <w:sz w:val="20"/>
              </w:rPr>
              <w:t>239,115.05</w:t>
            </w:r>
            <w:r>
              <w:rPr>
                <w:rFonts w:ascii="Times New Roman"/>
                <w:sz w:val="20"/>
              </w:rPr>
            </w:r>
          </w:p>
        </w:tc>
        <w:tc>
          <w:tcPr>
            <w:tcW w:w="161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江西瑞悦装饰设计工程有限公司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智能电力产品</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20"/>
                <w:szCs w:val="20"/>
              </w:rPr>
            </w:pPr>
            <w:r>
              <w:rPr>
                <w:rFonts w:ascii="Times New Roman"/>
                <w:w w:val="95"/>
                <w:sz w:val="20"/>
              </w:rPr>
              <w:t>182,947.58</w:t>
            </w:r>
            <w:r>
              <w:rPr>
                <w:rFonts w:ascii="Times New Roman"/>
                <w:sz w:val="20"/>
              </w:rPr>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11,818,181.82</w:t>
            </w:r>
            <w:r>
              <w:rPr>
                <w:rFonts w:ascii="Times New Roman"/>
                <w:sz w:val="20"/>
              </w:rPr>
            </w:r>
          </w:p>
        </w:tc>
      </w:tr>
      <w:tr>
        <w:trPr>
          <w:trHeight w:val="281"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南昌</w:t>
            </w:r>
            <w:r>
              <w:rPr>
                <w:rFonts w:ascii="宋体" w:hAnsi="宋体" w:cs="宋体" w:eastAsia="宋体" w:hint="default"/>
                <w:spacing w:val="-54"/>
                <w:sz w:val="21"/>
                <w:szCs w:val="21"/>
              </w:rPr>
              <w:t> </w:t>
            </w:r>
            <w:r>
              <w:rPr>
                <w:rFonts w:ascii="宋体" w:hAnsi="宋体" w:cs="宋体" w:eastAsia="宋体" w:hint="default"/>
                <w:sz w:val="21"/>
                <w:szCs w:val="21"/>
              </w:rPr>
              <w:t>ABB</w:t>
            </w:r>
            <w:r>
              <w:rPr>
                <w:rFonts w:ascii="宋体" w:hAnsi="宋体" w:cs="宋体" w:eastAsia="宋体" w:hint="default"/>
                <w:spacing w:val="-55"/>
                <w:sz w:val="21"/>
                <w:szCs w:val="21"/>
              </w:rPr>
              <w:t> </w:t>
            </w:r>
            <w:r>
              <w:rPr>
                <w:rFonts w:ascii="宋体" w:hAnsi="宋体" w:cs="宋体" w:eastAsia="宋体" w:hint="default"/>
                <w:sz w:val="21"/>
                <w:szCs w:val="21"/>
              </w:rPr>
              <w:t>发电机有限公司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智能电力产品</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20"/>
                <w:szCs w:val="20"/>
              </w:rPr>
            </w:pPr>
            <w:r>
              <w:rPr>
                <w:rFonts w:ascii="Times New Roman"/>
                <w:w w:val="95"/>
                <w:sz w:val="20"/>
              </w:rPr>
              <w:t>103,448.28</w:t>
            </w:r>
            <w:r>
              <w:rPr>
                <w:rFonts w:ascii="Times New Roman"/>
                <w:sz w:val="20"/>
              </w:rPr>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9,475,275.56</w:t>
            </w:r>
            <w:r>
              <w:rPr>
                <w:rFonts w:ascii="Times New Roman"/>
                <w:sz w:val="20"/>
              </w:rPr>
            </w:r>
          </w:p>
        </w:tc>
      </w:tr>
      <w:tr>
        <w:trPr>
          <w:trHeight w:val="283"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北京同方物业管理有限公司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物业管理</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20"/>
                <w:szCs w:val="20"/>
              </w:rPr>
            </w:pPr>
            <w:r>
              <w:rPr>
                <w:rFonts w:ascii="Times New Roman"/>
                <w:w w:val="95"/>
                <w:sz w:val="20"/>
              </w:rPr>
              <w:t>408,866.08</w:t>
            </w:r>
            <w:r>
              <w:rPr>
                <w:rFonts w:ascii="Times New Roman"/>
                <w:sz w:val="20"/>
              </w:rPr>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20"/>
                <w:szCs w:val="20"/>
              </w:rPr>
            </w:pPr>
            <w:r>
              <w:rPr>
                <w:rFonts w:ascii="Times New Roman"/>
                <w:w w:val="95"/>
                <w:sz w:val="20"/>
              </w:rPr>
              <w:t>360,905.69</w:t>
            </w:r>
            <w:r>
              <w:rPr>
                <w:rFonts w:ascii="Times New Roman"/>
                <w:sz w:val="20"/>
              </w:rPr>
            </w:r>
          </w:p>
        </w:tc>
      </w:tr>
      <w:tr>
        <w:trPr>
          <w:trHeight w:val="283"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北京泰豪智能科技有限公司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物业管理</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20"/>
                <w:szCs w:val="20"/>
              </w:rPr>
            </w:pPr>
            <w:r>
              <w:rPr>
                <w:rFonts w:ascii="Times New Roman"/>
                <w:w w:val="95"/>
                <w:sz w:val="20"/>
              </w:rPr>
              <w:t>238,754.53</w:t>
            </w:r>
            <w:r>
              <w:rPr>
                <w:rFonts w:ascii="Times New Roman"/>
                <w:sz w:val="20"/>
              </w:rPr>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20"/>
                <w:szCs w:val="20"/>
              </w:rPr>
            </w:pPr>
            <w:r>
              <w:rPr>
                <w:rFonts w:ascii="Times New Roman"/>
                <w:w w:val="95"/>
                <w:sz w:val="20"/>
              </w:rPr>
              <w:t>1,028.89</w:t>
            </w:r>
            <w:r>
              <w:rPr>
                <w:rFonts w:ascii="Times New Roman"/>
                <w:sz w:val="20"/>
              </w:rPr>
            </w:r>
          </w:p>
        </w:tc>
      </w:tr>
      <w:tr>
        <w:trPr>
          <w:trHeight w:val="281"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泰豪集团有限公司北京分公司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物业管理</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20"/>
                <w:szCs w:val="20"/>
              </w:rPr>
            </w:pPr>
            <w:r>
              <w:rPr>
                <w:rFonts w:ascii="Times New Roman"/>
                <w:w w:val="95"/>
                <w:sz w:val="20"/>
              </w:rPr>
              <w:t>10,392.45</w:t>
            </w:r>
            <w:r>
              <w:rPr>
                <w:rFonts w:ascii="Times New Roman"/>
                <w:sz w:val="20"/>
              </w:rPr>
            </w:r>
          </w:p>
        </w:tc>
      </w:tr>
      <w:tr>
        <w:trPr>
          <w:trHeight w:val="283"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江西泰豪职业技能培训学院</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培训</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1,134,253.99</w:t>
            </w:r>
            <w:r>
              <w:rPr>
                <w:rFonts w:ascii="Times New Roman"/>
                <w:sz w:val="20"/>
              </w:rPr>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1,453,390.41</w:t>
            </w:r>
            <w:r>
              <w:rPr>
                <w:rFonts w:ascii="Times New Roman"/>
                <w:sz w:val="20"/>
              </w:rPr>
            </w:r>
          </w:p>
        </w:tc>
      </w:tr>
      <w:tr>
        <w:trPr>
          <w:trHeight w:val="283"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南昌泰豪动漫园区服务有限公司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培训</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20"/>
                <w:szCs w:val="20"/>
              </w:rPr>
            </w:pPr>
            <w:r>
              <w:rPr>
                <w:rFonts w:ascii="Times New Roman"/>
                <w:w w:val="95"/>
                <w:sz w:val="20"/>
              </w:rPr>
              <w:t>46,529.29</w:t>
            </w:r>
            <w:r>
              <w:rPr>
                <w:rFonts w:ascii="Times New Roman"/>
                <w:sz w:val="20"/>
              </w:rPr>
            </w:r>
          </w:p>
        </w:tc>
      </w:tr>
      <w:tr>
        <w:trPr>
          <w:trHeight w:val="281"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泰豪集团有限公司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技术服务</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6,758,616.40</w:t>
            </w:r>
            <w:r>
              <w:rPr>
                <w:rFonts w:ascii="Times New Roman"/>
                <w:sz w:val="20"/>
              </w:rPr>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2,648,973.08</w:t>
            </w:r>
            <w:r>
              <w:rPr>
                <w:rFonts w:ascii="Times New Roman"/>
                <w:sz w:val="20"/>
              </w:rPr>
            </w:r>
          </w:p>
        </w:tc>
      </w:tr>
      <w:tr>
        <w:trPr>
          <w:trHeight w:val="283"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泰豪产城集团股份有限公司</w:t>
            </w:r>
            <w:r>
              <w:rPr>
                <w:rFonts w:ascii="宋体" w:hAnsi="宋体" w:cs="宋体" w:eastAsia="宋体" w:hint="default"/>
                <w:sz w:val="21"/>
                <w:szCs w:val="21"/>
              </w:rPr>
              <w:t> </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技术服务</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20"/>
                <w:szCs w:val="20"/>
              </w:rPr>
            </w:pPr>
            <w:r>
              <w:rPr>
                <w:rFonts w:ascii="Times New Roman"/>
                <w:w w:val="95"/>
                <w:sz w:val="20"/>
              </w:rPr>
              <w:t>946,436.89</w:t>
            </w:r>
            <w:r>
              <w:rPr>
                <w:rFonts w:ascii="Times New Roman"/>
                <w:sz w:val="20"/>
              </w:rPr>
            </w:r>
          </w:p>
        </w:tc>
        <w:tc>
          <w:tcPr>
            <w:tcW w:w="161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60" w:right="1560"/>
        </w:sectPr>
      </w:pPr>
    </w:p>
    <w:p>
      <w:pPr>
        <w:pStyle w:val="Heading3"/>
        <w:spacing w:line="274" w:lineRule="exact"/>
        <w:ind w:right="0"/>
        <w:jc w:val="left"/>
        <w:rPr>
          <w:rFonts w:ascii="宋体" w:hAnsi="宋体" w:cs="宋体" w:eastAsia="宋体" w:hint="default"/>
        </w:rPr>
      </w:pPr>
      <w:r>
        <w:rPr>
          <w:rFonts w:ascii="宋体"/>
        </w:rPr>
        <w:t> </w:t>
      </w:r>
    </w:p>
    <w:p>
      <w:pPr>
        <w:pStyle w:val="BodyText"/>
        <w:spacing w:line="270" w:lineRule="exact" w:before="4"/>
        <w:ind w:left="216" w:right="0"/>
        <w:jc w:val="left"/>
        <w:rPr>
          <w:rFonts w:ascii="宋体" w:hAnsi="宋体" w:cs="宋体" w:eastAsia="宋体" w:hint="default"/>
        </w:rPr>
      </w:pPr>
      <w:r>
        <w:rPr/>
        <w:t>出售商品</w:t>
      </w:r>
      <w:r>
        <w:rPr>
          <w:rFonts w:ascii="宋体" w:hAnsi="宋体" w:cs="宋体" w:eastAsia="宋体" w:hint="default"/>
        </w:rPr>
        <w:t>/</w:t>
      </w:r>
      <w:r>
        <w:rPr/>
        <w:t>提供劳务情况表</w:t>
      </w:r>
      <w:r>
        <w:rPr>
          <w:rFonts w:ascii="宋体" w:hAnsi="宋体" w:cs="宋体" w:eastAsia="宋体" w:hint="default"/>
        </w:rPr>
        <w:t> </w:t>
      </w:r>
    </w:p>
    <w:p>
      <w:pPr>
        <w:pStyle w:val="Heading3"/>
        <w:spacing w:line="309"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738" w:space="3784"/>
            <w:col w:w="2768"/>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570"/>
        <w:gridCol w:w="1714"/>
        <w:gridCol w:w="1714"/>
        <w:gridCol w:w="1899"/>
      </w:tblGrid>
      <w:tr>
        <w:trPr>
          <w:trHeight w:val="283"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20" w:right="0"/>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2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4"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同方股份有限公司</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智能电力产品</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5"/>
              <w:jc w:val="right"/>
              <w:rPr>
                <w:rFonts w:ascii="Times New Roman" w:hAnsi="Times New Roman" w:cs="Times New Roman" w:eastAsia="Times New Roman" w:hint="default"/>
                <w:sz w:val="20"/>
                <w:szCs w:val="20"/>
              </w:rPr>
            </w:pPr>
            <w:r>
              <w:rPr>
                <w:rFonts w:ascii="Times New Roman"/>
                <w:w w:val="95"/>
                <w:sz w:val="20"/>
              </w:rPr>
              <w:t>4,051,724.14</w:t>
            </w:r>
            <w:r>
              <w:rPr>
                <w:rFonts w:ascii="Times New Roman"/>
                <w:sz w:val="20"/>
              </w:rPr>
            </w:r>
          </w:p>
        </w:tc>
      </w:tr>
      <w:tr>
        <w:trPr>
          <w:trHeight w:val="283"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同方江新造船有限公司</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军工装备产品</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2"/>
              <w:jc w:val="right"/>
              <w:rPr>
                <w:rFonts w:ascii="Times New Roman" w:hAnsi="Times New Roman" w:cs="Times New Roman" w:eastAsia="Times New Roman" w:hint="default"/>
                <w:sz w:val="20"/>
                <w:szCs w:val="20"/>
              </w:rPr>
            </w:pPr>
            <w:r>
              <w:rPr>
                <w:rFonts w:ascii="Times New Roman"/>
                <w:w w:val="95"/>
                <w:sz w:val="20"/>
              </w:rPr>
              <w:t>1,132,700.00</w:t>
            </w:r>
            <w:r>
              <w:rPr>
                <w:rFonts w:ascii="Times New Roman"/>
                <w:sz w:val="20"/>
              </w:rPr>
            </w:r>
          </w:p>
        </w:tc>
        <w:tc>
          <w:tcPr>
            <w:tcW w:w="189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同方环境股份有限公司</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智能电力产品</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2"/>
              <w:jc w:val="right"/>
              <w:rPr>
                <w:rFonts w:ascii="Times New Roman" w:hAnsi="Times New Roman" w:cs="Times New Roman" w:eastAsia="Times New Roman" w:hint="default"/>
                <w:sz w:val="20"/>
                <w:szCs w:val="20"/>
              </w:rPr>
            </w:pPr>
            <w:r>
              <w:rPr>
                <w:rFonts w:ascii="Times New Roman"/>
                <w:w w:val="95"/>
                <w:sz w:val="20"/>
              </w:rPr>
              <w:t>8,284.02</w:t>
            </w:r>
            <w:r>
              <w:rPr>
                <w:rFonts w:ascii="Times New Roman"/>
                <w:sz w:val="20"/>
              </w:rPr>
            </w:r>
          </w:p>
        </w:tc>
        <w:tc>
          <w:tcPr>
            <w:tcW w:w="18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同方江新造船有限公司</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智能电力产品</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5"/>
              <w:jc w:val="right"/>
              <w:rPr>
                <w:rFonts w:ascii="Times New Roman" w:hAnsi="Times New Roman" w:cs="Times New Roman" w:eastAsia="Times New Roman" w:hint="default"/>
                <w:sz w:val="20"/>
                <w:szCs w:val="20"/>
              </w:rPr>
            </w:pPr>
            <w:r>
              <w:rPr>
                <w:rFonts w:ascii="Times New Roman"/>
                <w:w w:val="95"/>
                <w:sz w:val="20"/>
              </w:rPr>
              <w:t>2,268,000.00</w:t>
            </w:r>
            <w:r>
              <w:rPr>
                <w:rFonts w:ascii="Times New Roman"/>
                <w:sz w:val="20"/>
              </w:rPr>
            </w:r>
          </w:p>
        </w:tc>
      </w:tr>
      <w:tr>
        <w:trPr>
          <w:trHeight w:val="281"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江西泰豪动漫职业学院</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智能电力产品</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2"/>
              <w:jc w:val="right"/>
              <w:rPr>
                <w:rFonts w:ascii="Times New Roman" w:hAnsi="Times New Roman" w:cs="Times New Roman" w:eastAsia="Times New Roman" w:hint="default"/>
                <w:sz w:val="20"/>
                <w:szCs w:val="20"/>
              </w:rPr>
            </w:pPr>
            <w:r>
              <w:rPr>
                <w:rFonts w:ascii="Times New Roman"/>
                <w:w w:val="95"/>
                <w:sz w:val="20"/>
              </w:rPr>
              <w:t>1,533,207.96</w:t>
            </w:r>
            <w:r>
              <w:rPr>
                <w:rFonts w:ascii="Times New Roman"/>
                <w:sz w:val="20"/>
              </w:rPr>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5"/>
              <w:jc w:val="right"/>
              <w:rPr>
                <w:rFonts w:ascii="Times New Roman" w:hAnsi="Times New Roman" w:cs="Times New Roman" w:eastAsia="Times New Roman" w:hint="default"/>
                <w:sz w:val="20"/>
                <w:szCs w:val="20"/>
              </w:rPr>
            </w:pPr>
            <w:r>
              <w:rPr>
                <w:rFonts w:ascii="Times New Roman"/>
                <w:w w:val="95"/>
                <w:sz w:val="20"/>
              </w:rPr>
              <w:t>2,042,472.73</w:t>
            </w:r>
            <w:r>
              <w:rPr>
                <w:rFonts w:ascii="Times New Roman"/>
                <w:sz w:val="20"/>
              </w:rPr>
            </w:r>
          </w:p>
        </w:tc>
      </w:tr>
      <w:tr>
        <w:trPr>
          <w:trHeight w:val="283"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贵州泰豪电力科技有限公司</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智能电力产品</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Times New Roman" w:hAnsi="Times New Roman" w:cs="Times New Roman" w:eastAsia="Times New Roman" w:hint="default"/>
                <w:sz w:val="20"/>
                <w:szCs w:val="20"/>
              </w:rPr>
            </w:pPr>
            <w:r>
              <w:rPr>
                <w:rFonts w:ascii="Times New Roman"/>
                <w:w w:val="95"/>
                <w:sz w:val="20"/>
              </w:rPr>
              <w:t>965,660.42</w:t>
            </w:r>
            <w:r>
              <w:rPr>
                <w:rFonts w:ascii="Times New Roman"/>
                <w:sz w:val="20"/>
              </w:rPr>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5"/>
              <w:jc w:val="right"/>
              <w:rPr>
                <w:rFonts w:ascii="Times New Roman" w:hAnsi="Times New Roman" w:cs="Times New Roman" w:eastAsia="Times New Roman" w:hint="default"/>
                <w:sz w:val="20"/>
                <w:szCs w:val="20"/>
              </w:rPr>
            </w:pPr>
            <w:r>
              <w:rPr>
                <w:rFonts w:ascii="Times New Roman"/>
                <w:w w:val="95"/>
                <w:sz w:val="20"/>
              </w:rPr>
              <w:t>4,212,189.84</w:t>
            </w:r>
            <w:r>
              <w:rPr>
                <w:rFonts w:ascii="Times New Roman"/>
                <w:sz w:val="20"/>
              </w:rPr>
            </w:r>
          </w:p>
        </w:tc>
      </w:tr>
      <w:tr>
        <w:trPr>
          <w:trHeight w:val="283"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江西泰豪科技进出口有限公司</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军工装备产品</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2"/>
              <w:jc w:val="right"/>
              <w:rPr>
                <w:rFonts w:ascii="Times New Roman" w:hAnsi="Times New Roman" w:cs="Times New Roman" w:eastAsia="Times New Roman" w:hint="default"/>
                <w:sz w:val="20"/>
                <w:szCs w:val="20"/>
              </w:rPr>
            </w:pPr>
            <w:r>
              <w:rPr>
                <w:rFonts w:ascii="Times New Roman"/>
                <w:w w:val="95"/>
                <w:sz w:val="20"/>
              </w:rPr>
              <w:t>16,814.16</w:t>
            </w:r>
            <w:r>
              <w:rPr>
                <w:rFonts w:ascii="Times New Roman"/>
                <w:sz w:val="20"/>
              </w:rPr>
            </w:r>
          </w:p>
        </w:tc>
        <w:tc>
          <w:tcPr>
            <w:tcW w:w="189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江西泰豪信息技术有限公司</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智能电力产品</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5"/>
              <w:jc w:val="right"/>
              <w:rPr>
                <w:rFonts w:ascii="Times New Roman" w:hAnsi="Times New Roman" w:cs="Times New Roman" w:eastAsia="Times New Roman" w:hint="default"/>
                <w:sz w:val="20"/>
                <w:szCs w:val="20"/>
              </w:rPr>
            </w:pPr>
            <w:r>
              <w:rPr>
                <w:rFonts w:ascii="Times New Roman"/>
                <w:w w:val="95"/>
                <w:sz w:val="20"/>
              </w:rPr>
              <w:t>1,422,486.18</w:t>
            </w:r>
            <w:r>
              <w:rPr>
                <w:rFonts w:ascii="Times New Roman"/>
                <w:sz w:val="20"/>
              </w:rPr>
            </w:r>
          </w:p>
        </w:tc>
      </w:tr>
      <w:tr>
        <w:trPr>
          <w:trHeight w:val="283"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康富科技有限公司</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智能电力产品</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Times New Roman" w:hAnsi="Times New Roman" w:cs="Times New Roman" w:eastAsia="Times New Roman" w:hint="default"/>
                <w:sz w:val="20"/>
                <w:szCs w:val="20"/>
              </w:rPr>
            </w:pPr>
            <w:r>
              <w:rPr>
                <w:rFonts w:ascii="Times New Roman"/>
                <w:w w:val="95"/>
                <w:sz w:val="20"/>
              </w:rPr>
              <w:t>72,264.15</w:t>
            </w:r>
            <w:r>
              <w:rPr>
                <w:rFonts w:ascii="Times New Roman"/>
                <w:sz w:val="20"/>
              </w:rPr>
            </w:r>
          </w:p>
        </w:tc>
        <w:tc>
          <w:tcPr>
            <w:tcW w:w="18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济南吉美乐电源技术有限公司</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军工装备产品</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2"/>
              <w:jc w:val="right"/>
              <w:rPr>
                <w:rFonts w:ascii="Times New Roman" w:hAnsi="Times New Roman" w:cs="Times New Roman" w:eastAsia="Times New Roman" w:hint="default"/>
                <w:sz w:val="20"/>
                <w:szCs w:val="20"/>
              </w:rPr>
            </w:pPr>
            <w:r>
              <w:rPr>
                <w:rFonts w:ascii="Times New Roman"/>
                <w:w w:val="95"/>
                <w:sz w:val="20"/>
              </w:rPr>
              <w:t>201,448.28</w:t>
            </w:r>
            <w:r>
              <w:rPr>
                <w:rFonts w:ascii="Times New Roman"/>
                <w:sz w:val="20"/>
              </w:rPr>
            </w:r>
          </w:p>
        </w:tc>
        <w:tc>
          <w:tcPr>
            <w:tcW w:w="189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60" w:right="1560"/>
        </w:sectPr>
      </w:pPr>
    </w:p>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140" w:right="1560"/>
        </w:sectPr>
      </w:pPr>
    </w:p>
    <w:p>
      <w:pPr>
        <w:pStyle w:val="Heading3"/>
        <w:spacing w:line="240" w:lineRule="auto" w:before="26"/>
        <w:ind w:left="136" w:right="0"/>
        <w:jc w:val="left"/>
        <w:rPr>
          <w:rFonts w:ascii="宋体" w:hAnsi="宋体" w:cs="宋体" w:eastAsia="宋体" w:hint="default"/>
        </w:rPr>
      </w:pPr>
      <w:r>
        <w:rPr>
          <w:rFonts w:ascii="宋体"/>
        </w:rPr>
        <w:t> </w:t>
      </w:r>
    </w:p>
    <w:p>
      <w:pPr>
        <w:pStyle w:val="BodyText"/>
        <w:spacing w:line="270" w:lineRule="exact" w:before="4"/>
        <w:ind w:right="0"/>
        <w:jc w:val="left"/>
        <w:rPr>
          <w:rFonts w:ascii="宋体" w:hAnsi="宋体" w:cs="宋体" w:eastAsia="宋体" w:hint="default"/>
        </w:rPr>
      </w:pPr>
      <w:r>
        <w:rPr/>
        <w:t>购销商品、提供和接受劳务的关联交易说明</w:t>
      </w:r>
      <w:r>
        <w:rPr>
          <w:rFonts w:ascii="宋体" w:hAnsi="宋体" w:cs="宋体" w:eastAsia="宋体" w:hint="default"/>
        </w:rPr>
        <w:t> </w:t>
      </w:r>
    </w:p>
    <w:p>
      <w:pPr>
        <w:pStyle w:val="Heading3"/>
        <w:spacing w:line="308" w:lineRule="exact"/>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136" w:right="0"/>
        <w:jc w:val="left"/>
        <w:rPr>
          <w:rFonts w:ascii="宋体" w:hAnsi="宋体" w:cs="宋体" w:eastAsia="宋体" w:hint="default"/>
        </w:rPr>
      </w:pPr>
      <w:r>
        <w:rPr>
          <w:rFonts w:ascii="宋体"/>
        </w:rPr>
        <w:t> </w:t>
      </w:r>
    </w:p>
    <w:p>
      <w:pPr>
        <w:pStyle w:val="Heading5"/>
        <w:spacing w:line="240" w:lineRule="auto"/>
        <w:ind w:left="136"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8"/>
        </w:rPr>
        <w:t> </w:t>
      </w:r>
      <w:r>
        <w:rPr/>
        <w:t>关联受托管理</w:t>
      </w:r>
      <w:r>
        <w:rPr>
          <w:rFonts w:ascii="宋体" w:hAnsi="宋体" w:cs="宋体" w:eastAsia="宋体" w:hint="default"/>
        </w:rPr>
        <w:t>/</w:t>
      </w:r>
      <w:r>
        <w:rPr/>
        <w:t>承包及委托管理</w:t>
      </w:r>
      <w:r>
        <w:rPr>
          <w:rFonts w:ascii="宋体" w:hAnsi="宋体" w:cs="宋体" w:eastAsia="宋体" w:hint="default"/>
        </w:rPr>
        <w:t>/</w:t>
      </w:r>
      <w:r>
        <w:rPr/>
        <w:t>出包情况</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left="136" w:right="0"/>
        <w:jc w:val="left"/>
        <w:rPr>
          <w:rFonts w:ascii="宋体" w:hAnsi="宋体" w:cs="宋体" w:eastAsia="宋体" w:hint="default"/>
        </w:rPr>
      </w:pPr>
      <w:r>
        <w:rPr/>
        <w:t>本公司受托管理</w:t>
      </w:r>
      <w:r>
        <w:rPr>
          <w:rFonts w:ascii="宋体" w:hAnsi="宋体" w:cs="宋体" w:eastAsia="宋体" w:hint="default"/>
        </w:rPr>
        <w:t>/</w:t>
      </w:r>
      <w:r>
        <w:rPr/>
        <w:t>承包情况表：</w:t>
      </w:r>
      <w:r>
        <w:rPr>
          <w:rFonts w:ascii="宋体" w:hAnsi="宋体" w:cs="宋体" w:eastAsia="宋体" w:hint="default"/>
        </w:rPr>
        <w:t> </w:t>
      </w:r>
    </w:p>
    <w:p>
      <w:pPr>
        <w:pStyle w:val="Heading3"/>
        <w:spacing w:line="310" w:lineRule="exact" w:before="31"/>
        <w:ind w:left="136" w:right="8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t>关联托管</w:t>
      </w:r>
      <w:r>
        <w:rPr>
          <w:rFonts w:ascii="宋体" w:hAnsi="宋体" w:cs="宋体" w:eastAsia="宋体" w:hint="default"/>
        </w:rPr>
        <w:t>/</w:t>
      </w:r>
      <w:r>
        <w:rPr/>
        <w:t>承包情况说明</w:t>
      </w:r>
      <w:r>
        <w:rPr>
          <w:rFonts w:ascii="宋体" w:hAnsi="宋体" w:cs="宋体" w:eastAsia="宋体" w:hint="default"/>
        </w:rPr>
        <w:t> </w:t>
      </w:r>
    </w:p>
    <w:p>
      <w:pPr>
        <w:pStyle w:val="Heading3"/>
        <w:spacing w:line="283" w:lineRule="exact"/>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0" w:lineRule="exact" w:before="31"/>
        <w:ind w:left="136" w:right="0"/>
        <w:jc w:val="left"/>
        <w:rPr>
          <w:rFonts w:ascii="宋体" w:hAnsi="宋体" w:cs="宋体" w:eastAsia="宋体" w:hint="default"/>
        </w:rPr>
      </w:pPr>
      <w:r>
        <w:rPr>
          <w:rFonts w:ascii="宋体" w:hAnsi="宋体" w:cs="宋体" w:eastAsia="宋体" w:hint="default"/>
        </w:rPr>
        <w:t>  </w:t>
      </w:r>
      <w:r>
        <w:rPr/>
        <w:t>本公司委托管</w:t>
      </w:r>
      <w:r>
        <w:rPr>
          <w:spacing w:val="-1"/>
        </w:rPr>
        <w:t>理</w:t>
      </w:r>
      <w:r>
        <w:rPr>
          <w:rFonts w:ascii="宋体" w:hAnsi="宋体" w:cs="宋体" w:eastAsia="宋体" w:hint="default"/>
        </w:rPr>
        <w:t>/</w:t>
      </w:r>
      <w:r>
        <w:rPr/>
        <w:t>出包情况表</w:t>
      </w:r>
      <w:r>
        <w:rPr>
          <w:rFonts w:ascii="宋体" w:hAnsi="宋体" w:cs="宋体" w:eastAsia="宋体" w:hint="default"/>
        </w:rPr>
        <w:t> </w:t>
      </w:r>
    </w:p>
    <w:p>
      <w:pPr>
        <w:pStyle w:val="Heading3"/>
        <w:spacing w:line="312" w:lineRule="exact"/>
        <w:ind w:left="136" w:right="8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t>关联管理</w:t>
      </w:r>
      <w:r>
        <w:rPr>
          <w:rFonts w:ascii="宋体" w:hAnsi="宋体" w:cs="宋体" w:eastAsia="宋体" w:hint="default"/>
        </w:rPr>
        <w:t>/</w:t>
      </w:r>
      <w:r>
        <w:rPr/>
        <w:t>出包情况说明</w:t>
      </w:r>
      <w:r>
        <w:rPr>
          <w:rFonts w:ascii="宋体" w:hAnsi="宋体" w:cs="宋体" w:eastAsia="宋体" w:hint="default"/>
        </w:rPr>
        <w:t> </w:t>
      </w:r>
    </w:p>
    <w:p>
      <w:pPr>
        <w:pStyle w:val="Heading3"/>
        <w:spacing w:line="281" w:lineRule="exact"/>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left="136" w:right="0"/>
        <w:jc w:val="left"/>
        <w:rPr>
          <w:rFonts w:ascii="宋体" w:hAnsi="宋体" w:cs="宋体" w:eastAsia="宋体" w:hint="default"/>
        </w:rPr>
      </w:pPr>
      <w:r>
        <w:rPr>
          <w:rFonts w:ascii="宋体"/>
        </w:rPr>
        <w:t> </w:t>
      </w:r>
    </w:p>
    <w:p>
      <w:pPr>
        <w:pStyle w:val="Heading5"/>
        <w:spacing w:line="240" w:lineRule="auto"/>
        <w:ind w:left="136"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45"/>
        </w:rPr>
        <w:t> </w:t>
      </w:r>
      <w:r>
        <w:rPr/>
        <w:t>关联租赁情况</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left="136" w:right="0"/>
        <w:jc w:val="left"/>
        <w:rPr>
          <w:rFonts w:ascii="宋体" w:hAnsi="宋体" w:cs="宋体" w:eastAsia="宋体" w:hint="default"/>
        </w:rPr>
      </w:pPr>
      <w:r>
        <w:rPr/>
        <w:t>本公司作为出租方：</w:t>
      </w:r>
      <w:r>
        <w:rPr>
          <w:rFonts w:ascii="宋体" w:hAnsi="宋体" w:cs="宋体" w:eastAsia="宋体" w:hint="default"/>
        </w:rPr>
        <w:t> </w:t>
      </w:r>
    </w:p>
    <w:p>
      <w:pPr>
        <w:pStyle w:val="Heading3"/>
        <w:spacing w:line="313" w:lineRule="exact"/>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32"/>
          <w:szCs w:val="32"/>
        </w:rPr>
      </w:pPr>
    </w:p>
    <w:p>
      <w:pPr>
        <w:pStyle w:val="BodyText"/>
        <w:spacing w:line="240" w:lineRule="auto"/>
        <w:ind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1140" w:right="1560"/>
          <w:cols w:num="2" w:equalWidth="0">
            <w:col w:w="4523" w:space="1999"/>
            <w:col w:w="268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283"/>
        <w:gridCol w:w="1517"/>
        <w:gridCol w:w="1512"/>
        <w:gridCol w:w="1585"/>
      </w:tblGrid>
      <w:tr>
        <w:trPr>
          <w:trHeight w:val="554"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承租方名称</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hAnsi="宋体" w:cs="宋体" w:eastAsia="宋体" w:hint="default"/>
                <w:sz w:val="21"/>
                <w:szCs w:val="21"/>
              </w:rPr>
              <w:t>租赁资产种类</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本期确认的租</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赁收入</w:t>
            </w:r>
            <w:r>
              <w:rPr>
                <w:rFonts w:ascii="宋体" w:hAnsi="宋体" w:cs="宋体" w:eastAsia="宋体" w:hint="default"/>
                <w:sz w:val="21"/>
                <w:szCs w:val="21"/>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上期确认的租赁</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r>
      <w:tr>
        <w:trPr>
          <w:trHeight w:val="283"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泰豪集团有限公司</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房租水电</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4"/>
              <w:jc w:val="right"/>
              <w:rPr>
                <w:rFonts w:ascii="Times New Roman" w:hAnsi="Times New Roman" w:cs="Times New Roman" w:eastAsia="Times New Roman" w:hint="default"/>
                <w:sz w:val="20"/>
                <w:szCs w:val="20"/>
              </w:rPr>
            </w:pPr>
            <w:r>
              <w:rPr>
                <w:rFonts w:ascii="Times New Roman"/>
                <w:w w:val="95"/>
                <w:sz w:val="20"/>
              </w:rPr>
              <w:t>34,631.77</w:t>
            </w:r>
            <w:r>
              <w:rPr>
                <w:rFonts w:ascii="Times New Roman"/>
                <w:sz w:val="20"/>
              </w:rPr>
            </w:r>
          </w:p>
        </w:tc>
        <w:tc>
          <w:tcPr>
            <w:tcW w:w="15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江西泰达空调电器有限公司</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房租水电</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4"/>
              <w:jc w:val="right"/>
              <w:rPr>
                <w:rFonts w:ascii="Times New Roman" w:hAnsi="Times New Roman" w:cs="Times New Roman" w:eastAsia="Times New Roman" w:hint="default"/>
                <w:sz w:val="20"/>
                <w:szCs w:val="20"/>
              </w:rPr>
            </w:pPr>
            <w:r>
              <w:rPr>
                <w:rFonts w:ascii="Times New Roman"/>
                <w:w w:val="95"/>
                <w:sz w:val="20"/>
              </w:rPr>
              <w:t>301,769.10</w:t>
            </w:r>
            <w:r>
              <w:rPr>
                <w:rFonts w:ascii="Times New Roman"/>
                <w:sz w:val="20"/>
              </w:rPr>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4"/>
              <w:jc w:val="right"/>
              <w:rPr>
                <w:rFonts w:ascii="Times New Roman" w:hAnsi="Times New Roman" w:cs="Times New Roman" w:eastAsia="Times New Roman" w:hint="default"/>
                <w:sz w:val="20"/>
                <w:szCs w:val="20"/>
              </w:rPr>
            </w:pPr>
            <w:r>
              <w:rPr>
                <w:rFonts w:ascii="Times New Roman"/>
                <w:w w:val="95"/>
                <w:sz w:val="20"/>
              </w:rPr>
              <w:t>285,264.17</w:t>
            </w:r>
            <w:r>
              <w:rPr>
                <w:rFonts w:ascii="Times New Roman"/>
                <w:sz w:val="20"/>
              </w:rPr>
            </w:r>
          </w:p>
        </w:tc>
      </w:tr>
      <w:tr>
        <w:trPr>
          <w:trHeight w:val="281"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泰豪慧水（北京）科技有限公司</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房租水电</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4"/>
              <w:jc w:val="right"/>
              <w:rPr>
                <w:rFonts w:ascii="Times New Roman" w:hAnsi="Times New Roman" w:cs="Times New Roman" w:eastAsia="Times New Roman" w:hint="default"/>
                <w:sz w:val="20"/>
                <w:szCs w:val="20"/>
              </w:rPr>
            </w:pPr>
            <w:r>
              <w:rPr>
                <w:rFonts w:ascii="Times New Roman"/>
                <w:w w:val="95"/>
                <w:sz w:val="20"/>
              </w:rPr>
              <w:t>104,200.29</w:t>
            </w:r>
            <w:r>
              <w:rPr>
                <w:rFonts w:ascii="Times New Roman"/>
                <w:sz w:val="20"/>
              </w:rPr>
            </w:r>
          </w:p>
        </w:tc>
        <w:tc>
          <w:tcPr>
            <w:tcW w:w="15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泰豪信息技术有限公司</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房租水电</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4"/>
              <w:jc w:val="right"/>
              <w:rPr>
                <w:rFonts w:ascii="Times New Roman" w:hAnsi="Times New Roman" w:cs="Times New Roman" w:eastAsia="Times New Roman" w:hint="default"/>
                <w:sz w:val="20"/>
                <w:szCs w:val="20"/>
              </w:rPr>
            </w:pPr>
            <w:r>
              <w:rPr>
                <w:rFonts w:ascii="Times New Roman"/>
                <w:w w:val="95"/>
                <w:sz w:val="20"/>
              </w:rPr>
              <w:t>53,027.20</w:t>
            </w:r>
            <w:r>
              <w:rPr>
                <w:rFonts w:ascii="Times New Roman"/>
                <w:sz w:val="20"/>
              </w:rPr>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4"/>
              <w:jc w:val="right"/>
              <w:rPr>
                <w:rFonts w:ascii="Times New Roman" w:hAnsi="Times New Roman" w:cs="Times New Roman" w:eastAsia="Times New Roman" w:hint="default"/>
                <w:sz w:val="20"/>
                <w:szCs w:val="20"/>
              </w:rPr>
            </w:pPr>
            <w:r>
              <w:rPr>
                <w:rFonts w:ascii="Times New Roman"/>
                <w:w w:val="95"/>
                <w:sz w:val="20"/>
              </w:rPr>
              <w:t>53,027.20</w:t>
            </w:r>
            <w:r>
              <w:rPr>
                <w:rFonts w:ascii="Times New Roman"/>
                <w:sz w:val="20"/>
              </w:rPr>
            </w:r>
          </w:p>
        </w:tc>
      </w:tr>
      <w:tr>
        <w:trPr>
          <w:trHeight w:val="283"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江西泰豪乐动漫文化有限公司</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房租水电</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4"/>
              <w:jc w:val="right"/>
              <w:rPr>
                <w:rFonts w:ascii="Times New Roman" w:hAnsi="Times New Roman" w:cs="Times New Roman" w:eastAsia="Times New Roman" w:hint="default"/>
                <w:sz w:val="20"/>
                <w:szCs w:val="20"/>
              </w:rPr>
            </w:pPr>
            <w:r>
              <w:rPr>
                <w:rFonts w:ascii="Times New Roman"/>
                <w:w w:val="95"/>
                <w:sz w:val="20"/>
              </w:rPr>
              <w:t>37,953.96</w:t>
            </w:r>
            <w:r>
              <w:rPr>
                <w:rFonts w:ascii="Times New Roman"/>
                <w:sz w:val="20"/>
              </w:rPr>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4"/>
              <w:jc w:val="right"/>
              <w:rPr>
                <w:rFonts w:ascii="Times New Roman" w:hAnsi="Times New Roman" w:cs="Times New Roman" w:eastAsia="Times New Roman" w:hint="default"/>
                <w:sz w:val="20"/>
                <w:szCs w:val="20"/>
              </w:rPr>
            </w:pPr>
            <w:r>
              <w:rPr>
                <w:rFonts w:ascii="Times New Roman"/>
                <w:w w:val="95"/>
                <w:sz w:val="20"/>
              </w:rPr>
              <w:t>18,556.38</w:t>
            </w:r>
            <w:r>
              <w:rPr>
                <w:rFonts w:ascii="Times New Roman"/>
                <w:sz w:val="20"/>
              </w:rPr>
            </w:r>
          </w:p>
        </w:tc>
      </w:tr>
      <w:tr>
        <w:trPr>
          <w:trHeight w:val="281"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江西泰豪动漫职业学院</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房租水电</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4"/>
              <w:jc w:val="right"/>
              <w:rPr>
                <w:rFonts w:ascii="Times New Roman" w:hAnsi="Times New Roman" w:cs="Times New Roman" w:eastAsia="Times New Roman" w:hint="default"/>
                <w:sz w:val="20"/>
                <w:szCs w:val="20"/>
              </w:rPr>
            </w:pPr>
            <w:r>
              <w:rPr>
                <w:rFonts w:ascii="Times New Roman"/>
                <w:w w:val="95"/>
                <w:sz w:val="20"/>
              </w:rPr>
              <w:t>8,962.26</w:t>
            </w:r>
            <w:r>
              <w:rPr>
                <w:rFonts w:ascii="Times New Roman"/>
                <w:sz w:val="20"/>
              </w:rPr>
            </w:r>
          </w:p>
        </w:tc>
        <w:tc>
          <w:tcPr>
            <w:tcW w:w="15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泰豪创业投资集团有限公司</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房租水电</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4"/>
              <w:jc w:val="right"/>
              <w:rPr>
                <w:rFonts w:ascii="Times New Roman" w:hAnsi="Times New Roman" w:cs="Times New Roman" w:eastAsia="Times New Roman" w:hint="default"/>
                <w:sz w:val="20"/>
                <w:szCs w:val="20"/>
              </w:rPr>
            </w:pPr>
            <w:r>
              <w:rPr>
                <w:rFonts w:ascii="Times New Roman"/>
                <w:w w:val="95"/>
                <w:sz w:val="20"/>
              </w:rPr>
              <w:t>33,874.16</w:t>
            </w:r>
            <w:r>
              <w:rPr>
                <w:rFonts w:ascii="Times New Roman"/>
                <w:sz w:val="20"/>
              </w:rPr>
            </w:r>
          </w:p>
        </w:tc>
      </w:tr>
      <w:tr>
        <w:trPr>
          <w:trHeight w:val="281"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泰豪（上海）股权投资管理有限公司</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房租水电</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4"/>
              <w:jc w:val="right"/>
              <w:rPr>
                <w:rFonts w:ascii="Times New Roman" w:hAnsi="Times New Roman" w:cs="Times New Roman" w:eastAsia="Times New Roman" w:hint="default"/>
                <w:sz w:val="20"/>
                <w:szCs w:val="20"/>
              </w:rPr>
            </w:pPr>
            <w:r>
              <w:rPr>
                <w:rFonts w:ascii="Times New Roman"/>
                <w:w w:val="95"/>
                <w:sz w:val="20"/>
              </w:rPr>
              <w:t>41,726.90</w:t>
            </w:r>
            <w:r>
              <w:rPr>
                <w:rFonts w:ascii="Times New Roman"/>
                <w:sz w:val="20"/>
              </w:rPr>
            </w:r>
          </w:p>
        </w:tc>
      </w:tr>
      <w:tr>
        <w:trPr>
          <w:trHeight w:val="283"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南昌泰豪动漫园区服务有限公司</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房租水电</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4"/>
              <w:jc w:val="right"/>
              <w:rPr>
                <w:rFonts w:ascii="Times New Roman" w:hAnsi="Times New Roman" w:cs="Times New Roman" w:eastAsia="Times New Roman" w:hint="default"/>
                <w:sz w:val="20"/>
                <w:szCs w:val="20"/>
              </w:rPr>
            </w:pPr>
            <w:r>
              <w:rPr>
                <w:rFonts w:ascii="Times New Roman"/>
                <w:w w:val="95"/>
                <w:sz w:val="20"/>
              </w:rPr>
              <w:t>16,005.01</w:t>
            </w:r>
            <w:r>
              <w:rPr>
                <w:rFonts w:ascii="Times New Roman"/>
                <w:sz w:val="20"/>
              </w:rPr>
            </w:r>
          </w:p>
        </w:tc>
      </w:tr>
      <w:tr>
        <w:trPr>
          <w:trHeight w:val="283"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赣资泰豪</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股权投资管理有限公司</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房租水电</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4"/>
              <w:jc w:val="right"/>
              <w:rPr>
                <w:rFonts w:ascii="Times New Roman" w:hAnsi="Times New Roman" w:cs="Times New Roman" w:eastAsia="Times New Roman" w:hint="default"/>
                <w:sz w:val="20"/>
                <w:szCs w:val="20"/>
              </w:rPr>
            </w:pPr>
            <w:r>
              <w:rPr>
                <w:rFonts w:ascii="Times New Roman"/>
                <w:w w:val="95"/>
                <w:sz w:val="20"/>
              </w:rPr>
              <w:t>166,907.62</w:t>
            </w:r>
            <w:r>
              <w:rPr>
                <w:rFonts w:ascii="Times New Roman"/>
                <w:sz w:val="20"/>
              </w:rPr>
            </w:r>
          </w:p>
        </w:tc>
      </w:tr>
      <w:tr>
        <w:trPr>
          <w:trHeight w:val="281"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南昌小蓝创新创业基地管理有限公司</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房租水电</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5"/>
              <w:jc w:val="right"/>
              <w:rPr>
                <w:rFonts w:ascii="Times New Roman" w:hAnsi="Times New Roman" w:cs="Times New Roman" w:eastAsia="Times New Roman" w:hint="default"/>
                <w:sz w:val="20"/>
                <w:szCs w:val="20"/>
              </w:rPr>
            </w:pPr>
            <w:r>
              <w:rPr>
                <w:rFonts w:ascii="Times New Roman"/>
                <w:w w:val="95"/>
                <w:sz w:val="20"/>
              </w:rPr>
              <w:t>3,635,548.58</w:t>
            </w:r>
            <w:r>
              <w:rPr>
                <w:rFonts w:ascii="Times New Roman"/>
                <w:sz w:val="20"/>
              </w:rPr>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5"/>
              <w:jc w:val="right"/>
              <w:rPr>
                <w:rFonts w:ascii="Times New Roman" w:hAnsi="Times New Roman" w:cs="Times New Roman" w:eastAsia="Times New Roman" w:hint="default"/>
                <w:sz w:val="20"/>
                <w:szCs w:val="20"/>
              </w:rPr>
            </w:pPr>
            <w:r>
              <w:rPr>
                <w:rFonts w:ascii="Times New Roman"/>
                <w:w w:val="95"/>
                <w:sz w:val="20"/>
              </w:rPr>
              <w:t>5,123,896.01</w:t>
            </w:r>
            <w:r>
              <w:rPr>
                <w:rFonts w:ascii="Times New Roman"/>
                <w:sz w:val="20"/>
              </w:rPr>
            </w:r>
          </w:p>
        </w:tc>
      </w:tr>
      <w:tr>
        <w:trPr>
          <w:trHeight w:val="283"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江西国科军工集团有限公司</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房租水电</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4"/>
              <w:jc w:val="right"/>
              <w:rPr>
                <w:rFonts w:ascii="Times New Roman" w:hAnsi="Times New Roman" w:cs="Times New Roman" w:eastAsia="Times New Roman" w:hint="default"/>
                <w:sz w:val="20"/>
                <w:szCs w:val="20"/>
              </w:rPr>
            </w:pPr>
            <w:r>
              <w:rPr>
                <w:rFonts w:ascii="Times New Roman"/>
                <w:w w:val="95"/>
                <w:sz w:val="20"/>
              </w:rPr>
              <w:t>543,112.57</w:t>
            </w:r>
            <w:r>
              <w:rPr>
                <w:rFonts w:ascii="Times New Roman"/>
                <w:sz w:val="20"/>
              </w:rPr>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4"/>
              <w:jc w:val="right"/>
              <w:rPr>
                <w:rFonts w:ascii="Times New Roman" w:hAnsi="Times New Roman" w:cs="Times New Roman" w:eastAsia="Times New Roman" w:hint="default"/>
                <w:sz w:val="20"/>
                <w:szCs w:val="20"/>
              </w:rPr>
            </w:pPr>
            <w:r>
              <w:rPr>
                <w:rFonts w:ascii="Times New Roman"/>
                <w:w w:val="95"/>
                <w:sz w:val="20"/>
              </w:rPr>
              <w:t>531,932.31</w:t>
            </w:r>
            <w:r>
              <w:rPr>
                <w:rFonts w:ascii="Times New Roman"/>
                <w:sz w:val="20"/>
              </w:rPr>
            </w:r>
          </w:p>
        </w:tc>
      </w:tr>
      <w:tr>
        <w:trPr>
          <w:trHeight w:val="283"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南昌创业投资有限公司</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房租水电</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4"/>
              <w:jc w:val="right"/>
              <w:rPr>
                <w:rFonts w:ascii="Times New Roman" w:hAnsi="Times New Roman" w:cs="Times New Roman" w:eastAsia="Times New Roman" w:hint="default"/>
                <w:sz w:val="20"/>
                <w:szCs w:val="20"/>
              </w:rPr>
            </w:pPr>
            <w:r>
              <w:rPr>
                <w:rFonts w:ascii="Times New Roman"/>
                <w:w w:val="95"/>
                <w:sz w:val="20"/>
              </w:rPr>
              <w:t>5,053.73</w:t>
            </w:r>
            <w:r>
              <w:rPr>
                <w:rFonts w:ascii="Times New Roman"/>
                <w:sz w:val="20"/>
              </w:rPr>
            </w:r>
          </w:p>
        </w:tc>
        <w:tc>
          <w:tcPr>
            <w:tcW w:w="158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140" w:right="1560"/>
        </w:sectPr>
      </w:pPr>
    </w:p>
    <w:p>
      <w:pPr>
        <w:pStyle w:val="Heading3"/>
        <w:spacing w:line="273" w:lineRule="exact"/>
        <w:ind w:left="136" w:right="0"/>
        <w:jc w:val="left"/>
        <w:rPr>
          <w:rFonts w:ascii="宋体" w:hAnsi="宋体" w:cs="宋体" w:eastAsia="宋体" w:hint="default"/>
        </w:rPr>
      </w:pPr>
      <w:r>
        <w:rPr>
          <w:rFonts w:ascii="宋体"/>
        </w:rPr>
        <w:t> </w:t>
      </w:r>
    </w:p>
    <w:p>
      <w:pPr>
        <w:pStyle w:val="Heading3"/>
        <w:spacing w:line="311" w:lineRule="exact"/>
        <w:ind w:left="136" w:right="0"/>
        <w:jc w:val="left"/>
        <w:rPr>
          <w:rFonts w:ascii="宋体" w:hAnsi="宋体" w:cs="宋体" w:eastAsia="宋体" w:hint="default"/>
        </w:rPr>
      </w:pPr>
      <w:r>
        <w:rPr/>
        <w:t>本公司作为承租方：</w:t>
      </w:r>
      <w:r>
        <w:rPr>
          <w:rFonts w:ascii="宋体" w:hAnsi="宋体" w:cs="宋体" w:eastAsia="宋体" w:hint="default"/>
        </w:rPr>
        <w:t> </w:t>
      </w:r>
    </w:p>
    <w:p>
      <w:pPr>
        <w:pStyle w:val="Heading3"/>
        <w:spacing w:line="312" w:lineRule="exact"/>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1140" w:right="1560"/>
          <w:cols w:num="2" w:equalWidth="0">
            <w:col w:w="2418" w:space="4104"/>
            <w:col w:w="268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599"/>
        <w:gridCol w:w="1382"/>
        <w:gridCol w:w="1330"/>
        <w:gridCol w:w="2585"/>
      </w:tblGrid>
      <w:tr>
        <w:trPr>
          <w:trHeight w:val="557" w:hRule="exact"/>
        </w:trPr>
        <w:tc>
          <w:tcPr>
            <w:tcW w:w="3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70" w:right="0"/>
              <w:jc w:val="left"/>
              <w:rPr>
                <w:rFonts w:ascii="宋体" w:hAnsi="宋体" w:cs="宋体" w:eastAsia="宋体" w:hint="default"/>
                <w:sz w:val="21"/>
                <w:szCs w:val="21"/>
              </w:rPr>
            </w:pPr>
            <w:r>
              <w:rPr>
                <w:rFonts w:ascii="宋体" w:hAnsi="宋体" w:cs="宋体" w:eastAsia="宋体" w:hint="default"/>
                <w:sz w:val="21"/>
                <w:szCs w:val="21"/>
              </w:rPr>
              <w:t>出租方名称</w:t>
            </w:r>
            <w:r>
              <w:rPr>
                <w:rFonts w:ascii="宋体" w:hAnsi="宋体" w:cs="宋体" w:eastAsia="宋体" w:hint="default"/>
                <w:sz w:val="21"/>
                <w:szCs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5" w:right="-49"/>
              <w:jc w:val="left"/>
              <w:rPr>
                <w:rFonts w:ascii="宋体" w:hAnsi="宋体" w:cs="宋体" w:eastAsia="宋体" w:hint="default"/>
                <w:sz w:val="21"/>
                <w:szCs w:val="21"/>
              </w:rPr>
            </w:pPr>
            <w:r>
              <w:rPr>
                <w:rFonts w:ascii="宋体" w:hAnsi="宋体" w:cs="宋体" w:eastAsia="宋体" w:hint="default"/>
                <w:sz w:val="21"/>
                <w:szCs w:val="21"/>
              </w:rPr>
              <w:t>租赁资产种类</w:t>
            </w:r>
            <w:r>
              <w:rPr>
                <w:rFonts w:ascii="宋体" w:hAnsi="宋体" w:cs="宋体" w:eastAsia="宋体" w:hint="default"/>
                <w:sz w:val="21"/>
                <w:szCs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本期确认的租</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赁费</w:t>
            </w:r>
            <w:r>
              <w:rPr>
                <w:rFonts w:ascii="宋体" w:hAnsi="宋体" w:cs="宋体" w:eastAsia="宋体" w:hint="default"/>
                <w:sz w:val="21"/>
                <w:szCs w:val="21"/>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6" w:right="0"/>
              <w:jc w:val="left"/>
              <w:rPr>
                <w:rFonts w:ascii="宋体" w:hAnsi="宋体" w:cs="宋体" w:eastAsia="宋体" w:hint="default"/>
                <w:sz w:val="21"/>
                <w:szCs w:val="21"/>
              </w:rPr>
            </w:pPr>
            <w:r>
              <w:rPr>
                <w:rFonts w:ascii="宋体" w:hAnsi="宋体" w:cs="宋体" w:eastAsia="宋体" w:hint="default"/>
                <w:sz w:val="21"/>
                <w:szCs w:val="21"/>
              </w:rPr>
              <w:t>上期确认的租赁费</w:t>
            </w:r>
            <w:r>
              <w:rPr>
                <w:rFonts w:ascii="宋体" w:hAnsi="宋体" w:cs="宋体" w:eastAsia="宋体" w:hint="default"/>
                <w:sz w:val="21"/>
                <w:szCs w:val="21"/>
              </w:rPr>
              <w:t> </w:t>
            </w:r>
          </w:p>
        </w:tc>
      </w:tr>
      <w:tr>
        <w:trPr>
          <w:trHeight w:val="281" w:hRule="exact"/>
        </w:trPr>
        <w:tc>
          <w:tcPr>
            <w:tcW w:w="3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北京泰豪智能科技有限公司</w:t>
            </w:r>
            <w:r>
              <w:rPr>
                <w:rFonts w:ascii="宋体" w:hAnsi="宋体" w:cs="宋体" w:eastAsia="宋体" w:hint="default"/>
                <w:sz w:val="21"/>
                <w:szCs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房租水电</w:t>
            </w:r>
            <w:r>
              <w:rPr>
                <w:rFonts w:ascii="宋体" w:hAnsi="宋体" w:cs="宋体" w:eastAsia="宋体" w:hint="default"/>
                <w:sz w:val="21"/>
                <w:szCs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42" w:right="0"/>
              <w:jc w:val="left"/>
              <w:rPr>
                <w:rFonts w:ascii="Times New Roman" w:hAnsi="Times New Roman" w:cs="Times New Roman" w:eastAsia="Times New Roman" w:hint="default"/>
                <w:sz w:val="20"/>
                <w:szCs w:val="20"/>
              </w:rPr>
            </w:pPr>
            <w:r>
              <w:rPr>
                <w:rFonts w:ascii="Times New Roman"/>
                <w:sz w:val="20"/>
              </w:rPr>
              <w:t>2,643,120.06</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5"/>
              <w:jc w:val="right"/>
              <w:rPr>
                <w:rFonts w:ascii="Times New Roman" w:hAnsi="Times New Roman" w:cs="Times New Roman" w:eastAsia="Times New Roman" w:hint="default"/>
                <w:sz w:val="20"/>
                <w:szCs w:val="20"/>
              </w:rPr>
            </w:pPr>
            <w:r>
              <w:rPr>
                <w:rFonts w:ascii="Times New Roman"/>
                <w:w w:val="95"/>
                <w:sz w:val="20"/>
              </w:rPr>
              <w:t>1,545,630.67</w:t>
            </w:r>
            <w:r>
              <w:rPr>
                <w:rFonts w:ascii="Times New Roman"/>
                <w:sz w:val="20"/>
              </w:rPr>
            </w:r>
          </w:p>
        </w:tc>
      </w:tr>
      <w:tr>
        <w:trPr>
          <w:trHeight w:val="283" w:hRule="exact"/>
        </w:trPr>
        <w:tc>
          <w:tcPr>
            <w:tcW w:w="3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泰豪慧水（北京）科技有限公司</w:t>
            </w:r>
            <w:r>
              <w:rPr>
                <w:rFonts w:ascii="宋体" w:hAnsi="宋体" w:cs="宋体" w:eastAsia="宋体" w:hint="default"/>
                <w:sz w:val="21"/>
                <w:szCs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房租水电</w:t>
            </w:r>
            <w:r>
              <w:rPr>
                <w:rFonts w:ascii="宋体" w:hAnsi="宋体" w:cs="宋体" w:eastAsia="宋体" w:hint="default"/>
                <w:sz w:val="21"/>
                <w:szCs w:val="21"/>
              </w:rPr>
              <w:t> </w:t>
            </w:r>
          </w:p>
        </w:tc>
        <w:tc>
          <w:tcPr>
            <w:tcW w:w="1330" w:type="dxa"/>
            <w:tcBorders>
              <w:top w:val="single" w:sz="4" w:space="0" w:color="000000"/>
              <w:left w:val="single" w:sz="4" w:space="0" w:color="000000"/>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4"/>
              <w:jc w:val="right"/>
              <w:rPr>
                <w:rFonts w:ascii="Times New Roman" w:hAnsi="Times New Roman" w:cs="Times New Roman" w:eastAsia="Times New Roman" w:hint="default"/>
                <w:sz w:val="20"/>
                <w:szCs w:val="20"/>
              </w:rPr>
            </w:pPr>
            <w:r>
              <w:rPr>
                <w:rFonts w:ascii="Times New Roman"/>
                <w:w w:val="95"/>
                <w:sz w:val="20"/>
              </w:rPr>
              <w:t>47,169.81</w:t>
            </w:r>
            <w:r>
              <w:rPr>
                <w:rFonts w:ascii="Times New Roman"/>
                <w:sz w:val="20"/>
              </w:rPr>
            </w:r>
          </w:p>
        </w:tc>
      </w:tr>
    </w:tbl>
    <w:p>
      <w:pPr>
        <w:pStyle w:val="Heading3"/>
        <w:spacing w:line="274" w:lineRule="exact"/>
        <w:ind w:left="136" w:right="0"/>
        <w:jc w:val="left"/>
        <w:rPr>
          <w:rFonts w:ascii="宋体" w:hAnsi="宋体" w:cs="宋体" w:eastAsia="宋体" w:hint="default"/>
        </w:rPr>
      </w:pPr>
      <w:r>
        <w:rPr>
          <w:rFonts w:ascii="宋体"/>
        </w:rPr>
        <w:t> </w:t>
      </w:r>
    </w:p>
    <w:p>
      <w:pPr>
        <w:pStyle w:val="BodyText"/>
        <w:spacing w:line="270" w:lineRule="exact" w:before="4"/>
        <w:ind w:right="6269"/>
        <w:jc w:val="left"/>
        <w:rPr>
          <w:rFonts w:ascii="宋体" w:hAnsi="宋体" w:cs="宋体" w:eastAsia="宋体" w:hint="default"/>
        </w:rPr>
      </w:pPr>
      <w:r>
        <w:rPr/>
        <w:t>关联租赁情况说明</w:t>
      </w:r>
      <w:r>
        <w:rPr>
          <w:rFonts w:ascii="宋体" w:hAnsi="宋体" w:cs="宋体" w:eastAsia="宋体" w:hint="default"/>
        </w:rPr>
        <w:t> </w:t>
      </w:r>
    </w:p>
    <w:p>
      <w:pPr>
        <w:pStyle w:val="Heading3"/>
        <w:spacing w:line="309" w:lineRule="exact"/>
        <w:ind w:left="136" w:right="626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309" w:lineRule="exact"/>
        <w:jc w:val="left"/>
        <w:rPr>
          <w:rFonts w:ascii="宋体" w:hAnsi="宋体" w:cs="宋体" w:eastAsia="宋体" w:hint="default"/>
        </w:rPr>
        <w:sectPr>
          <w:type w:val="continuous"/>
          <w:pgSz w:w="11910" w:h="16840"/>
          <w:pgMar w:top="1120" w:bottom="1380" w:left="11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140" w:right="1640"/>
        </w:sectPr>
      </w:pPr>
    </w:p>
    <w:p>
      <w:pPr>
        <w:pStyle w:val="Heading5"/>
        <w:spacing w:line="240" w:lineRule="auto" w:before="36"/>
        <w:ind w:left="136"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45"/>
        </w:rPr>
        <w:t> </w:t>
      </w:r>
      <w:r>
        <w:rPr/>
        <w:t>关联担保情况</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left="136" w:right="0"/>
        <w:jc w:val="left"/>
        <w:rPr>
          <w:rFonts w:ascii="宋体" w:hAnsi="宋体" w:cs="宋体" w:eastAsia="宋体" w:hint="default"/>
        </w:rPr>
      </w:pPr>
      <w:r>
        <w:rPr/>
        <w:t>本公司作为担保方</w:t>
      </w:r>
      <w:r>
        <w:rPr>
          <w:rFonts w:ascii="宋体" w:hAnsi="宋体" w:cs="宋体" w:eastAsia="宋体" w:hint="default"/>
        </w:rPr>
        <w:t> </w:t>
      </w:r>
    </w:p>
    <w:p>
      <w:pPr>
        <w:pStyle w:val="Heading3"/>
        <w:spacing w:line="313" w:lineRule="exact"/>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tabs>
          <w:tab w:pos="1396" w:val="left" w:leader="none"/>
        </w:tabs>
        <w:spacing w:line="240" w:lineRule="auto"/>
        <w:ind w:right="0"/>
        <w:jc w:val="left"/>
      </w:pPr>
      <w:r>
        <w:rPr>
          <w:spacing w:val="-1"/>
        </w:rPr>
        <w:t>单位：万元</w:t>
        <w:tab/>
        <w:t>币种：人民币</w:t>
      </w:r>
    </w:p>
    <w:p>
      <w:pPr>
        <w:spacing w:after="0" w:line="240" w:lineRule="auto"/>
        <w:jc w:val="left"/>
        <w:sectPr>
          <w:type w:val="continuous"/>
          <w:pgSz w:w="11910" w:h="16840"/>
          <w:pgMar w:top="1120" w:bottom="1380" w:left="1140" w:right="1640"/>
          <w:cols w:num="2" w:equalWidth="0">
            <w:col w:w="2178" w:space="4133"/>
            <w:col w:w="2819"/>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570"/>
        <w:gridCol w:w="998"/>
        <w:gridCol w:w="1431"/>
        <w:gridCol w:w="1572"/>
        <w:gridCol w:w="1325"/>
      </w:tblGrid>
      <w:tr>
        <w:trPr>
          <w:trHeight w:val="554"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被担保方</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2"/>
              <w:jc w:val="right"/>
              <w:rPr>
                <w:rFonts w:ascii="宋体" w:hAnsi="宋体" w:cs="宋体" w:eastAsia="宋体" w:hint="default"/>
                <w:sz w:val="21"/>
                <w:szCs w:val="21"/>
              </w:rPr>
            </w:pPr>
            <w:r>
              <w:rPr>
                <w:rFonts w:ascii="宋体" w:hAnsi="宋体" w:cs="宋体" w:eastAsia="宋体" w:hint="default"/>
                <w:spacing w:val="-2"/>
                <w:sz w:val="21"/>
                <w:szCs w:val="21"/>
              </w:rPr>
              <w:t>担保金额</w:t>
            </w:r>
            <w:r>
              <w:rPr>
                <w:rFonts w:ascii="宋体" w:hAnsi="宋体" w:cs="宋体" w:eastAsia="宋体" w:hint="default"/>
                <w:sz w:val="21"/>
                <w:szCs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担保起始日</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4" w:right="0"/>
              <w:jc w:val="left"/>
              <w:rPr>
                <w:rFonts w:ascii="宋体" w:hAnsi="宋体" w:cs="宋体" w:eastAsia="宋体" w:hint="default"/>
                <w:sz w:val="21"/>
                <w:szCs w:val="21"/>
              </w:rPr>
            </w:pPr>
            <w:r>
              <w:rPr>
                <w:rFonts w:ascii="宋体" w:hAnsi="宋体" w:cs="宋体" w:eastAsia="宋体" w:hint="default"/>
                <w:sz w:val="21"/>
                <w:szCs w:val="21"/>
              </w:rPr>
              <w:t>担保到期日</w:t>
            </w:r>
            <w:r>
              <w:rPr>
                <w:rFonts w:ascii="宋体" w:hAnsi="宋体" w:cs="宋体" w:eastAsia="宋体" w:hint="default"/>
                <w:sz w:val="21"/>
                <w:szCs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w:t>
            </w:r>
          </w:p>
          <w:p>
            <w:pPr>
              <w:pStyle w:val="TableParagraph"/>
              <w:spacing w:line="274" w:lineRule="exact"/>
              <w:ind w:left="101" w:right="0"/>
              <w:jc w:val="center"/>
              <w:rPr>
                <w:rFonts w:ascii="宋体" w:hAnsi="宋体" w:cs="宋体" w:eastAsia="宋体" w:hint="default"/>
                <w:sz w:val="21"/>
                <w:szCs w:val="21"/>
              </w:rPr>
            </w:pPr>
            <w:r>
              <w:rPr>
                <w:rFonts w:ascii="宋体" w:hAnsi="宋体" w:cs="宋体" w:eastAsia="宋体" w:hint="default"/>
                <w:sz w:val="21"/>
                <w:szCs w:val="21"/>
              </w:rPr>
              <w:t>履行完毕</w:t>
            </w:r>
            <w:r>
              <w:rPr>
                <w:rFonts w:ascii="宋体" w:hAnsi="宋体" w:cs="宋体" w:eastAsia="宋体" w:hint="default"/>
                <w:sz w:val="21"/>
                <w:szCs w:val="21"/>
              </w:rPr>
              <w:t> </w:t>
            </w:r>
          </w:p>
        </w:tc>
      </w:tr>
      <w:tr>
        <w:trPr>
          <w:trHeight w:val="283"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江西国科军工集团股份有限公司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20"/>
                <w:szCs w:val="20"/>
              </w:rPr>
            </w:pPr>
            <w:r>
              <w:rPr>
                <w:rFonts w:ascii="Times New Roman"/>
                <w:sz w:val="20"/>
              </w:rPr>
              <w:t>600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0"/>
                <w:szCs w:val="20"/>
              </w:rPr>
            </w:pPr>
            <w:r>
              <w:rPr>
                <w:rFonts w:ascii="Times New Roman"/>
                <w:sz w:val="20"/>
              </w:rPr>
              <w:t>2018.12.7</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79" w:right="0"/>
              <w:jc w:val="left"/>
              <w:rPr>
                <w:rFonts w:ascii="Times New Roman" w:hAnsi="Times New Roman" w:cs="Times New Roman" w:eastAsia="Times New Roman" w:hint="default"/>
                <w:sz w:val="20"/>
                <w:szCs w:val="20"/>
              </w:rPr>
            </w:pPr>
            <w:r>
              <w:rPr>
                <w:rFonts w:ascii="Times New Roman"/>
                <w:sz w:val="20"/>
              </w:rPr>
              <w:t>2020.12.6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江西国科军工集团股份有限公司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20"/>
                <w:szCs w:val="20"/>
              </w:rPr>
            </w:pPr>
            <w:r>
              <w:rPr>
                <w:rFonts w:ascii="Times New Roman"/>
                <w:sz w:val="20"/>
              </w:rPr>
              <w:t>900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0"/>
                <w:szCs w:val="20"/>
              </w:rPr>
            </w:pPr>
            <w:r>
              <w:rPr>
                <w:rFonts w:ascii="Times New Roman"/>
                <w:sz w:val="20"/>
              </w:rPr>
              <w:t>2018.12.7</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79" w:right="0"/>
              <w:jc w:val="left"/>
              <w:rPr>
                <w:rFonts w:ascii="Times New Roman" w:hAnsi="Times New Roman" w:cs="Times New Roman" w:eastAsia="Times New Roman" w:hint="default"/>
                <w:sz w:val="20"/>
                <w:szCs w:val="20"/>
              </w:rPr>
            </w:pPr>
            <w:r>
              <w:rPr>
                <w:rFonts w:ascii="Times New Roman"/>
                <w:sz w:val="20"/>
              </w:rPr>
              <w:t>2020.12.6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江西国科军工集团股份有限公司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1,500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0"/>
                <w:szCs w:val="20"/>
              </w:rPr>
            </w:pPr>
            <w:r>
              <w:rPr>
                <w:rFonts w:ascii="Times New Roman"/>
                <w:sz w:val="20"/>
              </w:rPr>
              <w:t>2019.3.22</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79" w:right="0"/>
              <w:jc w:val="left"/>
              <w:rPr>
                <w:rFonts w:ascii="Times New Roman" w:hAnsi="Times New Roman" w:cs="Times New Roman" w:eastAsia="Times New Roman" w:hint="default"/>
                <w:sz w:val="20"/>
                <w:szCs w:val="20"/>
              </w:rPr>
            </w:pPr>
            <w:r>
              <w:rPr>
                <w:rFonts w:ascii="Times New Roman"/>
                <w:sz w:val="20"/>
              </w:rPr>
              <w:t>2020.3.21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泰豪科技（深圳）电力技术有限公司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2,000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0"/>
                <w:szCs w:val="20"/>
              </w:rPr>
            </w:pPr>
            <w:r>
              <w:rPr>
                <w:rFonts w:ascii="Times New Roman"/>
                <w:sz w:val="20"/>
              </w:rPr>
              <w:t>2019.7.1</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79" w:right="0"/>
              <w:jc w:val="left"/>
              <w:rPr>
                <w:rFonts w:ascii="Times New Roman" w:hAnsi="Times New Roman" w:cs="Times New Roman" w:eastAsia="Times New Roman" w:hint="default"/>
                <w:sz w:val="20"/>
                <w:szCs w:val="20"/>
              </w:rPr>
            </w:pPr>
            <w:r>
              <w:rPr>
                <w:rFonts w:ascii="Times New Roman"/>
                <w:sz w:val="20"/>
              </w:rPr>
              <w:t>2020.7.24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泰豪科技（深圳）电力技术有限公司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2,832</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0"/>
                <w:szCs w:val="20"/>
              </w:rPr>
            </w:pPr>
            <w:r>
              <w:rPr>
                <w:rFonts w:ascii="Times New Roman"/>
                <w:sz w:val="20"/>
              </w:rPr>
              <w:t>2018.1.1</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28" w:right="0"/>
              <w:jc w:val="left"/>
              <w:rPr>
                <w:rFonts w:ascii="Times New Roman" w:hAnsi="Times New Roman" w:cs="Times New Roman" w:eastAsia="Times New Roman" w:hint="default"/>
                <w:sz w:val="20"/>
                <w:szCs w:val="20"/>
              </w:rPr>
            </w:pPr>
            <w:r>
              <w:rPr>
                <w:rFonts w:ascii="Times New Roman"/>
                <w:sz w:val="20"/>
              </w:rPr>
              <w:t>2022.10.25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泰豪科技（深圳）电力技术有限公司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2,609</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0"/>
                <w:szCs w:val="20"/>
              </w:rPr>
            </w:pPr>
            <w:r>
              <w:rPr>
                <w:rFonts w:ascii="Times New Roman"/>
                <w:sz w:val="20"/>
              </w:rPr>
              <w:t>2019.7.26</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29" w:right="0"/>
              <w:jc w:val="left"/>
              <w:rPr>
                <w:rFonts w:ascii="Times New Roman" w:hAnsi="Times New Roman" w:cs="Times New Roman" w:eastAsia="Times New Roman" w:hint="default"/>
                <w:sz w:val="20"/>
                <w:szCs w:val="20"/>
              </w:rPr>
            </w:pPr>
            <w:r>
              <w:rPr>
                <w:rFonts w:ascii="Times New Roman"/>
                <w:sz w:val="20"/>
              </w:rPr>
              <w:t>2020.3.2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泰豪电源技术有限公司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3,111</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0"/>
                <w:szCs w:val="20"/>
              </w:rPr>
            </w:pPr>
            <w:r>
              <w:rPr>
                <w:rFonts w:ascii="Times New Roman"/>
                <w:sz w:val="20"/>
              </w:rPr>
              <w:t>2015.7.29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79" w:right="0"/>
              <w:jc w:val="left"/>
              <w:rPr>
                <w:rFonts w:ascii="Times New Roman" w:hAnsi="Times New Roman" w:cs="Times New Roman" w:eastAsia="Times New Roman" w:hint="default"/>
                <w:sz w:val="20"/>
                <w:szCs w:val="20"/>
              </w:rPr>
            </w:pPr>
            <w:r>
              <w:rPr>
                <w:rFonts w:ascii="Times New Roman"/>
                <w:sz w:val="20"/>
              </w:rPr>
              <w:t>2022.6.30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4"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泰豪电源技术有限公司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1,000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0"/>
                <w:szCs w:val="20"/>
              </w:rPr>
            </w:pPr>
            <w:r>
              <w:rPr>
                <w:rFonts w:ascii="Times New Roman"/>
                <w:sz w:val="20"/>
              </w:rPr>
              <w:t>2019.11.19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28" w:right="0"/>
              <w:jc w:val="left"/>
              <w:rPr>
                <w:rFonts w:ascii="Times New Roman" w:hAnsi="Times New Roman" w:cs="Times New Roman" w:eastAsia="Times New Roman" w:hint="default"/>
                <w:sz w:val="20"/>
                <w:szCs w:val="20"/>
              </w:rPr>
            </w:pPr>
            <w:r>
              <w:rPr>
                <w:rFonts w:ascii="Times New Roman"/>
                <w:sz w:val="20"/>
              </w:rPr>
              <w:t>2020.11.15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泰豪电源技术有限公司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5,000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0"/>
                <w:szCs w:val="20"/>
              </w:rPr>
            </w:pPr>
            <w:r>
              <w:rPr>
                <w:rFonts w:ascii="Times New Roman"/>
                <w:sz w:val="20"/>
              </w:rPr>
              <w:t>2019.6.18</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79" w:right="0"/>
              <w:jc w:val="left"/>
              <w:rPr>
                <w:rFonts w:ascii="Times New Roman" w:hAnsi="Times New Roman" w:cs="Times New Roman" w:eastAsia="Times New Roman" w:hint="default"/>
                <w:sz w:val="20"/>
                <w:szCs w:val="20"/>
              </w:rPr>
            </w:pPr>
            <w:r>
              <w:rPr>
                <w:rFonts w:ascii="Times New Roman"/>
                <w:sz w:val="20"/>
              </w:rPr>
              <w:t>2020.6.17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泰豪电源技术有限公司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20"/>
                <w:szCs w:val="20"/>
              </w:rPr>
            </w:pPr>
            <w:r>
              <w:rPr>
                <w:rFonts w:ascii="Times New Roman"/>
                <w:sz w:val="20"/>
              </w:rPr>
              <w:t>14</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0"/>
                <w:szCs w:val="20"/>
              </w:rPr>
            </w:pPr>
            <w:r>
              <w:rPr>
                <w:rFonts w:ascii="Times New Roman"/>
                <w:sz w:val="20"/>
              </w:rPr>
              <w:t>2019.4.10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79" w:right="0"/>
              <w:jc w:val="left"/>
              <w:rPr>
                <w:rFonts w:ascii="Times New Roman" w:hAnsi="Times New Roman" w:cs="Times New Roman" w:eastAsia="Times New Roman" w:hint="default"/>
                <w:sz w:val="20"/>
                <w:szCs w:val="20"/>
              </w:rPr>
            </w:pPr>
            <w:r>
              <w:rPr>
                <w:rFonts w:ascii="Times New Roman"/>
                <w:sz w:val="20"/>
              </w:rPr>
              <w:t>2020.4.20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泰豪电源技术有限公司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2,424</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0"/>
                <w:szCs w:val="20"/>
              </w:rPr>
            </w:pPr>
            <w:r>
              <w:rPr>
                <w:rFonts w:ascii="Times New Roman"/>
                <w:sz w:val="20"/>
              </w:rPr>
              <w:t>2017.12.19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28" w:right="0"/>
              <w:jc w:val="left"/>
              <w:rPr>
                <w:rFonts w:ascii="Times New Roman" w:hAnsi="Times New Roman" w:cs="Times New Roman" w:eastAsia="Times New Roman" w:hint="default"/>
                <w:sz w:val="20"/>
                <w:szCs w:val="20"/>
              </w:rPr>
            </w:pPr>
            <w:r>
              <w:rPr>
                <w:rFonts w:ascii="Times New Roman"/>
                <w:sz w:val="20"/>
              </w:rPr>
              <w:t>2020.12.30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泰豪电源技术有限公司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3,533</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0"/>
                <w:szCs w:val="20"/>
              </w:rPr>
            </w:pPr>
            <w:r>
              <w:rPr>
                <w:rFonts w:ascii="Times New Roman"/>
                <w:sz w:val="20"/>
              </w:rPr>
              <w:t>2019.1.23</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79" w:right="0"/>
              <w:jc w:val="left"/>
              <w:rPr>
                <w:rFonts w:ascii="Times New Roman" w:hAnsi="Times New Roman" w:cs="Times New Roman" w:eastAsia="Times New Roman" w:hint="default"/>
                <w:sz w:val="20"/>
                <w:szCs w:val="20"/>
              </w:rPr>
            </w:pPr>
            <w:r>
              <w:rPr>
                <w:rFonts w:ascii="Times New Roman"/>
                <w:sz w:val="20"/>
              </w:rPr>
              <w:t>2020.6.27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泰豪电源技术有限公司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7,000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0"/>
                <w:szCs w:val="20"/>
              </w:rPr>
            </w:pPr>
            <w:r>
              <w:rPr>
                <w:rFonts w:ascii="Times New Roman"/>
                <w:sz w:val="20"/>
              </w:rPr>
              <w:t>2019.12.27</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28" w:right="0"/>
              <w:jc w:val="left"/>
              <w:rPr>
                <w:rFonts w:ascii="Times New Roman" w:hAnsi="Times New Roman" w:cs="Times New Roman" w:eastAsia="Times New Roman" w:hint="default"/>
                <w:sz w:val="20"/>
                <w:szCs w:val="20"/>
              </w:rPr>
            </w:pPr>
            <w:r>
              <w:rPr>
                <w:rFonts w:ascii="Times New Roman"/>
                <w:sz w:val="20"/>
              </w:rPr>
              <w:t>2020.12.26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泰豪电源技术有限公司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2,300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0"/>
                <w:szCs w:val="20"/>
              </w:rPr>
            </w:pPr>
            <w:r>
              <w:rPr>
                <w:rFonts w:ascii="Times New Roman"/>
                <w:sz w:val="20"/>
              </w:rPr>
              <w:t>2019.1.25</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79" w:right="0"/>
              <w:jc w:val="left"/>
              <w:rPr>
                <w:rFonts w:ascii="Times New Roman" w:hAnsi="Times New Roman" w:cs="Times New Roman" w:eastAsia="Times New Roman" w:hint="default"/>
                <w:sz w:val="20"/>
                <w:szCs w:val="20"/>
              </w:rPr>
            </w:pPr>
            <w:r>
              <w:rPr>
                <w:rFonts w:ascii="Times New Roman"/>
                <w:sz w:val="20"/>
              </w:rPr>
              <w:t>2020.1.24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泰豪电源技术有限公司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2,695</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0"/>
                <w:szCs w:val="20"/>
              </w:rPr>
            </w:pPr>
            <w:r>
              <w:rPr>
                <w:rFonts w:ascii="Times New Roman"/>
                <w:sz w:val="20"/>
              </w:rPr>
              <w:t>2019.3.15</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79" w:right="0"/>
              <w:jc w:val="left"/>
              <w:rPr>
                <w:rFonts w:ascii="Times New Roman" w:hAnsi="Times New Roman" w:cs="Times New Roman" w:eastAsia="Times New Roman" w:hint="default"/>
                <w:sz w:val="20"/>
                <w:szCs w:val="20"/>
              </w:rPr>
            </w:pPr>
            <w:r>
              <w:rPr>
                <w:rFonts w:ascii="Times New Roman"/>
                <w:sz w:val="20"/>
              </w:rPr>
              <w:t>2020.6.18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江西清华泰豪三波电机有限公司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3,000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0"/>
                <w:szCs w:val="20"/>
              </w:rPr>
            </w:pPr>
            <w:r>
              <w:rPr>
                <w:rFonts w:ascii="Times New Roman"/>
                <w:sz w:val="20"/>
              </w:rPr>
              <w:t>2019.1.23</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28" w:right="0"/>
              <w:jc w:val="left"/>
              <w:rPr>
                <w:rFonts w:ascii="Times New Roman" w:hAnsi="Times New Roman" w:cs="Times New Roman" w:eastAsia="Times New Roman" w:hint="default"/>
                <w:sz w:val="20"/>
                <w:szCs w:val="20"/>
              </w:rPr>
            </w:pPr>
            <w:r>
              <w:rPr>
                <w:rFonts w:ascii="Times New Roman"/>
                <w:sz w:val="20"/>
              </w:rPr>
              <w:t>2020.10.21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江西清华泰豪三波电机有限公司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1,344</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0"/>
                <w:szCs w:val="20"/>
              </w:rPr>
            </w:pPr>
            <w:r>
              <w:rPr>
                <w:rFonts w:ascii="Times New Roman"/>
                <w:sz w:val="20"/>
              </w:rPr>
              <w:t>2019.7.15</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79" w:right="0"/>
              <w:jc w:val="left"/>
              <w:rPr>
                <w:rFonts w:ascii="Times New Roman" w:hAnsi="Times New Roman" w:cs="Times New Roman" w:eastAsia="Times New Roman" w:hint="default"/>
                <w:sz w:val="20"/>
                <w:szCs w:val="20"/>
              </w:rPr>
            </w:pPr>
            <w:r>
              <w:rPr>
                <w:rFonts w:ascii="Times New Roman"/>
                <w:sz w:val="20"/>
              </w:rPr>
              <w:t>2020.6.30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江西清华泰豪三波电机有限公司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3,000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0"/>
                <w:szCs w:val="20"/>
              </w:rPr>
            </w:pPr>
            <w:r>
              <w:rPr>
                <w:rFonts w:ascii="Times New Roman"/>
                <w:sz w:val="20"/>
              </w:rPr>
              <w:t>2019.1.28</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79" w:right="0"/>
              <w:jc w:val="left"/>
              <w:rPr>
                <w:rFonts w:ascii="Times New Roman" w:hAnsi="Times New Roman" w:cs="Times New Roman" w:eastAsia="Times New Roman" w:hint="default"/>
                <w:sz w:val="20"/>
                <w:szCs w:val="20"/>
              </w:rPr>
            </w:pPr>
            <w:r>
              <w:rPr>
                <w:rFonts w:ascii="Times New Roman"/>
                <w:sz w:val="20"/>
              </w:rPr>
              <w:t>2020.1.27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江西清华泰豪三波电机有限公司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1,000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0"/>
                <w:szCs w:val="20"/>
              </w:rPr>
            </w:pPr>
            <w:r>
              <w:rPr>
                <w:rFonts w:ascii="Times New Roman"/>
                <w:sz w:val="20"/>
              </w:rPr>
              <w:t>2019.11.19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28" w:right="0"/>
              <w:jc w:val="left"/>
              <w:rPr>
                <w:rFonts w:ascii="Times New Roman" w:hAnsi="Times New Roman" w:cs="Times New Roman" w:eastAsia="Times New Roman" w:hint="default"/>
                <w:sz w:val="20"/>
                <w:szCs w:val="20"/>
              </w:rPr>
            </w:pPr>
            <w:r>
              <w:rPr>
                <w:rFonts w:ascii="Times New Roman"/>
                <w:sz w:val="20"/>
              </w:rPr>
              <w:t>2020.11.15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衡阳泰豪通信车辆有限公司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2,259</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0"/>
                <w:szCs w:val="20"/>
              </w:rPr>
            </w:pPr>
            <w:r>
              <w:rPr>
                <w:rFonts w:ascii="Times New Roman"/>
                <w:sz w:val="20"/>
              </w:rPr>
              <w:t>2019.9.6</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79" w:right="0"/>
              <w:jc w:val="left"/>
              <w:rPr>
                <w:rFonts w:ascii="Times New Roman" w:hAnsi="Times New Roman" w:cs="Times New Roman" w:eastAsia="Times New Roman" w:hint="default"/>
                <w:sz w:val="20"/>
                <w:szCs w:val="20"/>
              </w:rPr>
            </w:pPr>
            <w:r>
              <w:rPr>
                <w:rFonts w:ascii="Times New Roman"/>
                <w:sz w:val="20"/>
              </w:rPr>
              <w:t>2020.11.6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衡阳泰豪通信车辆有限公司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1,000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0"/>
                <w:szCs w:val="20"/>
              </w:rPr>
            </w:pPr>
            <w:r>
              <w:rPr>
                <w:rFonts w:ascii="Times New Roman"/>
                <w:sz w:val="20"/>
              </w:rPr>
              <w:t>2019.5.24</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79" w:right="0"/>
              <w:jc w:val="left"/>
              <w:rPr>
                <w:rFonts w:ascii="Times New Roman" w:hAnsi="Times New Roman" w:cs="Times New Roman" w:eastAsia="Times New Roman" w:hint="default"/>
                <w:sz w:val="20"/>
                <w:szCs w:val="20"/>
              </w:rPr>
            </w:pPr>
            <w:r>
              <w:rPr>
                <w:rFonts w:ascii="Times New Roman"/>
                <w:sz w:val="20"/>
              </w:rPr>
              <w:t>2020.5.20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衡阳泰豪通信车辆有限公司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1,132</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0"/>
                <w:szCs w:val="20"/>
              </w:rPr>
            </w:pPr>
            <w:r>
              <w:rPr>
                <w:rFonts w:ascii="Times New Roman"/>
                <w:sz w:val="20"/>
              </w:rPr>
              <w:t>2019.7.2</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29" w:right="0"/>
              <w:jc w:val="left"/>
              <w:rPr>
                <w:rFonts w:ascii="Times New Roman" w:hAnsi="Times New Roman" w:cs="Times New Roman" w:eastAsia="Times New Roman" w:hint="default"/>
                <w:sz w:val="20"/>
                <w:szCs w:val="20"/>
              </w:rPr>
            </w:pPr>
            <w:r>
              <w:rPr>
                <w:rFonts w:ascii="Times New Roman"/>
                <w:sz w:val="20"/>
              </w:rPr>
              <w:t>2020.6.9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衡阳泰豪通信车辆有限公司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2,000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0"/>
                <w:szCs w:val="20"/>
              </w:rPr>
            </w:pPr>
            <w:r>
              <w:rPr>
                <w:rFonts w:ascii="Times New Roman"/>
                <w:sz w:val="20"/>
              </w:rPr>
              <w:t>2019.6.3</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29" w:right="0"/>
              <w:jc w:val="left"/>
              <w:rPr>
                <w:rFonts w:ascii="Times New Roman" w:hAnsi="Times New Roman" w:cs="Times New Roman" w:eastAsia="Times New Roman" w:hint="default"/>
                <w:sz w:val="20"/>
                <w:szCs w:val="20"/>
              </w:rPr>
            </w:pPr>
            <w:r>
              <w:rPr>
                <w:rFonts w:ascii="Times New Roman"/>
                <w:sz w:val="20"/>
              </w:rPr>
              <w:t>2020.6.2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衡阳泰豪通信车辆有限公司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20"/>
                <w:szCs w:val="20"/>
              </w:rPr>
            </w:pPr>
            <w:r>
              <w:rPr>
                <w:rFonts w:ascii="Times New Roman"/>
                <w:sz w:val="20"/>
              </w:rPr>
              <w:t>469</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0"/>
                <w:szCs w:val="20"/>
              </w:rPr>
            </w:pPr>
            <w:r>
              <w:rPr>
                <w:rFonts w:ascii="Times New Roman"/>
                <w:sz w:val="20"/>
              </w:rPr>
              <w:t>2019.7.19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79" w:right="0"/>
              <w:jc w:val="left"/>
              <w:rPr>
                <w:rFonts w:ascii="Times New Roman" w:hAnsi="Times New Roman" w:cs="Times New Roman" w:eastAsia="Times New Roman" w:hint="default"/>
                <w:sz w:val="20"/>
                <w:szCs w:val="20"/>
              </w:rPr>
            </w:pPr>
            <w:r>
              <w:rPr>
                <w:rFonts w:ascii="Times New Roman"/>
                <w:sz w:val="20"/>
              </w:rPr>
              <w:t>2020.1.19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衡阳泰豪通信车辆有限公司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3,000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0"/>
                <w:szCs w:val="20"/>
              </w:rPr>
            </w:pPr>
            <w:r>
              <w:rPr>
                <w:rFonts w:ascii="Times New Roman"/>
                <w:sz w:val="20"/>
              </w:rPr>
              <w:t>2019.7.25</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79" w:right="0"/>
              <w:jc w:val="left"/>
              <w:rPr>
                <w:rFonts w:ascii="Times New Roman" w:hAnsi="Times New Roman" w:cs="Times New Roman" w:eastAsia="Times New Roman" w:hint="default"/>
                <w:sz w:val="20"/>
                <w:szCs w:val="20"/>
              </w:rPr>
            </w:pPr>
            <w:r>
              <w:rPr>
                <w:rFonts w:ascii="Times New Roman"/>
                <w:sz w:val="20"/>
              </w:rPr>
              <w:t>2020.7.24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泰豪软件股份有限公司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4,000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0"/>
                <w:szCs w:val="20"/>
              </w:rPr>
            </w:pPr>
            <w:r>
              <w:rPr>
                <w:rFonts w:ascii="Times New Roman"/>
                <w:sz w:val="20"/>
              </w:rPr>
              <w:t>2019.6.20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79" w:right="0"/>
              <w:jc w:val="left"/>
              <w:rPr>
                <w:rFonts w:ascii="Times New Roman" w:hAnsi="Times New Roman" w:cs="Times New Roman" w:eastAsia="Times New Roman" w:hint="default"/>
                <w:sz w:val="20"/>
                <w:szCs w:val="20"/>
              </w:rPr>
            </w:pPr>
            <w:r>
              <w:rPr>
                <w:rFonts w:ascii="Times New Roman"/>
                <w:sz w:val="20"/>
              </w:rPr>
              <w:t>2020.6.17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泰豪软件股份有限公司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20"/>
                <w:szCs w:val="20"/>
              </w:rPr>
            </w:pPr>
            <w:r>
              <w:rPr>
                <w:rFonts w:ascii="Times New Roman"/>
                <w:sz w:val="20"/>
              </w:rPr>
              <w:t>50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0"/>
                <w:szCs w:val="20"/>
              </w:rPr>
            </w:pPr>
            <w:r>
              <w:rPr>
                <w:rFonts w:ascii="Times New Roman"/>
                <w:sz w:val="20"/>
              </w:rPr>
              <w:t>2017.9.25</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79" w:right="0"/>
              <w:jc w:val="left"/>
              <w:rPr>
                <w:rFonts w:ascii="Times New Roman" w:hAnsi="Times New Roman" w:cs="Times New Roman" w:eastAsia="Times New Roman" w:hint="default"/>
                <w:sz w:val="20"/>
                <w:szCs w:val="20"/>
              </w:rPr>
            </w:pPr>
            <w:r>
              <w:rPr>
                <w:rFonts w:ascii="Times New Roman"/>
                <w:sz w:val="20"/>
              </w:rPr>
              <w:t>2020.6.30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泰豪软件股份有限公司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3,000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0"/>
                <w:szCs w:val="20"/>
              </w:rPr>
            </w:pPr>
            <w:r>
              <w:rPr>
                <w:rFonts w:ascii="Times New Roman"/>
                <w:sz w:val="20"/>
              </w:rPr>
              <w:t>2019.1.29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28" w:right="0"/>
              <w:jc w:val="left"/>
              <w:rPr>
                <w:rFonts w:ascii="Times New Roman" w:hAnsi="Times New Roman" w:cs="Times New Roman" w:eastAsia="Times New Roman" w:hint="default"/>
                <w:sz w:val="20"/>
                <w:szCs w:val="20"/>
              </w:rPr>
            </w:pPr>
            <w:r>
              <w:rPr>
                <w:rFonts w:ascii="Times New Roman"/>
                <w:sz w:val="20"/>
              </w:rPr>
              <w:t>2020.11.28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泰豪软件股份有限公司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3,001</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0"/>
                <w:szCs w:val="20"/>
              </w:rPr>
            </w:pPr>
            <w:r>
              <w:rPr>
                <w:rFonts w:ascii="Times New Roman"/>
                <w:sz w:val="20"/>
              </w:rPr>
              <w:t>2017.9.25</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79" w:right="0"/>
              <w:jc w:val="left"/>
              <w:rPr>
                <w:rFonts w:ascii="Times New Roman" w:hAnsi="Times New Roman" w:cs="Times New Roman" w:eastAsia="Times New Roman" w:hint="default"/>
                <w:sz w:val="20"/>
                <w:szCs w:val="20"/>
              </w:rPr>
            </w:pPr>
            <w:r>
              <w:rPr>
                <w:rFonts w:ascii="Times New Roman"/>
                <w:sz w:val="20"/>
              </w:rPr>
              <w:t>2024.6.30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泰豪软件股份有限公司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3,500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0"/>
                <w:szCs w:val="20"/>
              </w:rPr>
            </w:pPr>
            <w:r>
              <w:rPr>
                <w:rFonts w:ascii="Times New Roman"/>
                <w:sz w:val="20"/>
              </w:rPr>
              <w:t>2019.6.17</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28" w:right="0"/>
              <w:jc w:val="left"/>
              <w:rPr>
                <w:rFonts w:ascii="Times New Roman" w:hAnsi="Times New Roman" w:cs="Times New Roman" w:eastAsia="Times New Roman" w:hint="default"/>
                <w:sz w:val="20"/>
                <w:szCs w:val="20"/>
              </w:rPr>
            </w:pPr>
            <w:r>
              <w:rPr>
                <w:rFonts w:ascii="Times New Roman"/>
                <w:sz w:val="20"/>
              </w:rPr>
              <w:t>2020.10.21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泰豪软件股份有限公司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20"/>
                <w:szCs w:val="20"/>
              </w:rPr>
            </w:pPr>
            <w:r>
              <w:rPr>
                <w:rFonts w:ascii="Times New Roman"/>
                <w:sz w:val="20"/>
              </w:rPr>
              <w:t>372</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0"/>
                <w:szCs w:val="20"/>
              </w:rPr>
            </w:pPr>
            <w:r>
              <w:rPr>
                <w:rFonts w:ascii="Times New Roman"/>
                <w:sz w:val="20"/>
              </w:rPr>
              <w:t>2019.1.18</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28" w:right="0"/>
              <w:jc w:val="left"/>
              <w:rPr>
                <w:rFonts w:ascii="Times New Roman" w:hAnsi="Times New Roman" w:cs="Times New Roman" w:eastAsia="Times New Roman" w:hint="default"/>
                <w:sz w:val="20"/>
                <w:szCs w:val="20"/>
              </w:rPr>
            </w:pPr>
            <w:r>
              <w:rPr>
                <w:rFonts w:ascii="Times New Roman"/>
                <w:sz w:val="20"/>
              </w:rPr>
              <w:t>2020.12.13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4"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泰豪软件股份有限公司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0"/>
                <w:szCs w:val="20"/>
              </w:rPr>
            </w:pPr>
            <w:r>
              <w:rPr>
                <w:rFonts w:ascii="Times New Roman"/>
                <w:sz w:val="20"/>
              </w:rPr>
              <w:t>2019.12.23</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28" w:right="0"/>
              <w:jc w:val="left"/>
              <w:rPr>
                <w:rFonts w:ascii="Times New Roman" w:hAnsi="Times New Roman" w:cs="Times New Roman" w:eastAsia="Times New Roman" w:hint="default"/>
                <w:sz w:val="20"/>
                <w:szCs w:val="20"/>
              </w:rPr>
            </w:pPr>
            <w:r>
              <w:rPr>
                <w:rFonts w:ascii="Times New Roman"/>
                <w:sz w:val="20"/>
              </w:rPr>
              <w:t>2020.12.22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泰豪软件股份有限公司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1,000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0"/>
                <w:szCs w:val="20"/>
              </w:rPr>
            </w:pPr>
            <w:r>
              <w:rPr>
                <w:rFonts w:ascii="Times New Roman"/>
                <w:sz w:val="20"/>
              </w:rPr>
              <w:t>2019.11.19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28" w:right="0"/>
              <w:jc w:val="left"/>
              <w:rPr>
                <w:rFonts w:ascii="Times New Roman" w:hAnsi="Times New Roman" w:cs="Times New Roman" w:eastAsia="Times New Roman" w:hint="default"/>
                <w:sz w:val="20"/>
                <w:szCs w:val="20"/>
              </w:rPr>
            </w:pPr>
            <w:r>
              <w:rPr>
                <w:rFonts w:ascii="Times New Roman"/>
                <w:sz w:val="20"/>
              </w:rPr>
              <w:t>2020.11.15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龙岩市海德馨汽车有限公司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3,400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0"/>
                <w:szCs w:val="20"/>
              </w:rPr>
            </w:pPr>
            <w:r>
              <w:rPr>
                <w:rFonts w:ascii="Times New Roman"/>
                <w:sz w:val="20"/>
              </w:rPr>
              <w:t>2019.4.2</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28" w:right="0"/>
              <w:jc w:val="left"/>
              <w:rPr>
                <w:rFonts w:ascii="Times New Roman" w:hAnsi="Times New Roman" w:cs="Times New Roman" w:eastAsia="Times New Roman" w:hint="default"/>
                <w:sz w:val="20"/>
                <w:szCs w:val="20"/>
              </w:rPr>
            </w:pPr>
            <w:r>
              <w:rPr>
                <w:rFonts w:ascii="Times New Roman"/>
                <w:sz w:val="20"/>
              </w:rPr>
              <w:t>2020.10.22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龙岩市海德馨汽车有限公司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2,000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0"/>
                <w:szCs w:val="20"/>
              </w:rPr>
            </w:pPr>
            <w:r>
              <w:rPr>
                <w:rFonts w:ascii="Times New Roman"/>
                <w:sz w:val="20"/>
              </w:rPr>
              <w:t>2019.11.18</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28" w:right="0"/>
              <w:jc w:val="left"/>
              <w:rPr>
                <w:rFonts w:ascii="Times New Roman" w:hAnsi="Times New Roman" w:cs="Times New Roman" w:eastAsia="Times New Roman" w:hint="default"/>
                <w:sz w:val="20"/>
                <w:szCs w:val="20"/>
              </w:rPr>
            </w:pPr>
            <w:r>
              <w:rPr>
                <w:rFonts w:ascii="Times New Roman"/>
                <w:sz w:val="20"/>
              </w:rPr>
              <w:t>2020.11.18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龙岩市海德馨汽车有限公司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4,000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0"/>
                <w:szCs w:val="20"/>
              </w:rPr>
            </w:pPr>
            <w:r>
              <w:rPr>
                <w:rFonts w:ascii="Times New Roman"/>
                <w:sz w:val="20"/>
              </w:rPr>
              <w:t>2019.7.4</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28" w:right="0"/>
              <w:jc w:val="left"/>
              <w:rPr>
                <w:rFonts w:ascii="Times New Roman" w:hAnsi="Times New Roman" w:cs="Times New Roman" w:eastAsia="Times New Roman" w:hint="default"/>
                <w:sz w:val="20"/>
                <w:szCs w:val="20"/>
              </w:rPr>
            </w:pPr>
            <w:r>
              <w:rPr>
                <w:rFonts w:ascii="Times New Roman"/>
                <w:sz w:val="20"/>
              </w:rPr>
              <w:t>2020.11.28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龙岩市海德馨汽车有限公司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6,000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0"/>
                <w:szCs w:val="20"/>
              </w:rPr>
            </w:pPr>
            <w:r>
              <w:rPr>
                <w:rFonts w:ascii="Times New Roman"/>
                <w:sz w:val="20"/>
              </w:rPr>
              <w:t>2019.11.20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28" w:right="0"/>
              <w:jc w:val="left"/>
              <w:rPr>
                <w:rFonts w:ascii="Times New Roman" w:hAnsi="Times New Roman" w:cs="Times New Roman" w:eastAsia="Times New Roman" w:hint="default"/>
                <w:sz w:val="20"/>
                <w:szCs w:val="20"/>
              </w:rPr>
            </w:pPr>
            <w:r>
              <w:rPr>
                <w:rFonts w:ascii="Times New Roman"/>
                <w:sz w:val="20"/>
              </w:rPr>
              <w:t>2020.11.20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上海博辕信息技术服务有限公司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2,000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0"/>
                <w:szCs w:val="20"/>
              </w:rPr>
            </w:pPr>
            <w:r>
              <w:rPr>
                <w:rFonts w:ascii="Times New Roman"/>
                <w:sz w:val="20"/>
              </w:rPr>
              <w:t>2019.8.7</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29" w:right="0"/>
              <w:jc w:val="left"/>
              <w:rPr>
                <w:rFonts w:ascii="Times New Roman" w:hAnsi="Times New Roman" w:cs="Times New Roman" w:eastAsia="Times New Roman" w:hint="default"/>
                <w:sz w:val="20"/>
                <w:szCs w:val="20"/>
              </w:rPr>
            </w:pPr>
            <w:r>
              <w:rPr>
                <w:rFonts w:ascii="Times New Roman"/>
                <w:sz w:val="20"/>
              </w:rPr>
              <w:t>2020.8.6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上海博辕信息技术服务有限公司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1,897</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0"/>
                <w:szCs w:val="20"/>
              </w:rPr>
            </w:pPr>
            <w:r>
              <w:rPr>
                <w:rFonts w:ascii="Times New Roman"/>
                <w:sz w:val="20"/>
              </w:rPr>
              <w:t>2019.4.30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79" w:right="0"/>
              <w:jc w:val="left"/>
              <w:rPr>
                <w:rFonts w:ascii="Times New Roman" w:hAnsi="Times New Roman" w:cs="Times New Roman" w:eastAsia="Times New Roman" w:hint="default"/>
                <w:sz w:val="20"/>
                <w:szCs w:val="20"/>
              </w:rPr>
            </w:pPr>
            <w:r>
              <w:rPr>
                <w:rFonts w:ascii="Times New Roman"/>
                <w:sz w:val="20"/>
              </w:rPr>
              <w:t>2020.5.12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上海博辕信息技术服务有限公司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5,000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0"/>
                <w:szCs w:val="20"/>
              </w:rPr>
            </w:pPr>
            <w:r>
              <w:rPr>
                <w:rFonts w:ascii="Times New Roman"/>
                <w:sz w:val="20"/>
              </w:rPr>
              <w:t>2019.6.21</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79" w:right="0"/>
              <w:jc w:val="left"/>
              <w:rPr>
                <w:rFonts w:ascii="Times New Roman" w:hAnsi="Times New Roman" w:cs="Times New Roman" w:eastAsia="Times New Roman" w:hint="default"/>
                <w:sz w:val="20"/>
                <w:szCs w:val="20"/>
              </w:rPr>
            </w:pPr>
            <w:r>
              <w:rPr>
                <w:rFonts w:ascii="Times New Roman"/>
                <w:sz w:val="20"/>
              </w:rPr>
              <w:t>2020.6.23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上海博辕信息技术服务有限公司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1,952</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0"/>
                <w:szCs w:val="20"/>
              </w:rPr>
            </w:pPr>
            <w:r>
              <w:rPr>
                <w:rFonts w:ascii="Times New Roman"/>
                <w:sz w:val="20"/>
              </w:rPr>
              <w:t>2019.9.30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28" w:right="0"/>
              <w:jc w:val="left"/>
              <w:rPr>
                <w:rFonts w:ascii="Times New Roman" w:hAnsi="Times New Roman" w:cs="Times New Roman" w:eastAsia="Times New Roman" w:hint="default"/>
                <w:sz w:val="20"/>
                <w:szCs w:val="20"/>
              </w:rPr>
            </w:pPr>
            <w:r>
              <w:rPr>
                <w:rFonts w:ascii="Times New Roman"/>
                <w:sz w:val="20"/>
              </w:rPr>
              <w:t>2020.10.14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上海博辕信息技术服务有限公司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3,602</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0"/>
                <w:szCs w:val="20"/>
              </w:rPr>
            </w:pPr>
            <w:r>
              <w:rPr>
                <w:rFonts w:ascii="Times New Roman"/>
                <w:sz w:val="20"/>
              </w:rPr>
              <w:t>2019.8.28</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79" w:right="0"/>
              <w:jc w:val="left"/>
              <w:rPr>
                <w:rFonts w:ascii="Times New Roman" w:hAnsi="Times New Roman" w:cs="Times New Roman" w:eastAsia="Times New Roman" w:hint="default"/>
                <w:sz w:val="20"/>
                <w:szCs w:val="20"/>
              </w:rPr>
            </w:pPr>
            <w:r>
              <w:rPr>
                <w:rFonts w:ascii="Times New Roman"/>
                <w:sz w:val="20"/>
              </w:rPr>
              <w:t>2020.8.27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140" w:right="1640"/>
        </w:sectPr>
      </w:pPr>
    </w:p>
    <w:p>
      <w:pPr>
        <w:spacing w:line="240" w:lineRule="auto" w:before="0"/>
        <w:rPr>
          <w:rFonts w:ascii="宋体" w:hAnsi="宋体" w:cs="宋体" w:eastAsia="宋体" w:hint="default"/>
          <w:sz w:val="24"/>
          <w:szCs w:val="24"/>
        </w:rPr>
      </w:pPr>
    </w:p>
    <w:tbl>
      <w:tblPr>
        <w:tblW w:w="0" w:type="auto"/>
        <w:jc w:val="left"/>
        <w:tblInd w:w="180" w:type="dxa"/>
        <w:tblLayout w:type="fixed"/>
        <w:tblCellMar>
          <w:top w:w="0" w:type="dxa"/>
          <w:left w:w="0" w:type="dxa"/>
          <w:bottom w:w="0" w:type="dxa"/>
          <w:right w:w="0" w:type="dxa"/>
        </w:tblCellMar>
        <w:tblLook w:val="01E0"/>
      </w:tblPr>
      <w:tblGrid>
        <w:gridCol w:w="3570"/>
        <w:gridCol w:w="998"/>
        <w:gridCol w:w="1431"/>
        <w:gridCol w:w="1572"/>
        <w:gridCol w:w="1325"/>
      </w:tblGrid>
      <w:tr>
        <w:trPr>
          <w:trHeight w:val="283"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6"/>
                <w:sz w:val="21"/>
                <w:szCs w:val="21"/>
              </w:rPr>
              <w:t>莱福士电力电子设备（深圳）有限公司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20"/>
                <w:szCs w:val="20"/>
              </w:rPr>
            </w:pPr>
            <w:r>
              <w:rPr>
                <w:rFonts w:ascii="Times New Roman"/>
                <w:sz w:val="20"/>
              </w:rPr>
              <w:t>500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11" w:right="0"/>
              <w:jc w:val="left"/>
              <w:rPr>
                <w:rFonts w:ascii="Times New Roman" w:hAnsi="Times New Roman" w:cs="Times New Roman" w:eastAsia="Times New Roman" w:hint="default"/>
                <w:sz w:val="20"/>
                <w:szCs w:val="20"/>
              </w:rPr>
            </w:pPr>
            <w:r>
              <w:rPr>
                <w:rFonts w:ascii="Times New Roman"/>
                <w:sz w:val="20"/>
              </w:rPr>
              <w:t>2019.3.28</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79" w:right="0"/>
              <w:jc w:val="left"/>
              <w:rPr>
                <w:rFonts w:ascii="Times New Roman" w:hAnsi="Times New Roman" w:cs="Times New Roman" w:eastAsia="Times New Roman" w:hint="default"/>
                <w:sz w:val="20"/>
                <w:szCs w:val="20"/>
              </w:rPr>
            </w:pPr>
            <w:r>
              <w:rPr>
                <w:rFonts w:ascii="Times New Roman"/>
                <w:sz w:val="20"/>
              </w:rPr>
              <w:t>2020.6.19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6"/>
                <w:sz w:val="21"/>
                <w:szCs w:val="21"/>
              </w:rPr>
              <w:t>莱福士电力电子设备（深圳）有限公司</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20"/>
                <w:szCs w:val="20"/>
              </w:rPr>
            </w:pPr>
            <w:r>
              <w:rPr>
                <w:rFonts w:ascii="Times New Roman"/>
                <w:sz w:val="20"/>
              </w:rPr>
              <w:t>360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61" w:right="0"/>
              <w:jc w:val="left"/>
              <w:rPr>
                <w:rFonts w:ascii="Times New Roman" w:hAnsi="Times New Roman" w:cs="Times New Roman" w:eastAsia="Times New Roman" w:hint="default"/>
                <w:sz w:val="20"/>
                <w:szCs w:val="20"/>
              </w:rPr>
            </w:pPr>
            <w:r>
              <w:rPr>
                <w:rFonts w:ascii="Times New Roman"/>
                <w:sz w:val="20"/>
              </w:rPr>
              <w:t>2019.10.16</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29" w:right="0"/>
              <w:jc w:val="left"/>
              <w:rPr>
                <w:rFonts w:ascii="Times New Roman" w:hAnsi="Times New Roman" w:cs="Times New Roman" w:eastAsia="Times New Roman" w:hint="default"/>
                <w:sz w:val="20"/>
                <w:szCs w:val="20"/>
              </w:rPr>
            </w:pPr>
            <w:r>
              <w:rPr>
                <w:rFonts w:ascii="Times New Roman"/>
                <w:sz w:val="20"/>
              </w:rPr>
              <w:t>2020.6.4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江西泰豪军工集团有限公司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9"/>
              <w:jc w:val="right"/>
              <w:rPr>
                <w:rFonts w:ascii="Times New Roman" w:hAnsi="Times New Roman" w:cs="Times New Roman" w:eastAsia="Times New Roman" w:hint="default"/>
                <w:sz w:val="20"/>
                <w:szCs w:val="20"/>
              </w:rPr>
            </w:pPr>
            <w:r>
              <w:rPr>
                <w:rFonts w:ascii="Times New Roman"/>
                <w:sz w:val="20"/>
              </w:rPr>
              <w:t>54</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11" w:right="0"/>
              <w:jc w:val="left"/>
              <w:rPr>
                <w:rFonts w:ascii="Times New Roman" w:hAnsi="Times New Roman" w:cs="Times New Roman" w:eastAsia="Times New Roman" w:hint="default"/>
                <w:sz w:val="20"/>
                <w:szCs w:val="20"/>
              </w:rPr>
            </w:pPr>
            <w:r>
              <w:rPr>
                <w:rFonts w:ascii="Times New Roman"/>
                <w:sz w:val="20"/>
              </w:rPr>
              <w:t>2019.7.10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79" w:right="0"/>
              <w:jc w:val="left"/>
              <w:rPr>
                <w:rFonts w:ascii="Times New Roman" w:hAnsi="Times New Roman" w:cs="Times New Roman" w:eastAsia="Times New Roman" w:hint="default"/>
                <w:sz w:val="20"/>
                <w:szCs w:val="20"/>
              </w:rPr>
            </w:pPr>
            <w:r>
              <w:rPr>
                <w:rFonts w:ascii="Times New Roman"/>
                <w:sz w:val="20"/>
              </w:rPr>
              <w:t>2020.1.10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3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江西泰豪军工集团有限公司</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7,900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11" w:right="0"/>
              <w:jc w:val="left"/>
              <w:rPr>
                <w:rFonts w:ascii="Times New Roman" w:hAnsi="Times New Roman" w:cs="Times New Roman" w:eastAsia="Times New Roman" w:hint="default"/>
                <w:sz w:val="20"/>
                <w:szCs w:val="20"/>
              </w:rPr>
            </w:pPr>
            <w:r>
              <w:rPr>
                <w:rFonts w:ascii="Times New Roman"/>
                <w:sz w:val="20"/>
              </w:rPr>
              <w:t>2019.1.25</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79" w:right="0"/>
              <w:jc w:val="left"/>
              <w:rPr>
                <w:rFonts w:ascii="Times New Roman" w:hAnsi="Times New Roman" w:cs="Times New Roman" w:eastAsia="Times New Roman" w:hint="default"/>
                <w:sz w:val="20"/>
                <w:szCs w:val="20"/>
              </w:rPr>
            </w:pPr>
            <w:r>
              <w:rPr>
                <w:rFonts w:ascii="Times New Roman"/>
                <w:sz w:val="20"/>
              </w:rPr>
              <w:t>2020.1.16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bl>
    <w:p>
      <w:pPr>
        <w:pStyle w:val="Heading3"/>
        <w:spacing w:line="272" w:lineRule="exact"/>
        <w:ind w:right="0"/>
        <w:jc w:val="left"/>
        <w:rPr>
          <w:rFonts w:ascii="宋体" w:hAnsi="宋体" w:cs="宋体" w:eastAsia="宋体" w:hint="default"/>
        </w:rPr>
      </w:pPr>
      <w:r>
        <w:rPr>
          <w:rFonts w:ascii="宋体"/>
        </w:rPr>
        <w:t> </w:t>
      </w:r>
    </w:p>
    <w:p>
      <w:pPr>
        <w:pStyle w:val="Heading3"/>
        <w:spacing w:line="311" w:lineRule="exact"/>
        <w:ind w:right="0"/>
        <w:jc w:val="left"/>
      </w:pPr>
      <w:r>
        <w:rPr/>
        <w:t>本公司作为被担保方</w:t>
      </w:r>
    </w:p>
    <w:p>
      <w:pPr>
        <w:pStyle w:val="Heading3"/>
        <w:spacing w:line="312" w:lineRule="exact" w:before="29"/>
        <w:ind w:right="5634"/>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t>关联担保情况说明</w:t>
      </w:r>
    </w:p>
    <w:p>
      <w:pPr>
        <w:pStyle w:val="Heading3"/>
        <w:spacing w:line="281"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60" w:right="1560"/>
        </w:sectPr>
      </w:pPr>
    </w:p>
    <w:p>
      <w:pPr>
        <w:pStyle w:val="Heading5"/>
        <w:spacing w:line="240" w:lineRule="auto" w:before="36"/>
        <w:ind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45"/>
        </w:rPr>
        <w:t> </w:t>
      </w:r>
      <w:r>
        <w:rPr/>
        <w:t>关联方资金拆借</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45"/>
        </w:rPr>
        <w:t> </w:t>
      </w:r>
      <w:r>
        <w:rPr/>
        <w:t>关联方资产转让、债务重组情况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40" w:lineRule="auto" w:before="61"/>
        <w:ind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44"/>
        </w:rPr>
        <w:t> </w:t>
      </w:r>
      <w:r>
        <w:rPr/>
        <w:t>关键管理人员报酬</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BodyText"/>
        <w:tabs>
          <w:tab w:pos="1476" w:val="left" w:leader="none"/>
        </w:tabs>
        <w:spacing w:line="240" w:lineRule="auto"/>
        <w:ind w:left="216" w:right="0"/>
        <w:jc w:val="left"/>
      </w:pPr>
      <w:r>
        <w:rPr>
          <w:spacing w:val="-1"/>
        </w:rPr>
        <w:t>单位：万元</w:t>
        <w:tab/>
        <w:t>币种：人民币</w:t>
      </w:r>
    </w:p>
    <w:p>
      <w:pPr>
        <w:spacing w:after="0" w:line="240" w:lineRule="auto"/>
        <w:jc w:val="left"/>
        <w:sectPr>
          <w:type w:val="continuous"/>
          <w:pgSz w:w="11910" w:h="16840"/>
          <w:pgMar w:top="1120" w:bottom="1380" w:left="1060" w:right="1560"/>
          <w:cols w:num="2" w:equalWidth="0">
            <w:col w:w="3761" w:space="2550"/>
            <w:col w:w="2979"/>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75"/>
        <w:gridCol w:w="3274"/>
        <w:gridCol w:w="2501"/>
      </w:tblGrid>
      <w:tr>
        <w:trPr>
          <w:trHeight w:val="281" w:hRule="exact"/>
        </w:trPr>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4"/>
                <w:szCs w:val="24"/>
              </w:rPr>
            </w:pPr>
            <w:r>
              <w:rPr>
                <w:rFonts w:ascii="宋体" w:hAnsi="宋体" w:cs="宋体" w:eastAsia="宋体" w:hint="default"/>
                <w:sz w:val="21"/>
                <w:szCs w:val="21"/>
              </w:rPr>
              <w:t>关键管理人员报酬</w:t>
            </w:r>
            <w:r>
              <w:rPr>
                <w:rFonts w:ascii="宋体" w:hAnsi="宋体" w:cs="宋体" w:eastAsia="宋体" w:hint="default"/>
                <w:sz w:val="24"/>
                <w:szCs w:val="24"/>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Times New Roman" w:hAnsi="Times New Roman" w:cs="Times New Roman" w:eastAsia="Times New Roman" w:hint="default"/>
                <w:sz w:val="20"/>
                <w:szCs w:val="20"/>
              </w:rPr>
            </w:pPr>
            <w:r>
              <w:rPr>
                <w:rFonts w:ascii="Times New Roman"/>
                <w:w w:val="95"/>
                <w:sz w:val="20"/>
              </w:rPr>
              <w:t>799.58</w:t>
            </w:r>
            <w:r>
              <w:rPr>
                <w:rFonts w:ascii="Times New Roman"/>
                <w:sz w:val="20"/>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Times New Roman" w:hAnsi="Times New Roman" w:cs="Times New Roman" w:eastAsia="Times New Roman" w:hint="default"/>
                <w:sz w:val="20"/>
                <w:szCs w:val="20"/>
              </w:rPr>
            </w:pPr>
            <w:r>
              <w:rPr>
                <w:rFonts w:ascii="Times New Roman"/>
                <w:w w:val="95"/>
                <w:sz w:val="20"/>
              </w:rPr>
              <w:t>754.08</w:t>
            </w:r>
            <w:r>
              <w:rPr>
                <w:rFonts w:ascii="Times New Roman"/>
                <w:sz w:val="20"/>
              </w:rPr>
            </w:r>
          </w:p>
        </w:tc>
      </w:tr>
    </w:tbl>
    <w:p>
      <w:pPr>
        <w:pStyle w:val="Heading3"/>
        <w:spacing w:line="274" w:lineRule="exact"/>
        <w:ind w:right="0"/>
        <w:jc w:val="both"/>
        <w:rPr>
          <w:rFonts w:ascii="宋体" w:hAnsi="宋体" w:cs="宋体" w:eastAsia="宋体" w:hint="default"/>
        </w:rPr>
      </w:pPr>
      <w:r>
        <w:rPr>
          <w:rFonts w:ascii="宋体"/>
        </w:rPr>
        <w:t> </w:t>
      </w:r>
    </w:p>
    <w:p>
      <w:pPr>
        <w:pStyle w:val="Heading5"/>
        <w:spacing w:line="240" w:lineRule="auto"/>
        <w:ind w:right="0"/>
        <w:jc w:val="both"/>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45"/>
        </w:rPr>
        <w:t> </w:t>
      </w:r>
      <w:r>
        <w:rPr/>
        <w:t>其他关联交易</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74" w:lineRule="exact" w:before="4"/>
        <w:ind w:left="697" w:right="0"/>
        <w:jc w:val="left"/>
        <w:rPr>
          <w:rFonts w:ascii="宋体" w:hAnsi="宋体" w:cs="宋体" w:eastAsia="宋体" w:hint="default"/>
        </w:rPr>
      </w:pPr>
      <w:r>
        <w:rPr/>
        <w:t>（</w:t>
      </w:r>
      <w:r>
        <w:rPr>
          <w:rFonts w:ascii="宋体" w:hAnsi="宋体" w:cs="宋体" w:eastAsia="宋体" w:hint="default"/>
        </w:rPr>
        <w:t>1</w:t>
      </w:r>
      <w:r>
        <w:rPr/>
        <w:t>）公司投资代建贵州大学明德学院配网工程及基础设施事项</w:t>
      </w:r>
      <w:r>
        <w:rPr>
          <w:rFonts w:ascii="宋体" w:hAnsi="宋体" w:cs="宋体" w:eastAsia="宋体" w:hint="default"/>
        </w:rPr>
        <w:t> </w:t>
      </w:r>
    </w:p>
    <w:p>
      <w:pPr>
        <w:pStyle w:val="BodyText"/>
        <w:spacing w:line="237" w:lineRule="auto" w:before="2"/>
        <w:ind w:left="216" w:right="228" w:firstLine="420"/>
        <w:jc w:val="both"/>
        <w:rPr>
          <w:rFonts w:ascii="宋体" w:hAnsi="宋体" w:cs="宋体" w:eastAsia="宋体" w:hint="default"/>
        </w:rPr>
      </w:pPr>
      <w:r>
        <w:rPr>
          <w:rFonts w:ascii="宋体" w:hAnsi="宋体" w:cs="宋体" w:eastAsia="宋体" w:hint="default"/>
        </w:rPr>
        <w:t>2015</w:t>
      </w:r>
      <w:r>
        <w:rPr>
          <w:rFonts w:ascii="宋体" w:hAnsi="宋体" w:cs="宋体" w:eastAsia="宋体" w:hint="default"/>
          <w:spacing w:val="-42"/>
        </w:rPr>
        <w:t> </w:t>
      </w:r>
      <w:r>
        <w:rPr/>
        <w:t>年</w:t>
      </w:r>
      <w:r>
        <w:rPr>
          <w:spacing w:val="-42"/>
        </w:rPr>
        <w:t> </w:t>
      </w:r>
      <w:r>
        <w:rPr>
          <w:rFonts w:ascii="宋体" w:hAnsi="宋体" w:cs="宋体" w:eastAsia="宋体" w:hint="default"/>
        </w:rPr>
        <w:t>9</w:t>
      </w:r>
      <w:r>
        <w:rPr>
          <w:rFonts w:ascii="宋体" w:hAnsi="宋体" w:cs="宋体" w:eastAsia="宋体" w:hint="default"/>
          <w:spacing w:val="-42"/>
        </w:rPr>
        <w:t> </w:t>
      </w:r>
      <w:r>
        <w:rPr/>
        <w:t>月</w:t>
      </w:r>
      <w:r>
        <w:rPr>
          <w:spacing w:val="-42"/>
        </w:rPr>
        <w:t> </w:t>
      </w:r>
      <w:r>
        <w:rPr>
          <w:rFonts w:ascii="宋体" w:hAnsi="宋体" w:cs="宋体" w:eastAsia="宋体" w:hint="default"/>
        </w:rPr>
        <w:t>6</w:t>
      </w:r>
      <w:r>
        <w:rPr>
          <w:rFonts w:ascii="宋体" w:hAnsi="宋体" w:cs="宋体" w:eastAsia="宋体" w:hint="default"/>
          <w:spacing w:val="-42"/>
        </w:rPr>
        <w:t> </w:t>
      </w:r>
      <w:r>
        <w:rPr/>
        <w:t>日，公司第六届董事会第二次会议审议通过了《关于拟签订</w:t>
      </w:r>
      <w:r>
        <w:rPr>
          <w:rFonts w:ascii="宋体" w:hAnsi="宋体" w:cs="宋体" w:eastAsia="宋体" w:hint="default"/>
        </w:rPr>
        <w:t>&lt;</w:t>
      </w:r>
      <w:r>
        <w:rPr/>
        <w:t>贵州大学明德学</w:t>
      </w:r>
      <w:r>
        <w:rPr>
          <w:w w:val="100"/>
        </w:rPr>
        <w:t> </w:t>
      </w:r>
      <w:r>
        <w:rPr>
          <w:spacing w:val="-4"/>
          <w:w w:val="100"/>
        </w:rPr>
        <w:t>院配网工程及基础设施建设总包合同</w:t>
      </w:r>
      <w:r>
        <w:rPr>
          <w:rFonts w:ascii="宋体" w:hAnsi="宋体" w:cs="宋体" w:eastAsia="宋体" w:hint="default"/>
          <w:spacing w:val="-4"/>
          <w:w w:val="100"/>
        </w:rPr>
        <w:t>&gt;</w:t>
      </w:r>
      <w:r>
        <w:rPr>
          <w:spacing w:val="-4"/>
          <w:w w:val="100"/>
        </w:rPr>
        <w:t>的议案》。根据公司与贵州大学明德学院正式签署《贵州大</w:t>
      </w:r>
      <w:r>
        <w:rPr>
          <w:spacing w:val="-81"/>
          <w:w w:val="100"/>
        </w:rPr>
        <w:t> </w:t>
      </w:r>
      <w:r>
        <w:rPr>
          <w:spacing w:val="-81"/>
          <w:w w:val="100"/>
        </w:rPr>
      </w:r>
      <w:r>
        <w:rPr>
          <w:spacing w:val="-1"/>
        </w:rPr>
        <w:t>学明德学院配网工程及基础设施项目投资代建合同》的约定，公司负责融资并代建，贵州大学明</w:t>
      </w:r>
      <w:r>
        <w:rPr>
          <w:spacing w:val="-55"/>
        </w:rPr>
        <w:t> </w:t>
      </w:r>
      <w:r>
        <w:rPr>
          <w:spacing w:val="-55"/>
        </w:rPr>
      </w:r>
      <w:r>
        <w:rPr>
          <w:spacing w:val="-1"/>
        </w:rPr>
        <w:t>德学院按约定期限支付代建费用及工程款，公司在本项目的收益由公司配网产品利润、项目工程</w:t>
      </w:r>
      <w:r>
        <w:rPr>
          <w:spacing w:val="-55"/>
        </w:rPr>
        <w:t> </w:t>
      </w:r>
      <w:r>
        <w:rPr>
          <w:spacing w:val="-55"/>
        </w:rPr>
      </w:r>
      <w:r>
        <w:rPr>
          <w:spacing w:val="-1"/>
        </w:rPr>
        <w:t>投资收益、项目管理代建收益以及代垫资金收益构成。其中：①公司配网产品销售利润，相关定</w:t>
      </w:r>
      <w:r>
        <w:rPr>
          <w:spacing w:val="-55"/>
        </w:rPr>
        <w:t> </w:t>
      </w:r>
      <w:r>
        <w:rPr>
          <w:spacing w:val="-55"/>
        </w:rPr>
      </w:r>
      <w:r>
        <w:rPr>
          <w:spacing w:val="-3"/>
        </w:rPr>
        <w:t>价参照行业市场价格确定；②项目工程投资收益：按照经第三方审计单位审定的建安工程费的 </w:t>
      </w:r>
      <w:r>
        <w:rPr>
          <w:rFonts w:ascii="宋体" w:hAnsi="宋体" w:cs="宋体" w:eastAsia="宋体" w:hint="default"/>
          <w:spacing w:val="-3"/>
        </w:rPr>
        <w:t>2%</w:t>
      </w:r>
      <w:r>
        <w:rPr>
          <w:rFonts w:ascii="宋体" w:hAnsi="宋体" w:cs="宋体" w:eastAsia="宋体" w:hint="default"/>
          <w:spacing w:val="-77"/>
        </w:rPr>
        <w:t> </w:t>
      </w:r>
      <w:r>
        <w:rPr/>
        <w:t>计取；③项目管理代建收益：按照经第三方审计单位审定的建安工程费的 </w:t>
      </w:r>
      <w:r>
        <w:rPr>
          <w:rFonts w:ascii="宋体" w:hAnsi="宋体" w:cs="宋体" w:eastAsia="宋体" w:hint="default"/>
        </w:rPr>
        <w:t>4%</w:t>
      </w:r>
      <w:r>
        <w:rPr/>
        <w:t>计取；</w:t>
      </w:r>
      <w:r>
        <w:rPr>
          <w:spacing w:val="9"/>
        </w:rPr>
        <w:t> </w:t>
      </w:r>
      <w:r>
        <w:rPr>
          <w:rFonts w:ascii="宋体" w:hAnsi="宋体" w:cs="宋体" w:eastAsia="宋体" w:hint="default"/>
          <w:spacing w:val="9"/>
        </w:rPr>
      </w:r>
      <w:r>
        <w:rPr/>
        <w:t>④代垫资金</w:t>
      </w:r>
      <w:r>
        <w:rPr>
          <w:w w:val="100"/>
        </w:rPr>
        <w:t> </w:t>
      </w:r>
      <w:r>
        <w:rPr>
          <w:spacing w:val="-2"/>
        </w:rPr>
        <w:t>收益：按三年期人民银行同类项目贷款基准利率上浮</w:t>
      </w:r>
      <w:r>
        <w:rPr>
          <w:spacing w:val="7"/>
        </w:rPr>
        <w:t> </w:t>
      </w:r>
      <w:r>
        <w:rPr>
          <w:rFonts w:ascii="宋体" w:hAnsi="宋体" w:cs="宋体" w:eastAsia="宋体" w:hint="default"/>
          <w:spacing w:val="-2"/>
        </w:rPr>
        <w:t>30%</w:t>
      </w:r>
      <w:r>
        <w:rPr>
          <w:spacing w:val="-2"/>
        </w:rPr>
        <w:t>计取财务费用。</w:t>
      </w:r>
      <w:r>
        <w:rPr>
          <w:rFonts w:ascii="宋体" w:hAnsi="宋体" w:cs="宋体" w:eastAsia="宋体" w:hint="default"/>
        </w:rPr>
        <w:t> </w:t>
      </w:r>
    </w:p>
    <w:p>
      <w:pPr>
        <w:pStyle w:val="BodyText"/>
        <w:spacing w:line="237" w:lineRule="auto"/>
        <w:ind w:left="216" w:right="229" w:firstLine="420"/>
        <w:jc w:val="both"/>
        <w:rPr>
          <w:rFonts w:ascii="宋体" w:hAnsi="宋体" w:cs="宋体" w:eastAsia="宋体" w:hint="default"/>
        </w:rPr>
      </w:pPr>
      <w:r>
        <w:rPr/>
        <w:t>代建款项的回收方式：贵州大学明德学院自工程交工验收合格之日起</w:t>
      </w:r>
      <w:r>
        <w:rPr>
          <w:spacing w:val="-51"/>
        </w:rPr>
        <w:t> </w:t>
      </w:r>
      <w:r>
        <w:rPr>
          <w:rFonts w:ascii="宋体" w:hAnsi="宋体" w:cs="宋体" w:eastAsia="宋体" w:hint="default"/>
        </w:rPr>
        <w:t>360</w:t>
      </w:r>
      <w:r>
        <w:rPr>
          <w:rFonts w:ascii="宋体" w:hAnsi="宋体" w:cs="宋体" w:eastAsia="宋体" w:hint="default"/>
          <w:spacing w:val="-49"/>
        </w:rPr>
        <w:t> </w:t>
      </w:r>
      <w:r>
        <w:rPr/>
        <w:t>日内，支付投资款</w:t>
      </w:r>
      <w:r>
        <w:rPr>
          <w:w w:val="100"/>
        </w:rPr>
        <w:t> </w:t>
      </w:r>
      <w:r>
        <w:rPr/>
        <w:t>总额的</w:t>
      </w:r>
      <w:r>
        <w:rPr>
          <w:spacing w:val="-46"/>
        </w:rPr>
        <w:t> </w:t>
      </w:r>
      <w:r>
        <w:rPr>
          <w:rFonts w:ascii="宋体" w:hAnsi="宋体" w:cs="宋体" w:eastAsia="宋体" w:hint="default"/>
          <w:spacing w:val="-3"/>
        </w:rPr>
        <w:t>25%</w:t>
      </w:r>
      <w:r>
        <w:rPr>
          <w:spacing w:val="-3"/>
        </w:rPr>
        <w:t>；</w:t>
      </w:r>
      <w:r>
        <w:rPr>
          <w:rFonts w:ascii="宋体" w:hAnsi="宋体" w:cs="宋体" w:eastAsia="宋体" w:hint="default"/>
          <w:spacing w:val="-3"/>
        </w:rPr>
        <w:t>540</w:t>
      </w:r>
      <w:r>
        <w:rPr>
          <w:rFonts w:ascii="宋体" w:hAnsi="宋体" w:cs="宋体" w:eastAsia="宋体" w:hint="default"/>
          <w:spacing w:val="-49"/>
        </w:rPr>
        <w:t> </w:t>
      </w:r>
      <w:r>
        <w:rPr/>
        <w:t>日内支付投资款总额的</w:t>
      </w:r>
      <w:r>
        <w:rPr>
          <w:spacing w:val="-46"/>
        </w:rPr>
        <w:t> </w:t>
      </w:r>
      <w:r>
        <w:rPr>
          <w:rFonts w:ascii="宋体" w:hAnsi="宋体" w:cs="宋体" w:eastAsia="宋体" w:hint="default"/>
          <w:spacing w:val="-3"/>
        </w:rPr>
        <w:t>75%</w:t>
      </w:r>
      <w:r>
        <w:rPr>
          <w:spacing w:val="-3"/>
        </w:rPr>
        <w:t>；</w:t>
      </w:r>
      <w:r>
        <w:rPr>
          <w:rFonts w:ascii="宋体" w:hAnsi="宋体" w:cs="宋体" w:eastAsia="宋体" w:hint="default"/>
          <w:spacing w:val="-3"/>
        </w:rPr>
        <w:t>720</w:t>
      </w:r>
      <w:r>
        <w:rPr>
          <w:rFonts w:ascii="宋体" w:hAnsi="宋体" w:cs="宋体" w:eastAsia="宋体" w:hint="default"/>
          <w:spacing w:val="-47"/>
        </w:rPr>
        <w:t> </w:t>
      </w:r>
      <w:r>
        <w:rPr/>
        <w:t>日内支付投资款总额</w:t>
      </w:r>
      <w:r>
        <w:rPr>
          <w:spacing w:val="-47"/>
        </w:rPr>
        <w:t> </w:t>
      </w:r>
      <w:r>
        <w:rPr>
          <w:rFonts w:ascii="宋体" w:hAnsi="宋体" w:cs="宋体" w:eastAsia="宋体" w:hint="default"/>
          <w:spacing w:val="-3"/>
        </w:rPr>
        <w:t>100%</w:t>
      </w:r>
      <w:r>
        <w:rPr>
          <w:spacing w:val="-3"/>
        </w:rPr>
        <w:t>（其中利息每年支付</w:t>
      </w:r>
      <w:r>
        <w:rPr>
          <w:spacing w:val="-103"/>
        </w:rPr>
        <w:t> </w:t>
      </w:r>
      <w:r>
        <w:rPr>
          <w:spacing w:val="-103"/>
        </w:rPr>
      </w:r>
      <w:r>
        <w:rPr>
          <w:spacing w:val="-28"/>
          <w:w w:val="100"/>
        </w:rPr>
        <w:t>一次）。</w:t>
      </w:r>
      <w:r>
        <w:rPr>
          <w:rFonts w:ascii="宋体" w:hAnsi="宋体" w:cs="宋体" w:eastAsia="宋体" w:hint="default"/>
          <w:w w:val="100"/>
        </w:rPr>
        <w:t> </w:t>
      </w:r>
    </w:p>
    <w:p>
      <w:pPr>
        <w:pStyle w:val="BodyText"/>
        <w:spacing w:line="272" w:lineRule="exact"/>
        <w:ind w:left="637" w:right="0"/>
        <w:jc w:val="left"/>
      </w:pPr>
      <w:r>
        <w:rPr/>
        <w:t>本项目总投资额暂定</w:t>
      </w:r>
      <w:r>
        <w:rPr>
          <w:spacing w:val="-52"/>
        </w:rPr>
        <w:t> </w:t>
      </w:r>
      <w:r>
        <w:rPr>
          <w:rFonts w:ascii="宋体" w:hAnsi="宋体" w:cs="宋体" w:eastAsia="宋体" w:hint="default"/>
        </w:rPr>
        <w:t>2</w:t>
      </w:r>
      <w:r>
        <w:rPr>
          <w:rFonts w:ascii="宋体" w:hAnsi="宋体" w:cs="宋体" w:eastAsia="宋体" w:hint="default"/>
          <w:spacing w:val="-49"/>
        </w:rPr>
        <w:t> </w:t>
      </w:r>
      <w:r>
        <w:rPr/>
        <w:t>亿元，实际金额按照最终决算为准，泰豪集团为明德学院上述付款义</w:t>
      </w:r>
    </w:p>
    <w:p>
      <w:pPr>
        <w:pStyle w:val="BodyText"/>
        <w:spacing w:line="273" w:lineRule="exact"/>
        <w:ind w:left="216" w:right="0"/>
        <w:jc w:val="both"/>
      </w:pPr>
      <w:r>
        <w:rPr>
          <w:spacing w:val="-4"/>
        </w:rPr>
        <w:t>务提供连带责任担保。截至审计报告日，公司已累计支付项目代建款 </w:t>
      </w:r>
      <w:r>
        <w:rPr>
          <w:rFonts w:ascii="宋体" w:hAnsi="宋体" w:cs="宋体" w:eastAsia="宋体" w:hint="default"/>
        </w:rPr>
        <w:t>18,000</w:t>
      </w:r>
      <w:r>
        <w:rPr>
          <w:rFonts w:ascii="宋体" w:hAnsi="宋体" w:cs="宋体" w:eastAsia="宋体" w:hint="default"/>
          <w:spacing w:val="-36"/>
        </w:rPr>
        <w:t> </w:t>
      </w:r>
      <w:r>
        <w:rPr>
          <w:spacing w:val="-5"/>
        </w:rPr>
        <w:t>万元，支付履约保证</w:t>
      </w:r>
    </w:p>
    <w:p>
      <w:pPr>
        <w:pStyle w:val="BodyText"/>
        <w:spacing w:line="273" w:lineRule="exact"/>
        <w:ind w:left="216" w:right="0"/>
        <w:jc w:val="both"/>
        <w:rPr>
          <w:rFonts w:ascii="宋体" w:hAnsi="宋体" w:cs="宋体" w:eastAsia="宋体" w:hint="default"/>
        </w:rPr>
      </w:pPr>
      <w:r>
        <w:rPr/>
        <w:t>金</w:t>
      </w:r>
      <w:r>
        <w:rPr>
          <w:spacing w:val="-54"/>
        </w:rPr>
        <w:t> </w:t>
      </w:r>
      <w:r>
        <w:rPr>
          <w:rFonts w:ascii="宋体" w:hAnsi="宋体" w:cs="宋体" w:eastAsia="宋体" w:hint="default"/>
        </w:rPr>
        <w:t>2,000</w:t>
      </w:r>
      <w:r>
        <w:rPr>
          <w:rFonts w:ascii="宋体" w:hAnsi="宋体" w:cs="宋体" w:eastAsia="宋体" w:hint="default"/>
          <w:spacing w:val="-55"/>
        </w:rPr>
        <w:t> </w:t>
      </w:r>
      <w:r>
        <w:rPr/>
        <w:t>万元，收回项目代垫资金收益</w:t>
      </w:r>
      <w:r>
        <w:rPr>
          <w:spacing w:val="-54"/>
        </w:rPr>
        <w:t> </w:t>
      </w:r>
      <w:r>
        <w:rPr>
          <w:rFonts w:ascii="宋体" w:hAnsi="宋体" w:cs="宋体" w:eastAsia="宋体" w:hint="default"/>
        </w:rPr>
        <w:t>43,759,602.74</w:t>
      </w:r>
      <w:r>
        <w:rPr>
          <w:rFonts w:ascii="宋体" w:hAnsi="宋体" w:cs="宋体" w:eastAsia="宋体" w:hint="default"/>
          <w:spacing w:val="-55"/>
        </w:rPr>
        <w:t> </w:t>
      </w:r>
      <w:r>
        <w:rPr/>
        <w:t>元。</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637" w:right="0"/>
        <w:jc w:val="left"/>
        <w:rPr>
          <w:rFonts w:ascii="宋体" w:hAnsi="宋体" w:cs="宋体" w:eastAsia="宋体" w:hint="default"/>
        </w:rPr>
      </w:pPr>
      <w:r>
        <w:rPr/>
        <w:t>（</w:t>
      </w:r>
      <w:r>
        <w:rPr>
          <w:rFonts w:ascii="宋体" w:hAnsi="宋体" w:cs="宋体" w:eastAsia="宋体" w:hint="default"/>
        </w:rPr>
        <w:t>2</w:t>
      </w:r>
      <w:r>
        <w:rPr/>
        <w:t>）向关联公司发放委托贷款事项</w:t>
      </w:r>
      <w:r>
        <w:rPr>
          <w:rFonts w:ascii="宋体" w:hAnsi="宋体" w:cs="宋体" w:eastAsia="宋体" w:hint="default"/>
        </w:rPr>
        <w:t> </w:t>
      </w:r>
    </w:p>
    <w:p>
      <w:pPr>
        <w:pStyle w:val="BodyText"/>
        <w:spacing w:line="272" w:lineRule="exact"/>
        <w:ind w:left="637" w:right="0"/>
        <w:jc w:val="left"/>
      </w:pPr>
      <w:r>
        <w:rPr>
          <w:rFonts w:ascii="宋体" w:hAnsi="宋体" w:cs="宋体" w:eastAsia="宋体" w:hint="default"/>
        </w:rPr>
        <w:t>2015</w:t>
      </w:r>
      <w:r>
        <w:rPr>
          <w:rFonts w:ascii="宋体" w:hAnsi="宋体" w:cs="宋体" w:eastAsia="宋体" w:hint="default"/>
          <w:spacing w:val="-34"/>
        </w:rPr>
        <w:t> </w:t>
      </w:r>
      <w:r>
        <w:rPr/>
        <w:t>年</w:t>
      </w:r>
      <w:r>
        <w:rPr>
          <w:spacing w:val="-31"/>
        </w:rPr>
        <w:t> </w:t>
      </w:r>
      <w:r>
        <w:rPr>
          <w:rFonts w:ascii="宋体" w:hAnsi="宋体" w:cs="宋体" w:eastAsia="宋体" w:hint="default"/>
        </w:rPr>
        <w:t>9</w:t>
      </w:r>
      <w:r>
        <w:rPr>
          <w:rFonts w:ascii="宋体" w:hAnsi="宋体" w:cs="宋体" w:eastAsia="宋体" w:hint="default"/>
          <w:spacing w:val="-34"/>
        </w:rPr>
        <w:t> </w:t>
      </w:r>
      <w:r>
        <w:rPr>
          <w:spacing w:val="-3"/>
        </w:rPr>
        <w:t>月，本公司通过中国银行股份有限公司南昌市西湖支行向关联方紫荆公寓建设服务</w:t>
      </w:r>
    </w:p>
    <w:p>
      <w:pPr>
        <w:pStyle w:val="BodyText"/>
        <w:spacing w:line="272" w:lineRule="exact"/>
        <w:ind w:left="216" w:right="0"/>
        <w:jc w:val="both"/>
        <w:rPr>
          <w:rFonts w:ascii="宋体" w:hAnsi="宋体" w:cs="宋体" w:eastAsia="宋体" w:hint="default"/>
        </w:rPr>
      </w:pPr>
      <w:r>
        <w:rPr/>
        <w:t>有限公司发放委托贷款</w:t>
      </w:r>
      <w:r>
        <w:rPr>
          <w:spacing w:val="-54"/>
        </w:rPr>
        <w:t> </w:t>
      </w:r>
      <w:r>
        <w:rPr>
          <w:rFonts w:ascii="宋体" w:hAnsi="宋体" w:cs="宋体" w:eastAsia="宋体" w:hint="default"/>
        </w:rPr>
        <w:t>170,000,000.00</w:t>
      </w:r>
      <w:r>
        <w:rPr>
          <w:rFonts w:ascii="宋体" w:hAnsi="宋体" w:cs="宋体" w:eastAsia="宋体" w:hint="default"/>
          <w:spacing w:val="-56"/>
        </w:rPr>
        <w:t> </w:t>
      </w:r>
      <w:r>
        <w:rPr/>
        <w:t>元，期限</w:t>
      </w:r>
      <w:r>
        <w:rPr>
          <w:spacing w:val="-56"/>
        </w:rPr>
        <w:t> </w:t>
      </w:r>
      <w:r>
        <w:rPr>
          <w:rFonts w:ascii="宋体" w:hAnsi="宋体" w:cs="宋体" w:eastAsia="宋体" w:hint="default"/>
        </w:rPr>
        <w:t>5</w:t>
      </w:r>
      <w:r>
        <w:rPr>
          <w:rFonts w:ascii="宋体" w:hAnsi="宋体" w:cs="宋体" w:eastAsia="宋体" w:hint="default"/>
          <w:spacing w:val="-56"/>
        </w:rPr>
        <w:t> </w:t>
      </w:r>
      <w:r>
        <w:rPr/>
        <w:t>年，贷款利率</w:t>
      </w:r>
      <w:r>
        <w:rPr>
          <w:spacing w:val="-53"/>
        </w:rPr>
        <w:t> </w:t>
      </w:r>
      <w:r>
        <w:rPr>
          <w:rFonts w:ascii="宋体" w:hAnsi="宋体" w:cs="宋体" w:eastAsia="宋体" w:hint="default"/>
        </w:rPr>
        <w:t>6%</w:t>
      </w:r>
      <w:r>
        <w:rPr/>
        <w:t>。</w:t>
      </w:r>
      <w:r>
        <w:rPr>
          <w:rFonts w:ascii="宋体" w:hAnsi="宋体" w:cs="宋体" w:eastAsia="宋体" w:hint="default"/>
        </w:rPr>
        <w:t> </w:t>
      </w:r>
    </w:p>
    <w:p>
      <w:pPr>
        <w:pStyle w:val="BodyText"/>
        <w:spacing w:line="272" w:lineRule="exact" w:before="27"/>
        <w:ind w:left="637" w:right="0"/>
        <w:jc w:val="left"/>
      </w:pPr>
      <w:r>
        <w:rPr/>
        <w:t>（</w:t>
      </w:r>
      <w:r>
        <w:rPr>
          <w:rFonts w:ascii="宋体" w:hAnsi="宋体" w:cs="宋体" w:eastAsia="宋体" w:hint="default"/>
        </w:rPr>
        <w:t>3</w:t>
      </w:r>
      <w:r>
        <w:rPr/>
        <w:t>）为关联公司提供代建厂房事项</w:t>
      </w:r>
      <w:r>
        <w:rPr>
          <w:rFonts w:ascii="宋体" w:hAnsi="宋体" w:cs="宋体" w:eastAsia="宋体" w:hint="default"/>
          <w:w w:val="100"/>
        </w:rPr>
        <w:t> </w:t>
      </w:r>
      <w:r>
        <w:rPr>
          <w:spacing w:val="-2"/>
        </w:rPr>
        <w:t>公司第六届董事会第二十五次会议审议通过了《关于公司全资子公司泰豪电源技术的限公司</w:t>
      </w:r>
    </w:p>
    <w:p>
      <w:pPr>
        <w:pStyle w:val="BodyText"/>
        <w:spacing w:line="247" w:lineRule="exact"/>
        <w:ind w:left="216" w:right="0"/>
        <w:jc w:val="both"/>
      </w:pPr>
      <w:r>
        <w:rPr>
          <w:spacing w:val="2"/>
          <w:w w:val="100"/>
        </w:rPr>
        <w:t>拟签订</w:t>
      </w:r>
      <w:r>
        <w:rPr>
          <w:rFonts w:ascii="宋体" w:hAnsi="宋体" w:cs="宋体" w:eastAsia="宋体" w:hint="default"/>
          <w:spacing w:val="2"/>
          <w:w w:val="100"/>
        </w:rPr>
        <w:t>&lt;</w:t>
      </w:r>
      <w:r>
        <w:rPr>
          <w:w w:val="100"/>
        </w:rPr>
        <w:t>发</w:t>
      </w:r>
      <w:r>
        <w:rPr>
          <w:spacing w:val="2"/>
          <w:w w:val="100"/>
        </w:rPr>
        <w:t>电机</w:t>
      </w:r>
      <w:r>
        <w:rPr>
          <w:w w:val="100"/>
        </w:rPr>
        <w:t>组</w:t>
      </w:r>
      <w:r>
        <w:rPr>
          <w:spacing w:val="2"/>
          <w:w w:val="100"/>
        </w:rPr>
        <w:t>厂房</w:t>
      </w:r>
      <w:r>
        <w:rPr>
          <w:w w:val="100"/>
        </w:rPr>
        <w:t>建设</w:t>
      </w:r>
      <w:r>
        <w:rPr>
          <w:spacing w:val="2"/>
          <w:w w:val="100"/>
        </w:rPr>
        <w:t>代建合</w:t>
      </w:r>
      <w:r>
        <w:rPr>
          <w:spacing w:val="5"/>
          <w:w w:val="100"/>
        </w:rPr>
        <w:t>同</w:t>
      </w:r>
      <w:r>
        <w:rPr>
          <w:rFonts w:ascii="宋体" w:hAnsi="宋体" w:cs="宋体" w:eastAsia="宋体" w:hint="default"/>
          <w:w w:val="100"/>
        </w:rPr>
        <w:t>&gt;</w:t>
      </w:r>
      <w:r>
        <w:rPr>
          <w:spacing w:val="2"/>
          <w:w w:val="100"/>
        </w:rPr>
        <w:t>暨关</w:t>
      </w:r>
      <w:r>
        <w:rPr>
          <w:w w:val="100"/>
        </w:rPr>
        <w:t>联</w:t>
      </w:r>
      <w:r>
        <w:rPr>
          <w:spacing w:val="2"/>
          <w:w w:val="100"/>
        </w:rPr>
        <w:t>交易</w:t>
      </w:r>
      <w:r>
        <w:rPr>
          <w:w w:val="100"/>
        </w:rPr>
        <w:t>的议</w:t>
      </w:r>
      <w:r>
        <w:rPr>
          <w:spacing w:val="2"/>
          <w:w w:val="100"/>
        </w:rPr>
        <w:t>案</w:t>
      </w:r>
      <w:r>
        <w:rPr>
          <w:spacing w:val="-104"/>
          <w:w w:val="100"/>
        </w:rPr>
        <w:t>》</w:t>
      </w:r>
      <w:r>
        <w:rPr>
          <w:spacing w:val="2"/>
          <w:w w:val="100"/>
        </w:rPr>
        <w:t>，本</w:t>
      </w:r>
      <w:r>
        <w:rPr>
          <w:w w:val="100"/>
        </w:rPr>
        <w:t>公</w:t>
      </w:r>
      <w:r>
        <w:rPr>
          <w:spacing w:val="2"/>
          <w:w w:val="100"/>
        </w:rPr>
        <w:t>司子</w:t>
      </w:r>
      <w:r>
        <w:rPr>
          <w:w w:val="100"/>
        </w:rPr>
        <w:t>公</w:t>
      </w:r>
      <w:r>
        <w:rPr>
          <w:spacing w:val="2"/>
          <w:w w:val="100"/>
        </w:rPr>
        <w:t>司泰</w:t>
      </w:r>
      <w:r>
        <w:rPr>
          <w:w w:val="100"/>
        </w:rPr>
        <w:t>豪电</w:t>
      </w:r>
      <w:r>
        <w:rPr>
          <w:spacing w:val="2"/>
          <w:w w:val="100"/>
        </w:rPr>
        <w:t>源技术</w:t>
      </w:r>
      <w:r>
        <w:rPr>
          <w:w w:val="100"/>
        </w:rPr>
        <w:t>有</w:t>
      </w:r>
      <w:r>
        <w:rPr>
          <w:spacing w:val="2"/>
          <w:w w:val="100"/>
        </w:rPr>
        <w:t>限公</w:t>
      </w:r>
      <w:r>
        <w:rPr>
          <w:w w:val="100"/>
        </w:rPr>
        <w:t>司</w:t>
      </w:r>
    </w:p>
    <w:p>
      <w:pPr>
        <w:pStyle w:val="BodyText"/>
        <w:spacing w:line="237" w:lineRule="auto"/>
        <w:ind w:left="216" w:right="229"/>
        <w:jc w:val="both"/>
      </w:pPr>
      <w:r>
        <w:rPr>
          <w:spacing w:val="-6"/>
          <w:w w:val="100"/>
        </w:rPr>
        <w:t>（以下简称“泰豪电源”）与的泰豪沈阳电机有限公司（以下简称“沈阳电机“）签订《发电机组</w:t>
      </w:r>
      <w:r>
        <w:rPr>
          <w:w w:val="100"/>
        </w:rPr>
        <w:t> </w:t>
      </w:r>
      <w:r>
        <w:rPr>
          <w:spacing w:val="-6"/>
          <w:w w:val="100"/>
        </w:rPr>
        <w:t>厂房建设代建合同》，根据合同约定泰豪电源负责融资并代建，沈阳电机按约定期限支付代建费用</w:t>
      </w:r>
      <w:r>
        <w:rPr>
          <w:w w:val="100"/>
        </w:rPr>
        <w:t> </w:t>
      </w:r>
      <w:r>
        <w:rPr>
          <w:spacing w:val="-1"/>
        </w:rPr>
        <w:t>及工程款，泰豪电源在本项目的收益由项目施工利润、项目工程投资收益、项目管理代建收益以</w:t>
      </w:r>
      <w:r>
        <w:rPr>
          <w:spacing w:val="-55"/>
        </w:rPr>
        <w:t> </w:t>
      </w:r>
      <w:r>
        <w:rPr>
          <w:spacing w:val="-55"/>
        </w:rPr>
      </w:r>
      <w:r>
        <w:rPr>
          <w:spacing w:val="-1"/>
        </w:rPr>
        <w:t>及代垫资金收益构成。项目代垫资金收益构成。其中：①项目施工利润，相关定价参照行业市场</w:t>
      </w:r>
    </w:p>
    <w:p>
      <w:pPr>
        <w:spacing w:after="0" w:line="237" w:lineRule="auto"/>
        <w:jc w:val="both"/>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BodyText"/>
        <w:spacing w:line="237" w:lineRule="auto" w:before="38"/>
        <w:ind w:right="229"/>
        <w:jc w:val="both"/>
        <w:rPr>
          <w:rFonts w:ascii="宋体" w:hAnsi="宋体" w:cs="宋体" w:eastAsia="宋体" w:hint="default"/>
        </w:rPr>
      </w:pPr>
      <w:r>
        <w:rPr>
          <w:spacing w:val="-3"/>
        </w:rPr>
        <w:t>价格确定；②项目工程投资收益：按照经第三方审计单位审定的建安工程费的 </w:t>
      </w:r>
      <w:r>
        <w:rPr>
          <w:rFonts w:ascii="宋体" w:hAnsi="宋体" w:cs="宋体" w:eastAsia="宋体" w:hint="default"/>
          <w:spacing w:val="-3"/>
        </w:rPr>
        <w:t>2%</w:t>
      </w:r>
      <w:r>
        <w:rPr>
          <w:spacing w:val="-3"/>
        </w:rPr>
        <w:t>计取；③项目管</w:t>
      </w:r>
      <w:r>
        <w:rPr>
          <w:spacing w:val="-76"/>
        </w:rPr>
        <w:t> </w:t>
      </w:r>
      <w:r>
        <w:rPr>
          <w:spacing w:val="-76"/>
        </w:rPr>
      </w:r>
      <w:r>
        <w:rPr/>
        <w:t>理代建收益：按照经第三方审计单位审定的建安工程费的 </w:t>
      </w:r>
      <w:r>
        <w:rPr>
          <w:rFonts w:ascii="宋体" w:hAnsi="宋体" w:cs="宋体" w:eastAsia="宋体" w:hint="default"/>
        </w:rPr>
        <w:t>4%</w:t>
      </w:r>
      <w:r>
        <w:rPr/>
        <w:t>计取；</w:t>
      </w:r>
      <w:r>
        <w:rPr>
          <w:spacing w:val="8"/>
        </w:rPr>
        <w:t> </w:t>
      </w:r>
      <w:r>
        <w:rPr>
          <w:rFonts w:ascii="宋体" w:hAnsi="宋体" w:cs="宋体" w:eastAsia="宋体" w:hint="default"/>
          <w:spacing w:val="8"/>
        </w:rPr>
      </w:r>
      <w:r>
        <w:rPr/>
        <w:t>④代垫资金收益：按同期人</w:t>
      </w:r>
      <w:r>
        <w:rPr>
          <w:w w:val="100"/>
        </w:rPr>
        <w:t> </w:t>
      </w:r>
      <w:r>
        <w:rPr/>
        <w:t>民银行贷款基准利率上浮</w:t>
      </w:r>
      <w:r>
        <w:rPr>
          <w:spacing w:val="-59"/>
        </w:rPr>
        <w:t> </w:t>
      </w:r>
      <w:r>
        <w:rPr>
          <w:rFonts w:ascii="宋体" w:hAnsi="宋体" w:cs="宋体" w:eastAsia="宋体" w:hint="default"/>
        </w:rPr>
        <w:t>30%</w:t>
      </w:r>
      <w:r>
        <w:rPr/>
        <w:t>计取财务费用。</w:t>
      </w:r>
      <w:r>
        <w:rPr>
          <w:rFonts w:ascii="宋体" w:hAnsi="宋体" w:cs="宋体" w:eastAsia="宋体" w:hint="default"/>
        </w:rPr>
        <w:t> </w:t>
      </w:r>
    </w:p>
    <w:p>
      <w:pPr>
        <w:pStyle w:val="BodyText"/>
        <w:spacing w:line="274" w:lineRule="exact" w:before="22"/>
        <w:ind w:right="0" w:firstLine="420"/>
        <w:jc w:val="left"/>
        <w:rPr>
          <w:rFonts w:ascii="宋体" w:hAnsi="宋体" w:cs="宋体" w:eastAsia="宋体" w:hint="default"/>
        </w:rPr>
      </w:pPr>
      <w:r>
        <w:rPr>
          <w:spacing w:val="-3"/>
        </w:rPr>
        <w:t>代建款项的回收方式：沈阳电机自工程交工验收合格之日起每年第一季度按照投资总额的</w:t>
      </w:r>
      <w:r>
        <w:rPr>
          <w:spacing w:val="-1"/>
        </w:rPr>
        <w:t> </w:t>
      </w:r>
      <w:r>
        <w:rPr>
          <w:rFonts w:ascii="宋体" w:hAnsi="宋体" w:cs="宋体" w:eastAsia="宋体" w:hint="default"/>
          <w:spacing w:val="-3"/>
        </w:rPr>
        <w:t>20%</w:t>
      </w:r>
      <w:r>
        <w:rPr>
          <w:rFonts w:ascii="宋体" w:hAnsi="宋体" w:cs="宋体" w:eastAsia="宋体" w:hint="default"/>
          <w:spacing w:val="-3"/>
          <w:w w:val="100"/>
        </w:rPr>
        <w:t> </w:t>
      </w:r>
      <w:r>
        <w:rPr/>
        <w:t>支付给乙方</w:t>
      </w:r>
      <w:r>
        <w:rPr>
          <w:rFonts w:ascii="宋体" w:hAnsi="宋体" w:cs="宋体" w:eastAsia="宋体" w:hint="default"/>
        </w:rPr>
        <w:t>(</w:t>
      </w:r>
      <w:r>
        <w:rPr/>
        <w:t>其中利息每年支付一次</w:t>
      </w:r>
      <w:r>
        <w:rPr>
          <w:rFonts w:ascii="宋体" w:hAnsi="宋体" w:cs="宋体" w:eastAsia="宋体" w:hint="default"/>
        </w:rPr>
        <w:t>)</w:t>
      </w:r>
      <w:r>
        <w:rPr/>
        <w:t>。</w:t>
      </w:r>
      <w:r>
        <w:rPr>
          <w:rFonts w:ascii="宋体" w:hAnsi="宋体" w:cs="宋体" w:eastAsia="宋体" w:hint="default"/>
        </w:rPr>
        <w:t> </w:t>
      </w:r>
    </w:p>
    <w:p>
      <w:pPr>
        <w:pStyle w:val="BodyText"/>
        <w:spacing w:line="245" w:lineRule="exact"/>
        <w:ind w:left="557" w:right="0"/>
        <w:jc w:val="left"/>
      </w:pPr>
      <w:r>
        <w:rPr>
          <w:rFonts w:ascii="宋体" w:hAnsi="宋体" w:cs="宋体" w:eastAsia="宋体" w:hint="default"/>
        </w:rPr>
        <w:t>360</w:t>
      </w:r>
      <w:r>
        <w:rPr>
          <w:rFonts w:ascii="宋体" w:hAnsi="宋体" w:cs="宋体" w:eastAsia="宋体" w:hint="default"/>
          <w:spacing w:val="-42"/>
        </w:rPr>
        <w:t> </w:t>
      </w:r>
      <w:r>
        <w:rPr/>
        <w:t>日内，支付投资款总额的</w:t>
      </w:r>
      <w:r>
        <w:rPr>
          <w:spacing w:val="-41"/>
        </w:rPr>
        <w:t> </w:t>
      </w:r>
      <w:r>
        <w:rPr>
          <w:rFonts w:ascii="宋体" w:hAnsi="宋体" w:cs="宋体" w:eastAsia="宋体" w:hint="default"/>
        </w:rPr>
        <w:t>25%</w:t>
      </w:r>
      <w:r>
        <w:rPr/>
        <w:t>；</w:t>
      </w:r>
      <w:r>
        <w:rPr>
          <w:rFonts w:ascii="宋体" w:hAnsi="宋体" w:cs="宋体" w:eastAsia="宋体" w:hint="default"/>
        </w:rPr>
        <w:t>540</w:t>
      </w:r>
      <w:r>
        <w:rPr>
          <w:rFonts w:ascii="宋体" w:hAnsi="宋体" w:cs="宋体" w:eastAsia="宋体" w:hint="default"/>
          <w:spacing w:val="-44"/>
        </w:rPr>
        <w:t> </w:t>
      </w:r>
      <w:r>
        <w:rPr/>
        <w:t>日内支付投资款总额的</w:t>
      </w:r>
      <w:r>
        <w:rPr>
          <w:spacing w:val="-42"/>
        </w:rPr>
        <w:t> </w:t>
      </w:r>
      <w:r>
        <w:rPr>
          <w:rFonts w:ascii="宋体" w:hAnsi="宋体" w:cs="宋体" w:eastAsia="宋体" w:hint="default"/>
        </w:rPr>
        <w:t>75%</w:t>
      </w:r>
      <w:r>
        <w:rPr/>
        <w:t>；</w:t>
      </w:r>
      <w:r>
        <w:rPr>
          <w:rFonts w:ascii="宋体" w:hAnsi="宋体" w:cs="宋体" w:eastAsia="宋体" w:hint="default"/>
        </w:rPr>
        <w:t>720</w:t>
      </w:r>
      <w:r>
        <w:rPr>
          <w:rFonts w:ascii="宋体" w:hAnsi="宋体" w:cs="宋体" w:eastAsia="宋体" w:hint="default"/>
          <w:spacing w:val="-42"/>
        </w:rPr>
        <w:t> </w:t>
      </w:r>
      <w:r>
        <w:rPr/>
        <w:t>日内支付投资款总</w:t>
      </w:r>
    </w:p>
    <w:p>
      <w:pPr>
        <w:pStyle w:val="BodyText"/>
        <w:spacing w:line="272" w:lineRule="exact"/>
        <w:ind w:right="0"/>
        <w:jc w:val="both"/>
        <w:rPr>
          <w:rFonts w:ascii="宋体" w:hAnsi="宋体" w:cs="宋体" w:eastAsia="宋体" w:hint="default"/>
        </w:rPr>
      </w:pPr>
      <w:r>
        <w:rPr>
          <w:w w:val="100"/>
        </w:rPr>
        <w:t>额</w:t>
      </w:r>
      <w:r>
        <w:rPr>
          <w:spacing w:val="-52"/>
        </w:rPr>
        <w:t> </w:t>
      </w:r>
      <w:r>
        <w:rPr>
          <w:rFonts w:ascii="宋体" w:hAnsi="宋体" w:cs="宋体" w:eastAsia="宋体" w:hint="default"/>
          <w:w w:val="100"/>
        </w:rPr>
        <w:t>10</w:t>
      </w:r>
      <w:r>
        <w:rPr>
          <w:rFonts w:ascii="宋体" w:hAnsi="宋体" w:cs="宋体" w:eastAsia="宋体" w:hint="default"/>
          <w:spacing w:val="-3"/>
          <w:w w:val="100"/>
        </w:rPr>
        <w:t>0</w:t>
      </w:r>
      <w:r>
        <w:rPr>
          <w:rFonts w:ascii="宋体" w:hAnsi="宋体" w:cs="宋体" w:eastAsia="宋体" w:hint="default"/>
          <w:spacing w:val="-1"/>
          <w:w w:val="100"/>
        </w:rPr>
        <w:t>%</w:t>
      </w:r>
      <w:r>
        <w:rPr>
          <w:spacing w:val="-3"/>
          <w:w w:val="100"/>
        </w:rPr>
        <w:t>（</w:t>
      </w:r>
      <w:r>
        <w:rPr>
          <w:w w:val="100"/>
        </w:rPr>
        <w:t>其</w:t>
      </w:r>
      <w:r>
        <w:rPr>
          <w:spacing w:val="-3"/>
          <w:w w:val="100"/>
        </w:rPr>
        <w:t>中</w:t>
      </w:r>
      <w:r>
        <w:rPr>
          <w:w w:val="100"/>
        </w:rPr>
        <w:t>利</w:t>
      </w:r>
      <w:r>
        <w:rPr>
          <w:spacing w:val="-3"/>
          <w:w w:val="100"/>
        </w:rPr>
        <w:t>息</w:t>
      </w:r>
      <w:r>
        <w:rPr>
          <w:w w:val="100"/>
        </w:rPr>
        <w:t>每</w:t>
      </w:r>
      <w:r>
        <w:rPr>
          <w:spacing w:val="-3"/>
          <w:w w:val="100"/>
        </w:rPr>
        <w:t>年支</w:t>
      </w:r>
      <w:r>
        <w:rPr>
          <w:w w:val="100"/>
        </w:rPr>
        <w:t>付一</w:t>
      </w:r>
      <w:r>
        <w:rPr>
          <w:spacing w:val="-3"/>
          <w:w w:val="100"/>
        </w:rPr>
        <w:t>次</w:t>
      </w:r>
      <w:r>
        <w:rPr>
          <w:spacing w:val="-106"/>
          <w:w w:val="100"/>
        </w:rPr>
        <w:t>）</w:t>
      </w:r>
      <w:r>
        <w:rPr>
          <w:spacing w:val="-3"/>
          <w:w w:val="100"/>
        </w:rPr>
        <w:t>。</w:t>
      </w:r>
      <w:r>
        <w:rPr>
          <w:rFonts w:ascii="宋体" w:hAnsi="宋体" w:cs="宋体" w:eastAsia="宋体" w:hint="default"/>
          <w:w w:val="100"/>
        </w:rPr>
        <w:t> </w:t>
      </w:r>
    </w:p>
    <w:p>
      <w:pPr>
        <w:pStyle w:val="BodyText"/>
        <w:spacing w:line="272" w:lineRule="exact"/>
        <w:ind w:left="557" w:right="0"/>
        <w:jc w:val="left"/>
      </w:pPr>
      <w:r>
        <w:rPr/>
        <w:t>本项目总投资额暂定</w:t>
      </w:r>
      <w:r>
        <w:rPr>
          <w:spacing w:val="-51"/>
        </w:rPr>
        <w:t> </w:t>
      </w:r>
      <w:r>
        <w:rPr>
          <w:rFonts w:ascii="宋体" w:hAnsi="宋体" w:cs="宋体" w:eastAsia="宋体" w:hint="default"/>
        </w:rPr>
        <w:t>6,000</w:t>
      </w:r>
      <w:r>
        <w:rPr>
          <w:rFonts w:ascii="宋体" w:hAnsi="宋体" w:cs="宋体" w:eastAsia="宋体" w:hint="default"/>
          <w:spacing w:val="-50"/>
        </w:rPr>
        <w:t> </w:t>
      </w:r>
      <w:r>
        <w:rPr/>
        <w:t>万元，实际金额按照最终决算为准，泰豪集团为沈阳电机上述付</w:t>
      </w:r>
    </w:p>
    <w:p>
      <w:pPr>
        <w:pStyle w:val="BodyText"/>
        <w:spacing w:line="272" w:lineRule="exact"/>
        <w:ind w:right="0"/>
        <w:jc w:val="both"/>
      </w:pPr>
      <w:r>
        <w:rPr/>
        <w:t>款义务提供连带责任担保。截至审计报告日，公司已累计支付项目代建款</w:t>
      </w:r>
      <w:r>
        <w:rPr>
          <w:spacing w:val="-50"/>
        </w:rPr>
        <w:t> </w:t>
      </w:r>
      <w:r>
        <w:rPr>
          <w:rFonts w:ascii="宋体" w:hAnsi="宋体" w:cs="宋体" w:eastAsia="宋体" w:hint="default"/>
        </w:rPr>
        <w:t>6,000</w:t>
      </w:r>
      <w:r>
        <w:rPr>
          <w:rFonts w:ascii="宋体" w:hAnsi="宋体" w:cs="宋体" w:eastAsia="宋体" w:hint="default"/>
          <w:spacing w:val="-50"/>
        </w:rPr>
        <w:t> </w:t>
      </w:r>
      <w:r>
        <w:rPr/>
        <w:t>万元，支付履约</w:t>
      </w:r>
    </w:p>
    <w:p>
      <w:pPr>
        <w:pStyle w:val="BodyText"/>
        <w:spacing w:line="272" w:lineRule="exact"/>
        <w:ind w:right="0"/>
        <w:jc w:val="both"/>
        <w:rPr>
          <w:rFonts w:ascii="宋体" w:hAnsi="宋体" w:cs="宋体" w:eastAsia="宋体" w:hint="default"/>
        </w:rPr>
      </w:pPr>
      <w:r>
        <w:rPr/>
        <w:t>保证金</w:t>
      </w:r>
      <w:r>
        <w:rPr>
          <w:spacing w:val="-52"/>
        </w:rPr>
        <w:t> </w:t>
      </w:r>
      <w:r>
        <w:rPr>
          <w:rFonts w:ascii="宋体" w:hAnsi="宋体" w:cs="宋体" w:eastAsia="宋体" w:hint="default"/>
        </w:rPr>
        <w:t>500</w:t>
      </w:r>
      <w:r>
        <w:rPr>
          <w:rFonts w:ascii="宋体" w:hAnsi="宋体" w:cs="宋体" w:eastAsia="宋体" w:hint="default"/>
          <w:spacing w:val="-55"/>
        </w:rPr>
        <w:t> </w:t>
      </w:r>
      <w:r>
        <w:rPr/>
        <w:t>万元。</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w:t>
      </w:r>
      <w:r>
        <w:rPr>
          <w:rFonts w:ascii="宋体" w:hAnsi="宋体" w:cs="宋体" w:eastAsia="宋体" w:hint="default"/>
        </w:rPr>
        <w:t>4</w:t>
      </w:r>
      <w:r>
        <w:rPr/>
        <w:t>）关于公司拟回购泰豪软件股份有限公司</w:t>
      </w:r>
      <w:r>
        <w:rPr>
          <w:spacing w:val="-8"/>
        </w:rPr>
        <w:t> </w:t>
      </w:r>
      <w:r>
        <w:rPr>
          <w:rFonts w:ascii="宋体" w:hAnsi="宋体" w:cs="宋体" w:eastAsia="宋体" w:hint="default"/>
          <w:spacing w:val="-8"/>
        </w:rPr>
      </w:r>
      <w:r>
        <w:rPr>
          <w:rFonts w:ascii="宋体" w:hAnsi="宋体" w:cs="宋体" w:eastAsia="宋体" w:hint="default"/>
        </w:rPr>
        <w:t>15%</w:t>
      </w:r>
      <w:r>
        <w:rPr/>
        <w:t>股权事项</w:t>
      </w:r>
      <w:r>
        <w:rPr>
          <w:rFonts w:ascii="宋体" w:hAnsi="宋体" w:cs="宋体" w:eastAsia="宋体" w:hint="default"/>
        </w:rPr>
        <w:t> </w:t>
      </w:r>
    </w:p>
    <w:p>
      <w:pPr>
        <w:pStyle w:val="BodyText"/>
        <w:spacing w:line="237" w:lineRule="auto"/>
        <w:ind w:right="128" w:firstLine="42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8"/>
        </w:rPr>
        <w:t> </w:t>
      </w:r>
      <w:r>
        <w:rPr/>
        <w:t>年</w:t>
      </w:r>
      <w:r>
        <w:rPr>
          <w:spacing w:val="-46"/>
        </w:rPr>
        <w:t> </w:t>
      </w:r>
      <w:r>
        <w:rPr>
          <w:rFonts w:ascii="宋体" w:hAnsi="宋体" w:cs="宋体" w:eastAsia="宋体" w:hint="default"/>
        </w:rPr>
        <w:t>10</w:t>
      </w:r>
      <w:r>
        <w:rPr>
          <w:rFonts w:ascii="宋体" w:hAnsi="宋体" w:cs="宋体" w:eastAsia="宋体" w:hint="default"/>
          <w:spacing w:val="-48"/>
        </w:rPr>
        <w:t> </w:t>
      </w:r>
      <w:r>
        <w:rPr/>
        <w:t>月</w:t>
      </w:r>
      <w:r>
        <w:rPr>
          <w:spacing w:val="-46"/>
        </w:rPr>
        <w:t> </w:t>
      </w:r>
      <w:r>
        <w:rPr>
          <w:rFonts w:ascii="宋体" w:hAnsi="宋体" w:cs="宋体" w:eastAsia="宋体" w:hint="default"/>
        </w:rPr>
        <w:t>28</w:t>
      </w:r>
      <w:r>
        <w:rPr>
          <w:rFonts w:ascii="宋体" w:hAnsi="宋体" w:cs="宋体" w:eastAsia="宋体" w:hint="default"/>
          <w:spacing w:val="-46"/>
        </w:rPr>
        <w:t> </w:t>
      </w:r>
      <w:r>
        <w:rPr>
          <w:spacing w:val="-3"/>
        </w:rPr>
        <w:t>日，公司第七届董事会第十二次会议审议通过《关于公司拟回购泰豪软件股</w:t>
      </w:r>
      <w:r>
        <w:rPr>
          <w:w w:val="100"/>
        </w:rPr>
        <w:t> </w:t>
      </w:r>
      <w:r>
        <w:rPr>
          <w:spacing w:val="11"/>
        </w:rPr>
        <w:t>份有限公司 </w:t>
      </w:r>
      <w:r>
        <w:rPr>
          <w:rFonts w:ascii="宋体" w:hAnsi="宋体" w:cs="宋体" w:eastAsia="宋体" w:hint="default"/>
          <w:spacing w:val="11"/>
        </w:rPr>
      </w:r>
      <w:r>
        <w:rPr>
          <w:rFonts w:ascii="宋体" w:hAnsi="宋体" w:cs="宋体" w:eastAsia="宋体" w:hint="default"/>
          <w:spacing w:val="8"/>
        </w:rPr>
        <w:t>15%</w:t>
      </w:r>
      <w:r>
        <w:rPr>
          <w:spacing w:val="8"/>
        </w:rPr>
        <w:t>股权暨关联交易 </w:t>
      </w:r>
      <w:r>
        <w:rPr>
          <w:rFonts w:ascii="宋体" w:hAnsi="宋体" w:cs="宋体" w:eastAsia="宋体" w:hint="default"/>
          <w:spacing w:val="8"/>
        </w:rPr>
      </w:r>
      <w:r>
        <w:rPr>
          <w:spacing w:val="10"/>
        </w:rPr>
        <w:t>的议案》。为更好地整合公司智能电力产业，同意公司以</w:t>
      </w:r>
      <w:r>
        <w:rPr>
          <w:spacing w:val="5"/>
        </w:rPr>
        <w:t> </w:t>
      </w:r>
      <w:r>
        <w:rPr>
          <w:rFonts w:ascii="宋体" w:hAnsi="宋体" w:cs="宋体" w:eastAsia="宋体" w:hint="default"/>
          <w:spacing w:val="5"/>
        </w:rPr>
      </w:r>
      <w:r>
        <w:rPr>
          <w:rFonts w:ascii="宋体" w:hAnsi="宋体" w:cs="宋体" w:eastAsia="宋体" w:hint="default"/>
          <w:spacing w:val="-1"/>
          <w:w w:val="100"/>
        </w:rPr>
        <w:t>8,735.265</w:t>
      </w:r>
      <w:r>
        <w:rPr>
          <w:rFonts w:ascii="宋体" w:hAnsi="宋体" w:cs="宋体" w:eastAsia="宋体" w:hint="default"/>
          <w:w w:val="100"/>
        </w:rPr>
        <w:t> </w:t>
      </w:r>
      <w:r>
        <w:rPr>
          <w:spacing w:val="-7"/>
          <w:w w:val="100"/>
        </w:rPr>
        <w:t>万元现金回购共青城以琳管理合伙企业（有限合伙）持有的泰豪软件股份有限公司</w:t>
      </w:r>
      <w:r>
        <w:rPr>
          <w:w w:val="100"/>
        </w:rPr>
        <w:t> </w:t>
      </w:r>
      <w:r>
        <w:rPr>
          <w:rFonts w:ascii="宋体" w:hAnsi="宋体" w:cs="宋体" w:eastAsia="宋体" w:hint="default"/>
          <w:w w:val="100"/>
        </w:rPr>
      </w:r>
      <w:r>
        <w:rPr>
          <w:rFonts w:ascii="宋体" w:hAnsi="宋体" w:cs="宋体" w:eastAsia="宋体" w:hint="default"/>
          <w:spacing w:val="-1"/>
          <w:w w:val="100"/>
        </w:rPr>
        <w:t>15%</w:t>
      </w:r>
      <w:r>
        <w:rPr>
          <w:rFonts w:ascii="宋体" w:hAnsi="宋体" w:cs="宋体" w:eastAsia="宋体" w:hint="default"/>
          <w:spacing w:val="-99"/>
          <w:w w:val="100"/>
        </w:rPr>
        <w:t> </w:t>
      </w:r>
      <w:r>
        <w:rPr>
          <w:rFonts w:ascii="宋体" w:hAnsi="宋体" w:cs="宋体" w:eastAsia="宋体" w:hint="default"/>
          <w:spacing w:val="-99"/>
          <w:w w:val="100"/>
        </w:rPr>
      </w:r>
      <w:r>
        <w:rPr>
          <w:spacing w:val="-4"/>
        </w:rPr>
        <w:t>股权，具体详见《关于回购泰豪软件股份有限公司 </w:t>
      </w:r>
      <w:r>
        <w:rPr>
          <w:rFonts w:ascii="宋体" w:hAnsi="宋体" w:cs="宋体" w:eastAsia="宋体" w:hint="default"/>
          <w:spacing w:val="-4"/>
        </w:rPr>
      </w:r>
      <w:r>
        <w:rPr>
          <w:rFonts w:ascii="宋体" w:hAnsi="宋体" w:cs="宋体" w:eastAsia="宋体" w:hint="default"/>
          <w:spacing w:val="-5"/>
        </w:rPr>
        <w:t>15%</w:t>
      </w:r>
      <w:r>
        <w:rPr>
          <w:spacing w:val="-5"/>
        </w:rPr>
        <w:t>股权暨关联交易的公告》（公告编号： </w:t>
      </w:r>
      <w:r>
        <w:rPr>
          <w:rFonts w:ascii="宋体" w:hAnsi="宋体" w:cs="宋体" w:eastAsia="宋体" w:hint="default"/>
          <w:spacing w:val="-5"/>
        </w:rPr>
      </w:r>
      <w:r>
        <w:rPr>
          <w:spacing w:val="-3"/>
        </w:rPr>
        <w:t>临</w:t>
      </w:r>
      <w:r>
        <w:rPr>
          <w:spacing w:val="-11"/>
        </w:rPr>
        <w:t> </w:t>
      </w:r>
      <w:r>
        <w:rPr>
          <w:rFonts w:ascii="宋体" w:hAnsi="宋体" w:cs="宋体" w:eastAsia="宋体" w:hint="default"/>
          <w:spacing w:val="-11"/>
        </w:rPr>
      </w:r>
      <w:r>
        <w:rPr>
          <w:rFonts w:ascii="宋体" w:hAnsi="宋体" w:cs="宋体" w:eastAsia="宋体" w:hint="default"/>
        </w:rPr>
        <w:t>2019-061</w:t>
      </w:r>
      <w:r>
        <w:rPr/>
        <w:t>）。</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w:t>
      </w:r>
      <w:r>
        <w:rPr>
          <w:rFonts w:ascii="宋体" w:hAnsi="宋体" w:cs="宋体" w:eastAsia="宋体" w:hint="default"/>
        </w:rPr>
        <w:t>5</w:t>
      </w:r>
      <w:r>
        <w:rPr/>
        <w:t>）关于开展应收账款资产证券化</w:t>
      </w:r>
      <w:r>
        <w:rPr>
          <w:rFonts w:ascii="宋体" w:hAnsi="宋体" w:cs="宋体" w:eastAsia="宋体" w:hint="default"/>
        </w:rPr>
        <w:t> </w:t>
      </w:r>
    </w:p>
    <w:p>
      <w:pPr>
        <w:pStyle w:val="BodyText"/>
        <w:spacing w:line="237" w:lineRule="auto"/>
        <w:ind w:right="229" w:firstLine="420"/>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5"/>
        </w:rPr>
        <w:t> </w:t>
      </w:r>
      <w:r>
        <w:rPr/>
        <w:t>年</w:t>
      </w:r>
      <w:r>
        <w:rPr>
          <w:spacing w:val="-43"/>
        </w:rPr>
        <w:t> </w:t>
      </w:r>
      <w:r>
        <w:rPr>
          <w:rFonts w:ascii="宋体" w:hAnsi="宋体" w:cs="宋体" w:eastAsia="宋体" w:hint="default"/>
        </w:rPr>
        <w:t>11</w:t>
      </w:r>
      <w:r>
        <w:rPr>
          <w:rFonts w:ascii="宋体" w:hAnsi="宋体" w:cs="宋体" w:eastAsia="宋体" w:hint="default"/>
          <w:spacing w:val="-45"/>
        </w:rPr>
        <w:t> </w:t>
      </w:r>
      <w:r>
        <w:rPr/>
        <w:t>月</w:t>
      </w:r>
      <w:r>
        <w:rPr>
          <w:spacing w:val="-43"/>
        </w:rPr>
        <w:t> </w:t>
      </w:r>
      <w:r>
        <w:rPr>
          <w:rFonts w:ascii="宋体" w:hAnsi="宋体" w:cs="宋体" w:eastAsia="宋体" w:hint="default"/>
        </w:rPr>
        <w:t>30</w:t>
      </w:r>
      <w:r>
        <w:rPr>
          <w:rFonts w:ascii="宋体" w:hAnsi="宋体" w:cs="宋体" w:eastAsia="宋体" w:hint="default"/>
          <w:spacing w:val="-43"/>
        </w:rPr>
        <w:t> </w:t>
      </w:r>
      <w:r>
        <w:rPr>
          <w:spacing w:val="-3"/>
        </w:rPr>
        <w:t>日，公司第七届董事会第十三次会议审议通过《关于开展应收账款资产证券</w:t>
      </w:r>
      <w:r>
        <w:rPr>
          <w:w w:val="100"/>
        </w:rPr>
        <w:t> </w:t>
      </w:r>
      <w:r>
        <w:rPr/>
        <w:t>化暨关联交易的议案》</w:t>
      </w:r>
      <w:r>
        <w:rPr>
          <w:rFonts w:ascii="宋体" w:hAnsi="宋体" w:cs="宋体" w:eastAsia="宋体" w:hint="default"/>
        </w:rPr>
        <w:t>,</w:t>
      </w:r>
      <w:r>
        <w:rPr>
          <w:rFonts w:ascii="宋体" w:hAnsi="宋体" w:cs="宋体" w:eastAsia="宋体" w:hint="default"/>
          <w:spacing w:val="6"/>
        </w:rPr>
        <w:t> </w:t>
      </w:r>
      <w:r>
        <w:rPr/>
        <w:t>为盘活存量资产，提升资产质量，拓宽融资渠道，同意公司及控股子公</w:t>
      </w:r>
      <w:r>
        <w:rPr>
          <w:w w:val="100"/>
        </w:rPr>
        <w:t> </w:t>
      </w:r>
      <w:r>
        <w:rPr>
          <w:spacing w:val="-1"/>
        </w:rPr>
        <w:t>司将相关应收账款债权作为信托财产委托给信托计划，并通过该信托计划发行资产支持票据。该</w:t>
      </w:r>
      <w:r>
        <w:rPr>
          <w:spacing w:val="-55"/>
        </w:rPr>
        <w:t> </w:t>
      </w:r>
      <w:r>
        <w:rPr>
          <w:spacing w:val="-55"/>
        </w:rPr>
      </w:r>
      <w:r>
        <w:rPr/>
        <w:t>计划总规模不超过 </w:t>
      </w:r>
      <w:r>
        <w:rPr>
          <w:rFonts w:ascii="宋体" w:hAnsi="宋体" w:cs="宋体" w:eastAsia="宋体" w:hint="default"/>
        </w:rPr>
        <w:t>6 </w:t>
      </w:r>
      <w:r>
        <w:rPr/>
        <w:t>亿元，公司第二大股东泰豪集团有限公司拟认购次级</w:t>
      </w:r>
      <w:r>
        <w:rPr>
          <w:spacing w:val="8"/>
        </w:rPr>
        <w:t> </w:t>
      </w:r>
      <w:r>
        <w:rPr>
          <w:rFonts w:ascii="宋体" w:hAnsi="宋体" w:cs="宋体" w:eastAsia="宋体" w:hint="default"/>
          <w:spacing w:val="8"/>
        </w:rPr>
      </w:r>
      <w:r>
        <w:rPr/>
        <w:t>资产支持票据，认购</w:t>
      </w:r>
      <w:r>
        <w:rPr>
          <w:w w:val="100"/>
        </w:rPr>
        <w:t> </w:t>
      </w:r>
      <w:r>
        <w:rPr/>
        <w:t>规模不超过人民币</w:t>
      </w:r>
      <w:r>
        <w:rPr>
          <w:spacing w:val="14"/>
        </w:rPr>
        <w:t> </w:t>
      </w:r>
      <w:r>
        <w:rPr>
          <w:rFonts w:ascii="宋体" w:hAnsi="宋体" w:cs="宋体" w:eastAsia="宋体" w:hint="default"/>
          <w:spacing w:val="14"/>
        </w:rPr>
      </w:r>
      <w:r>
        <w:rPr>
          <w:rFonts w:ascii="宋体" w:hAnsi="宋体" w:cs="宋体" w:eastAsia="宋体" w:hint="default"/>
        </w:rPr>
        <w:t>5,000</w:t>
      </w:r>
      <w:r>
        <w:rPr>
          <w:rFonts w:ascii="宋体" w:hAnsi="宋体" w:cs="宋体" w:eastAsia="宋体" w:hint="default"/>
          <w:spacing w:val="10"/>
        </w:rPr>
        <w:t> </w:t>
      </w:r>
      <w:r>
        <w:rPr/>
        <w:t>万元</w:t>
      </w:r>
      <w:r>
        <w:rPr>
          <w:rFonts w:ascii="宋体" w:hAnsi="宋体" w:cs="宋体" w:eastAsia="宋体" w:hint="default"/>
        </w:rPr>
        <w:t>,</w:t>
      </w:r>
      <w:r>
        <w:rPr>
          <w:rFonts w:ascii="宋体" w:hAnsi="宋体" w:cs="宋体" w:eastAsia="宋体" w:hint="default"/>
          <w:spacing w:val="10"/>
        </w:rPr>
        <w:t> </w:t>
      </w:r>
      <w:r>
        <w:rPr>
          <w:spacing w:val="-5"/>
        </w:rPr>
        <w:t>具体以信托计划实际成立时的规模为准。具体内容详见《关于开</w:t>
      </w:r>
      <w:r>
        <w:rPr>
          <w:spacing w:val="-103"/>
        </w:rPr>
        <w:t> </w:t>
      </w:r>
      <w:r>
        <w:rPr>
          <w:spacing w:val="-103"/>
        </w:rPr>
      </w:r>
      <w:r>
        <w:rPr/>
        <w:t>展应收账款资产证券化暨关联交易的公告》（公 </w:t>
      </w:r>
      <w:r>
        <w:rPr>
          <w:rFonts w:ascii="宋体" w:hAnsi="宋体" w:cs="宋体" w:eastAsia="宋体" w:hint="default"/>
        </w:rPr>
      </w:r>
      <w:r>
        <w:rPr/>
        <w:t>告编号：临</w:t>
      </w:r>
      <w:r>
        <w:rPr>
          <w:spacing w:val="-10"/>
        </w:rPr>
        <w:t> </w:t>
      </w:r>
      <w:r>
        <w:rPr>
          <w:rFonts w:ascii="宋体" w:hAnsi="宋体" w:cs="宋体" w:eastAsia="宋体" w:hint="default"/>
          <w:spacing w:val="-10"/>
        </w:rPr>
      </w:r>
      <w:r>
        <w:rPr>
          <w:rFonts w:ascii="宋体" w:hAnsi="宋体" w:cs="宋体" w:eastAsia="宋体" w:hint="default"/>
        </w:rPr>
        <w:t>2019-072</w:t>
      </w:r>
      <w:r>
        <w:rPr/>
        <w:t>）。</w:t>
      </w:r>
      <w:r>
        <w:rPr>
          <w:rFonts w:ascii="宋体" w:hAnsi="宋体" w:cs="宋体" w:eastAsia="宋体" w:hint="default"/>
        </w:rPr>
        <w:t> </w:t>
      </w:r>
    </w:p>
    <w:p>
      <w:pPr>
        <w:pStyle w:val="Heading3"/>
        <w:spacing w:line="307" w:lineRule="exact"/>
        <w:ind w:left="136" w:right="0"/>
        <w:jc w:val="both"/>
        <w:rPr>
          <w:rFonts w:ascii="宋体" w:hAnsi="宋体" w:cs="宋体" w:eastAsia="宋体" w:hint="default"/>
        </w:rPr>
      </w:pPr>
      <w:r>
        <w:rPr>
          <w:rFonts w:ascii="宋体"/>
        </w:rPr>
        <w:t> </w:t>
      </w:r>
    </w:p>
    <w:p>
      <w:pPr>
        <w:pStyle w:val="Heading5"/>
        <w:spacing w:line="290" w:lineRule="auto"/>
        <w:ind w:left="136" w:right="6345"/>
        <w:jc w:val="left"/>
        <w:rPr>
          <w:rFonts w:ascii="宋体" w:hAnsi="宋体" w:cs="宋体" w:eastAsia="宋体" w:hint="default"/>
          <w:b w:val="0"/>
          <w:bCs w:val="0"/>
        </w:rPr>
      </w:pPr>
      <w:r>
        <w:rPr>
          <w:rFonts w:ascii="宋体" w:hAnsi="宋体" w:cs="宋体" w:eastAsia="宋体" w:hint="default"/>
        </w:rPr>
        <w:t>6</w:t>
      </w:r>
      <w:r>
        <w:rPr/>
        <w:t>、</w:t>
      </w:r>
      <w:r>
        <w:rPr>
          <w:spacing w:val="2"/>
        </w:rPr>
        <w:t> </w:t>
      </w:r>
      <w:r>
        <w:rPr/>
        <w:t>关联方应收应付款项</w:t>
      </w:r>
      <w:r>
        <w:rPr>
          <w:rFonts w:ascii="宋体" w:hAnsi="宋体" w:cs="宋体" w:eastAsia="宋体" w:hint="default"/>
          <w:w w:val="99"/>
        </w:rPr>
        <w:t> </w:t>
      </w:r>
      <w:r>
        <w:rPr>
          <w:rFonts w:ascii="宋体" w:hAnsi="宋体" w:cs="宋体" w:eastAsia="宋体" w:hint="default"/>
        </w:rPr>
        <w:t>(1).</w:t>
      </w:r>
      <w:r>
        <w:rPr>
          <w:rFonts w:ascii="宋体" w:hAnsi="宋体" w:cs="宋体" w:eastAsia="宋体" w:hint="default"/>
          <w:spacing w:val="-46"/>
        </w:rPr>
        <w:t> </w:t>
      </w:r>
      <w:r>
        <w:rPr/>
        <w:t>应收项目</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9"/>
        <w:ind w:left="136"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1"/>
        <w:ind w:left="0" w:right="113"/>
        <w:jc w:val="right"/>
        <w:rPr>
          <w:rFonts w:ascii="宋体" w:hAnsi="宋体" w:cs="宋体" w:eastAsia="宋体" w:hint="default"/>
          <w:sz w:val="24"/>
          <w:szCs w:val="24"/>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sz w:val="24"/>
          <w:szCs w:val="24"/>
        </w:rPr>
        <w:t> </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800"/>
        <w:gridCol w:w="2199"/>
        <w:gridCol w:w="1423"/>
        <w:gridCol w:w="1450"/>
        <w:gridCol w:w="1572"/>
        <w:gridCol w:w="1453"/>
      </w:tblGrid>
      <w:tr>
        <w:trPr>
          <w:trHeight w:val="242" w:hRule="exact"/>
        </w:trPr>
        <w:tc>
          <w:tcPr>
            <w:tcW w:w="800" w:type="dxa"/>
            <w:vMerge w:val="restart"/>
            <w:tcBorders>
              <w:top w:val="single" w:sz="4" w:space="0" w:color="000000"/>
              <w:left w:val="single" w:sz="4" w:space="0" w:color="000000"/>
              <w:right w:val="single" w:sz="4" w:space="0" w:color="000000"/>
            </w:tcBorders>
          </w:tcPr>
          <w:p>
            <w:pPr>
              <w:pStyle w:val="TableParagraph"/>
              <w:spacing w:line="240" w:lineRule="auto" w:before="92"/>
              <w:ind w:left="3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199" w:type="dxa"/>
            <w:vMerge w:val="restart"/>
            <w:tcBorders>
              <w:top w:val="single" w:sz="4" w:space="0" w:color="000000"/>
              <w:left w:val="single" w:sz="4" w:space="0" w:color="000000"/>
              <w:right w:val="single" w:sz="4" w:space="0" w:color="000000"/>
            </w:tcBorders>
          </w:tcPr>
          <w:p>
            <w:pPr>
              <w:pStyle w:val="TableParagraph"/>
              <w:spacing w:line="240" w:lineRule="auto" w:before="92"/>
              <w:ind w:left="87" w:right="0"/>
              <w:jc w:val="center"/>
              <w:rPr>
                <w:rFonts w:ascii="宋体" w:hAnsi="宋体" w:cs="宋体" w:eastAsia="宋体" w:hint="default"/>
                <w:sz w:val="18"/>
                <w:szCs w:val="18"/>
              </w:rPr>
            </w:pPr>
            <w:r>
              <w:rPr>
                <w:rFonts w:ascii="宋体" w:hAnsi="宋体" w:cs="宋体" w:eastAsia="宋体" w:hint="default"/>
                <w:sz w:val="18"/>
                <w:szCs w:val="18"/>
              </w:rPr>
              <w:t>关联方</w:t>
            </w:r>
            <w:r>
              <w:rPr>
                <w:rFonts w:ascii="宋体" w:hAnsi="宋体" w:cs="宋体" w:eastAsia="宋体" w:hint="default"/>
                <w:sz w:val="18"/>
                <w:szCs w:val="18"/>
              </w:rPr>
              <w:t> </w:t>
            </w:r>
          </w:p>
        </w:tc>
        <w:tc>
          <w:tcPr>
            <w:tcW w:w="28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0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245" w:hRule="exact"/>
        </w:trPr>
        <w:tc>
          <w:tcPr>
            <w:tcW w:w="800" w:type="dxa"/>
            <w:vMerge/>
            <w:tcBorders>
              <w:left w:val="single" w:sz="4" w:space="0" w:color="000000"/>
              <w:bottom w:val="single" w:sz="4" w:space="0" w:color="000000"/>
              <w:right w:val="single" w:sz="4" w:space="0" w:color="000000"/>
            </w:tcBorders>
          </w:tcPr>
          <w:p>
            <w:pPr/>
          </w:p>
        </w:tc>
        <w:tc>
          <w:tcPr>
            <w:tcW w:w="2199" w:type="dxa"/>
            <w:vMerge/>
            <w:tcBorders>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5"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9"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2"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2"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r>
      <w:tr>
        <w:trPr>
          <w:trHeight w:val="5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sz w:val="20"/>
                <w:szCs w:val="20"/>
              </w:rPr>
              <w:t>应收账</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款</w:t>
            </w:r>
            <w:r>
              <w:rPr>
                <w:rFonts w:ascii="宋体" w:hAnsi="宋体" w:cs="宋体" w:eastAsia="宋体" w:hint="default"/>
                <w:sz w:val="20"/>
                <w:szCs w:val="20"/>
              </w:rPr>
              <w:t> </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6" w:right="0"/>
              <w:jc w:val="left"/>
              <w:rPr>
                <w:rFonts w:ascii="宋体" w:hAnsi="宋体" w:cs="宋体" w:eastAsia="宋体" w:hint="default"/>
                <w:sz w:val="20"/>
                <w:szCs w:val="20"/>
              </w:rPr>
            </w:pPr>
            <w:r>
              <w:rPr>
                <w:rFonts w:ascii="宋体" w:hAnsi="宋体" w:cs="宋体" w:eastAsia="宋体" w:hint="default"/>
                <w:sz w:val="20"/>
                <w:szCs w:val="20"/>
              </w:rPr>
              <w:t>同方股份有限公司</w:t>
            </w:r>
            <w:r>
              <w:rPr>
                <w:rFonts w:ascii="宋体" w:hAnsi="宋体" w:cs="宋体" w:eastAsia="宋体" w:hint="default"/>
                <w:sz w:val="20"/>
                <w:szCs w:val="20"/>
              </w:rPr>
              <w:t> </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2"/>
              <w:jc w:val="right"/>
              <w:rPr>
                <w:rFonts w:ascii="Times New Roman" w:hAnsi="Times New Roman" w:cs="Times New Roman" w:eastAsia="Times New Roman" w:hint="default"/>
                <w:sz w:val="20"/>
                <w:szCs w:val="20"/>
              </w:rPr>
            </w:pPr>
            <w:r>
              <w:rPr>
                <w:rFonts w:ascii="Times New Roman"/>
                <w:w w:val="95"/>
                <w:sz w:val="20"/>
              </w:rPr>
              <w:t>3,248,199.00</w:t>
            </w:r>
            <w:r>
              <w:rPr>
                <w:rFonts w:ascii="Times New Roman"/>
                <w:sz w:val="20"/>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2"/>
              <w:jc w:val="right"/>
              <w:rPr>
                <w:rFonts w:ascii="Times New Roman" w:hAnsi="Times New Roman" w:cs="Times New Roman" w:eastAsia="Times New Roman" w:hint="default"/>
                <w:sz w:val="20"/>
                <w:szCs w:val="20"/>
              </w:rPr>
            </w:pPr>
            <w:r>
              <w:rPr>
                <w:rFonts w:ascii="Times New Roman"/>
                <w:w w:val="95"/>
                <w:sz w:val="20"/>
              </w:rPr>
              <w:t>64,963.98</w:t>
            </w:r>
            <w:r>
              <w:rPr>
                <w:rFonts w:ascii="Times New Roman"/>
                <w:sz w:val="20"/>
              </w:rPr>
            </w:r>
          </w:p>
        </w:tc>
      </w:tr>
      <w:tr>
        <w:trPr>
          <w:trHeight w:val="5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sz w:val="20"/>
                <w:szCs w:val="20"/>
              </w:rPr>
              <w:t>应收账</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款</w:t>
            </w:r>
            <w:r>
              <w:rPr>
                <w:rFonts w:ascii="宋体" w:hAnsi="宋体" w:cs="宋体" w:eastAsia="宋体" w:hint="default"/>
                <w:sz w:val="20"/>
                <w:szCs w:val="20"/>
              </w:rPr>
              <w:t> </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spacing w:val="-6"/>
                <w:sz w:val="20"/>
                <w:szCs w:val="20"/>
              </w:rPr>
              <w:t>同方（哈尔滨）水务有限</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z w:val="20"/>
                <w:szCs w:val="20"/>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5"/>
              <w:jc w:val="right"/>
              <w:rPr>
                <w:rFonts w:ascii="Times New Roman" w:hAnsi="Times New Roman" w:cs="Times New Roman" w:eastAsia="Times New Roman" w:hint="default"/>
                <w:sz w:val="20"/>
                <w:szCs w:val="20"/>
              </w:rPr>
            </w:pPr>
            <w:r>
              <w:rPr>
                <w:rFonts w:ascii="Times New Roman"/>
                <w:w w:val="95"/>
                <w:sz w:val="20"/>
              </w:rPr>
              <w:t>1,347,660.00</w:t>
            </w:r>
            <w:r>
              <w:rPr>
                <w:rFonts w:ascii="Times New Roman"/>
                <w:sz w:val="20"/>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3"/>
              <w:jc w:val="right"/>
              <w:rPr>
                <w:rFonts w:ascii="Times New Roman" w:hAnsi="Times New Roman" w:cs="Times New Roman" w:eastAsia="Times New Roman" w:hint="default"/>
                <w:sz w:val="20"/>
                <w:szCs w:val="20"/>
              </w:rPr>
            </w:pPr>
            <w:r>
              <w:rPr>
                <w:rFonts w:ascii="Times New Roman"/>
                <w:w w:val="95"/>
                <w:sz w:val="20"/>
              </w:rPr>
              <w:t>1,347,660.00</w:t>
            </w:r>
            <w:r>
              <w:rPr>
                <w:rFonts w:ascii="Times New Roman"/>
                <w:sz w:val="20"/>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2"/>
              <w:jc w:val="right"/>
              <w:rPr>
                <w:rFonts w:ascii="Times New Roman" w:hAnsi="Times New Roman" w:cs="Times New Roman" w:eastAsia="Times New Roman" w:hint="default"/>
                <w:sz w:val="20"/>
                <w:szCs w:val="20"/>
              </w:rPr>
            </w:pPr>
            <w:r>
              <w:rPr>
                <w:rFonts w:ascii="Times New Roman"/>
                <w:w w:val="95"/>
                <w:sz w:val="20"/>
              </w:rPr>
              <w:t>1,347,660.00</w:t>
            </w:r>
            <w:r>
              <w:rPr>
                <w:rFonts w:ascii="Times New Roman"/>
                <w:sz w:val="20"/>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2"/>
              <w:jc w:val="right"/>
              <w:rPr>
                <w:rFonts w:ascii="Times New Roman" w:hAnsi="Times New Roman" w:cs="Times New Roman" w:eastAsia="Times New Roman" w:hint="default"/>
                <w:sz w:val="20"/>
                <w:szCs w:val="20"/>
              </w:rPr>
            </w:pPr>
            <w:r>
              <w:rPr>
                <w:rFonts w:ascii="Times New Roman"/>
                <w:w w:val="95"/>
                <w:sz w:val="20"/>
              </w:rPr>
              <w:t>1,078,128.00</w:t>
            </w:r>
            <w:r>
              <w:rPr>
                <w:rFonts w:ascii="Times New Roman"/>
                <w:sz w:val="20"/>
              </w:rPr>
            </w:r>
          </w:p>
        </w:tc>
      </w:tr>
      <w:tr>
        <w:trPr>
          <w:trHeight w:val="53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sz w:val="20"/>
                <w:szCs w:val="20"/>
              </w:rPr>
              <w:t>应收账</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款</w:t>
            </w:r>
            <w:r>
              <w:rPr>
                <w:rFonts w:ascii="宋体" w:hAnsi="宋体" w:cs="宋体" w:eastAsia="宋体" w:hint="default"/>
                <w:sz w:val="20"/>
                <w:szCs w:val="20"/>
              </w:rPr>
              <w:t> </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6" w:right="0"/>
              <w:jc w:val="left"/>
              <w:rPr>
                <w:rFonts w:ascii="宋体" w:hAnsi="宋体" w:cs="宋体" w:eastAsia="宋体" w:hint="default"/>
                <w:sz w:val="20"/>
                <w:szCs w:val="20"/>
              </w:rPr>
            </w:pPr>
            <w:r>
              <w:rPr>
                <w:rFonts w:ascii="宋体" w:hAnsi="宋体" w:cs="宋体" w:eastAsia="宋体" w:hint="default"/>
                <w:sz w:val="20"/>
                <w:szCs w:val="20"/>
              </w:rPr>
              <w:t>同方江新造船有限公司</w:t>
            </w:r>
            <w:r>
              <w:rPr>
                <w:rFonts w:ascii="宋体" w:hAnsi="宋体" w:cs="宋体" w:eastAsia="宋体" w:hint="default"/>
                <w:sz w:val="20"/>
                <w:szCs w:val="20"/>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4"/>
              <w:jc w:val="right"/>
              <w:rPr>
                <w:rFonts w:ascii="Times New Roman" w:hAnsi="Times New Roman" w:cs="Times New Roman" w:eastAsia="Times New Roman" w:hint="default"/>
                <w:sz w:val="20"/>
                <w:szCs w:val="20"/>
              </w:rPr>
            </w:pPr>
            <w:r>
              <w:rPr>
                <w:rFonts w:ascii="Times New Roman"/>
                <w:w w:val="95"/>
                <w:sz w:val="20"/>
              </w:rPr>
              <w:t>382,000.00</w:t>
            </w:r>
            <w:r>
              <w:rPr>
                <w:rFonts w:ascii="Times New Roman"/>
                <w:sz w:val="20"/>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2"/>
              <w:jc w:val="right"/>
              <w:rPr>
                <w:rFonts w:ascii="Times New Roman" w:hAnsi="Times New Roman" w:cs="Times New Roman" w:eastAsia="Times New Roman" w:hint="default"/>
                <w:sz w:val="20"/>
                <w:szCs w:val="20"/>
              </w:rPr>
            </w:pPr>
            <w:r>
              <w:rPr>
                <w:rFonts w:ascii="Times New Roman"/>
                <w:w w:val="95"/>
                <w:sz w:val="20"/>
              </w:rPr>
              <w:t>7,640.00</w:t>
            </w:r>
            <w:r>
              <w:rPr>
                <w:rFonts w:ascii="Times New Roman"/>
                <w:sz w:val="20"/>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2"/>
              <w:jc w:val="right"/>
              <w:rPr>
                <w:rFonts w:ascii="Times New Roman" w:hAnsi="Times New Roman" w:cs="Times New Roman" w:eastAsia="Times New Roman" w:hint="default"/>
                <w:sz w:val="20"/>
                <w:szCs w:val="20"/>
              </w:rPr>
            </w:pPr>
            <w:r>
              <w:rPr>
                <w:rFonts w:ascii="Times New Roman"/>
                <w:w w:val="95"/>
                <w:sz w:val="20"/>
              </w:rPr>
              <w:t>1,988,500.00</w:t>
            </w:r>
            <w:r>
              <w:rPr>
                <w:rFonts w:ascii="Times New Roman"/>
                <w:sz w:val="20"/>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2"/>
              <w:jc w:val="right"/>
              <w:rPr>
                <w:rFonts w:ascii="Times New Roman" w:hAnsi="Times New Roman" w:cs="Times New Roman" w:eastAsia="Times New Roman" w:hint="default"/>
                <w:sz w:val="20"/>
                <w:szCs w:val="20"/>
              </w:rPr>
            </w:pPr>
            <w:r>
              <w:rPr>
                <w:rFonts w:ascii="Times New Roman"/>
                <w:w w:val="95"/>
                <w:sz w:val="20"/>
              </w:rPr>
              <w:t>39,770.00</w:t>
            </w:r>
            <w:r>
              <w:rPr>
                <w:rFonts w:ascii="Times New Roman"/>
                <w:sz w:val="20"/>
              </w:rPr>
            </w:r>
          </w:p>
        </w:tc>
      </w:tr>
      <w:tr>
        <w:trPr>
          <w:trHeight w:val="5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sz w:val="20"/>
                <w:szCs w:val="20"/>
              </w:rPr>
              <w:t>应收账</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款</w:t>
            </w:r>
            <w:r>
              <w:rPr>
                <w:rFonts w:ascii="宋体" w:hAnsi="宋体" w:cs="宋体" w:eastAsia="宋体" w:hint="default"/>
                <w:sz w:val="20"/>
                <w:szCs w:val="20"/>
              </w:rPr>
              <w:t> </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6" w:right="0"/>
              <w:jc w:val="left"/>
              <w:rPr>
                <w:rFonts w:ascii="宋体" w:hAnsi="宋体" w:cs="宋体" w:eastAsia="宋体" w:hint="default"/>
                <w:sz w:val="20"/>
                <w:szCs w:val="20"/>
              </w:rPr>
            </w:pPr>
            <w:r>
              <w:rPr>
                <w:rFonts w:ascii="宋体" w:hAnsi="宋体" w:cs="宋体" w:eastAsia="宋体" w:hint="default"/>
                <w:sz w:val="20"/>
                <w:szCs w:val="20"/>
              </w:rPr>
              <w:t>江西泰豪动漫职业学院</w:t>
            </w:r>
            <w:r>
              <w:rPr>
                <w:rFonts w:ascii="宋体" w:hAnsi="宋体" w:cs="宋体" w:eastAsia="宋体" w:hint="default"/>
                <w:sz w:val="20"/>
                <w:szCs w:val="20"/>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5"/>
              <w:jc w:val="right"/>
              <w:rPr>
                <w:rFonts w:ascii="Times New Roman" w:hAnsi="Times New Roman" w:cs="Times New Roman" w:eastAsia="Times New Roman" w:hint="default"/>
                <w:sz w:val="20"/>
                <w:szCs w:val="20"/>
              </w:rPr>
            </w:pPr>
            <w:r>
              <w:rPr>
                <w:rFonts w:ascii="Times New Roman"/>
                <w:w w:val="95"/>
                <w:sz w:val="20"/>
              </w:rPr>
              <w:t>10,456,225.00</w:t>
            </w:r>
            <w:r>
              <w:rPr>
                <w:rFonts w:ascii="Times New Roman"/>
                <w:sz w:val="20"/>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2"/>
              <w:jc w:val="right"/>
              <w:rPr>
                <w:rFonts w:ascii="Times New Roman" w:hAnsi="Times New Roman" w:cs="Times New Roman" w:eastAsia="Times New Roman" w:hint="default"/>
                <w:sz w:val="20"/>
                <w:szCs w:val="20"/>
              </w:rPr>
            </w:pPr>
            <w:r>
              <w:rPr>
                <w:rFonts w:ascii="Times New Roman"/>
                <w:w w:val="95"/>
                <w:sz w:val="20"/>
              </w:rPr>
              <w:t>209,124.50</w:t>
            </w:r>
            <w:r>
              <w:rPr>
                <w:rFonts w:ascii="Times New Roman"/>
                <w:sz w:val="20"/>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2"/>
              <w:jc w:val="right"/>
              <w:rPr>
                <w:rFonts w:ascii="Times New Roman" w:hAnsi="Times New Roman" w:cs="Times New Roman" w:eastAsia="Times New Roman" w:hint="default"/>
                <w:sz w:val="20"/>
                <w:szCs w:val="20"/>
              </w:rPr>
            </w:pPr>
            <w:r>
              <w:rPr>
                <w:rFonts w:ascii="Times New Roman"/>
                <w:w w:val="95"/>
                <w:sz w:val="20"/>
              </w:rPr>
              <w:t>5,211,246.00</w:t>
            </w:r>
            <w:r>
              <w:rPr>
                <w:rFonts w:ascii="Times New Roman"/>
                <w:sz w:val="20"/>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2"/>
              <w:jc w:val="right"/>
              <w:rPr>
                <w:rFonts w:ascii="Times New Roman" w:hAnsi="Times New Roman" w:cs="Times New Roman" w:eastAsia="Times New Roman" w:hint="default"/>
                <w:sz w:val="20"/>
                <w:szCs w:val="20"/>
              </w:rPr>
            </w:pPr>
            <w:r>
              <w:rPr>
                <w:rFonts w:ascii="Times New Roman"/>
                <w:w w:val="95"/>
                <w:sz w:val="20"/>
              </w:rPr>
              <w:t>166,244.60</w:t>
            </w:r>
            <w:r>
              <w:rPr>
                <w:rFonts w:ascii="Times New Roman"/>
                <w:sz w:val="20"/>
              </w:rPr>
            </w:r>
          </w:p>
        </w:tc>
      </w:tr>
      <w:tr>
        <w:trPr>
          <w:trHeight w:val="52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6" w:right="0"/>
              <w:jc w:val="left"/>
              <w:rPr>
                <w:rFonts w:ascii="宋体" w:hAnsi="宋体" w:cs="宋体" w:eastAsia="宋体" w:hint="default"/>
                <w:sz w:val="20"/>
                <w:szCs w:val="20"/>
              </w:rPr>
            </w:pPr>
            <w:r>
              <w:rPr>
                <w:rFonts w:ascii="宋体" w:hAnsi="宋体" w:cs="宋体" w:eastAsia="宋体" w:hint="default"/>
                <w:sz w:val="20"/>
                <w:szCs w:val="20"/>
              </w:rPr>
              <w:t>应收账</w:t>
            </w:r>
          </w:p>
          <w:p>
            <w:pPr>
              <w:pStyle w:val="TableParagraph"/>
              <w:spacing w:line="261" w:lineRule="exact"/>
              <w:ind w:left="26" w:right="0"/>
              <w:jc w:val="left"/>
              <w:rPr>
                <w:rFonts w:ascii="宋体" w:hAnsi="宋体" w:cs="宋体" w:eastAsia="宋体" w:hint="default"/>
                <w:sz w:val="20"/>
                <w:szCs w:val="20"/>
              </w:rPr>
            </w:pPr>
            <w:r>
              <w:rPr>
                <w:rFonts w:ascii="宋体" w:hAnsi="宋体" w:cs="宋体" w:eastAsia="宋体" w:hint="default"/>
                <w:sz w:val="20"/>
                <w:szCs w:val="20"/>
              </w:rPr>
              <w:t>款</w:t>
            </w:r>
            <w:r>
              <w:rPr>
                <w:rFonts w:ascii="宋体" w:hAnsi="宋体" w:cs="宋体" w:eastAsia="宋体" w:hint="default"/>
                <w:sz w:val="20"/>
                <w:szCs w:val="20"/>
              </w:rPr>
              <w:t> </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6" w:right="0"/>
              <w:jc w:val="left"/>
              <w:rPr>
                <w:rFonts w:ascii="宋体" w:hAnsi="宋体" w:cs="宋体" w:eastAsia="宋体" w:hint="default"/>
                <w:sz w:val="20"/>
                <w:szCs w:val="20"/>
              </w:rPr>
            </w:pPr>
            <w:r>
              <w:rPr>
                <w:rFonts w:ascii="宋体" w:hAnsi="宋体" w:cs="宋体" w:eastAsia="宋体" w:hint="default"/>
                <w:sz w:val="20"/>
                <w:szCs w:val="20"/>
              </w:rPr>
              <w:t>江西大麦互娱科技股份</w:t>
            </w:r>
          </w:p>
          <w:p>
            <w:pPr>
              <w:pStyle w:val="TableParagraph"/>
              <w:spacing w:line="261" w:lineRule="exact"/>
              <w:ind w:left="26" w:right="0"/>
              <w:jc w:val="left"/>
              <w:rPr>
                <w:rFonts w:ascii="宋体" w:hAnsi="宋体" w:cs="宋体" w:eastAsia="宋体" w:hint="default"/>
                <w:sz w:val="20"/>
                <w:szCs w:val="20"/>
              </w:rPr>
            </w:pPr>
            <w:r>
              <w:rPr>
                <w:rFonts w:ascii="宋体" w:hAnsi="宋体" w:cs="宋体" w:eastAsia="宋体" w:hint="default"/>
                <w:sz w:val="20"/>
                <w:szCs w:val="20"/>
              </w:rPr>
              <w:t>有限公司</w:t>
            </w:r>
            <w:r>
              <w:rPr>
                <w:rFonts w:ascii="宋体" w:hAnsi="宋体" w:cs="宋体" w:eastAsia="宋体" w:hint="default"/>
                <w:sz w:val="20"/>
                <w:szCs w:val="20"/>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4"/>
              <w:jc w:val="right"/>
              <w:rPr>
                <w:rFonts w:ascii="Times New Roman" w:hAnsi="Times New Roman" w:cs="Times New Roman" w:eastAsia="Times New Roman" w:hint="default"/>
                <w:sz w:val="20"/>
                <w:szCs w:val="20"/>
              </w:rPr>
            </w:pPr>
            <w:r>
              <w:rPr>
                <w:rFonts w:ascii="Times New Roman"/>
                <w:w w:val="95"/>
                <w:sz w:val="20"/>
              </w:rPr>
              <w:t>587,207.48</w:t>
            </w:r>
            <w:r>
              <w:rPr>
                <w:rFonts w:ascii="Times New Roman"/>
                <w:sz w:val="20"/>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2"/>
              <w:jc w:val="right"/>
              <w:rPr>
                <w:rFonts w:ascii="Times New Roman" w:hAnsi="Times New Roman" w:cs="Times New Roman" w:eastAsia="Times New Roman" w:hint="default"/>
                <w:sz w:val="20"/>
                <w:szCs w:val="20"/>
              </w:rPr>
            </w:pPr>
            <w:r>
              <w:rPr>
                <w:rFonts w:ascii="Times New Roman"/>
                <w:w w:val="95"/>
                <w:sz w:val="20"/>
              </w:rPr>
              <w:t>58,720.75</w:t>
            </w:r>
            <w:r>
              <w:rPr>
                <w:rFonts w:ascii="Times New Roman"/>
                <w:sz w:val="20"/>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2"/>
              <w:jc w:val="right"/>
              <w:rPr>
                <w:rFonts w:ascii="Times New Roman" w:hAnsi="Times New Roman" w:cs="Times New Roman" w:eastAsia="Times New Roman" w:hint="default"/>
                <w:sz w:val="20"/>
                <w:szCs w:val="20"/>
              </w:rPr>
            </w:pPr>
            <w:r>
              <w:rPr>
                <w:rFonts w:ascii="Times New Roman"/>
                <w:w w:val="95"/>
                <w:sz w:val="20"/>
              </w:rPr>
              <w:t>587,207.48</w:t>
            </w:r>
            <w:r>
              <w:rPr>
                <w:rFonts w:ascii="Times New Roman"/>
                <w:sz w:val="20"/>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2"/>
              <w:jc w:val="right"/>
              <w:rPr>
                <w:rFonts w:ascii="Times New Roman" w:hAnsi="Times New Roman" w:cs="Times New Roman" w:eastAsia="Times New Roman" w:hint="default"/>
                <w:sz w:val="20"/>
                <w:szCs w:val="20"/>
              </w:rPr>
            </w:pPr>
            <w:r>
              <w:rPr>
                <w:rFonts w:ascii="Times New Roman"/>
                <w:w w:val="95"/>
                <w:sz w:val="20"/>
              </w:rPr>
              <w:t>117,441.50</w:t>
            </w:r>
            <w:r>
              <w:rPr>
                <w:rFonts w:ascii="Times New Roman"/>
                <w:sz w:val="20"/>
              </w:rPr>
            </w:r>
          </w:p>
        </w:tc>
      </w:tr>
      <w:tr>
        <w:trPr>
          <w:trHeight w:val="53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sz w:val="20"/>
                <w:szCs w:val="20"/>
              </w:rPr>
              <w:t>应收账</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款</w:t>
            </w:r>
            <w:r>
              <w:rPr>
                <w:rFonts w:ascii="宋体" w:hAnsi="宋体" w:cs="宋体" w:eastAsia="宋体" w:hint="default"/>
                <w:sz w:val="20"/>
                <w:szCs w:val="20"/>
              </w:rPr>
              <w:t> </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sz w:val="20"/>
                <w:szCs w:val="20"/>
              </w:rPr>
              <w:t>长春泰豪房地产置业有</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限公司</w:t>
            </w:r>
            <w:r>
              <w:rPr>
                <w:rFonts w:ascii="宋体" w:hAnsi="宋体" w:cs="宋体" w:eastAsia="宋体" w:hint="default"/>
                <w:sz w:val="20"/>
                <w:szCs w:val="20"/>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4"/>
              <w:jc w:val="right"/>
              <w:rPr>
                <w:rFonts w:ascii="Times New Roman" w:hAnsi="Times New Roman" w:cs="Times New Roman" w:eastAsia="Times New Roman" w:hint="default"/>
                <w:sz w:val="20"/>
                <w:szCs w:val="20"/>
              </w:rPr>
            </w:pPr>
            <w:r>
              <w:rPr>
                <w:rFonts w:ascii="Times New Roman"/>
                <w:w w:val="95"/>
                <w:sz w:val="20"/>
              </w:rPr>
              <w:t>112,260.69</w:t>
            </w:r>
            <w:r>
              <w:rPr>
                <w:rFonts w:ascii="Times New Roman"/>
                <w:sz w:val="20"/>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2"/>
              <w:jc w:val="right"/>
              <w:rPr>
                <w:rFonts w:ascii="Times New Roman" w:hAnsi="Times New Roman" w:cs="Times New Roman" w:eastAsia="Times New Roman" w:hint="default"/>
                <w:sz w:val="20"/>
                <w:szCs w:val="20"/>
              </w:rPr>
            </w:pPr>
            <w:r>
              <w:rPr>
                <w:rFonts w:ascii="Times New Roman"/>
                <w:w w:val="95"/>
                <w:sz w:val="20"/>
              </w:rPr>
              <w:t>11,226.07</w:t>
            </w:r>
            <w:r>
              <w:rPr>
                <w:rFonts w:ascii="Times New Roman"/>
                <w:sz w:val="20"/>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2"/>
              <w:jc w:val="right"/>
              <w:rPr>
                <w:rFonts w:ascii="Times New Roman" w:hAnsi="Times New Roman" w:cs="Times New Roman" w:eastAsia="Times New Roman" w:hint="default"/>
                <w:sz w:val="20"/>
                <w:szCs w:val="20"/>
              </w:rPr>
            </w:pPr>
            <w:r>
              <w:rPr>
                <w:rFonts w:ascii="Times New Roman"/>
                <w:w w:val="95"/>
                <w:sz w:val="20"/>
              </w:rPr>
              <w:t>112,260.69</w:t>
            </w:r>
            <w:r>
              <w:rPr>
                <w:rFonts w:ascii="Times New Roman"/>
                <w:sz w:val="20"/>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2"/>
              <w:jc w:val="right"/>
              <w:rPr>
                <w:rFonts w:ascii="Times New Roman" w:hAnsi="Times New Roman" w:cs="Times New Roman" w:eastAsia="Times New Roman" w:hint="default"/>
                <w:sz w:val="20"/>
                <w:szCs w:val="20"/>
              </w:rPr>
            </w:pPr>
            <w:r>
              <w:rPr>
                <w:rFonts w:ascii="Times New Roman"/>
                <w:w w:val="95"/>
                <w:sz w:val="20"/>
              </w:rPr>
              <w:t>22,452.14</w:t>
            </w:r>
            <w:r>
              <w:rPr>
                <w:rFonts w:ascii="Times New Roman"/>
                <w:sz w:val="20"/>
              </w:rPr>
            </w:r>
          </w:p>
        </w:tc>
      </w:tr>
      <w:tr>
        <w:trPr>
          <w:trHeight w:val="5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sz w:val="20"/>
                <w:szCs w:val="20"/>
              </w:rPr>
              <w:t>应收账</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款</w:t>
            </w:r>
            <w:r>
              <w:rPr>
                <w:rFonts w:ascii="宋体" w:hAnsi="宋体" w:cs="宋体" w:eastAsia="宋体" w:hint="default"/>
                <w:sz w:val="20"/>
                <w:szCs w:val="20"/>
              </w:rPr>
              <w:t> </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sz w:val="20"/>
                <w:szCs w:val="20"/>
              </w:rPr>
              <w:t>贵州泰豪文创置业发展</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有限公司</w:t>
            </w:r>
            <w:r>
              <w:rPr>
                <w:rFonts w:ascii="宋体" w:hAnsi="宋体" w:cs="宋体" w:eastAsia="宋体" w:hint="default"/>
                <w:sz w:val="20"/>
                <w:szCs w:val="20"/>
              </w:rPr>
              <w:t> </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2"/>
              <w:jc w:val="right"/>
              <w:rPr>
                <w:rFonts w:ascii="Times New Roman" w:hAnsi="Times New Roman" w:cs="Times New Roman" w:eastAsia="Times New Roman" w:hint="default"/>
                <w:sz w:val="20"/>
                <w:szCs w:val="20"/>
              </w:rPr>
            </w:pPr>
            <w:r>
              <w:rPr>
                <w:rFonts w:ascii="Times New Roman"/>
                <w:w w:val="95"/>
                <w:sz w:val="20"/>
              </w:rPr>
              <w:t>1,117,114.25</w:t>
            </w:r>
            <w:r>
              <w:rPr>
                <w:rFonts w:ascii="Times New Roman"/>
                <w:sz w:val="20"/>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2"/>
              <w:jc w:val="right"/>
              <w:rPr>
                <w:rFonts w:ascii="Times New Roman" w:hAnsi="Times New Roman" w:cs="Times New Roman" w:eastAsia="Times New Roman" w:hint="default"/>
                <w:sz w:val="20"/>
                <w:szCs w:val="20"/>
              </w:rPr>
            </w:pPr>
            <w:r>
              <w:rPr>
                <w:rFonts w:ascii="Times New Roman"/>
                <w:w w:val="95"/>
                <w:sz w:val="20"/>
              </w:rPr>
              <w:t>111,711.43</w:t>
            </w:r>
            <w:r>
              <w:rPr>
                <w:rFonts w:ascii="Times New Roman"/>
                <w:sz w:val="20"/>
              </w:rPr>
            </w:r>
          </w:p>
        </w:tc>
      </w:tr>
      <w:tr>
        <w:trPr>
          <w:trHeight w:val="5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sz w:val="20"/>
                <w:szCs w:val="20"/>
              </w:rPr>
              <w:t>应收账</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款</w:t>
            </w:r>
            <w:r>
              <w:rPr>
                <w:rFonts w:ascii="宋体" w:hAnsi="宋体" w:cs="宋体" w:eastAsia="宋体" w:hint="default"/>
                <w:sz w:val="20"/>
                <w:szCs w:val="20"/>
              </w:rPr>
              <w:t> </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sz w:val="20"/>
                <w:szCs w:val="20"/>
              </w:rPr>
              <w:t>江西泰豪信息技术有限</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z w:val="20"/>
                <w:szCs w:val="20"/>
              </w:rPr>
              <w:t> </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2"/>
              <w:jc w:val="right"/>
              <w:rPr>
                <w:rFonts w:ascii="Times New Roman" w:hAnsi="Times New Roman" w:cs="Times New Roman" w:eastAsia="Times New Roman" w:hint="default"/>
                <w:sz w:val="20"/>
                <w:szCs w:val="20"/>
              </w:rPr>
            </w:pPr>
            <w:r>
              <w:rPr>
                <w:rFonts w:ascii="Times New Roman"/>
                <w:w w:val="95"/>
                <w:sz w:val="20"/>
              </w:rPr>
              <w:t>1,650,084.00</w:t>
            </w:r>
            <w:r>
              <w:rPr>
                <w:rFonts w:ascii="Times New Roman"/>
                <w:sz w:val="20"/>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2"/>
              <w:jc w:val="right"/>
              <w:rPr>
                <w:rFonts w:ascii="Times New Roman" w:hAnsi="Times New Roman" w:cs="Times New Roman" w:eastAsia="Times New Roman" w:hint="default"/>
                <w:sz w:val="20"/>
                <w:szCs w:val="20"/>
              </w:rPr>
            </w:pPr>
            <w:r>
              <w:rPr>
                <w:rFonts w:ascii="Times New Roman"/>
                <w:w w:val="95"/>
                <w:sz w:val="20"/>
              </w:rPr>
              <w:t>33,001.68</w:t>
            </w:r>
            <w:r>
              <w:rPr>
                <w:rFonts w:ascii="Times New Roman"/>
                <w:sz w:val="20"/>
              </w:rPr>
            </w:r>
          </w:p>
        </w:tc>
      </w:tr>
      <w:tr>
        <w:trPr>
          <w:trHeight w:val="5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sz w:val="20"/>
                <w:szCs w:val="20"/>
              </w:rPr>
              <w:t>应收账</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款</w:t>
            </w:r>
            <w:r>
              <w:rPr>
                <w:rFonts w:ascii="宋体" w:hAnsi="宋体" w:cs="宋体" w:eastAsia="宋体" w:hint="default"/>
                <w:sz w:val="20"/>
                <w:szCs w:val="20"/>
              </w:rPr>
              <w:t> </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sz w:val="20"/>
                <w:szCs w:val="20"/>
              </w:rPr>
              <w:t>贵州泰豪电力科技有限</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z w:val="20"/>
                <w:szCs w:val="20"/>
              </w:rPr>
              <w:t> </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2"/>
              <w:jc w:val="right"/>
              <w:rPr>
                <w:rFonts w:ascii="Times New Roman" w:hAnsi="Times New Roman" w:cs="Times New Roman" w:eastAsia="Times New Roman" w:hint="default"/>
                <w:sz w:val="20"/>
                <w:szCs w:val="20"/>
              </w:rPr>
            </w:pPr>
            <w:r>
              <w:rPr>
                <w:rFonts w:ascii="Times New Roman"/>
                <w:w w:val="95"/>
                <w:sz w:val="20"/>
              </w:rPr>
              <w:t>1,288,701.95</w:t>
            </w:r>
            <w:r>
              <w:rPr>
                <w:rFonts w:ascii="Times New Roman"/>
                <w:sz w:val="20"/>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2"/>
              <w:jc w:val="right"/>
              <w:rPr>
                <w:rFonts w:ascii="Times New Roman" w:hAnsi="Times New Roman" w:cs="Times New Roman" w:eastAsia="Times New Roman" w:hint="default"/>
                <w:sz w:val="20"/>
                <w:szCs w:val="20"/>
              </w:rPr>
            </w:pPr>
            <w:r>
              <w:rPr>
                <w:rFonts w:ascii="Times New Roman"/>
                <w:w w:val="95"/>
                <w:sz w:val="20"/>
              </w:rPr>
              <w:t>25,774.04</w:t>
            </w:r>
            <w:r>
              <w:rPr>
                <w:rFonts w:ascii="Times New Roman"/>
                <w:sz w:val="20"/>
              </w:rPr>
            </w:r>
          </w:p>
        </w:tc>
      </w:tr>
      <w:tr>
        <w:trPr>
          <w:trHeight w:val="53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6" w:right="0"/>
              <w:jc w:val="left"/>
              <w:rPr>
                <w:rFonts w:ascii="宋体" w:hAnsi="宋体" w:cs="宋体" w:eastAsia="宋体" w:hint="default"/>
                <w:sz w:val="20"/>
                <w:szCs w:val="20"/>
              </w:rPr>
            </w:pPr>
            <w:r>
              <w:rPr>
                <w:rFonts w:ascii="宋体" w:hAnsi="宋体" w:cs="宋体" w:eastAsia="宋体" w:hint="default"/>
                <w:sz w:val="20"/>
                <w:szCs w:val="20"/>
              </w:rPr>
              <w:t>应收账</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款</w:t>
            </w:r>
            <w:r>
              <w:rPr>
                <w:rFonts w:ascii="宋体" w:hAnsi="宋体" w:cs="宋体" w:eastAsia="宋体" w:hint="default"/>
                <w:sz w:val="20"/>
                <w:szCs w:val="20"/>
              </w:rPr>
              <w:t> </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38"/>
              <w:jc w:val="left"/>
              <w:rPr>
                <w:rFonts w:ascii="宋体" w:hAnsi="宋体" w:cs="宋体" w:eastAsia="宋体" w:hint="default"/>
                <w:sz w:val="20"/>
                <w:szCs w:val="20"/>
              </w:rPr>
            </w:pPr>
            <w:r>
              <w:rPr>
                <w:rFonts w:ascii="宋体" w:hAnsi="宋体" w:cs="宋体" w:eastAsia="宋体" w:hint="default"/>
                <w:sz w:val="20"/>
                <w:szCs w:val="20"/>
              </w:rPr>
              <w:t>南昌</w:t>
            </w:r>
            <w:r>
              <w:rPr>
                <w:rFonts w:ascii="宋体" w:hAnsi="宋体" w:cs="宋体" w:eastAsia="宋体" w:hint="default"/>
                <w:sz w:val="20"/>
                <w:szCs w:val="20"/>
              </w:rPr>
              <w:t>ABB</w:t>
            </w:r>
            <w:r>
              <w:rPr>
                <w:rFonts w:ascii="宋体" w:hAnsi="宋体" w:cs="宋体" w:eastAsia="宋体" w:hint="default"/>
                <w:sz w:val="20"/>
                <w:szCs w:val="20"/>
              </w:rPr>
              <w:t>发电机有限公司</w:t>
            </w:r>
            <w:r>
              <w:rPr>
                <w:rFonts w:ascii="宋体" w:hAnsi="宋体" w:cs="宋体" w:eastAsia="宋体" w:hint="default"/>
                <w:sz w:val="20"/>
                <w:szCs w:val="20"/>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4"/>
              <w:jc w:val="right"/>
              <w:rPr>
                <w:rFonts w:ascii="Times New Roman" w:hAnsi="Times New Roman" w:cs="Times New Roman" w:eastAsia="Times New Roman" w:hint="default"/>
                <w:sz w:val="20"/>
                <w:szCs w:val="20"/>
              </w:rPr>
            </w:pPr>
            <w:r>
              <w:rPr>
                <w:rFonts w:ascii="Times New Roman"/>
                <w:w w:val="95"/>
                <w:sz w:val="20"/>
              </w:rPr>
              <w:t>224,100.00</w:t>
            </w:r>
            <w:r>
              <w:rPr>
                <w:rFonts w:ascii="Times New Roman"/>
                <w:sz w:val="20"/>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2"/>
              <w:jc w:val="right"/>
              <w:rPr>
                <w:rFonts w:ascii="Times New Roman" w:hAnsi="Times New Roman" w:cs="Times New Roman" w:eastAsia="Times New Roman" w:hint="default"/>
                <w:sz w:val="20"/>
                <w:szCs w:val="20"/>
              </w:rPr>
            </w:pPr>
            <w:r>
              <w:rPr>
                <w:rFonts w:ascii="Times New Roman"/>
                <w:w w:val="95"/>
                <w:sz w:val="20"/>
              </w:rPr>
              <w:t>224,100.00</w:t>
            </w:r>
            <w:r>
              <w:rPr>
                <w:rFonts w:ascii="Times New Roman"/>
                <w:sz w:val="20"/>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2"/>
              <w:jc w:val="right"/>
              <w:rPr>
                <w:rFonts w:ascii="Times New Roman" w:hAnsi="Times New Roman" w:cs="Times New Roman" w:eastAsia="Times New Roman" w:hint="default"/>
                <w:sz w:val="20"/>
                <w:szCs w:val="20"/>
              </w:rPr>
            </w:pPr>
            <w:r>
              <w:rPr>
                <w:rFonts w:ascii="Times New Roman"/>
                <w:w w:val="95"/>
                <w:sz w:val="20"/>
              </w:rPr>
              <w:t>224,100.00</w:t>
            </w:r>
            <w:r>
              <w:rPr>
                <w:rFonts w:ascii="Times New Roman"/>
                <w:sz w:val="20"/>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2"/>
              <w:jc w:val="right"/>
              <w:rPr>
                <w:rFonts w:ascii="Times New Roman" w:hAnsi="Times New Roman" w:cs="Times New Roman" w:eastAsia="Times New Roman" w:hint="default"/>
                <w:sz w:val="20"/>
                <w:szCs w:val="20"/>
              </w:rPr>
            </w:pPr>
            <w:r>
              <w:rPr>
                <w:rFonts w:ascii="Times New Roman"/>
                <w:w w:val="95"/>
                <w:sz w:val="20"/>
              </w:rPr>
              <w:t>221,184.00</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882" w:footer="1195" w:top="1120" w:bottom="1380" w:left="1140" w:right="1560"/>
        </w:sectPr>
      </w:pPr>
    </w:p>
    <w:p>
      <w:pPr>
        <w:spacing w:line="240" w:lineRule="auto" w:before="0"/>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800"/>
        <w:gridCol w:w="2199"/>
        <w:gridCol w:w="1423"/>
        <w:gridCol w:w="1450"/>
        <w:gridCol w:w="1572"/>
        <w:gridCol w:w="1453"/>
      </w:tblGrid>
      <w:tr>
        <w:trPr>
          <w:trHeight w:val="5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6" w:right="0"/>
              <w:jc w:val="left"/>
              <w:rPr>
                <w:rFonts w:ascii="宋体" w:hAnsi="宋体" w:cs="宋体" w:eastAsia="宋体" w:hint="default"/>
                <w:sz w:val="20"/>
                <w:szCs w:val="20"/>
              </w:rPr>
            </w:pPr>
            <w:r>
              <w:rPr>
                <w:rFonts w:ascii="宋体" w:hAnsi="宋体" w:cs="宋体" w:eastAsia="宋体" w:hint="default"/>
                <w:sz w:val="20"/>
                <w:szCs w:val="20"/>
              </w:rPr>
              <w:t>其他应</w:t>
            </w:r>
          </w:p>
          <w:p>
            <w:pPr>
              <w:pStyle w:val="TableParagraph"/>
              <w:spacing w:line="261" w:lineRule="exact"/>
              <w:ind w:left="26" w:right="0"/>
              <w:jc w:val="left"/>
              <w:rPr>
                <w:rFonts w:ascii="宋体" w:hAnsi="宋体" w:cs="宋体" w:eastAsia="宋体" w:hint="default"/>
                <w:sz w:val="20"/>
                <w:szCs w:val="20"/>
              </w:rPr>
            </w:pPr>
            <w:r>
              <w:rPr>
                <w:rFonts w:ascii="宋体" w:hAnsi="宋体" w:cs="宋体" w:eastAsia="宋体" w:hint="default"/>
                <w:sz w:val="20"/>
                <w:szCs w:val="20"/>
              </w:rPr>
              <w:t>收款</w:t>
            </w:r>
            <w:r>
              <w:rPr>
                <w:rFonts w:ascii="宋体" w:hAnsi="宋体" w:cs="宋体" w:eastAsia="宋体" w:hint="default"/>
                <w:sz w:val="20"/>
                <w:szCs w:val="20"/>
              </w:rPr>
              <w:t> </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6" w:right="0"/>
              <w:jc w:val="left"/>
              <w:rPr>
                <w:rFonts w:ascii="宋体" w:hAnsi="宋体" w:cs="宋体" w:eastAsia="宋体" w:hint="default"/>
                <w:sz w:val="20"/>
                <w:szCs w:val="20"/>
              </w:rPr>
            </w:pPr>
            <w:r>
              <w:rPr>
                <w:rFonts w:ascii="宋体" w:hAnsi="宋体" w:cs="宋体" w:eastAsia="宋体" w:hint="default"/>
                <w:sz w:val="20"/>
                <w:szCs w:val="20"/>
              </w:rPr>
              <w:t>景德镇同方科技建设有</w:t>
            </w:r>
          </w:p>
          <w:p>
            <w:pPr>
              <w:pStyle w:val="TableParagraph"/>
              <w:spacing w:line="261" w:lineRule="exact"/>
              <w:ind w:left="26" w:right="0"/>
              <w:jc w:val="left"/>
              <w:rPr>
                <w:rFonts w:ascii="宋体" w:hAnsi="宋体" w:cs="宋体" w:eastAsia="宋体" w:hint="default"/>
                <w:sz w:val="20"/>
                <w:szCs w:val="20"/>
              </w:rPr>
            </w:pPr>
            <w:r>
              <w:rPr>
                <w:rFonts w:ascii="宋体" w:hAnsi="宋体" w:cs="宋体" w:eastAsia="宋体" w:hint="default"/>
                <w:sz w:val="20"/>
                <w:szCs w:val="20"/>
              </w:rPr>
              <w:t>限公司</w:t>
            </w:r>
            <w:r>
              <w:rPr>
                <w:rFonts w:ascii="宋体" w:hAnsi="宋体" w:cs="宋体" w:eastAsia="宋体" w:hint="default"/>
                <w:sz w:val="20"/>
                <w:szCs w:val="20"/>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4"/>
              <w:jc w:val="right"/>
              <w:rPr>
                <w:rFonts w:ascii="Times New Roman" w:hAnsi="Times New Roman" w:cs="Times New Roman" w:eastAsia="Times New Roman" w:hint="default"/>
                <w:sz w:val="20"/>
                <w:szCs w:val="20"/>
              </w:rPr>
            </w:pPr>
            <w:r>
              <w:rPr>
                <w:rFonts w:ascii="Times New Roman"/>
                <w:w w:val="95"/>
                <w:sz w:val="20"/>
              </w:rPr>
              <w:t>10,500.00</w:t>
            </w:r>
            <w:r>
              <w:rPr>
                <w:rFonts w:ascii="Times New Roman"/>
                <w:sz w:val="20"/>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2"/>
              <w:jc w:val="right"/>
              <w:rPr>
                <w:rFonts w:ascii="Times New Roman" w:hAnsi="Times New Roman" w:cs="Times New Roman" w:eastAsia="Times New Roman" w:hint="default"/>
                <w:sz w:val="20"/>
                <w:szCs w:val="20"/>
              </w:rPr>
            </w:pPr>
            <w:r>
              <w:rPr>
                <w:rFonts w:ascii="Times New Roman"/>
                <w:w w:val="95"/>
                <w:sz w:val="20"/>
              </w:rPr>
              <w:t>210.00</w:t>
            </w:r>
            <w:r>
              <w:rPr>
                <w:rFonts w:ascii="Times New Roman"/>
                <w:sz w:val="20"/>
              </w:rPr>
            </w:r>
          </w:p>
        </w:tc>
        <w:tc>
          <w:tcPr>
            <w:tcW w:w="1572"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6" w:right="0"/>
              <w:jc w:val="left"/>
              <w:rPr>
                <w:rFonts w:ascii="宋体" w:hAnsi="宋体" w:cs="宋体" w:eastAsia="宋体" w:hint="default"/>
                <w:sz w:val="20"/>
                <w:szCs w:val="20"/>
              </w:rPr>
            </w:pPr>
            <w:r>
              <w:rPr>
                <w:rFonts w:ascii="宋体" w:hAnsi="宋体" w:cs="宋体" w:eastAsia="宋体" w:hint="default"/>
                <w:sz w:val="20"/>
                <w:szCs w:val="20"/>
              </w:rPr>
              <w:t>其他应</w:t>
            </w:r>
          </w:p>
          <w:p>
            <w:pPr>
              <w:pStyle w:val="TableParagraph"/>
              <w:spacing w:line="240" w:lineRule="auto"/>
              <w:ind w:left="26" w:right="0"/>
              <w:jc w:val="left"/>
              <w:rPr>
                <w:rFonts w:ascii="宋体" w:hAnsi="宋体" w:cs="宋体" w:eastAsia="宋体" w:hint="default"/>
                <w:sz w:val="20"/>
                <w:szCs w:val="20"/>
              </w:rPr>
            </w:pPr>
            <w:r>
              <w:rPr>
                <w:rFonts w:ascii="宋体" w:hAnsi="宋体" w:cs="宋体" w:eastAsia="宋体" w:hint="default"/>
                <w:sz w:val="20"/>
                <w:szCs w:val="20"/>
              </w:rPr>
              <w:t>收款</w:t>
            </w:r>
            <w:r>
              <w:rPr>
                <w:rFonts w:ascii="宋体" w:hAnsi="宋体" w:cs="宋体" w:eastAsia="宋体" w:hint="default"/>
                <w:sz w:val="20"/>
                <w:szCs w:val="20"/>
              </w:rPr>
              <w:t> </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0"/>
                <w:szCs w:val="20"/>
              </w:rPr>
            </w:pPr>
            <w:r>
              <w:rPr>
                <w:rFonts w:ascii="宋体" w:hAnsi="宋体" w:cs="宋体" w:eastAsia="宋体" w:hint="default"/>
                <w:sz w:val="20"/>
                <w:szCs w:val="20"/>
              </w:rPr>
              <w:t>贵州大学明德学院</w:t>
            </w:r>
            <w:r>
              <w:rPr>
                <w:rFonts w:ascii="宋体" w:hAnsi="宋体" w:cs="宋体" w:eastAsia="宋体" w:hint="default"/>
                <w:sz w:val="20"/>
                <w:szCs w:val="20"/>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5"/>
              <w:jc w:val="right"/>
              <w:rPr>
                <w:rFonts w:ascii="Times New Roman" w:hAnsi="Times New Roman" w:cs="Times New Roman" w:eastAsia="Times New Roman" w:hint="default"/>
                <w:sz w:val="20"/>
                <w:szCs w:val="20"/>
              </w:rPr>
            </w:pPr>
            <w:r>
              <w:rPr>
                <w:rFonts w:ascii="Times New Roman"/>
                <w:w w:val="95"/>
                <w:sz w:val="20"/>
              </w:rPr>
              <w:t>20,000,000.00</w:t>
            </w:r>
            <w:r>
              <w:rPr>
                <w:rFonts w:ascii="Times New Roman"/>
                <w:sz w:val="20"/>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415" w:right="0"/>
              <w:jc w:val="left"/>
              <w:rPr>
                <w:rFonts w:ascii="Times New Roman" w:hAnsi="Times New Roman" w:cs="Times New Roman" w:eastAsia="Times New Roman" w:hint="default"/>
                <w:sz w:val="20"/>
                <w:szCs w:val="20"/>
              </w:rPr>
            </w:pPr>
            <w:r>
              <w:rPr>
                <w:rFonts w:ascii="Times New Roman"/>
                <w:sz w:val="20"/>
              </w:rPr>
              <w:t>16,506,000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2"/>
              <w:jc w:val="right"/>
              <w:rPr>
                <w:rFonts w:ascii="Times New Roman" w:hAnsi="Times New Roman" w:cs="Times New Roman" w:eastAsia="Times New Roman" w:hint="default"/>
                <w:sz w:val="20"/>
                <w:szCs w:val="20"/>
              </w:rPr>
            </w:pPr>
            <w:r>
              <w:rPr>
                <w:rFonts w:ascii="Times New Roman"/>
                <w:w w:val="95"/>
                <w:sz w:val="20"/>
              </w:rPr>
              <w:t>20,000,000.00</w:t>
            </w:r>
            <w:r>
              <w:rPr>
                <w:rFonts w:ascii="Times New Roman"/>
                <w:sz w:val="20"/>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2"/>
              <w:jc w:val="right"/>
              <w:rPr>
                <w:rFonts w:ascii="Times New Roman" w:hAnsi="Times New Roman" w:cs="Times New Roman" w:eastAsia="Times New Roman" w:hint="default"/>
                <w:sz w:val="20"/>
                <w:szCs w:val="20"/>
              </w:rPr>
            </w:pPr>
            <w:r>
              <w:rPr>
                <w:rFonts w:ascii="Times New Roman"/>
                <w:w w:val="95"/>
                <w:sz w:val="20"/>
              </w:rPr>
              <w:t>8,000,000.00</w:t>
            </w:r>
            <w:r>
              <w:rPr>
                <w:rFonts w:ascii="Times New Roman"/>
                <w:sz w:val="20"/>
              </w:rPr>
            </w:r>
          </w:p>
        </w:tc>
      </w:tr>
      <w:tr>
        <w:trPr>
          <w:trHeight w:val="5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sz w:val="20"/>
                <w:szCs w:val="20"/>
              </w:rPr>
              <w:t>其他应</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收款</w:t>
            </w:r>
            <w:r>
              <w:rPr>
                <w:rFonts w:ascii="宋体" w:hAnsi="宋体" w:cs="宋体" w:eastAsia="宋体" w:hint="default"/>
                <w:sz w:val="20"/>
                <w:szCs w:val="20"/>
              </w:rPr>
              <w:t> </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6" w:right="0"/>
              <w:jc w:val="left"/>
              <w:rPr>
                <w:rFonts w:ascii="宋体" w:hAnsi="宋体" w:cs="宋体" w:eastAsia="宋体" w:hint="default"/>
                <w:sz w:val="20"/>
                <w:szCs w:val="20"/>
              </w:rPr>
            </w:pPr>
            <w:r>
              <w:rPr>
                <w:rFonts w:ascii="宋体" w:hAnsi="宋体" w:cs="宋体" w:eastAsia="宋体" w:hint="default"/>
                <w:sz w:val="20"/>
                <w:szCs w:val="20"/>
              </w:rPr>
              <w:t>泰豪沈阳电机有限公司</w:t>
            </w:r>
            <w:r>
              <w:rPr>
                <w:rFonts w:ascii="宋体" w:hAnsi="宋体" w:cs="宋体" w:eastAsia="宋体" w:hint="default"/>
                <w:sz w:val="20"/>
                <w:szCs w:val="20"/>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5"/>
              <w:jc w:val="right"/>
              <w:rPr>
                <w:rFonts w:ascii="Times New Roman" w:hAnsi="Times New Roman" w:cs="Times New Roman" w:eastAsia="Times New Roman" w:hint="default"/>
                <w:sz w:val="20"/>
                <w:szCs w:val="20"/>
              </w:rPr>
            </w:pPr>
            <w:r>
              <w:rPr>
                <w:rFonts w:ascii="Times New Roman"/>
                <w:w w:val="95"/>
                <w:sz w:val="20"/>
              </w:rPr>
              <w:t>4,990,045.93</w:t>
            </w:r>
            <w:r>
              <w:rPr>
                <w:rFonts w:ascii="Times New Roman"/>
                <w:sz w:val="20"/>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2"/>
              <w:jc w:val="right"/>
              <w:rPr>
                <w:rFonts w:ascii="Times New Roman" w:hAnsi="Times New Roman" w:cs="Times New Roman" w:eastAsia="Times New Roman" w:hint="default"/>
                <w:sz w:val="20"/>
                <w:szCs w:val="20"/>
              </w:rPr>
            </w:pPr>
            <w:r>
              <w:rPr>
                <w:rFonts w:ascii="Times New Roman"/>
                <w:w w:val="95"/>
                <w:sz w:val="20"/>
              </w:rPr>
              <w:t>998,009.19</w:t>
            </w:r>
            <w:r>
              <w:rPr>
                <w:rFonts w:ascii="Times New Roman"/>
                <w:sz w:val="20"/>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2"/>
              <w:jc w:val="right"/>
              <w:rPr>
                <w:rFonts w:ascii="Times New Roman" w:hAnsi="Times New Roman" w:cs="Times New Roman" w:eastAsia="Times New Roman" w:hint="default"/>
                <w:sz w:val="20"/>
                <w:szCs w:val="20"/>
              </w:rPr>
            </w:pPr>
            <w:r>
              <w:rPr>
                <w:rFonts w:ascii="Times New Roman"/>
                <w:w w:val="95"/>
                <w:sz w:val="20"/>
              </w:rPr>
              <w:t>5,000,000.00</w:t>
            </w:r>
            <w:r>
              <w:rPr>
                <w:rFonts w:ascii="Times New Roman"/>
                <w:sz w:val="20"/>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2"/>
              <w:jc w:val="right"/>
              <w:rPr>
                <w:rFonts w:ascii="Times New Roman" w:hAnsi="Times New Roman" w:cs="Times New Roman" w:eastAsia="Times New Roman" w:hint="default"/>
                <w:sz w:val="20"/>
                <w:szCs w:val="20"/>
              </w:rPr>
            </w:pPr>
            <w:r>
              <w:rPr>
                <w:rFonts w:ascii="Times New Roman"/>
                <w:w w:val="95"/>
                <w:sz w:val="20"/>
              </w:rPr>
              <w:t>500,000.00</w:t>
            </w:r>
            <w:r>
              <w:rPr>
                <w:rFonts w:ascii="Times New Roman"/>
                <w:sz w:val="20"/>
              </w:rPr>
            </w:r>
          </w:p>
        </w:tc>
      </w:tr>
      <w:tr>
        <w:trPr>
          <w:trHeight w:val="5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sz w:val="20"/>
                <w:szCs w:val="20"/>
              </w:rPr>
              <w:t>其他应</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收款</w:t>
            </w:r>
            <w:r>
              <w:rPr>
                <w:rFonts w:ascii="宋体" w:hAnsi="宋体" w:cs="宋体" w:eastAsia="宋体" w:hint="default"/>
                <w:sz w:val="20"/>
                <w:szCs w:val="20"/>
              </w:rPr>
              <w:t> </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sz w:val="20"/>
                <w:szCs w:val="20"/>
              </w:rPr>
              <w:t>黑龙江中能电力设计有</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限公司</w:t>
            </w:r>
            <w:r>
              <w:rPr>
                <w:rFonts w:ascii="宋体" w:hAnsi="宋体" w:cs="宋体" w:eastAsia="宋体" w:hint="default"/>
                <w:sz w:val="20"/>
                <w:szCs w:val="20"/>
              </w:rPr>
              <w:t> </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2"/>
              <w:jc w:val="right"/>
              <w:rPr>
                <w:rFonts w:ascii="Times New Roman" w:hAnsi="Times New Roman" w:cs="Times New Roman" w:eastAsia="Times New Roman" w:hint="default"/>
                <w:sz w:val="20"/>
                <w:szCs w:val="20"/>
              </w:rPr>
            </w:pPr>
            <w:r>
              <w:rPr>
                <w:rFonts w:ascii="Times New Roman"/>
                <w:w w:val="95"/>
                <w:sz w:val="20"/>
              </w:rPr>
              <w:t>5,952,582.26</w:t>
            </w:r>
            <w:r>
              <w:rPr>
                <w:rFonts w:ascii="Times New Roman"/>
                <w:sz w:val="20"/>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2"/>
              <w:jc w:val="right"/>
              <w:rPr>
                <w:rFonts w:ascii="Times New Roman" w:hAnsi="Times New Roman" w:cs="Times New Roman" w:eastAsia="Times New Roman" w:hint="default"/>
                <w:sz w:val="20"/>
                <w:szCs w:val="20"/>
              </w:rPr>
            </w:pPr>
            <w:r>
              <w:rPr>
                <w:rFonts w:ascii="Times New Roman"/>
                <w:w w:val="95"/>
                <w:sz w:val="20"/>
              </w:rPr>
              <w:t>595,258.23</w:t>
            </w:r>
            <w:r>
              <w:rPr>
                <w:rFonts w:ascii="Times New Roman"/>
                <w:sz w:val="20"/>
              </w:rPr>
            </w:r>
          </w:p>
        </w:tc>
      </w:tr>
      <w:tr>
        <w:trPr>
          <w:trHeight w:val="53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sz w:val="20"/>
                <w:szCs w:val="20"/>
              </w:rPr>
              <w:t>预付账</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款</w:t>
            </w:r>
            <w:r>
              <w:rPr>
                <w:rFonts w:ascii="宋体" w:hAnsi="宋体" w:cs="宋体" w:eastAsia="宋体" w:hint="default"/>
                <w:sz w:val="20"/>
                <w:szCs w:val="20"/>
              </w:rPr>
              <w:t> </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sz w:val="20"/>
                <w:szCs w:val="20"/>
              </w:rPr>
              <w:t>北京泰豪智能科技有限</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z w:val="20"/>
                <w:szCs w:val="20"/>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5"/>
              <w:jc w:val="right"/>
              <w:rPr>
                <w:rFonts w:ascii="Times New Roman" w:hAnsi="Times New Roman" w:cs="Times New Roman" w:eastAsia="Times New Roman" w:hint="default"/>
                <w:sz w:val="20"/>
                <w:szCs w:val="20"/>
              </w:rPr>
            </w:pPr>
            <w:r>
              <w:rPr>
                <w:rFonts w:ascii="Times New Roman"/>
                <w:w w:val="95"/>
                <w:sz w:val="20"/>
              </w:rPr>
              <w:t>4,319,188.89</w:t>
            </w:r>
            <w:r>
              <w:rPr>
                <w:rFonts w:ascii="Times New Roman"/>
                <w:sz w:val="20"/>
              </w:rPr>
            </w:r>
          </w:p>
        </w:tc>
        <w:tc>
          <w:tcPr>
            <w:tcW w:w="145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2"/>
              <w:jc w:val="right"/>
              <w:rPr>
                <w:rFonts w:ascii="Times New Roman" w:hAnsi="Times New Roman" w:cs="Times New Roman" w:eastAsia="Times New Roman" w:hint="default"/>
                <w:sz w:val="20"/>
                <w:szCs w:val="20"/>
              </w:rPr>
            </w:pPr>
            <w:r>
              <w:rPr>
                <w:rFonts w:ascii="Times New Roman"/>
                <w:w w:val="95"/>
                <w:sz w:val="20"/>
              </w:rPr>
              <w:t>442,617.38</w:t>
            </w:r>
            <w:r>
              <w:rPr>
                <w:rFonts w:ascii="Times New Roman"/>
                <w:sz w:val="20"/>
              </w:rPr>
            </w:r>
          </w:p>
        </w:tc>
        <w:tc>
          <w:tcPr>
            <w:tcW w:w="1453"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sz w:val="20"/>
                <w:szCs w:val="20"/>
              </w:rPr>
              <w:t>预付账</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款</w:t>
            </w:r>
            <w:r>
              <w:rPr>
                <w:rFonts w:ascii="宋体" w:hAnsi="宋体" w:cs="宋体" w:eastAsia="宋体" w:hint="default"/>
                <w:sz w:val="20"/>
                <w:szCs w:val="20"/>
              </w:rPr>
              <w:t> </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sz w:val="20"/>
                <w:szCs w:val="20"/>
              </w:rPr>
              <w:t>江西泰达空调电器有限</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z w:val="20"/>
                <w:szCs w:val="20"/>
              </w:rPr>
              <w:t> </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2"/>
              <w:jc w:val="right"/>
              <w:rPr>
                <w:rFonts w:ascii="Times New Roman" w:hAnsi="Times New Roman" w:cs="Times New Roman" w:eastAsia="Times New Roman" w:hint="default"/>
                <w:sz w:val="20"/>
                <w:szCs w:val="20"/>
              </w:rPr>
            </w:pPr>
            <w:r>
              <w:rPr>
                <w:rFonts w:ascii="Times New Roman"/>
                <w:w w:val="95"/>
                <w:sz w:val="20"/>
              </w:rPr>
              <w:t>529,885.00</w:t>
            </w:r>
            <w:r>
              <w:rPr>
                <w:rFonts w:ascii="Times New Roman"/>
                <w:sz w:val="20"/>
              </w:rPr>
            </w:r>
          </w:p>
        </w:tc>
        <w:tc>
          <w:tcPr>
            <w:tcW w:w="1453"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sz w:val="20"/>
                <w:szCs w:val="20"/>
              </w:rPr>
              <w:t>预付账</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款</w:t>
            </w:r>
            <w:r>
              <w:rPr>
                <w:rFonts w:ascii="宋体" w:hAnsi="宋体" w:cs="宋体" w:eastAsia="宋体" w:hint="default"/>
                <w:sz w:val="20"/>
                <w:szCs w:val="20"/>
              </w:rPr>
              <w:t> </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sz w:val="20"/>
                <w:szCs w:val="20"/>
              </w:rPr>
              <w:t>贵州泰豪电力科技有限</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z w:val="20"/>
                <w:szCs w:val="20"/>
              </w:rPr>
              <w:t> </w:t>
            </w:r>
          </w:p>
        </w:tc>
        <w:tc>
          <w:tcPr>
            <w:tcW w:w="1423"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2"/>
              <w:jc w:val="right"/>
              <w:rPr>
                <w:rFonts w:ascii="Times New Roman" w:hAnsi="Times New Roman" w:cs="Times New Roman" w:eastAsia="Times New Roman" w:hint="default"/>
                <w:sz w:val="20"/>
                <w:szCs w:val="20"/>
              </w:rPr>
            </w:pPr>
            <w:r>
              <w:rPr>
                <w:rFonts w:ascii="Times New Roman"/>
                <w:w w:val="95"/>
                <w:sz w:val="20"/>
              </w:rPr>
              <w:t>6,239,614.65</w:t>
            </w:r>
            <w:r>
              <w:rPr>
                <w:rFonts w:ascii="Times New Roman"/>
                <w:sz w:val="20"/>
              </w:rPr>
            </w:r>
          </w:p>
        </w:tc>
        <w:tc>
          <w:tcPr>
            <w:tcW w:w="1453" w:type="dxa"/>
            <w:tcBorders>
              <w:top w:val="single" w:sz="4" w:space="0" w:color="000000"/>
              <w:left w:val="single" w:sz="4" w:space="0" w:color="000000"/>
              <w:bottom w:val="single" w:sz="4" w:space="0" w:color="000000"/>
              <w:right w:val="single" w:sz="4" w:space="0" w:color="000000"/>
            </w:tcBorders>
          </w:tcPr>
          <w:p>
            <w:pPr/>
          </w:p>
        </w:tc>
      </w:tr>
      <w:tr>
        <w:trPr>
          <w:trHeight w:val="53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6" w:right="0"/>
              <w:jc w:val="left"/>
              <w:rPr>
                <w:rFonts w:ascii="宋体" w:hAnsi="宋体" w:cs="宋体" w:eastAsia="宋体" w:hint="default"/>
                <w:sz w:val="20"/>
                <w:szCs w:val="20"/>
              </w:rPr>
            </w:pPr>
            <w:r>
              <w:rPr>
                <w:rFonts w:ascii="宋体" w:hAnsi="宋体" w:cs="宋体" w:eastAsia="宋体" w:hint="default"/>
                <w:sz w:val="20"/>
                <w:szCs w:val="20"/>
              </w:rPr>
              <w:t>长期应</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收款</w:t>
            </w:r>
            <w:r>
              <w:rPr>
                <w:rFonts w:ascii="宋体" w:hAnsi="宋体" w:cs="宋体" w:eastAsia="宋体" w:hint="default"/>
                <w:sz w:val="20"/>
                <w:szCs w:val="20"/>
              </w:rPr>
              <w:t> </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6" w:right="0"/>
              <w:jc w:val="left"/>
              <w:rPr>
                <w:rFonts w:ascii="宋体" w:hAnsi="宋体" w:cs="宋体" w:eastAsia="宋体" w:hint="default"/>
                <w:sz w:val="20"/>
                <w:szCs w:val="20"/>
              </w:rPr>
            </w:pPr>
            <w:r>
              <w:rPr>
                <w:rFonts w:ascii="宋体" w:hAnsi="宋体" w:cs="宋体" w:eastAsia="宋体" w:hint="default"/>
                <w:sz w:val="20"/>
                <w:szCs w:val="20"/>
              </w:rPr>
              <w:t>贵州大学明德学院</w:t>
            </w:r>
            <w:r>
              <w:rPr>
                <w:rFonts w:ascii="宋体" w:hAnsi="宋体" w:cs="宋体" w:eastAsia="宋体" w:hint="default"/>
                <w:sz w:val="20"/>
                <w:szCs w:val="20"/>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5"/>
              <w:jc w:val="right"/>
              <w:rPr>
                <w:rFonts w:ascii="Times New Roman" w:hAnsi="Times New Roman" w:cs="Times New Roman" w:eastAsia="Times New Roman" w:hint="default"/>
                <w:sz w:val="20"/>
                <w:szCs w:val="20"/>
              </w:rPr>
            </w:pPr>
            <w:r>
              <w:rPr>
                <w:rFonts w:ascii="Times New Roman"/>
                <w:w w:val="95"/>
                <w:sz w:val="20"/>
              </w:rPr>
              <w:t>180,000,000.00</w:t>
            </w:r>
            <w:r>
              <w:rPr>
                <w:rFonts w:ascii="Times New Roman"/>
                <w:sz w:val="20"/>
              </w:rPr>
            </w:r>
          </w:p>
        </w:tc>
        <w:tc>
          <w:tcPr>
            <w:tcW w:w="145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2"/>
              <w:jc w:val="right"/>
              <w:rPr>
                <w:rFonts w:ascii="Times New Roman" w:hAnsi="Times New Roman" w:cs="Times New Roman" w:eastAsia="Times New Roman" w:hint="default"/>
                <w:sz w:val="20"/>
                <w:szCs w:val="20"/>
              </w:rPr>
            </w:pPr>
            <w:r>
              <w:rPr>
                <w:rFonts w:ascii="Times New Roman"/>
                <w:w w:val="95"/>
                <w:sz w:val="20"/>
              </w:rPr>
              <w:t>180,000,000.00</w:t>
            </w:r>
            <w:r>
              <w:rPr>
                <w:rFonts w:ascii="Times New Roman"/>
                <w:sz w:val="20"/>
              </w:rPr>
            </w:r>
          </w:p>
        </w:tc>
        <w:tc>
          <w:tcPr>
            <w:tcW w:w="1453"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sz w:val="20"/>
                <w:szCs w:val="20"/>
              </w:rPr>
              <w:t>长期应</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收款</w:t>
            </w:r>
            <w:r>
              <w:rPr>
                <w:rFonts w:ascii="宋体" w:hAnsi="宋体" w:cs="宋体" w:eastAsia="宋体" w:hint="default"/>
                <w:sz w:val="20"/>
                <w:szCs w:val="20"/>
              </w:rPr>
              <w:t> </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6" w:right="0"/>
              <w:jc w:val="left"/>
              <w:rPr>
                <w:rFonts w:ascii="宋体" w:hAnsi="宋体" w:cs="宋体" w:eastAsia="宋体" w:hint="default"/>
                <w:sz w:val="20"/>
                <w:szCs w:val="20"/>
              </w:rPr>
            </w:pPr>
            <w:r>
              <w:rPr>
                <w:rFonts w:ascii="宋体" w:hAnsi="宋体" w:cs="宋体" w:eastAsia="宋体" w:hint="default"/>
                <w:sz w:val="20"/>
                <w:szCs w:val="20"/>
              </w:rPr>
              <w:t>泰豪沈阳电机有限公司</w:t>
            </w:r>
            <w:r>
              <w:rPr>
                <w:rFonts w:ascii="宋体" w:hAnsi="宋体" w:cs="宋体" w:eastAsia="宋体" w:hint="default"/>
                <w:sz w:val="20"/>
                <w:szCs w:val="20"/>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5"/>
              <w:jc w:val="right"/>
              <w:rPr>
                <w:rFonts w:ascii="Times New Roman" w:hAnsi="Times New Roman" w:cs="Times New Roman" w:eastAsia="Times New Roman" w:hint="default"/>
                <w:sz w:val="20"/>
                <w:szCs w:val="20"/>
              </w:rPr>
            </w:pPr>
            <w:r>
              <w:rPr>
                <w:rFonts w:ascii="Times New Roman"/>
                <w:w w:val="95"/>
                <w:sz w:val="20"/>
              </w:rPr>
              <w:t>60,000,000.00</w:t>
            </w:r>
            <w:r>
              <w:rPr>
                <w:rFonts w:ascii="Times New Roman"/>
                <w:sz w:val="20"/>
              </w:rPr>
            </w:r>
          </w:p>
        </w:tc>
        <w:tc>
          <w:tcPr>
            <w:tcW w:w="145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2"/>
              <w:jc w:val="right"/>
              <w:rPr>
                <w:rFonts w:ascii="Times New Roman" w:hAnsi="Times New Roman" w:cs="Times New Roman" w:eastAsia="Times New Roman" w:hint="default"/>
                <w:sz w:val="20"/>
                <w:szCs w:val="20"/>
              </w:rPr>
            </w:pPr>
            <w:r>
              <w:rPr>
                <w:rFonts w:ascii="Times New Roman"/>
                <w:w w:val="95"/>
                <w:sz w:val="20"/>
              </w:rPr>
              <w:t>60,000,000.00</w:t>
            </w:r>
            <w:r>
              <w:rPr>
                <w:rFonts w:ascii="Times New Roman"/>
                <w:sz w:val="20"/>
              </w:rPr>
            </w:r>
          </w:p>
        </w:tc>
        <w:tc>
          <w:tcPr>
            <w:tcW w:w="145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5"/>
              <w:jc w:val="right"/>
              <w:rPr>
                <w:rFonts w:ascii="Times New Roman" w:hAnsi="Times New Roman" w:cs="Times New Roman" w:eastAsia="Times New Roman" w:hint="default"/>
                <w:sz w:val="20"/>
                <w:szCs w:val="20"/>
              </w:rPr>
            </w:pPr>
            <w:r>
              <w:rPr>
                <w:rFonts w:ascii="Times New Roman"/>
                <w:w w:val="95"/>
                <w:sz w:val="20"/>
              </w:rPr>
              <w:t>282,429,187.99</w:t>
            </w:r>
            <w:r>
              <w:rPr>
                <w:rFonts w:ascii="Times New Roman"/>
                <w:sz w:val="20"/>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Times New Roman" w:hAnsi="Times New Roman" w:cs="Times New Roman" w:eastAsia="Times New Roman" w:hint="default"/>
                <w:sz w:val="20"/>
                <w:szCs w:val="20"/>
              </w:rPr>
            </w:pPr>
            <w:r>
              <w:rPr>
                <w:rFonts w:ascii="Times New Roman"/>
                <w:w w:val="95"/>
                <w:sz w:val="20"/>
              </w:rPr>
              <w:t>19,362,690.51</w:t>
            </w:r>
            <w:r>
              <w:rPr>
                <w:rFonts w:ascii="Times New Roman"/>
                <w:sz w:val="20"/>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Times New Roman" w:hAnsi="Times New Roman" w:cs="Times New Roman" w:eastAsia="Times New Roman" w:hint="default"/>
                <w:sz w:val="20"/>
                <w:szCs w:val="20"/>
              </w:rPr>
            </w:pPr>
            <w:r>
              <w:rPr>
                <w:rFonts w:ascii="Times New Roman"/>
                <w:w w:val="95"/>
                <w:sz w:val="20"/>
              </w:rPr>
              <w:t>294,939,772.66</w:t>
            </w:r>
            <w:r>
              <w:rPr>
                <w:rFonts w:ascii="Times New Roman"/>
                <w:sz w:val="20"/>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Times New Roman" w:hAnsi="Times New Roman" w:cs="Times New Roman" w:eastAsia="Times New Roman" w:hint="default"/>
                <w:sz w:val="20"/>
                <w:szCs w:val="20"/>
              </w:rPr>
            </w:pPr>
            <w:r>
              <w:rPr>
                <w:rFonts w:ascii="Times New Roman"/>
                <w:w w:val="95"/>
                <w:sz w:val="20"/>
              </w:rPr>
              <w:t>10,975,929.60</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1140" w:right="1560"/>
        </w:sectPr>
      </w:pPr>
    </w:p>
    <w:p>
      <w:pPr>
        <w:pStyle w:val="Heading5"/>
        <w:spacing w:line="240" w:lineRule="auto" w:before="36"/>
        <w:ind w:left="136"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6"/>
        </w:rPr>
        <w:t> </w:t>
      </w:r>
      <w:r>
        <w:rPr/>
        <w:t>应付项目</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1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2"/>
        <w:rPr>
          <w:rFonts w:ascii="宋体" w:hAnsi="宋体" w:cs="宋体" w:eastAsia="宋体" w:hint="default"/>
          <w:sz w:val="27"/>
          <w:szCs w:val="27"/>
        </w:rPr>
      </w:pPr>
    </w:p>
    <w:p>
      <w:pPr>
        <w:pStyle w:val="BodyText"/>
        <w:spacing w:line="240" w:lineRule="auto"/>
        <w:ind w:right="0"/>
        <w:jc w:val="left"/>
        <w:rPr>
          <w:rFonts w:ascii="宋体" w:hAnsi="宋体" w:cs="宋体" w:eastAsia="宋体" w:hint="default"/>
          <w:sz w:val="24"/>
          <w:szCs w:val="24"/>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1140" w:right="1560"/>
          <w:cols w:num="2" w:equalWidth="0">
            <w:col w:w="2298" w:space="4436"/>
            <w:col w:w="2476"/>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568"/>
        <w:gridCol w:w="3289"/>
        <w:gridCol w:w="2000"/>
        <w:gridCol w:w="2041"/>
      </w:tblGrid>
      <w:tr>
        <w:trPr>
          <w:trHeight w:val="283"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0"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2"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83"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3"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同方股份有限公司</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20"/>
                <w:szCs w:val="20"/>
              </w:rPr>
            </w:pPr>
            <w:r>
              <w:rPr>
                <w:rFonts w:ascii="Times New Roman"/>
                <w:w w:val="95"/>
                <w:sz w:val="20"/>
              </w:rPr>
              <w:t>41,801.00</w:t>
            </w:r>
            <w:r>
              <w:rPr>
                <w:rFonts w:ascii="Times New Roman"/>
                <w:sz w:val="20"/>
              </w:rPr>
            </w:r>
          </w:p>
        </w:tc>
        <w:tc>
          <w:tcPr>
            <w:tcW w:w="20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康富科技有限公司</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3,605,314.67</w:t>
            </w:r>
            <w:r>
              <w:rPr>
                <w:rFonts w:ascii="Times New Roman"/>
                <w:sz w:val="20"/>
              </w:rPr>
            </w:r>
          </w:p>
        </w:tc>
        <w:tc>
          <w:tcPr>
            <w:tcW w:w="20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江西泰达空调电器有限公司</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20"/>
                <w:szCs w:val="20"/>
              </w:rPr>
            </w:pPr>
            <w:r>
              <w:rPr>
                <w:rFonts w:ascii="Times New Roman"/>
                <w:w w:val="95"/>
                <w:sz w:val="20"/>
              </w:rPr>
              <w:t>295,900.00</w:t>
            </w:r>
            <w:r>
              <w:rPr>
                <w:rFonts w:ascii="Times New Roman"/>
                <w:sz w:val="20"/>
              </w:rPr>
            </w:r>
          </w:p>
        </w:tc>
        <w:tc>
          <w:tcPr>
            <w:tcW w:w="20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福州德塔动力设备有限公司</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1,374,235.71</w:t>
            </w:r>
            <w:r>
              <w:rPr>
                <w:rFonts w:ascii="Times New Roman"/>
                <w:sz w:val="20"/>
              </w:rPr>
            </w:r>
          </w:p>
        </w:tc>
        <w:tc>
          <w:tcPr>
            <w:tcW w:w="20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南昌</w:t>
            </w:r>
            <w:r>
              <w:rPr>
                <w:rFonts w:ascii="宋体" w:hAnsi="宋体" w:cs="宋体" w:eastAsia="宋体" w:hint="default"/>
                <w:sz w:val="21"/>
                <w:szCs w:val="21"/>
              </w:rPr>
              <w:t>ABB</w:t>
            </w:r>
            <w:r>
              <w:rPr>
                <w:rFonts w:ascii="宋体" w:hAnsi="宋体" w:cs="宋体" w:eastAsia="宋体" w:hint="default"/>
                <w:sz w:val="21"/>
                <w:szCs w:val="21"/>
              </w:rPr>
              <w:t>发电机有限公司</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1,358,133.14</w:t>
            </w:r>
            <w:r>
              <w:rPr>
                <w:rFonts w:ascii="Times New Roman"/>
                <w:sz w:val="20"/>
              </w:rPr>
            </w:r>
          </w:p>
        </w:tc>
      </w:tr>
      <w:tr>
        <w:trPr>
          <w:trHeight w:val="283"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济南吉美乐电源技术有限公司</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8,084,357.82</w:t>
            </w:r>
            <w:r>
              <w:rPr>
                <w:rFonts w:ascii="Times New Roman"/>
                <w:sz w:val="20"/>
              </w:rPr>
            </w:r>
          </w:p>
        </w:tc>
        <w:tc>
          <w:tcPr>
            <w:tcW w:w="20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北京泰豪智能科技有限公司</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20"/>
                <w:szCs w:val="20"/>
              </w:rPr>
            </w:pPr>
            <w:r>
              <w:rPr>
                <w:rFonts w:ascii="Times New Roman"/>
                <w:w w:val="95"/>
                <w:sz w:val="20"/>
              </w:rPr>
              <w:t>80,060.61</w:t>
            </w:r>
            <w:r>
              <w:rPr>
                <w:rFonts w:ascii="Times New Roman"/>
                <w:sz w:val="20"/>
              </w:rPr>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20"/>
                <w:szCs w:val="20"/>
              </w:rPr>
            </w:pPr>
            <w:r>
              <w:rPr>
                <w:rFonts w:ascii="Times New Roman"/>
                <w:w w:val="95"/>
                <w:sz w:val="20"/>
              </w:rPr>
              <w:t>195,614.36</w:t>
            </w:r>
            <w:r>
              <w:rPr>
                <w:rFonts w:ascii="Times New Roman"/>
                <w:sz w:val="20"/>
              </w:rPr>
            </w:r>
          </w:p>
        </w:tc>
      </w:tr>
      <w:tr>
        <w:trPr>
          <w:trHeight w:val="281"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贵州万华科技有限公司</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4"/>
              <w:jc w:val="right"/>
              <w:rPr>
                <w:rFonts w:ascii="Times New Roman" w:hAnsi="Times New Roman" w:cs="Times New Roman" w:eastAsia="Times New Roman" w:hint="default"/>
                <w:sz w:val="20"/>
                <w:szCs w:val="20"/>
              </w:rPr>
            </w:pPr>
            <w:r>
              <w:rPr>
                <w:rFonts w:ascii="Times New Roman"/>
                <w:w w:val="95"/>
                <w:sz w:val="20"/>
              </w:rPr>
              <w:t>24,899.18</w:t>
            </w:r>
            <w:r>
              <w:rPr>
                <w:rFonts w:ascii="Times New Roman"/>
                <w:sz w:val="20"/>
              </w:rPr>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4"/>
              <w:jc w:val="right"/>
              <w:rPr>
                <w:rFonts w:ascii="Times New Roman" w:hAnsi="Times New Roman" w:cs="Times New Roman" w:eastAsia="Times New Roman" w:hint="default"/>
                <w:sz w:val="20"/>
                <w:szCs w:val="20"/>
              </w:rPr>
            </w:pPr>
            <w:r>
              <w:rPr>
                <w:rFonts w:ascii="Times New Roman"/>
                <w:w w:val="95"/>
                <w:sz w:val="20"/>
              </w:rPr>
              <w:t>174,899.18</w:t>
            </w:r>
            <w:r>
              <w:rPr>
                <w:rFonts w:ascii="Times New Roman"/>
                <w:sz w:val="20"/>
              </w:rPr>
            </w:r>
          </w:p>
        </w:tc>
      </w:tr>
      <w:tr>
        <w:trPr>
          <w:trHeight w:val="283"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泰豪信息技术有限公司</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20"/>
                <w:szCs w:val="20"/>
              </w:rPr>
            </w:pPr>
            <w:r>
              <w:rPr>
                <w:rFonts w:ascii="Times New Roman"/>
                <w:w w:val="95"/>
                <w:sz w:val="20"/>
              </w:rPr>
              <w:t>16,419.00</w:t>
            </w:r>
            <w:r>
              <w:rPr>
                <w:rFonts w:ascii="Times New Roman"/>
                <w:sz w:val="20"/>
              </w:rPr>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20"/>
                <w:szCs w:val="20"/>
              </w:rPr>
            </w:pPr>
            <w:r>
              <w:rPr>
                <w:rFonts w:ascii="Times New Roman"/>
                <w:w w:val="95"/>
                <w:sz w:val="20"/>
              </w:rPr>
              <w:t>61,544.00</w:t>
            </w:r>
            <w:r>
              <w:rPr>
                <w:rFonts w:ascii="Times New Roman"/>
                <w:sz w:val="20"/>
              </w:rPr>
            </w:r>
          </w:p>
        </w:tc>
      </w:tr>
      <w:tr>
        <w:trPr>
          <w:trHeight w:val="281"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江西泰豪集通技术有限公司</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20"/>
                <w:szCs w:val="20"/>
              </w:rPr>
            </w:pPr>
            <w:r>
              <w:rPr>
                <w:rFonts w:ascii="Times New Roman"/>
                <w:w w:val="95"/>
                <w:sz w:val="20"/>
              </w:rPr>
              <w:t>5,981.07</w:t>
            </w:r>
            <w:r>
              <w:rPr>
                <w:rFonts w:ascii="Times New Roman"/>
                <w:sz w:val="20"/>
              </w:rPr>
            </w:r>
          </w:p>
        </w:tc>
      </w:tr>
      <w:tr>
        <w:trPr>
          <w:trHeight w:val="557"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共青城以琳投资管理合伙企业（有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限合伙）</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5"/>
              <w:jc w:val="right"/>
              <w:rPr>
                <w:rFonts w:ascii="Times New Roman" w:hAnsi="Times New Roman" w:cs="Times New Roman" w:eastAsia="Times New Roman" w:hint="default"/>
                <w:sz w:val="20"/>
                <w:szCs w:val="20"/>
              </w:rPr>
            </w:pPr>
            <w:r>
              <w:rPr>
                <w:rFonts w:ascii="Times New Roman"/>
                <w:w w:val="95"/>
                <w:sz w:val="20"/>
              </w:rPr>
              <w:t>87,352,650.00</w:t>
            </w:r>
            <w:r>
              <w:rPr>
                <w:rFonts w:ascii="Times New Roman"/>
                <w:sz w:val="20"/>
              </w:rPr>
            </w:r>
          </w:p>
        </w:tc>
        <w:tc>
          <w:tcPr>
            <w:tcW w:w="20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r>
              <w:rPr>
                <w:rFonts w:ascii="宋体" w:hAnsi="宋体" w:cs="宋体" w:eastAsia="宋体" w:hint="default"/>
                <w:sz w:val="21"/>
                <w:szCs w:val="21"/>
              </w:rPr>
              <w:t> </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景德镇同方科技建设有限公司</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20"/>
                <w:szCs w:val="20"/>
              </w:rPr>
            </w:pPr>
            <w:r>
              <w:rPr>
                <w:rFonts w:ascii="Times New Roman"/>
                <w:w w:val="95"/>
                <w:sz w:val="20"/>
              </w:rPr>
              <w:t>109,184.00</w:t>
            </w:r>
            <w:r>
              <w:rPr>
                <w:rFonts w:ascii="Times New Roman"/>
                <w:sz w:val="20"/>
              </w:rPr>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20"/>
                <w:szCs w:val="20"/>
              </w:rPr>
            </w:pPr>
            <w:r>
              <w:rPr>
                <w:rFonts w:ascii="Times New Roman"/>
                <w:w w:val="95"/>
                <w:sz w:val="20"/>
              </w:rPr>
              <w:t>98,684.00</w:t>
            </w:r>
            <w:r>
              <w:rPr>
                <w:rFonts w:ascii="Times New Roman"/>
                <w:sz w:val="20"/>
              </w:rPr>
            </w:r>
          </w:p>
        </w:tc>
      </w:tr>
      <w:tr>
        <w:trPr>
          <w:trHeight w:val="283"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r>
              <w:rPr>
                <w:rFonts w:ascii="宋体" w:hAnsi="宋体" w:cs="宋体" w:eastAsia="宋体" w:hint="default"/>
                <w:sz w:val="21"/>
                <w:szCs w:val="21"/>
              </w:rPr>
              <w:t> </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同方环境股份有限公司</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20"/>
                <w:szCs w:val="20"/>
              </w:rPr>
            </w:pPr>
            <w:r>
              <w:rPr>
                <w:rFonts w:ascii="Times New Roman"/>
                <w:w w:val="95"/>
                <w:sz w:val="20"/>
              </w:rPr>
              <w:t>9,692.30</w:t>
            </w:r>
            <w:r>
              <w:rPr>
                <w:rFonts w:ascii="Times New Roman"/>
                <w:sz w:val="20"/>
              </w:rPr>
            </w:r>
          </w:p>
        </w:tc>
      </w:tr>
      <w:tr>
        <w:trPr>
          <w:trHeight w:val="284"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100,984,821.99</w:t>
            </w:r>
            <w:r>
              <w:rPr>
                <w:rFonts w:ascii="Times New Roman"/>
                <w:sz w:val="20"/>
              </w:rPr>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1,904,548.05</w:t>
            </w:r>
            <w:r>
              <w:rPr>
                <w:rFonts w:ascii="Times New Roman"/>
                <w:sz w:val="20"/>
              </w:rPr>
            </w:r>
          </w:p>
        </w:tc>
      </w:tr>
    </w:tbl>
    <w:p>
      <w:pPr>
        <w:spacing w:line="240" w:lineRule="auto" w:before="11"/>
        <w:rPr>
          <w:rFonts w:ascii="宋体" w:hAnsi="宋体" w:cs="宋体" w:eastAsia="宋体" w:hint="default"/>
          <w:sz w:val="22"/>
          <w:szCs w:val="22"/>
        </w:rPr>
      </w:pPr>
    </w:p>
    <w:p>
      <w:pPr>
        <w:pStyle w:val="Heading5"/>
        <w:spacing w:line="240" w:lineRule="auto" w:before="36"/>
        <w:ind w:left="136" w:right="6269"/>
        <w:jc w:val="left"/>
        <w:rPr>
          <w:b w:val="0"/>
          <w:bCs w:val="0"/>
        </w:rPr>
      </w:pPr>
      <w:r>
        <w:rPr>
          <w:rFonts w:ascii="宋体" w:hAnsi="宋体" w:cs="宋体" w:eastAsia="宋体" w:hint="default"/>
        </w:rPr>
        <w:t>7</w:t>
      </w:r>
      <w:r>
        <w:rPr/>
        <w:t>、</w:t>
      </w:r>
      <w:r>
        <w:rPr>
          <w:spacing w:val="3"/>
        </w:rPr>
        <w:t> </w:t>
      </w:r>
      <w:r>
        <w:rPr/>
        <w:t>关联方承诺</w:t>
      </w:r>
      <w:r>
        <w:rPr>
          <w:b w:val="0"/>
          <w:bCs w:val="0"/>
        </w:rPr>
      </w:r>
    </w:p>
    <w:p>
      <w:pPr>
        <w:pStyle w:val="Heading3"/>
        <w:spacing w:line="240" w:lineRule="auto" w:before="52"/>
        <w:ind w:left="136" w:right="6269"/>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9"/>
        <w:rPr>
          <w:rFonts w:ascii="宋体" w:hAnsi="宋体" w:cs="宋体" w:eastAsia="宋体" w:hint="default"/>
          <w:sz w:val="22"/>
          <w:szCs w:val="22"/>
        </w:rPr>
      </w:pPr>
    </w:p>
    <w:p>
      <w:pPr>
        <w:spacing w:before="0"/>
        <w:ind w:left="136" w:right="6269"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2"/>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Heading3"/>
        <w:spacing w:line="312" w:lineRule="exact" w:before="52"/>
        <w:ind w:left="136" w:right="6269"/>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2" w:lineRule="exact"/>
        <w:ind w:left="136" w:right="0"/>
        <w:jc w:val="left"/>
        <w:rPr>
          <w:rFonts w:ascii="宋体" w:hAnsi="宋体" w:cs="宋体" w:eastAsia="宋体" w:hint="default"/>
        </w:rPr>
      </w:pPr>
      <w:r>
        <w:rPr>
          <w:rFonts w:ascii="宋体"/>
        </w:rPr>
        <w:t> </w:t>
      </w:r>
    </w:p>
    <w:p>
      <w:pPr>
        <w:spacing w:after="0" w:line="312" w:lineRule="exact"/>
        <w:jc w:val="left"/>
        <w:rPr>
          <w:rFonts w:ascii="宋体" w:hAnsi="宋体" w:cs="宋体" w:eastAsia="宋体" w:hint="default"/>
        </w:rPr>
        <w:sectPr>
          <w:type w:val="continuous"/>
          <w:pgSz w:w="11910" w:h="16840"/>
          <w:pgMar w:top="1120" w:bottom="1380" w:left="11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20" w:right="1540"/>
        </w:sectPr>
      </w:pPr>
    </w:p>
    <w:p>
      <w:pPr>
        <w:pStyle w:val="Heading5"/>
        <w:spacing w:line="240" w:lineRule="auto" w:before="36"/>
        <w:ind w:left="256" w:right="-19"/>
        <w:jc w:val="left"/>
        <w:rPr>
          <w:b w:val="0"/>
          <w:bCs w:val="0"/>
        </w:rPr>
      </w:pPr>
      <w:r>
        <w:rPr/>
        <w:t>十三、</w:t>
      </w:r>
      <w:r>
        <w:rPr>
          <w:spacing w:val="102"/>
        </w:rPr>
        <w:t> </w:t>
      </w:r>
      <w:r>
        <w:rPr>
          <w:rFonts w:ascii="宋体" w:hAnsi="宋体" w:cs="宋体" w:eastAsia="宋体" w:hint="default"/>
          <w:spacing w:val="102"/>
        </w:rPr>
      </w:r>
      <w:r>
        <w:rPr/>
        <w:t>股份支付</w:t>
      </w:r>
      <w:r>
        <w:rPr>
          <w:b w:val="0"/>
          <w:bCs w:val="0"/>
        </w:rPr>
      </w:r>
    </w:p>
    <w:p>
      <w:pPr>
        <w:pStyle w:val="Heading5"/>
        <w:spacing w:line="240" w:lineRule="auto" w:before="56"/>
        <w:ind w:left="256" w:right="-19"/>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Heading3"/>
        <w:spacing w:line="240" w:lineRule="auto" w:before="52"/>
        <w:ind w:left="256" w:right="-1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9"/>
          <w:szCs w:val="29"/>
        </w:rPr>
      </w:pPr>
    </w:p>
    <w:p>
      <w:pPr>
        <w:pStyle w:val="BodyText"/>
        <w:spacing w:line="240" w:lineRule="auto"/>
        <w:ind w:left="256" w:right="0"/>
        <w:jc w:val="left"/>
        <w:rPr>
          <w:rFonts w:ascii="宋体" w:hAnsi="宋体" w:cs="宋体" w:eastAsia="宋体" w:hint="default"/>
          <w:sz w:val="24"/>
          <w:szCs w:val="24"/>
        </w:rPr>
      </w:pPr>
      <w:r>
        <w:rPr/>
        <w:t>单位：股</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1020" w:right="1540"/>
          <w:cols w:num="2" w:equalWidth="0">
            <w:col w:w="2372" w:space="4150"/>
            <w:col w:w="2828"/>
          </w:cols>
        </w:sectPr>
      </w:pPr>
    </w:p>
    <w:p>
      <w:pPr>
        <w:spacing w:line="240" w:lineRule="auto" w:before="4"/>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4645"/>
        <w:gridCol w:w="4405"/>
      </w:tblGrid>
      <w:tr>
        <w:trPr>
          <w:trHeight w:val="322"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240" w:right="0"/>
              <w:jc w:val="left"/>
              <w:rPr>
                <w:rFonts w:ascii="Times New Roman" w:hAnsi="Times New Roman" w:cs="Times New Roman" w:eastAsia="Times New Roman" w:hint="default"/>
                <w:sz w:val="20"/>
                <w:szCs w:val="20"/>
              </w:rPr>
            </w:pPr>
            <w:r>
              <w:rPr>
                <w:rFonts w:ascii="Times New Roman"/>
                <w:sz w:val="20"/>
              </w:rPr>
              <w:t>7,824,967.00</w:t>
            </w:r>
          </w:p>
        </w:tc>
      </w:tr>
      <w:tr>
        <w:trPr>
          <w:trHeight w:val="40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240" w:right="0"/>
              <w:jc w:val="left"/>
              <w:rPr>
                <w:rFonts w:ascii="Times New Roman" w:hAnsi="Times New Roman" w:cs="Times New Roman" w:eastAsia="Times New Roman" w:hint="default"/>
                <w:sz w:val="20"/>
                <w:szCs w:val="20"/>
              </w:rPr>
            </w:pPr>
            <w:r>
              <w:rPr>
                <w:rFonts w:ascii="Times New Roman"/>
                <w:sz w:val="20"/>
              </w:rPr>
              <w:t>7,574,976.00</w:t>
            </w: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公司期末发行在外的股票期权行权价格的范围和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合同剩余期限</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股票激励剩余 </w:t>
            </w:r>
            <w:r>
              <w:rPr>
                <w:rFonts w:ascii="宋体" w:hAnsi="宋体" w:cs="宋体" w:eastAsia="宋体" w:hint="default"/>
                <w:sz w:val="21"/>
                <w:szCs w:val="21"/>
              </w:rPr>
              <w:t>749,975.00</w:t>
            </w:r>
            <w:r>
              <w:rPr>
                <w:rFonts w:ascii="宋体" w:hAnsi="宋体" w:cs="宋体" w:eastAsia="宋体" w:hint="default"/>
                <w:spacing w:val="38"/>
                <w:sz w:val="21"/>
                <w:szCs w:val="21"/>
              </w:rPr>
              <w:t> </w:t>
            </w:r>
            <w:r>
              <w:rPr>
                <w:rFonts w:ascii="宋体" w:hAnsi="宋体" w:cs="宋体" w:eastAsia="宋体" w:hint="default"/>
                <w:spacing w:val="11"/>
                <w:sz w:val="21"/>
                <w:szCs w:val="21"/>
              </w:rPr>
              <w:t>股</w:t>
            </w:r>
            <w:r>
              <w:rPr>
                <w:rFonts w:ascii="宋体" w:hAnsi="宋体" w:cs="宋体" w:eastAsia="宋体" w:hint="default"/>
                <w:spacing w:val="11"/>
                <w:sz w:val="21"/>
                <w:szCs w:val="21"/>
              </w:rPr>
              <w:t>,</w:t>
            </w:r>
            <w:r>
              <w:rPr>
                <w:rFonts w:ascii="宋体" w:hAnsi="宋体" w:cs="宋体" w:eastAsia="宋体" w:hint="default"/>
                <w:spacing w:val="11"/>
                <w:sz w:val="21"/>
                <w:szCs w:val="21"/>
              </w:rPr>
              <w:t>行权价格</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5.14</w:t>
            </w:r>
            <w:r>
              <w:rPr>
                <w:rFonts w:ascii="宋体" w:hAnsi="宋体" w:cs="宋体" w:eastAsia="宋体" w:hint="default"/>
                <w:spacing w:val="-55"/>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股，于</w:t>
            </w:r>
            <w:r>
              <w:rPr>
                <w:rFonts w:ascii="宋体" w:hAnsi="宋体" w:cs="宋体" w:eastAsia="宋体" w:hint="default"/>
                <w:spacing w:val="-55"/>
                <w:sz w:val="21"/>
                <w:szCs w:val="21"/>
              </w:rPr>
              <w:t> </w:t>
            </w:r>
            <w:r>
              <w:rPr>
                <w:rFonts w:ascii="宋体" w:hAnsi="宋体" w:cs="宋体" w:eastAsia="宋体" w:hint="default"/>
                <w:sz w:val="21"/>
                <w:szCs w:val="21"/>
              </w:rPr>
              <w:t>2020</w:t>
            </w:r>
            <w:r>
              <w:rPr>
                <w:rFonts w:ascii="宋体" w:hAnsi="宋体" w:cs="宋体" w:eastAsia="宋体" w:hint="default"/>
                <w:spacing w:val="-53"/>
                <w:sz w:val="21"/>
                <w:szCs w:val="21"/>
              </w:rPr>
              <w:t> </w:t>
            </w:r>
            <w:r>
              <w:rPr>
                <w:rFonts w:ascii="宋体" w:hAnsi="宋体" w:cs="宋体" w:eastAsia="宋体" w:hint="default"/>
                <w:sz w:val="21"/>
                <w:szCs w:val="21"/>
              </w:rPr>
              <w:t>年到期行权</w:t>
            </w:r>
            <w:r>
              <w:rPr>
                <w:rFonts w:ascii="宋体" w:hAnsi="宋体" w:cs="宋体" w:eastAsia="宋体" w:hint="default"/>
                <w:sz w:val="21"/>
                <w:szCs w:val="21"/>
              </w:rPr>
              <w:t> </w:t>
            </w:r>
          </w:p>
        </w:tc>
      </w:tr>
      <w:tr>
        <w:trPr>
          <w:trHeight w:val="557"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公司期末发行在外的其他权益工具行权价格的范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围和合同剩余期限</w:t>
            </w:r>
          </w:p>
        </w:tc>
        <w:tc>
          <w:tcPr>
            <w:tcW w:w="440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20" w:right="1540"/>
        </w:sectPr>
      </w:pPr>
    </w:p>
    <w:p>
      <w:pPr>
        <w:pStyle w:val="Heading3"/>
        <w:spacing w:line="274" w:lineRule="exact"/>
        <w:ind w:left="256" w:right="0"/>
        <w:jc w:val="left"/>
        <w:rPr>
          <w:rFonts w:ascii="宋体" w:hAnsi="宋体" w:cs="宋体" w:eastAsia="宋体" w:hint="default"/>
        </w:rPr>
      </w:pPr>
      <w:r>
        <w:rPr>
          <w:rFonts w:ascii="宋体"/>
        </w:rPr>
        <w:t> </w:t>
      </w:r>
    </w:p>
    <w:p>
      <w:pPr>
        <w:pStyle w:val="Heading5"/>
        <w:spacing w:line="240" w:lineRule="auto" w:before="62"/>
        <w:ind w:left="256" w:right="-17"/>
        <w:jc w:val="left"/>
        <w:rPr>
          <w:b w:val="0"/>
          <w:bCs w:val="0"/>
        </w:rPr>
      </w:pPr>
      <w:r>
        <w:rPr>
          <w:rFonts w:ascii="宋体" w:hAnsi="宋体" w:cs="宋体" w:eastAsia="宋体" w:hint="default"/>
        </w:rPr>
        <w:t>2</w:t>
      </w:r>
      <w:r>
        <w:rPr/>
        <w:t>、 以权益结算的股份支付情况</w:t>
      </w:r>
      <w:r>
        <w:rPr>
          <w:b w:val="0"/>
          <w:bCs w:val="0"/>
        </w:rPr>
      </w:r>
    </w:p>
    <w:p>
      <w:pPr>
        <w:pStyle w:val="Heading3"/>
        <w:spacing w:line="240" w:lineRule="auto" w:before="52"/>
        <w:ind w:left="25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7"/>
          <w:szCs w:val="27"/>
        </w:rPr>
      </w:pPr>
    </w:p>
    <w:p>
      <w:pPr>
        <w:pStyle w:val="BodyText"/>
        <w:spacing w:line="240" w:lineRule="auto"/>
        <w:ind w:left="256"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1020" w:right="1540"/>
          <w:cols w:num="2" w:equalWidth="0">
            <w:col w:w="3212" w:space="3310"/>
            <w:col w:w="2828"/>
          </w:cols>
        </w:sectPr>
      </w:pPr>
    </w:p>
    <w:p>
      <w:pPr>
        <w:spacing w:line="240" w:lineRule="auto" w:before="4"/>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4940"/>
        <w:gridCol w:w="4110"/>
      </w:tblGrid>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411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可行权权益工具数量的确定依据</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预计可以达到行权条件的被授予对象均会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行权</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411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以权益结算的股份支付计入资本公积的累计金额</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0"/>
                <w:szCs w:val="20"/>
              </w:rPr>
            </w:pPr>
            <w:r>
              <w:rPr>
                <w:rFonts w:ascii="Times New Roman"/>
                <w:w w:val="95"/>
                <w:sz w:val="20"/>
              </w:rPr>
              <w:t>52,430,135.31</w:t>
            </w:r>
            <w:r>
              <w:rPr>
                <w:rFonts w:ascii="Times New Roman"/>
                <w:sz w:val="20"/>
              </w:rPr>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4,188,531.58</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type w:val="continuous"/>
          <w:pgSz w:w="11910" w:h="16840"/>
          <w:pgMar w:top="1120" w:bottom="1380" w:left="1020" w:right="1540"/>
        </w:sectPr>
      </w:pPr>
    </w:p>
    <w:p>
      <w:pPr>
        <w:pStyle w:val="Heading3"/>
        <w:spacing w:line="274" w:lineRule="exact"/>
        <w:ind w:left="256" w:right="0"/>
        <w:jc w:val="left"/>
        <w:rPr>
          <w:rFonts w:ascii="宋体" w:hAnsi="宋体" w:cs="宋体" w:eastAsia="宋体" w:hint="default"/>
        </w:rPr>
      </w:pPr>
      <w:r>
        <w:rPr>
          <w:rFonts w:ascii="宋体"/>
        </w:rPr>
        <w:t> </w:t>
      </w:r>
    </w:p>
    <w:p>
      <w:pPr>
        <w:pStyle w:val="Heading5"/>
        <w:spacing w:line="240" w:lineRule="auto"/>
        <w:ind w:left="256" w:right="-17"/>
        <w:jc w:val="left"/>
        <w:rPr>
          <w:b w:val="0"/>
          <w:bCs w:val="0"/>
        </w:rPr>
      </w:pPr>
      <w:r>
        <w:rPr>
          <w:rFonts w:ascii="宋体" w:hAnsi="宋体" w:cs="宋体" w:eastAsia="宋体" w:hint="default"/>
        </w:rPr>
        <w:t>3</w:t>
      </w:r>
      <w:r>
        <w:rPr/>
        <w:t>、 以现金结算的股份支付情况</w:t>
      </w:r>
      <w:r>
        <w:rPr>
          <w:b w:val="0"/>
          <w:bCs w:val="0"/>
        </w:rPr>
      </w:r>
    </w:p>
    <w:p>
      <w:pPr>
        <w:pStyle w:val="Heading3"/>
        <w:spacing w:line="313" w:lineRule="exact" w:before="50"/>
        <w:ind w:left="25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1" w:lineRule="exact"/>
        <w:ind w:left="256" w:right="0"/>
        <w:jc w:val="left"/>
        <w:rPr>
          <w:rFonts w:ascii="宋体" w:hAnsi="宋体" w:cs="宋体" w:eastAsia="宋体" w:hint="default"/>
        </w:rPr>
      </w:pPr>
      <w:r>
        <w:rPr>
          <w:rFonts w:ascii="宋体"/>
        </w:rPr>
        <w:t> </w:t>
      </w:r>
    </w:p>
    <w:p>
      <w:pPr>
        <w:pStyle w:val="Heading3"/>
        <w:spacing w:line="312" w:lineRule="exact"/>
        <w:ind w:left="256" w:right="0"/>
        <w:jc w:val="left"/>
        <w:rPr>
          <w:rFonts w:ascii="宋体" w:hAnsi="宋体" w:cs="宋体" w:eastAsia="宋体" w:hint="default"/>
        </w:rPr>
      </w:pPr>
      <w:r>
        <w:rPr>
          <w:rFonts w:ascii="宋体"/>
        </w:rPr>
        <w:t> </w:t>
      </w:r>
    </w:p>
    <w:p>
      <w:pPr>
        <w:pStyle w:val="Heading5"/>
        <w:spacing w:line="240" w:lineRule="auto"/>
        <w:ind w:left="256" w:right="-17"/>
        <w:jc w:val="left"/>
        <w:rPr>
          <w:b w:val="0"/>
          <w:bCs w:val="0"/>
        </w:rPr>
      </w:pPr>
      <w:r>
        <w:rPr>
          <w:rFonts w:ascii="宋体" w:hAnsi="宋体" w:cs="宋体" w:eastAsia="宋体" w:hint="default"/>
        </w:rPr>
        <w:t>4</w:t>
      </w:r>
      <w:r>
        <w:rPr/>
        <w:t>、 股份支付的修改、终止情况</w:t>
      </w:r>
      <w:r>
        <w:rPr>
          <w:b w:val="0"/>
          <w:bCs w:val="0"/>
        </w:rPr>
      </w:r>
    </w:p>
    <w:p>
      <w:pPr>
        <w:pStyle w:val="Heading3"/>
        <w:spacing w:line="312" w:lineRule="exact" w:before="52"/>
        <w:ind w:left="25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2" w:lineRule="exact"/>
        <w:ind w:left="497" w:right="0"/>
        <w:jc w:val="left"/>
        <w:rPr>
          <w:rFonts w:ascii="宋体" w:hAnsi="宋体" w:cs="宋体" w:eastAsia="宋体" w:hint="default"/>
        </w:rPr>
      </w:pPr>
      <w:r>
        <w:rPr>
          <w:rFonts w:ascii="宋体"/>
        </w:rPr>
        <w:t> </w:t>
      </w:r>
    </w:p>
    <w:p>
      <w:pPr>
        <w:pStyle w:val="Heading5"/>
        <w:spacing w:line="240" w:lineRule="auto"/>
        <w:ind w:left="256" w:right="0"/>
        <w:jc w:val="left"/>
        <w:rPr>
          <w:b w:val="0"/>
          <w:bCs w:val="0"/>
        </w:rPr>
      </w:pPr>
      <w:r>
        <w:rPr>
          <w:rFonts w:ascii="宋体" w:hAnsi="宋体" w:cs="宋体" w:eastAsia="宋体" w:hint="default"/>
        </w:rPr>
        <w:t>5</w:t>
      </w:r>
      <w:r>
        <w:rPr/>
        <w:t>、</w:t>
      </w:r>
      <w:r>
        <w:rPr>
          <w:spacing w:val="2"/>
        </w:rPr>
        <w:t> </w:t>
      </w:r>
      <w:r>
        <w:rPr/>
        <w:t>其他</w:t>
      </w:r>
      <w:r>
        <w:rPr>
          <w:b w:val="0"/>
          <w:bCs w:val="0"/>
        </w:rPr>
      </w:r>
    </w:p>
    <w:p>
      <w:pPr>
        <w:pStyle w:val="Heading3"/>
        <w:spacing w:line="240" w:lineRule="auto" w:before="52"/>
        <w:ind w:left="25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1"/>
        <w:ind w:left="256" w:right="0"/>
        <w:jc w:val="left"/>
      </w:pPr>
      <w:r>
        <w:rPr/>
        <w:t>以股份支付服务情况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ind w:left="256" w:right="0"/>
        <w:jc w:val="left"/>
      </w:pPr>
      <w:r>
        <w:rPr/>
        <w:t>单位：元</w:t>
      </w:r>
      <w:r>
        <w:rPr>
          <w:spacing w:val="1"/>
        </w:rPr>
        <w:t> </w:t>
      </w:r>
      <w:r>
        <w:rPr/>
        <w:t>币种：人民币</w:t>
      </w:r>
    </w:p>
    <w:p>
      <w:pPr>
        <w:spacing w:after="0" w:line="240" w:lineRule="auto"/>
        <w:jc w:val="left"/>
        <w:sectPr>
          <w:type w:val="continuous"/>
          <w:pgSz w:w="11910" w:h="16840"/>
          <w:pgMar w:top="1120" w:bottom="1380" w:left="1020" w:right="1540"/>
          <w:cols w:num="2" w:equalWidth="0">
            <w:col w:w="3212" w:space="3300"/>
            <w:col w:w="2838"/>
          </w:cols>
        </w:sectPr>
      </w:pPr>
    </w:p>
    <w:p>
      <w:pPr>
        <w:spacing w:line="240" w:lineRule="auto" w:before="4"/>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4835"/>
        <w:gridCol w:w="4230"/>
      </w:tblGrid>
      <w:tr>
        <w:trPr>
          <w:trHeight w:val="360" w:hRule="exact"/>
        </w:trPr>
        <w:tc>
          <w:tcPr>
            <w:tcW w:w="483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以股份支付换取的职工服务总额</w:t>
            </w:r>
            <w:r>
              <w:rPr>
                <w:rFonts w:ascii="宋体" w:hAnsi="宋体" w:cs="宋体" w:eastAsia="宋体" w:hint="default"/>
                <w:sz w:val="21"/>
                <w:szCs w:val="21"/>
              </w:rPr>
              <w:t> </w:t>
            </w:r>
          </w:p>
        </w:tc>
        <w:tc>
          <w:tcPr>
            <w:tcW w:w="423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1"/>
              <w:ind w:right="104"/>
              <w:jc w:val="right"/>
              <w:rPr>
                <w:rFonts w:ascii="Times New Roman" w:hAnsi="Times New Roman" w:cs="Times New Roman" w:eastAsia="Times New Roman" w:hint="default"/>
                <w:sz w:val="20"/>
                <w:szCs w:val="20"/>
              </w:rPr>
            </w:pPr>
            <w:r>
              <w:rPr>
                <w:rFonts w:ascii="Times New Roman"/>
                <w:w w:val="95"/>
                <w:sz w:val="20"/>
              </w:rPr>
              <w:t>52,430,135.31</w:t>
            </w:r>
            <w:r>
              <w:rPr>
                <w:rFonts w:ascii="Times New Roman"/>
                <w:sz w:val="20"/>
              </w:rPr>
            </w:r>
          </w:p>
        </w:tc>
      </w:tr>
      <w:tr>
        <w:trPr>
          <w:trHeight w:val="363" w:hRule="exact"/>
        </w:trPr>
        <w:tc>
          <w:tcPr>
            <w:tcW w:w="483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以股份支付换取的其他服务总额</w:t>
            </w:r>
            <w:r>
              <w:rPr>
                <w:rFonts w:ascii="宋体" w:hAnsi="宋体" w:cs="宋体" w:eastAsia="宋体" w:hint="default"/>
                <w:sz w:val="21"/>
                <w:szCs w:val="21"/>
              </w:rPr>
              <w:t> </w:t>
            </w:r>
          </w:p>
        </w:tc>
        <w:tc>
          <w:tcPr>
            <w:tcW w:w="4230" w:type="dxa"/>
            <w:tcBorders>
              <w:top w:val="single" w:sz="4" w:space="0" w:color="000000"/>
              <w:left w:val="single" w:sz="4" w:space="0" w:color="000000"/>
              <w:bottom w:val="single" w:sz="12" w:space="0" w:color="000000"/>
              <w:right w:val="nil" w:sz="6" w:space="0" w:color="auto"/>
            </w:tcBorders>
          </w:tcPr>
          <w:p>
            <w:pPr>
              <w:pStyle w:val="TableParagraph"/>
              <w:spacing w:line="289" w:lineRule="exact"/>
              <w:ind w:right="-13"/>
              <w:jc w:val="right"/>
              <w:rPr>
                <w:rFonts w:ascii="宋体" w:hAnsi="宋体" w:cs="宋体" w:eastAsia="宋体" w:hint="default"/>
                <w:sz w:val="24"/>
                <w:szCs w:val="24"/>
              </w:rPr>
            </w:pPr>
            <w:r>
              <w:rPr>
                <w:rFonts w:ascii="宋体"/>
                <w:sz w:val="24"/>
              </w:rPr>
              <w:t> </w:t>
            </w:r>
          </w:p>
        </w:tc>
      </w:tr>
    </w:tbl>
    <w:p>
      <w:pPr>
        <w:spacing w:line="240" w:lineRule="auto" w:before="4"/>
        <w:rPr>
          <w:rFonts w:ascii="宋体" w:hAnsi="宋体" w:cs="宋体" w:eastAsia="宋体" w:hint="default"/>
          <w:sz w:val="13"/>
          <w:szCs w:val="13"/>
        </w:rPr>
      </w:pPr>
    </w:p>
    <w:p>
      <w:pPr>
        <w:pStyle w:val="Heading3"/>
        <w:spacing w:line="313" w:lineRule="exact" w:before="26"/>
        <w:ind w:left="256" w:right="0"/>
        <w:jc w:val="left"/>
        <w:rPr>
          <w:rFonts w:ascii="宋体" w:hAnsi="宋体" w:cs="宋体" w:eastAsia="宋体" w:hint="default"/>
        </w:rPr>
      </w:pPr>
      <w:r>
        <w:rPr>
          <w:rFonts w:ascii="宋体"/>
        </w:rPr>
        <w:t> </w:t>
      </w:r>
    </w:p>
    <w:p>
      <w:pPr>
        <w:pStyle w:val="Heading3"/>
        <w:spacing w:line="313" w:lineRule="exact"/>
        <w:ind w:left="256" w:right="0"/>
        <w:jc w:val="left"/>
        <w:rPr>
          <w:rFonts w:ascii="宋体" w:hAnsi="宋体" w:cs="宋体" w:eastAsia="宋体" w:hint="default"/>
        </w:rPr>
      </w:pPr>
      <w:r>
        <w:rPr>
          <w:rFonts w:ascii="宋体"/>
        </w:rPr>
        <w:t> </w:t>
      </w:r>
    </w:p>
    <w:p>
      <w:pPr>
        <w:pStyle w:val="Heading5"/>
        <w:spacing w:line="290" w:lineRule="auto"/>
        <w:ind w:left="256" w:right="6753"/>
        <w:jc w:val="left"/>
        <w:rPr>
          <w:rFonts w:ascii="宋体" w:hAnsi="宋体" w:cs="宋体" w:eastAsia="宋体" w:hint="default"/>
          <w:b w:val="0"/>
          <w:bCs w:val="0"/>
        </w:rPr>
      </w:pPr>
      <w:r>
        <w:rPr/>
        <w:t>十四、</w:t>
      </w:r>
      <w:r>
        <w:rPr>
          <w:spacing w:val="103"/>
        </w:rPr>
        <w:t> </w:t>
      </w:r>
      <w:r>
        <w:rPr>
          <w:rFonts w:ascii="宋体" w:hAnsi="宋体" w:cs="宋体" w:eastAsia="宋体" w:hint="default"/>
          <w:spacing w:val="103"/>
        </w:rPr>
      </w:r>
      <w:r>
        <w:rPr/>
        <w:t>承诺及或有事项</w:t>
      </w:r>
      <w:r>
        <w:rPr>
          <w:w w:val="100"/>
        </w:rPr>
        <w:t> </w:t>
      </w:r>
      <w:r>
        <w:rPr>
          <w:rFonts w:ascii="宋体" w:hAnsi="宋体" w:cs="宋体" w:eastAsia="宋体" w:hint="default"/>
        </w:rPr>
        <w:t>1</w:t>
      </w:r>
      <w:r>
        <w:rPr/>
        <w:t>、</w:t>
      </w:r>
      <w:r>
        <w:rPr>
          <w:spacing w:val="1"/>
        </w:rPr>
        <w:t> </w:t>
      </w:r>
      <w:r>
        <w:rPr/>
        <w:t>重要承诺事项</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left="25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1"/>
        <w:ind w:left="256" w:right="0"/>
        <w:jc w:val="left"/>
        <w:rPr>
          <w:rFonts w:ascii="宋体" w:hAnsi="宋体" w:cs="宋体" w:eastAsia="宋体" w:hint="default"/>
        </w:rPr>
      </w:pPr>
      <w:r>
        <w:rPr/>
        <w:t>资产负债表日存在的对外重要承诺、性质、金额</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20" w:right="1540"/>
        </w:sectPr>
      </w:pPr>
    </w:p>
    <w:p>
      <w:pPr>
        <w:spacing w:line="240" w:lineRule="auto" w:before="9"/>
        <w:rPr>
          <w:rFonts w:ascii="宋体" w:hAnsi="宋体" w:cs="宋体" w:eastAsia="宋体" w:hint="default"/>
          <w:sz w:val="18"/>
          <w:szCs w:val="18"/>
        </w:rPr>
      </w:pPr>
    </w:p>
    <w:p>
      <w:pPr>
        <w:pStyle w:val="BodyText"/>
        <w:spacing w:line="272" w:lineRule="exact" w:before="64"/>
        <w:ind w:right="209" w:firstLine="480"/>
        <w:jc w:val="both"/>
      </w:pPr>
      <w:r>
        <w:rPr>
          <w:rFonts w:ascii="宋体" w:hAnsi="宋体" w:cs="宋体" w:eastAsia="宋体" w:hint="default"/>
        </w:rPr>
        <w:t>1</w:t>
      </w:r>
      <w:r>
        <w:rPr/>
        <w:t>、中国证券监督管理委员会于</w:t>
      </w:r>
      <w:r>
        <w:rPr>
          <w:spacing w:val="-43"/>
        </w:rPr>
        <w:t> </w:t>
      </w:r>
      <w:r>
        <w:rPr>
          <w:rFonts w:ascii="宋体" w:hAnsi="宋体" w:cs="宋体" w:eastAsia="宋体" w:hint="default"/>
        </w:rPr>
        <w:t>2016</w:t>
      </w:r>
      <w:r>
        <w:rPr>
          <w:rFonts w:ascii="宋体" w:hAnsi="宋体" w:cs="宋体" w:eastAsia="宋体" w:hint="default"/>
          <w:spacing w:val="-46"/>
        </w:rPr>
        <w:t> </w:t>
      </w:r>
      <w:r>
        <w:rPr/>
        <w:t>年</w:t>
      </w:r>
      <w:r>
        <w:rPr>
          <w:spacing w:val="-43"/>
        </w:rPr>
        <w:t> </w:t>
      </w:r>
      <w:r>
        <w:rPr>
          <w:rFonts w:ascii="宋体" w:hAnsi="宋体" w:cs="宋体" w:eastAsia="宋体" w:hint="default"/>
        </w:rPr>
        <w:t>1</w:t>
      </w:r>
      <w:r>
        <w:rPr>
          <w:rFonts w:ascii="宋体" w:hAnsi="宋体" w:cs="宋体" w:eastAsia="宋体" w:hint="default"/>
          <w:spacing w:val="-45"/>
        </w:rPr>
        <w:t> </w:t>
      </w:r>
      <w:r>
        <w:rPr/>
        <w:t>月</w:t>
      </w:r>
      <w:r>
        <w:rPr>
          <w:spacing w:val="-43"/>
        </w:rPr>
        <w:t> </w:t>
      </w:r>
      <w:r>
        <w:rPr>
          <w:rFonts w:ascii="宋体" w:hAnsi="宋体" w:cs="宋体" w:eastAsia="宋体" w:hint="default"/>
        </w:rPr>
        <w:t>14</w:t>
      </w:r>
      <w:r>
        <w:rPr>
          <w:rFonts w:ascii="宋体" w:hAnsi="宋体" w:cs="宋体" w:eastAsia="宋体" w:hint="default"/>
          <w:spacing w:val="-45"/>
        </w:rPr>
        <w:t> </w:t>
      </w:r>
      <w:r>
        <w:rPr/>
        <w:t>日核准公司发行股份购买资产的交易方案，</w:t>
      </w:r>
      <w:r>
        <w:rPr>
          <w:w w:val="100"/>
        </w:rPr>
        <w:t> </w:t>
      </w:r>
      <w:r>
        <w:rPr>
          <w:spacing w:val="-1"/>
        </w:rPr>
        <w:t>并出具了《关于核准泰豪科技股份有限公司向胡健等发行股份购买资产并募集配套资金的批复》</w:t>
      </w:r>
    </w:p>
    <w:p>
      <w:pPr>
        <w:pStyle w:val="BodyText"/>
        <w:spacing w:line="247" w:lineRule="exact"/>
        <w:ind w:right="0"/>
        <w:jc w:val="both"/>
        <w:rPr>
          <w:rFonts w:ascii="宋体" w:hAnsi="宋体" w:cs="宋体" w:eastAsia="宋体" w:hint="default"/>
        </w:rPr>
      </w:pPr>
      <w:r>
        <w:rPr/>
        <w:t>（证监许可</w:t>
      </w:r>
      <w:r>
        <w:rPr>
          <w:rFonts w:ascii="宋体" w:hAnsi="宋体" w:cs="宋体" w:eastAsia="宋体" w:hint="default"/>
        </w:rPr>
        <w:t>[2016]105</w:t>
      </w:r>
      <w:r>
        <w:rPr>
          <w:rFonts w:ascii="宋体" w:hAnsi="宋体" w:cs="宋体" w:eastAsia="宋体" w:hint="default"/>
          <w:spacing w:val="-55"/>
        </w:rPr>
        <w:t> </w:t>
      </w:r>
      <w:r>
        <w:rPr/>
        <w:t>号）。</w:t>
      </w:r>
      <w:r>
        <w:rPr>
          <w:rFonts w:ascii="宋体" w:hAnsi="宋体" w:cs="宋体" w:eastAsia="宋体" w:hint="default"/>
        </w:rPr>
        <w:t> </w:t>
      </w:r>
    </w:p>
    <w:p>
      <w:pPr>
        <w:pStyle w:val="BodyText"/>
        <w:spacing w:line="240" w:lineRule="auto"/>
        <w:ind w:right="209" w:firstLine="420"/>
        <w:jc w:val="both"/>
        <w:rPr>
          <w:rFonts w:ascii="宋体" w:hAnsi="宋体" w:cs="宋体" w:eastAsia="宋体" w:hint="default"/>
        </w:rPr>
      </w:pPr>
      <w:r>
        <w:rPr>
          <w:spacing w:val="-4"/>
        </w:rPr>
        <w:t>（</w:t>
      </w:r>
      <w:r>
        <w:rPr>
          <w:rFonts w:ascii="宋体" w:hAnsi="宋体" w:cs="宋体" w:eastAsia="宋体" w:hint="default"/>
          <w:spacing w:val="-4"/>
        </w:rPr>
        <w:t>1</w:t>
      </w:r>
      <w:r>
        <w:rPr>
          <w:spacing w:val="-4"/>
        </w:rPr>
        <w:t>）根据交易对方在《关于发行股份购买资产之协议书》及《关于股份锁定的承诺函》中做</w:t>
      </w:r>
      <w:r>
        <w:rPr>
          <w:w w:val="100"/>
        </w:rPr>
        <w:t> </w:t>
      </w:r>
      <w:r>
        <w:rPr/>
        <w:t>出的承诺：</w:t>
      </w:r>
      <w:r>
        <w:rPr>
          <w:rFonts w:ascii="宋体" w:hAnsi="宋体" w:cs="宋体" w:eastAsia="宋体" w:hint="default"/>
        </w:rPr>
        <w:t> </w:t>
      </w:r>
    </w:p>
    <w:p>
      <w:pPr>
        <w:pStyle w:val="BodyText"/>
        <w:spacing w:line="271" w:lineRule="exact"/>
        <w:ind w:left="557" w:right="102"/>
        <w:jc w:val="left"/>
      </w:pPr>
      <w:r>
        <w:rPr/>
        <w:t>胡健、余弓卜、成海林对</w:t>
      </w:r>
      <w:r>
        <w:rPr>
          <w:spacing w:val="-52"/>
        </w:rPr>
        <w:t> </w:t>
      </w:r>
      <w:r>
        <w:rPr>
          <w:rFonts w:ascii="宋体" w:hAnsi="宋体" w:cs="宋体" w:eastAsia="宋体" w:hint="default"/>
        </w:rPr>
        <w:t>2015</w:t>
      </w:r>
      <w:r>
        <w:rPr>
          <w:rFonts w:ascii="宋体" w:hAnsi="宋体" w:cs="宋体" w:eastAsia="宋体" w:hint="default"/>
          <w:spacing w:val="-50"/>
        </w:rPr>
        <w:t> </w:t>
      </w:r>
      <w:r>
        <w:rPr/>
        <w:t>年至</w:t>
      </w:r>
      <w:r>
        <w:rPr>
          <w:spacing w:val="-50"/>
        </w:rPr>
        <w:t> </w:t>
      </w:r>
      <w:r>
        <w:rPr>
          <w:rFonts w:ascii="宋体" w:hAnsi="宋体" w:cs="宋体" w:eastAsia="宋体" w:hint="default"/>
        </w:rPr>
        <w:t>2020</w:t>
      </w:r>
      <w:r>
        <w:rPr>
          <w:rFonts w:ascii="宋体" w:hAnsi="宋体" w:cs="宋体" w:eastAsia="宋体" w:hint="default"/>
          <w:spacing w:val="-53"/>
        </w:rPr>
        <w:t> </w:t>
      </w:r>
      <w:r>
        <w:rPr/>
        <w:t>年上海博辕信息技术服务有限公司业绩作出承诺，</w:t>
      </w:r>
    </w:p>
    <w:p>
      <w:pPr>
        <w:pStyle w:val="BodyText"/>
        <w:spacing w:line="272" w:lineRule="exact"/>
        <w:ind w:right="0"/>
        <w:jc w:val="both"/>
      </w:pPr>
      <w:r>
        <w:rPr/>
        <w:t>因本次发行股份购买资产持有的股票自上市之日起</w:t>
      </w:r>
      <w:r>
        <w:rPr>
          <w:spacing w:val="-51"/>
        </w:rPr>
        <w:t> </w:t>
      </w:r>
      <w:r>
        <w:rPr>
          <w:rFonts w:ascii="宋体" w:hAnsi="宋体" w:cs="宋体" w:eastAsia="宋体" w:hint="default"/>
        </w:rPr>
        <w:t>12</w:t>
      </w:r>
      <w:r>
        <w:rPr>
          <w:rFonts w:ascii="宋体" w:hAnsi="宋体" w:cs="宋体" w:eastAsia="宋体" w:hint="default"/>
          <w:spacing w:val="-49"/>
        </w:rPr>
        <w:t> </w:t>
      </w:r>
      <w:r>
        <w:rPr/>
        <w:t>个月不能转让，自上市之日起满</w:t>
      </w:r>
      <w:r>
        <w:rPr>
          <w:spacing w:val="-49"/>
        </w:rPr>
        <w:t> </w:t>
      </w:r>
      <w:r>
        <w:rPr>
          <w:rFonts w:ascii="宋体" w:hAnsi="宋体" w:cs="宋体" w:eastAsia="宋体" w:hint="default"/>
        </w:rPr>
        <w:t>12</w:t>
      </w:r>
      <w:r>
        <w:rPr>
          <w:rFonts w:ascii="宋体" w:hAnsi="宋体" w:cs="宋体" w:eastAsia="宋体" w:hint="default"/>
          <w:spacing w:val="-49"/>
        </w:rPr>
        <w:t> </w:t>
      </w:r>
      <w:r>
        <w:rPr>
          <w:spacing w:val="-3"/>
        </w:rPr>
        <w:t>个月且</w:t>
      </w:r>
      <w:r>
        <w:rPr/>
      </w:r>
    </w:p>
    <w:p>
      <w:pPr>
        <w:pStyle w:val="BodyText"/>
        <w:spacing w:line="272" w:lineRule="exact"/>
        <w:ind w:right="0"/>
        <w:jc w:val="both"/>
      </w:pPr>
      <w:r>
        <w:rPr>
          <w:rFonts w:ascii="宋体" w:hAnsi="宋体" w:cs="宋体" w:eastAsia="宋体" w:hint="default"/>
        </w:rPr>
        <w:t>2016</w:t>
      </w:r>
      <w:r>
        <w:rPr>
          <w:rFonts w:ascii="宋体" w:hAnsi="宋体" w:cs="宋体" w:eastAsia="宋体" w:hint="default"/>
          <w:spacing w:val="-32"/>
        </w:rPr>
        <w:t> </w:t>
      </w:r>
      <w:r>
        <w:rPr/>
        <w:t>年度的上海博辕信息技术服务有限公司《专项审核报告》出具后至自上市之日起满</w:t>
      </w:r>
      <w:r>
        <w:rPr>
          <w:spacing w:val="-32"/>
        </w:rPr>
        <w:t> </w:t>
      </w:r>
      <w:r>
        <w:rPr>
          <w:rFonts w:ascii="宋体" w:hAnsi="宋体" w:cs="宋体" w:eastAsia="宋体" w:hint="default"/>
        </w:rPr>
        <w:t>60</w:t>
      </w:r>
      <w:r>
        <w:rPr>
          <w:rFonts w:ascii="宋体" w:hAnsi="宋体" w:cs="宋体" w:eastAsia="宋体" w:hint="default"/>
          <w:spacing w:val="-32"/>
        </w:rPr>
        <w:t> </w:t>
      </w:r>
      <w:r>
        <w:rPr>
          <w:spacing w:val="-3"/>
        </w:rPr>
        <w:t>个月</w:t>
      </w:r>
      <w:r>
        <w:rPr/>
      </w:r>
    </w:p>
    <w:p>
      <w:pPr>
        <w:pStyle w:val="BodyText"/>
        <w:spacing w:line="272" w:lineRule="exact" w:before="27"/>
        <w:ind w:right="211"/>
        <w:jc w:val="both"/>
        <w:rPr>
          <w:rFonts w:ascii="宋体" w:hAnsi="宋体" w:cs="宋体" w:eastAsia="宋体" w:hint="default"/>
        </w:rPr>
      </w:pPr>
      <w:r>
        <w:rPr/>
        <w:t>且</w:t>
      </w:r>
      <w:r>
        <w:rPr>
          <w:spacing w:val="-32"/>
        </w:rPr>
        <w:t> </w:t>
      </w:r>
      <w:r>
        <w:rPr>
          <w:rFonts w:ascii="宋体" w:hAnsi="宋体" w:cs="宋体" w:eastAsia="宋体" w:hint="default"/>
        </w:rPr>
        <w:t>2020</w:t>
      </w:r>
      <w:r>
        <w:rPr>
          <w:rFonts w:ascii="宋体" w:hAnsi="宋体" w:cs="宋体" w:eastAsia="宋体" w:hint="default"/>
          <w:spacing w:val="-33"/>
        </w:rPr>
        <w:t> </w:t>
      </w:r>
      <w:r>
        <w:rPr>
          <w:spacing w:val="-4"/>
        </w:rPr>
        <w:t>年度的上海博辕信息技术服务有限公司《专项审核报告》和《减值测试报告》出具后分五</w:t>
      </w:r>
      <w:r>
        <w:rPr>
          <w:spacing w:val="-96"/>
        </w:rPr>
        <w:t> </w:t>
      </w:r>
      <w:r>
        <w:rPr>
          <w:spacing w:val="-96"/>
        </w:rPr>
      </w:r>
      <w:r>
        <w:rPr/>
        <w:t>次解禁。</w:t>
      </w:r>
      <w:r>
        <w:rPr>
          <w:rFonts w:ascii="宋体" w:hAnsi="宋体" w:cs="宋体" w:eastAsia="宋体" w:hint="default"/>
        </w:rPr>
        <w:t> </w:t>
      </w:r>
    </w:p>
    <w:p>
      <w:pPr>
        <w:pStyle w:val="BodyText"/>
        <w:spacing w:line="247" w:lineRule="exact"/>
        <w:ind w:left="557" w:right="102"/>
        <w:jc w:val="left"/>
      </w:pPr>
      <w:r>
        <w:rPr/>
        <w:t>李爱明、郭兆滨、张磊、宁波杰赢投资管理合伙企业（有限合伙）、宁波杰宝投资合伙企业</w:t>
      </w:r>
    </w:p>
    <w:p>
      <w:pPr>
        <w:pStyle w:val="BodyText"/>
        <w:spacing w:line="272" w:lineRule="exact"/>
        <w:ind w:right="0"/>
        <w:jc w:val="both"/>
      </w:pPr>
      <w:r>
        <w:rPr/>
        <w:t>（有限合伙）对</w:t>
      </w:r>
      <w:r>
        <w:rPr>
          <w:spacing w:val="-51"/>
        </w:rPr>
        <w:t> </w:t>
      </w:r>
      <w:r>
        <w:rPr>
          <w:rFonts w:ascii="宋体" w:hAnsi="宋体" w:cs="宋体" w:eastAsia="宋体" w:hint="default"/>
        </w:rPr>
        <w:t>2015</w:t>
      </w:r>
      <w:r>
        <w:rPr>
          <w:rFonts w:ascii="宋体" w:hAnsi="宋体" w:cs="宋体" w:eastAsia="宋体" w:hint="default"/>
          <w:spacing w:val="-51"/>
        </w:rPr>
        <w:t> </w:t>
      </w:r>
      <w:r>
        <w:rPr/>
        <w:t>年至</w:t>
      </w:r>
      <w:r>
        <w:rPr>
          <w:spacing w:val="-51"/>
        </w:rPr>
        <w:t> </w:t>
      </w:r>
      <w:r>
        <w:rPr>
          <w:rFonts w:ascii="宋体" w:hAnsi="宋体" w:cs="宋体" w:eastAsia="宋体" w:hint="default"/>
        </w:rPr>
        <w:t>2018</w:t>
      </w:r>
      <w:r>
        <w:rPr>
          <w:rFonts w:ascii="宋体" w:hAnsi="宋体" w:cs="宋体" w:eastAsia="宋体" w:hint="default"/>
          <w:spacing w:val="-53"/>
        </w:rPr>
        <w:t> </w:t>
      </w:r>
      <w:r>
        <w:rPr/>
        <w:t>年上海博辕信息技术服务有限公司业绩作出承诺，因本次发行股</w:t>
      </w:r>
    </w:p>
    <w:p>
      <w:pPr>
        <w:pStyle w:val="BodyText"/>
        <w:spacing w:line="272" w:lineRule="exact"/>
        <w:ind w:right="0"/>
        <w:jc w:val="both"/>
      </w:pPr>
      <w:r>
        <w:rPr>
          <w:w w:val="100"/>
        </w:rPr>
        <w:t>份购</w:t>
      </w:r>
      <w:r>
        <w:rPr>
          <w:spacing w:val="-2"/>
          <w:w w:val="100"/>
        </w:rPr>
        <w:t>买</w:t>
      </w:r>
      <w:r>
        <w:rPr>
          <w:w w:val="100"/>
        </w:rPr>
        <w:t>资</w:t>
      </w:r>
      <w:r>
        <w:rPr>
          <w:spacing w:val="-3"/>
          <w:w w:val="100"/>
        </w:rPr>
        <w:t>产</w:t>
      </w:r>
      <w:r>
        <w:rPr>
          <w:w w:val="100"/>
        </w:rPr>
        <w:t>持</w:t>
      </w:r>
      <w:r>
        <w:rPr>
          <w:spacing w:val="-3"/>
          <w:w w:val="100"/>
        </w:rPr>
        <w:t>有</w:t>
      </w:r>
      <w:r>
        <w:rPr>
          <w:w w:val="100"/>
        </w:rPr>
        <w:t>的</w:t>
      </w:r>
      <w:r>
        <w:rPr>
          <w:spacing w:val="-3"/>
          <w:w w:val="100"/>
        </w:rPr>
        <w:t>股</w:t>
      </w:r>
      <w:r>
        <w:rPr>
          <w:w w:val="100"/>
        </w:rPr>
        <w:t>票</w:t>
      </w:r>
      <w:r>
        <w:rPr>
          <w:spacing w:val="-3"/>
          <w:w w:val="100"/>
        </w:rPr>
        <w:t>自</w:t>
      </w:r>
      <w:r>
        <w:rPr>
          <w:w w:val="100"/>
        </w:rPr>
        <w:t>上市</w:t>
      </w:r>
      <w:r>
        <w:rPr>
          <w:spacing w:val="-3"/>
          <w:w w:val="100"/>
        </w:rPr>
        <w:t>之日</w:t>
      </w:r>
      <w:r>
        <w:rPr>
          <w:w w:val="100"/>
        </w:rPr>
        <w:t>起</w:t>
      </w:r>
      <w:r>
        <w:rPr>
          <w:spacing w:val="-53"/>
        </w:rPr>
        <w:t> </w:t>
      </w:r>
      <w:r>
        <w:rPr>
          <w:rFonts w:ascii="宋体" w:hAnsi="宋体" w:cs="宋体" w:eastAsia="宋体" w:hint="default"/>
          <w:w w:val="100"/>
        </w:rPr>
        <w:t>12</w:t>
      </w:r>
      <w:r>
        <w:rPr>
          <w:rFonts w:ascii="宋体" w:hAnsi="宋体" w:cs="宋体" w:eastAsia="宋体" w:hint="default"/>
          <w:spacing w:val="-55"/>
        </w:rPr>
        <w:t> </w:t>
      </w:r>
      <w:r>
        <w:rPr>
          <w:w w:val="100"/>
        </w:rPr>
        <w:t>个</w:t>
      </w:r>
      <w:r>
        <w:rPr>
          <w:spacing w:val="-3"/>
          <w:w w:val="100"/>
        </w:rPr>
        <w:t>月</w:t>
      </w:r>
      <w:r>
        <w:rPr>
          <w:w w:val="100"/>
        </w:rPr>
        <w:t>内</w:t>
      </w:r>
      <w:r>
        <w:rPr>
          <w:spacing w:val="-3"/>
          <w:w w:val="100"/>
        </w:rPr>
        <w:t>不能</w:t>
      </w:r>
      <w:r>
        <w:rPr>
          <w:w w:val="100"/>
        </w:rPr>
        <w:t>转</w:t>
      </w:r>
      <w:r>
        <w:rPr>
          <w:spacing w:val="-3"/>
          <w:w w:val="100"/>
        </w:rPr>
        <w:t>让</w:t>
      </w:r>
      <w:r>
        <w:rPr>
          <w:spacing w:val="-92"/>
          <w:w w:val="100"/>
        </w:rPr>
        <w:t>，</w:t>
      </w:r>
      <w:r>
        <w:rPr>
          <w:spacing w:val="-3"/>
          <w:w w:val="100"/>
        </w:rPr>
        <w:t>自</w:t>
      </w:r>
      <w:r>
        <w:rPr>
          <w:w w:val="100"/>
        </w:rPr>
        <w:t>上</w:t>
      </w:r>
      <w:r>
        <w:rPr>
          <w:spacing w:val="-3"/>
          <w:w w:val="100"/>
        </w:rPr>
        <w:t>市</w:t>
      </w:r>
      <w:r>
        <w:rPr>
          <w:w w:val="100"/>
        </w:rPr>
        <w:t>之</w:t>
      </w:r>
      <w:r>
        <w:rPr>
          <w:spacing w:val="-3"/>
          <w:w w:val="100"/>
        </w:rPr>
        <w:t>日</w:t>
      </w:r>
      <w:r>
        <w:rPr>
          <w:w w:val="100"/>
        </w:rPr>
        <w:t>起满</w:t>
      </w:r>
      <w:r>
        <w:rPr>
          <w:spacing w:val="-55"/>
        </w:rPr>
        <w:t> </w:t>
      </w:r>
      <w:r>
        <w:rPr>
          <w:rFonts w:ascii="宋体" w:hAnsi="宋体" w:cs="宋体" w:eastAsia="宋体" w:hint="default"/>
          <w:w w:val="100"/>
        </w:rPr>
        <w:t>12</w:t>
      </w:r>
      <w:r>
        <w:rPr>
          <w:rFonts w:ascii="宋体" w:hAnsi="宋体" w:cs="宋体" w:eastAsia="宋体" w:hint="default"/>
          <w:spacing w:val="-55"/>
        </w:rPr>
        <w:t> </w:t>
      </w:r>
      <w:r>
        <w:rPr>
          <w:w w:val="100"/>
        </w:rPr>
        <w:t>个</w:t>
      </w:r>
      <w:r>
        <w:rPr>
          <w:spacing w:val="-3"/>
          <w:w w:val="100"/>
        </w:rPr>
        <w:t>月</w:t>
      </w:r>
      <w:r>
        <w:rPr>
          <w:w w:val="100"/>
        </w:rPr>
        <w:t>且</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6</w:t>
      </w:r>
      <w:r>
        <w:rPr>
          <w:rFonts w:ascii="宋体" w:hAnsi="宋体" w:cs="宋体" w:eastAsia="宋体" w:hint="default"/>
          <w:spacing w:val="-52"/>
        </w:rPr>
        <w:t> </w:t>
      </w:r>
      <w:r>
        <w:rPr>
          <w:spacing w:val="-3"/>
          <w:w w:val="100"/>
        </w:rPr>
        <w:t>年</w:t>
      </w:r>
      <w:r>
        <w:rPr>
          <w:w w:val="100"/>
        </w:rPr>
        <w:t>度的</w:t>
      </w:r>
    </w:p>
    <w:p>
      <w:pPr>
        <w:pStyle w:val="BodyText"/>
        <w:spacing w:line="240" w:lineRule="auto"/>
        <w:ind w:right="211"/>
        <w:jc w:val="both"/>
        <w:rPr>
          <w:rFonts w:ascii="宋体" w:hAnsi="宋体" w:cs="宋体" w:eastAsia="宋体" w:hint="default"/>
        </w:rPr>
      </w:pPr>
      <w:r>
        <w:rPr/>
        <w:t>上海博辕信息技术服务有限公司《专项审核报告》出具后至自上市之日起满</w:t>
      </w:r>
      <w:r>
        <w:rPr>
          <w:spacing w:val="-52"/>
        </w:rPr>
        <w:t> </w:t>
      </w:r>
      <w:r>
        <w:rPr>
          <w:rFonts w:ascii="宋体" w:hAnsi="宋体" w:cs="宋体" w:eastAsia="宋体" w:hint="default"/>
        </w:rPr>
        <w:t>36</w:t>
      </w:r>
      <w:r>
        <w:rPr>
          <w:rFonts w:ascii="宋体" w:hAnsi="宋体" w:cs="宋体" w:eastAsia="宋体" w:hint="default"/>
          <w:spacing w:val="-49"/>
        </w:rPr>
        <w:t> </w:t>
      </w:r>
      <w:r>
        <w:rPr/>
        <w:t>个月且</w:t>
      </w:r>
      <w:r>
        <w:rPr>
          <w:spacing w:val="-49"/>
        </w:rPr>
        <w:t> </w:t>
      </w:r>
      <w:r>
        <w:rPr>
          <w:rFonts w:ascii="宋体" w:hAnsi="宋体" w:cs="宋体" w:eastAsia="宋体" w:hint="default"/>
        </w:rPr>
        <w:t>2018</w:t>
      </w:r>
      <w:r>
        <w:rPr>
          <w:rFonts w:ascii="宋体" w:hAnsi="宋体" w:cs="宋体" w:eastAsia="宋体" w:hint="default"/>
          <w:spacing w:val="-53"/>
        </w:rPr>
        <w:t> </w:t>
      </w:r>
      <w:r>
        <w:rPr>
          <w:spacing w:val="-3"/>
        </w:rPr>
        <w:t>年度</w:t>
      </w:r>
      <w:r>
        <w:rPr>
          <w:spacing w:val="-3"/>
          <w:w w:val="100"/>
        </w:rPr>
        <w:t> </w:t>
      </w:r>
      <w:r>
        <w:rPr/>
        <w:t>的上海博辕信息技术服务有限公司《专项审核报告》出具后分三次解禁。</w:t>
      </w:r>
      <w:r>
        <w:rPr>
          <w:rFonts w:ascii="宋体" w:hAnsi="宋体" w:cs="宋体" w:eastAsia="宋体" w:hint="default"/>
        </w:rPr>
        <w:t> </w:t>
      </w:r>
    </w:p>
    <w:p>
      <w:pPr>
        <w:pStyle w:val="BodyText"/>
        <w:spacing w:line="237" w:lineRule="auto"/>
        <w:ind w:right="209" w:firstLine="420"/>
        <w:jc w:val="both"/>
        <w:rPr>
          <w:rFonts w:ascii="宋体" w:hAnsi="宋体" w:cs="宋体" w:eastAsia="宋体" w:hint="default"/>
        </w:rPr>
      </w:pPr>
      <w:r>
        <w:rPr>
          <w:spacing w:val="-2"/>
        </w:rPr>
        <w:t>浙江赛盛投资合伙企业（有限合伙）、宁波赛伯乐甬科股权投资合伙企业（有限合伙）、杭</w:t>
      </w:r>
      <w:r>
        <w:rPr>
          <w:w w:val="100"/>
        </w:rPr>
        <w:t> </w:t>
      </w:r>
      <w:r>
        <w:rPr>
          <w:spacing w:val="-1"/>
        </w:rPr>
        <w:t>州赛伯乐晨星投资合伙企业（有限合伙）、宁波市科发股权投资基金合伙企业（有限合伙）、宁</w:t>
      </w:r>
      <w:r>
        <w:rPr>
          <w:spacing w:val="-55"/>
        </w:rPr>
        <w:t> </w:t>
      </w:r>
      <w:r>
        <w:rPr>
          <w:spacing w:val="-55"/>
        </w:rPr>
      </w:r>
      <w:r>
        <w:rPr>
          <w:spacing w:val="-1"/>
        </w:rPr>
        <w:t>波市科发二号股权投资基金合伙企业（有限合伙）、杭州科发创业投资合伙企业（有限合伙）、</w:t>
      </w:r>
      <w:r>
        <w:rPr>
          <w:spacing w:val="-55"/>
        </w:rPr>
        <w:t> </w:t>
      </w:r>
      <w:r>
        <w:rPr>
          <w:spacing w:val="-55"/>
        </w:rPr>
      </w:r>
      <w:r>
        <w:rPr/>
        <w:t>谢建军承诺，因本次发行股份购买资产持有的股票自上市之日起</w:t>
      </w:r>
      <w:r>
        <w:rPr>
          <w:spacing w:val="-58"/>
        </w:rPr>
        <w:t> </w:t>
      </w:r>
      <w:r>
        <w:rPr>
          <w:rFonts w:ascii="宋体" w:hAnsi="宋体" w:cs="宋体" w:eastAsia="宋体" w:hint="default"/>
        </w:rPr>
        <w:t>12</w:t>
      </w:r>
      <w:r>
        <w:rPr>
          <w:rFonts w:ascii="宋体" w:hAnsi="宋体" w:cs="宋体" w:eastAsia="宋体" w:hint="default"/>
          <w:spacing w:val="-58"/>
        </w:rPr>
        <w:t> </w:t>
      </w:r>
      <w:r>
        <w:rPr/>
        <w:t>个月内不能转让。</w:t>
      </w:r>
      <w:r>
        <w:rPr>
          <w:rFonts w:ascii="宋体" w:hAnsi="宋体" w:cs="宋体" w:eastAsia="宋体" w:hint="default"/>
        </w:rPr>
        <w:t> </w:t>
      </w:r>
    </w:p>
    <w:p>
      <w:pPr>
        <w:pStyle w:val="BodyText"/>
        <w:spacing w:line="274" w:lineRule="exact" w:before="22"/>
        <w:ind w:right="211" w:firstLine="420"/>
        <w:jc w:val="both"/>
        <w:rPr>
          <w:rFonts w:ascii="宋体" w:hAnsi="宋体" w:cs="宋体" w:eastAsia="宋体" w:hint="default"/>
        </w:rPr>
      </w:pPr>
      <w:r>
        <w:rPr>
          <w:spacing w:val="-2"/>
        </w:rPr>
        <w:t>浙江中赢资本投资合伙企业（有限合伙）承诺，因本次发行股份购买资产持有的股票自上市</w:t>
      </w:r>
      <w:r>
        <w:rPr>
          <w:w w:val="100"/>
        </w:rPr>
        <w:t> </w:t>
      </w:r>
      <w:r>
        <w:rPr/>
        <w:t>之日起</w:t>
      </w:r>
      <w:r>
        <w:rPr>
          <w:spacing w:val="-53"/>
        </w:rPr>
        <w:t> </w:t>
      </w:r>
      <w:r>
        <w:rPr>
          <w:rFonts w:ascii="宋体" w:hAnsi="宋体" w:cs="宋体" w:eastAsia="宋体" w:hint="default"/>
        </w:rPr>
        <w:t>36</w:t>
      </w:r>
      <w:r>
        <w:rPr>
          <w:rFonts w:ascii="宋体" w:hAnsi="宋体" w:cs="宋体" w:eastAsia="宋体" w:hint="default"/>
          <w:spacing w:val="-56"/>
        </w:rPr>
        <w:t> </w:t>
      </w:r>
      <w:r>
        <w:rPr/>
        <w:t>个月内不能转让。</w:t>
      </w:r>
      <w:r>
        <w:rPr>
          <w:rFonts w:ascii="宋体" w:hAnsi="宋体" w:cs="宋体" w:eastAsia="宋体" w:hint="default"/>
        </w:rPr>
        <w:t> </w:t>
      </w:r>
    </w:p>
    <w:p>
      <w:pPr>
        <w:pStyle w:val="BodyText"/>
        <w:spacing w:line="244" w:lineRule="exact"/>
        <w:ind w:right="0" w:firstLine="420"/>
        <w:jc w:val="both"/>
      </w:pPr>
      <w:r>
        <w:rPr>
          <w:spacing w:val="-3"/>
        </w:rPr>
        <w:t>（</w:t>
      </w:r>
      <w:r>
        <w:rPr>
          <w:rFonts w:ascii="宋体" w:hAnsi="宋体" w:cs="宋体" w:eastAsia="宋体" w:hint="default"/>
          <w:spacing w:val="-3"/>
        </w:rPr>
        <w:t>2</w:t>
      </w:r>
      <w:r>
        <w:rPr>
          <w:spacing w:val="-3"/>
        </w:rPr>
        <w:t>）</w:t>
      </w:r>
      <w:r>
        <w:rPr>
          <w:rFonts w:ascii="宋体" w:hAnsi="宋体" w:cs="宋体" w:eastAsia="宋体" w:hint="default"/>
          <w:spacing w:val="-3"/>
        </w:rPr>
        <w:t>2015</w:t>
      </w:r>
      <w:r>
        <w:rPr>
          <w:rFonts w:ascii="宋体" w:hAnsi="宋体" w:cs="宋体" w:eastAsia="宋体" w:hint="default"/>
          <w:spacing w:val="-28"/>
        </w:rPr>
        <w:t> </w:t>
      </w:r>
      <w:r>
        <w:rPr/>
        <w:t>年</w:t>
      </w:r>
      <w:r>
        <w:rPr>
          <w:spacing w:val="-31"/>
        </w:rPr>
        <w:t> </w:t>
      </w:r>
      <w:r>
        <w:rPr>
          <w:rFonts w:ascii="宋体" w:hAnsi="宋体" w:cs="宋体" w:eastAsia="宋体" w:hint="default"/>
        </w:rPr>
        <w:t>11</w:t>
      </w:r>
      <w:r>
        <w:rPr>
          <w:rFonts w:ascii="宋体" w:hAnsi="宋体" w:cs="宋体" w:eastAsia="宋体" w:hint="default"/>
          <w:spacing w:val="-31"/>
        </w:rPr>
        <w:t> </w:t>
      </w:r>
      <w:r>
        <w:rPr>
          <w:spacing w:val="-3"/>
        </w:rPr>
        <w:t>月，根据公司与上海博辕信息技术服务有限公司原股东签订的《利润承诺补</w:t>
      </w:r>
    </w:p>
    <w:p>
      <w:pPr>
        <w:pStyle w:val="BodyText"/>
        <w:spacing w:line="237" w:lineRule="auto"/>
        <w:ind w:right="102"/>
        <w:jc w:val="left"/>
      </w:pPr>
      <w:r>
        <w:rPr/>
        <w:t>偿协议书》的规定，利润补偿责任人胡健、余弓卜、成海林、李爱明、郭兆滨、张磊、宁波杰赢</w:t>
      </w:r>
      <w:r>
        <w:rPr>
          <w:spacing w:val="-97"/>
        </w:rPr>
        <w:t> </w:t>
      </w:r>
      <w:r>
        <w:rPr>
          <w:spacing w:val="-97"/>
        </w:rPr>
      </w:r>
      <w:r>
        <w:rPr/>
        <w:t>投资管理合伙企业（有限合伙）、宁波杰宝投资合伙企业（有限合伙）承诺：上海博辕信息技术</w:t>
      </w:r>
      <w:r>
        <w:rPr>
          <w:spacing w:val="-97"/>
        </w:rPr>
        <w:t> </w:t>
      </w:r>
      <w:r>
        <w:rPr>
          <w:spacing w:val="-97"/>
        </w:rPr>
      </w:r>
      <w:r>
        <w:rPr/>
        <w:t>服务有限公司</w:t>
      </w:r>
      <w:r>
        <w:rPr>
          <w:spacing w:val="-49"/>
        </w:rPr>
        <w:t> </w:t>
      </w:r>
      <w:r>
        <w:rPr>
          <w:rFonts w:ascii="宋体" w:hAnsi="宋体" w:cs="宋体" w:eastAsia="宋体" w:hint="default"/>
        </w:rPr>
        <w:t>2015</w:t>
      </w:r>
      <w:r>
        <w:rPr>
          <w:rFonts w:ascii="宋体" w:hAnsi="宋体" w:cs="宋体" w:eastAsia="宋体" w:hint="default"/>
          <w:spacing w:val="-2"/>
        </w:rPr>
        <w:t> </w:t>
      </w:r>
      <w:r>
        <w:rPr/>
        <w:t>年度、</w:t>
      </w:r>
      <w:r>
        <w:rPr>
          <w:rFonts w:ascii="宋体" w:hAnsi="宋体" w:cs="宋体" w:eastAsia="宋体" w:hint="default"/>
        </w:rPr>
        <w:t>2016</w:t>
      </w:r>
      <w:r>
        <w:rPr>
          <w:rFonts w:ascii="宋体" w:hAnsi="宋体" w:cs="宋体" w:eastAsia="宋体" w:hint="default"/>
          <w:spacing w:val="-1"/>
        </w:rPr>
        <w:t> </w:t>
      </w:r>
      <w:r>
        <w:rPr/>
        <w:t>年度、</w:t>
      </w:r>
      <w:r>
        <w:rPr>
          <w:rFonts w:ascii="宋体" w:hAnsi="宋体" w:cs="宋体" w:eastAsia="宋体" w:hint="default"/>
        </w:rPr>
        <w:t>2017</w:t>
      </w:r>
      <w:r>
        <w:rPr>
          <w:rFonts w:ascii="宋体" w:hAnsi="宋体" w:cs="宋体" w:eastAsia="宋体" w:hint="default"/>
          <w:spacing w:val="-4"/>
        </w:rPr>
        <w:t> </w:t>
      </w:r>
      <w:r>
        <w:rPr/>
        <w:t>年度、</w:t>
      </w:r>
      <w:r>
        <w:rPr>
          <w:rFonts w:ascii="宋体" w:hAnsi="宋体" w:cs="宋体" w:eastAsia="宋体" w:hint="default"/>
        </w:rPr>
        <w:t>2018</w:t>
      </w:r>
      <w:r>
        <w:rPr>
          <w:rFonts w:ascii="宋体" w:hAnsi="宋体" w:cs="宋体" w:eastAsia="宋体" w:hint="default"/>
          <w:spacing w:val="-46"/>
        </w:rPr>
        <w:t> </w:t>
      </w:r>
      <w:r>
        <w:rPr/>
        <w:t>年度实现的扣除非经常性损益后归属于</w:t>
      </w:r>
      <w:r>
        <w:rPr>
          <w:w w:val="100"/>
        </w:rPr>
        <w:t> </w:t>
      </w:r>
      <w:r>
        <w:rPr>
          <w:spacing w:val="-2"/>
          <w:w w:val="100"/>
        </w:rPr>
        <w:t>母公司所有者的净利润数分别为人民币</w:t>
      </w:r>
      <w:r>
        <w:rPr>
          <w:spacing w:val="-51"/>
          <w:w w:val="100"/>
        </w:rPr>
        <w:t> </w:t>
      </w:r>
      <w:r>
        <w:rPr>
          <w:rFonts w:ascii="宋体" w:hAnsi="宋体" w:cs="宋体" w:eastAsia="宋体" w:hint="default"/>
          <w:spacing w:val="-1"/>
          <w:w w:val="100"/>
        </w:rPr>
        <w:t>3,500.00</w:t>
      </w:r>
      <w:r>
        <w:rPr>
          <w:rFonts w:ascii="宋体" w:hAnsi="宋体" w:cs="宋体" w:eastAsia="宋体" w:hint="default"/>
          <w:spacing w:val="-54"/>
          <w:w w:val="100"/>
        </w:rPr>
        <w:t> </w:t>
      </w:r>
      <w:r>
        <w:rPr>
          <w:spacing w:val="-10"/>
          <w:w w:val="100"/>
        </w:rPr>
        <w:t>万元、</w:t>
      </w:r>
      <w:r>
        <w:rPr>
          <w:rFonts w:ascii="宋体" w:hAnsi="宋体" w:cs="宋体" w:eastAsia="宋体" w:hint="default"/>
          <w:spacing w:val="-10"/>
          <w:w w:val="100"/>
        </w:rPr>
        <w:t>5,500.00</w:t>
      </w:r>
      <w:r>
        <w:rPr>
          <w:rFonts w:ascii="宋体" w:hAnsi="宋体" w:cs="宋体" w:eastAsia="宋体" w:hint="default"/>
          <w:spacing w:val="1"/>
          <w:w w:val="100"/>
        </w:rPr>
        <w:t> </w:t>
      </w:r>
      <w:r>
        <w:rPr>
          <w:spacing w:val="-10"/>
          <w:w w:val="100"/>
        </w:rPr>
        <w:t>万元、</w:t>
      </w:r>
      <w:r>
        <w:rPr>
          <w:rFonts w:ascii="宋体" w:hAnsi="宋体" w:cs="宋体" w:eastAsia="宋体" w:hint="default"/>
          <w:spacing w:val="-10"/>
          <w:w w:val="100"/>
        </w:rPr>
        <w:t>7,150.00</w:t>
      </w:r>
      <w:r>
        <w:rPr>
          <w:rFonts w:ascii="宋体" w:hAnsi="宋体" w:cs="宋体" w:eastAsia="宋体" w:hint="default"/>
          <w:spacing w:val="3"/>
          <w:w w:val="100"/>
        </w:rPr>
        <w:t> </w:t>
      </w:r>
      <w:r>
        <w:rPr>
          <w:spacing w:val="-11"/>
          <w:w w:val="100"/>
        </w:rPr>
        <w:t>万元、</w:t>
      </w:r>
      <w:r>
        <w:rPr>
          <w:rFonts w:ascii="宋体" w:hAnsi="宋体" w:cs="宋体" w:eastAsia="宋体" w:hint="default"/>
          <w:spacing w:val="-11"/>
          <w:w w:val="100"/>
        </w:rPr>
        <w:t>9,295.00</w:t>
      </w:r>
      <w:r>
        <w:rPr>
          <w:rFonts w:ascii="宋体" w:hAnsi="宋体" w:cs="宋体" w:eastAsia="宋体" w:hint="default"/>
          <w:spacing w:val="-100"/>
          <w:w w:val="100"/>
        </w:rPr>
        <w:t> </w:t>
      </w:r>
      <w:r>
        <w:rPr>
          <w:spacing w:val="-6"/>
        </w:rPr>
        <w:t>万元；利润补偿责任人胡健、余弓卜、成海林承诺：上海博辕信息技术服务有限公司 </w:t>
      </w:r>
      <w:r>
        <w:rPr>
          <w:rFonts w:ascii="宋体" w:hAnsi="宋体" w:cs="宋体" w:eastAsia="宋体" w:hint="default"/>
        </w:rPr>
        <w:t>2019 </w:t>
      </w:r>
      <w:r>
        <w:rPr>
          <w:spacing w:val="-3"/>
        </w:rPr>
        <w:t>年度、</w:t>
      </w:r>
      <w:r>
        <w:rPr>
          <w:spacing w:val="-77"/>
        </w:rPr>
        <w:t> </w:t>
      </w:r>
      <w:r>
        <w:rPr>
          <w:rFonts w:ascii="宋体" w:hAnsi="宋体" w:cs="宋体" w:eastAsia="宋体" w:hint="default"/>
        </w:rPr>
        <w:t>2020 </w:t>
      </w:r>
      <w:r>
        <w:rPr/>
        <w:t>年度实现的扣除非经常性损益后归属于母公司所有者的净利润数分别为 </w:t>
      </w:r>
      <w:r>
        <w:rPr>
          <w:rFonts w:ascii="宋体" w:hAnsi="宋体" w:cs="宋体" w:eastAsia="宋体" w:hint="default"/>
        </w:rPr>
        <w:t>10,689.25</w:t>
      </w:r>
      <w:r>
        <w:rPr>
          <w:rFonts w:ascii="宋体" w:hAnsi="宋体" w:cs="宋体" w:eastAsia="宋体" w:hint="default"/>
          <w:spacing w:val="9"/>
        </w:rPr>
        <w:t> </w:t>
      </w:r>
      <w:r>
        <w:rPr/>
        <w:t>万元、</w:t>
      </w:r>
    </w:p>
    <w:p>
      <w:pPr>
        <w:pStyle w:val="BodyText"/>
        <w:spacing w:line="274" w:lineRule="exact" w:before="22"/>
        <w:ind w:right="209"/>
        <w:jc w:val="both"/>
        <w:rPr>
          <w:rFonts w:ascii="宋体" w:hAnsi="宋体" w:cs="宋体" w:eastAsia="宋体" w:hint="default"/>
        </w:rPr>
      </w:pPr>
      <w:r>
        <w:rPr>
          <w:rFonts w:ascii="宋体" w:hAnsi="宋体" w:cs="宋体" w:eastAsia="宋体" w:hint="default"/>
        </w:rPr>
        <w:t>12,292.64</w:t>
      </w:r>
      <w:r>
        <w:rPr>
          <w:rFonts w:ascii="宋体" w:hAnsi="宋体" w:cs="宋体" w:eastAsia="宋体" w:hint="default"/>
          <w:spacing w:val="7"/>
        </w:rPr>
        <w:t> </w:t>
      </w:r>
      <w:r>
        <w:rPr/>
        <w:t>万元。如果实际利润低于上述承诺利润的，则上海博辕信息技术服务有限公司原股东</w:t>
      </w:r>
      <w:r>
        <w:rPr>
          <w:w w:val="100"/>
        </w:rPr>
        <w:t> </w:t>
      </w:r>
      <w:r>
        <w:rPr/>
        <w:t>将按照签署的《利润承诺补偿协议书》的规定进行补偿。</w:t>
      </w:r>
      <w:r>
        <w:rPr>
          <w:rFonts w:ascii="宋体" w:hAnsi="宋体" w:cs="宋体" w:eastAsia="宋体" w:hint="default"/>
        </w:rPr>
        <w:t> </w:t>
      </w:r>
    </w:p>
    <w:p>
      <w:pPr>
        <w:pStyle w:val="BodyText"/>
        <w:spacing w:line="245" w:lineRule="exact"/>
        <w:ind w:right="0" w:firstLine="420"/>
        <w:jc w:val="both"/>
      </w:pPr>
      <w:r>
        <w:rPr>
          <w:rFonts w:ascii="宋体" w:hAnsi="宋体" w:cs="宋体" w:eastAsia="宋体" w:hint="default"/>
          <w:spacing w:val="-7"/>
        </w:rPr>
        <w:t>2</w:t>
      </w:r>
      <w:r>
        <w:rPr>
          <w:spacing w:val="-7"/>
        </w:rPr>
        <w:t>、本公司于</w:t>
      </w:r>
      <w:r>
        <w:rPr>
          <w:spacing w:val="-44"/>
        </w:rPr>
        <w:t> </w:t>
      </w:r>
      <w:r>
        <w:rPr>
          <w:rFonts w:ascii="宋体" w:hAnsi="宋体" w:cs="宋体" w:eastAsia="宋体" w:hint="default"/>
        </w:rPr>
        <w:t>2017</w:t>
      </w:r>
      <w:r>
        <w:rPr>
          <w:rFonts w:ascii="宋体" w:hAnsi="宋体" w:cs="宋体" w:eastAsia="宋体" w:hint="default"/>
          <w:spacing w:val="-44"/>
        </w:rPr>
        <w:t> </w:t>
      </w:r>
      <w:r>
        <w:rPr/>
        <w:t>年</w:t>
      </w:r>
      <w:r>
        <w:rPr>
          <w:spacing w:val="-46"/>
        </w:rPr>
        <w:t> </w:t>
      </w:r>
      <w:r>
        <w:rPr>
          <w:rFonts w:ascii="宋体" w:hAnsi="宋体" w:cs="宋体" w:eastAsia="宋体" w:hint="default"/>
        </w:rPr>
        <w:t>6</w:t>
      </w:r>
      <w:r>
        <w:rPr>
          <w:rFonts w:ascii="宋体" w:hAnsi="宋体" w:cs="宋体" w:eastAsia="宋体" w:hint="default"/>
          <w:spacing w:val="-44"/>
        </w:rPr>
        <w:t> </w:t>
      </w:r>
      <w:r>
        <w:rPr/>
        <w:t>月</w:t>
      </w:r>
      <w:r>
        <w:rPr>
          <w:spacing w:val="-45"/>
        </w:rPr>
        <w:t> </w:t>
      </w:r>
      <w:r>
        <w:rPr>
          <w:rFonts w:ascii="宋体" w:hAnsi="宋体" w:cs="宋体" w:eastAsia="宋体" w:hint="default"/>
        </w:rPr>
        <w:t>15</w:t>
      </w:r>
      <w:r>
        <w:rPr>
          <w:rFonts w:ascii="宋体" w:hAnsi="宋体" w:cs="宋体" w:eastAsia="宋体" w:hint="default"/>
          <w:spacing w:val="-44"/>
        </w:rPr>
        <w:t> </w:t>
      </w:r>
      <w:r>
        <w:rPr>
          <w:spacing w:val="-4"/>
        </w:rPr>
        <w:t>日召开第六届董事会第二十五次会议，审议通过了《关于收购上</w:t>
      </w:r>
    </w:p>
    <w:p>
      <w:pPr>
        <w:pStyle w:val="BodyText"/>
        <w:spacing w:line="272" w:lineRule="exact" w:before="27"/>
        <w:ind w:right="208"/>
        <w:jc w:val="both"/>
      </w:pPr>
      <w:r>
        <w:rPr/>
        <w:t>海红生系统工程有限公司</w:t>
      </w:r>
      <w:r>
        <w:rPr>
          <w:spacing w:val="-18"/>
        </w:rPr>
        <w:t> </w:t>
      </w:r>
      <w:r>
        <w:rPr>
          <w:rFonts w:ascii="宋体" w:hAnsi="宋体" w:cs="宋体" w:eastAsia="宋体" w:hint="default"/>
          <w:spacing w:val="-3"/>
        </w:rPr>
        <w:t>100%</w:t>
      </w:r>
      <w:r>
        <w:rPr>
          <w:spacing w:val="-3"/>
        </w:rPr>
        <w:t>股权的议案》。根据《泰豪科技股份有限公司与上海红生系统工程</w:t>
      </w:r>
      <w:r>
        <w:rPr>
          <w:spacing w:val="-89"/>
        </w:rPr>
        <w:t> </w:t>
      </w:r>
      <w:r>
        <w:rPr>
          <w:spacing w:val="-89"/>
        </w:rPr>
      </w:r>
      <w:r>
        <w:rPr>
          <w:spacing w:val="-5"/>
        </w:rPr>
        <w:t>有限公司全体股东之股权收购协议》，经交易各方协商确定，本公司以 </w:t>
      </w:r>
      <w:r>
        <w:rPr>
          <w:rFonts w:ascii="宋体" w:hAnsi="宋体" w:cs="宋体" w:eastAsia="宋体" w:hint="default"/>
        </w:rPr>
        <w:t>49,000</w:t>
      </w:r>
      <w:r>
        <w:rPr>
          <w:rFonts w:ascii="宋体" w:hAnsi="宋体" w:cs="宋体" w:eastAsia="宋体" w:hint="default"/>
          <w:spacing w:val="-46"/>
        </w:rPr>
        <w:t> </w:t>
      </w:r>
      <w:r>
        <w:rPr/>
        <w:t>万元人民币的价格</w:t>
      </w:r>
    </w:p>
    <w:p>
      <w:pPr>
        <w:pStyle w:val="BodyText"/>
        <w:spacing w:line="272" w:lineRule="exact" w:before="1"/>
        <w:ind w:right="208"/>
        <w:jc w:val="both"/>
        <w:rPr>
          <w:rFonts w:ascii="宋体" w:hAnsi="宋体" w:cs="宋体" w:eastAsia="宋体" w:hint="default"/>
        </w:rPr>
      </w:pPr>
      <w:r>
        <w:rPr/>
        <w:t>收购上海赫甄企业发展中心（有限合伙）、宁波裕辉股权投资中心（有限合伙）和潘红生等</w:t>
      </w:r>
      <w:r>
        <w:rPr>
          <w:spacing w:val="-49"/>
        </w:rPr>
        <w:t> </w:t>
      </w:r>
      <w:r>
        <w:rPr>
          <w:rFonts w:ascii="宋体" w:hAnsi="宋体" w:cs="宋体" w:eastAsia="宋体" w:hint="default"/>
        </w:rPr>
        <w:t>3</w:t>
      </w:r>
      <w:r>
        <w:rPr>
          <w:rFonts w:ascii="宋体" w:hAnsi="宋体" w:cs="宋体" w:eastAsia="宋体" w:hint="default"/>
          <w:spacing w:val="-50"/>
        </w:rPr>
        <w:t> </w:t>
      </w:r>
      <w:r>
        <w:rPr/>
        <w:t>位</w:t>
      </w:r>
      <w:r>
        <w:rPr>
          <w:w w:val="100"/>
        </w:rPr>
        <w:t> </w:t>
      </w:r>
      <w:r>
        <w:rPr>
          <w:spacing w:val="-2"/>
        </w:rPr>
        <w:t>股东合计持有的上海红生系统工程有限公司</w:t>
      </w:r>
      <w:r>
        <w:rPr>
          <w:spacing w:val="-4"/>
        </w:rPr>
        <w:t> </w:t>
      </w:r>
      <w:r>
        <w:rPr>
          <w:rFonts w:ascii="宋体" w:hAnsi="宋体" w:cs="宋体" w:eastAsia="宋体" w:hint="default"/>
          <w:spacing w:val="-2"/>
        </w:rPr>
        <w:t>100%</w:t>
      </w:r>
      <w:r>
        <w:rPr>
          <w:spacing w:val="-2"/>
        </w:rPr>
        <w:t>的股权。</w:t>
      </w:r>
      <w:r>
        <w:rPr>
          <w:rFonts w:ascii="宋体" w:hAnsi="宋体" w:cs="宋体" w:eastAsia="宋体" w:hint="default"/>
        </w:rPr>
        <w:t> </w:t>
      </w:r>
    </w:p>
    <w:p>
      <w:pPr>
        <w:pStyle w:val="BodyText"/>
        <w:spacing w:line="272" w:lineRule="exact" w:before="1"/>
        <w:ind w:right="208" w:firstLine="420"/>
        <w:jc w:val="both"/>
      </w:pPr>
      <w:r>
        <w:rPr>
          <w:spacing w:val="-2"/>
        </w:rPr>
        <w:t>赫甄合伙和潘红生（合称“盈利补偿主体”）承诺上海红生系统工程有限公司在盈利承诺期</w:t>
      </w:r>
      <w:r>
        <w:rPr>
          <w:w w:val="100"/>
        </w:rPr>
        <w:t> </w:t>
      </w:r>
      <w:r>
        <w:rPr>
          <w:spacing w:val="-1"/>
        </w:rPr>
        <w:t>内净利润数不低于承诺净利润数，否则盈利补偿主体应按照协议约定对本公司予以补偿。盈利补</w:t>
      </w:r>
    </w:p>
    <w:p>
      <w:pPr>
        <w:pStyle w:val="BodyText"/>
        <w:spacing w:line="272" w:lineRule="exact" w:before="1"/>
        <w:ind w:right="208"/>
        <w:jc w:val="both"/>
        <w:rPr>
          <w:rFonts w:ascii="宋体" w:hAnsi="宋体" w:cs="宋体" w:eastAsia="宋体" w:hint="default"/>
        </w:rPr>
      </w:pPr>
      <w:r>
        <w:rPr>
          <w:spacing w:val="-4"/>
        </w:rPr>
        <w:t>偿主体承诺上海红生系统工程有限公司在盈利承诺期内各年度的净利润数如下：</w:t>
      </w:r>
      <w:r>
        <w:rPr>
          <w:rFonts w:ascii="宋体" w:hAnsi="宋体" w:cs="宋体" w:eastAsia="宋体" w:hint="default"/>
          <w:spacing w:val="-4"/>
        </w:rPr>
        <w:t>2017 </w:t>
      </w:r>
      <w:r>
        <w:rPr>
          <w:spacing w:val="-11"/>
        </w:rPr>
        <w:t>年度：</w:t>
      </w:r>
      <w:r>
        <w:rPr>
          <w:rFonts w:ascii="宋体" w:hAnsi="宋体" w:cs="宋体" w:eastAsia="宋体" w:hint="default"/>
          <w:spacing w:val="-11"/>
        </w:rPr>
        <w:t>4,000</w:t>
      </w:r>
      <w:r>
        <w:rPr>
          <w:rFonts w:ascii="宋体" w:hAnsi="宋体" w:cs="宋体" w:eastAsia="宋体" w:hint="default"/>
          <w:spacing w:val="-62"/>
        </w:rPr>
        <w:t> </w:t>
      </w:r>
      <w:r>
        <w:rPr>
          <w:rFonts w:ascii="宋体" w:hAnsi="宋体" w:cs="宋体" w:eastAsia="宋体" w:hint="default"/>
          <w:spacing w:val="-62"/>
        </w:rPr>
      </w:r>
      <w:r>
        <w:rPr/>
        <w:t>万元；</w:t>
      </w:r>
      <w:r>
        <w:rPr>
          <w:rFonts w:ascii="宋体" w:hAnsi="宋体" w:cs="宋体" w:eastAsia="宋体" w:hint="default"/>
        </w:rPr>
        <w:t>2018</w:t>
      </w:r>
      <w:r>
        <w:rPr>
          <w:rFonts w:ascii="宋体" w:hAnsi="宋体" w:cs="宋体" w:eastAsia="宋体" w:hint="default"/>
          <w:spacing w:val="-53"/>
        </w:rPr>
        <w:t> </w:t>
      </w:r>
      <w:r>
        <w:rPr/>
        <w:t>年度：</w:t>
      </w:r>
      <w:r>
        <w:rPr>
          <w:rFonts w:ascii="宋体" w:hAnsi="宋体" w:cs="宋体" w:eastAsia="宋体" w:hint="default"/>
        </w:rPr>
        <w:t>4,800</w:t>
      </w:r>
      <w:r>
        <w:rPr>
          <w:rFonts w:ascii="宋体" w:hAnsi="宋体" w:cs="宋体" w:eastAsia="宋体" w:hint="default"/>
          <w:spacing w:val="-55"/>
        </w:rPr>
        <w:t> </w:t>
      </w:r>
      <w:r>
        <w:rPr/>
        <w:t>万元；</w:t>
      </w:r>
      <w:r>
        <w:rPr>
          <w:rFonts w:ascii="宋体" w:hAnsi="宋体" w:cs="宋体" w:eastAsia="宋体" w:hint="default"/>
        </w:rPr>
        <w:t>2019</w:t>
      </w:r>
      <w:r>
        <w:rPr>
          <w:rFonts w:ascii="宋体" w:hAnsi="宋体" w:cs="宋体" w:eastAsia="宋体" w:hint="default"/>
          <w:spacing w:val="-53"/>
        </w:rPr>
        <w:t> </w:t>
      </w:r>
      <w:r>
        <w:rPr/>
        <w:t>年度：</w:t>
      </w:r>
      <w:r>
        <w:rPr>
          <w:rFonts w:ascii="宋体" w:hAnsi="宋体" w:cs="宋体" w:eastAsia="宋体" w:hint="default"/>
        </w:rPr>
        <w:t>6,000</w:t>
      </w:r>
      <w:r>
        <w:rPr>
          <w:rFonts w:ascii="宋体" w:hAnsi="宋体" w:cs="宋体" w:eastAsia="宋体" w:hint="default"/>
          <w:spacing w:val="-55"/>
        </w:rPr>
        <w:t> </w:t>
      </w:r>
      <w:r>
        <w:rPr/>
        <w:t>万元。</w:t>
      </w:r>
      <w:r>
        <w:rPr>
          <w:rFonts w:ascii="宋体" w:hAnsi="宋体" w:cs="宋体" w:eastAsia="宋体" w:hint="default"/>
        </w:rPr>
        <w:t> </w:t>
      </w:r>
    </w:p>
    <w:p>
      <w:pPr>
        <w:pStyle w:val="BodyText"/>
        <w:spacing w:line="272" w:lineRule="exact" w:before="2"/>
        <w:ind w:right="208" w:firstLine="420"/>
        <w:jc w:val="both"/>
      </w:pPr>
      <w:r>
        <w:rPr>
          <w:rFonts w:ascii="宋体" w:hAnsi="宋体" w:cs="宋体" w:eastAsia="宋体" w:hint="default"/>
          <w:spacing w:val="-11"/>
        </w:rPr>
        <w:t>3</w:t>
      </w:r>
      <w:r>
        <w:rPr>
          <w:spacing w:val="-11"/>
        </w:rPr>
        <w:t>、</w:t>
      </w:r>
      <w:r>
        <w:rPr>
          <w:rFonts w:ascii="宋体" w:hAnsi="宋体" w:cs="宋体" w:eastAsia="宋体" w:hint="default"/>
          <w:spacing w:val="-11"/>
        </w:rPr>
        <w:t>2018</w:t>
      </w:r>
      <w:r>
        <w:rPr>
          <w:rFonts w:ascii="宋体" w:hAnsi="宋体" w:cs="宋体" w:eastAsia="宋体" w:hint="default"/>
          <w:spacing w:val="-38"/>
        </w:rPr>
        <w:t> </w:t>
      </w:r>
      <w:r>
        <w:rPr/>
        <w:t>年</w:t>
      </w:r>
      <w:r>
        <w:rPr>
          <w:spacing w:val="-41"/>
        </w:rPr>
        <w:t> </w:t>
      </w:r>
      <w:r>
        <w:rPr>
          <w:rFonts w:ascii="宋体" w:hAnsi="宋体" w:cs="宋体" w:eastAsia="宋体" w:hint="default"/>
        </w:rPr>
        <w:t>6</w:t>
      </w:r>
      <w:r>
        <w:rPr>
          <w:rFonts w:ascii="宋体" w:hAnsi="宋体" w:cs="宋体" w:eastAsia="宋体" w:hint="default"/>
          <w:spacing w:val="-38"/>
        </w:rPr>
        <w:t> </w:t>
      </w:r>
      <w:r>
        <w:rPr/>
        <w:t>月</w:t>
      </w:r>
      <w:r>
        <w:rPr>
          <w:spacing w:val="-41"/>
        </w:rPr>
        <w:t> </w:t>
      </w:r>
      <w:r>
        <w:rPr>
          <w:rFonts w:ascii="宋体" w:hAnsi="宋体" w:cs="宋体" w:eastAsia="宋体" w:hint="default"/>
        </w:rPr>
        <w:t>22</w:t>
      </w:r>
      <w:r>
        <w:rPr>
          <w:rFonts w:ascii="宋体" w:hAnsi="宋体" w:cs="宋体" w:eastAsia="宋体" w:hint="default"/>
          <w:spacing w:val="-41"/>
        </w:rPr>
        <w:t> </w:t>
      </w:r>
      <w:r>
        <w:rPr>
          <w:spacing w:val="-8"/>
        </w:rPr>
        <w:t>日，本公司与泰豪集团签订《北京泰豪装备科技有限公司股权转让协议》，</w:t>
      </w:r>
      <w:r>
        <w:rPr>
          <w:w w:val="100"/>
        </w:rPr>
        <w:t> </w:t>
      </w:r>
      <w:r>
        <w:rPr/>
        <w:t>双方约定以</w:t>
      </w:r>
      <w:r>
        <w:rPr>
          <w:spacing w:val="-43"/>
        </w:rPr>
        <w:t> </w:t>
      </w:r>
      <w:r>
        <w:rPr>
          <w:rFonts w:ascii="宋体" w:hAnsi="宋体" w:cs="宋体" w:eastAsia="宋体" w:hint="default"/>
        </w:rPr>
        <w:t>7,000</w:t>
      </w:r>
      <w:r>
        <w:rPr>
          <w:rFonts w:ascii="宋体" w:hAnsi="宋体" w:cs="宋体" w:eastAsia="宋体" w:hint="default"/>
          <w:spacing w:val="-45"/>
        </w:rPr>
        <w:t> </w:t>
      </w:r>
      <w:r>
        <w:rPr/>
        <w:t>万元的价格收购泰豪集团持有北京泰豪</w:t>
      </w:r>
      <w:r>
        <w:rPr>
          <w:spacing w:val="-43"/>
        </w:rPr>
        <w:t> </w:t>
      </w:r>
      <w:r>
        <w:rPr>
          <w:rFonts w:ascii="宋体" w:hAnsi="宋体" w:cs="宋体" w:eastAsia="宋体" w:hint="default"/>
          <w:spacing w:val="-4"/>
        </w:rPr>
        <w:t>100%</w:t>
      </w:r>
      <w:r>
        <w:rPr>
          <w:spacing w:val="-4"/>
        </w:rPr>
        <w:t>股权。公司与泰豪集团签署的《利</w:t>
      </w:r>
    </w:p>
    <w:p>
      <w:pPr>
        <w:pStyle w:val="BodyText"/>
        <w:spacing w:line="272" w:lineRule="exact" w:before="1"/>
        <w:ind w:right="209"/>
        <w:jc w:val="both"/>
        <w:rPr>
          <w:rFonts w:ascii="宋体" w:hAnsi="宋体" w:cs="宋体" w:eastAsia="宋体" w:hint="default"/>
        </w:rPr>
      </w:pPr>
      <w:r>
        <w:rPr/>
        <w:t>润补偿协议》，协议约定：北京泰豪</w:t>
      </w:r>
      <w:r>
        <w:rPr>
          <w:spacing w:val="-52"/>
        </w:rPr>
        <w:t> </w:t>
      </w:r>
      <w:r>
        <w:rPr>
          <w:rFonts w:ascii="宋体" w:hAnsi="宋体" w:cs="宋体" w:eastAsia="宋体" w:hint="default"/>
        </w:rPr>
        <w:t>2018</w:t>
      </w:r>
      <w:r>
        <w:rPr>
          <w:rFonts w:ascii="宋体" w:hAnsi="宋体" w:cs="宋体" w:eastAsia="宋体" w:hint="default"/>
          <w:spacing w:val="-52"/>
        </w:rPr>
        <w:t> </w:t>
      </w:r>
      <w:r>
        <w:rPr/>
        <w:t>年至</w:t>
      </w:r>
      <w:r>
        <w:rPr>
          <w:spacing w:val="-52"/>
        </w:rPr>
        <w:t> </w:t>
      </w:r>
      <w:r>
        <w:rPr>
          <w:rFonts w:ascii="宋体" w:hAnsi="宋体" w:cs="宋体" w:eastAsia="宋体" w:hint="default"/>
        </w:rPr>
        <w:t>2020</w:t>
      </w:r>
      <w:r>
        <w:rPr>
          <w:rFonts w:ascii="宋体" w:hAnsi="宋体" w:cs="宋体" w:eastAsia="宋体" w:hint="default"/>
          <w:spacing w:val="-52"/>
        </w:rPr>
        <w:t> </w:t>
      </w:r>
      <w:r>
        <w:rPr/>
        <w:t>年须实现扣除非经常性损益归属母公司股东</w:t>
      </w:r>
      <w:r>
        <w:rPr>
          <w:w w:val="100"/>
        </w:rPr>
        <w:t> </w:t>
      </w:r>
      <w:r>
        <w:rPr/>
        <w:t>的净利润分别为</w:t>
      </w:r>
      <w:r>
        <w:rPr>
          <w:spacing w:val="-42"/>
        </w:rPr>
        <w:t> </w:t>
      </w:r>
      <w:r>
        <w:rPr>
          <w:rFonts w:ascii="宋体" w:hAnsi="宋体" w:cs="宋体" w:eastAsia="宋体" w:hint="default"/>
        </w:rPr>
        <w:t>1,100</w:t>
      </w:r>
      <w:r>
        <w:rPr>
          <w:rFonts w:ascii="宋体" w:hAnsi="宋体" w:cs="宋体" w:eastAsia="宋体" w:hint="default"/>
          <w:spacing w:val="-42"/>
        </w:rPr>
        <w:t> </w:t>
      </w:r>
      <w:r>
        <w:rPr>
          <w:spacing w:val="-3"/>
        </w:rPr>
        <w:t>万元、</w:t>
      </w:r>
      <w:r>
        <w:rPr>
          <w:rFonts w:ascii="宋体" w:hAnsi="宋体" w:cs="宋体" w:eastAsia="宋体" w:hint="default"/>
          <w:spacing w:val="-3"/>
        </w:rPr>
        <w:t>1,500</w:t>
      </w:r>
      <w:r>
        <w:rPr>
          <w:rFonts w:ascii="宋体" w:hAnsi="宋体" w:cs="宋体" w:eastAsia="宋体" w:hint="default"/>
          <w:spacing w:val="-42"/>
        </w:rPr>
        <w:t> </w:t>
      </w:r>
      <w:r>
        <w:rPr>
          <w:spacing w:val="-3"/>
        </w:rPr>
        <w:t>万元、</w:t>
      </w:r>
      <w:r>
        <w:rPr>
          <w:rFonts w:ascii="宋体" w:hAnsi="宋体" w:cs="宋体" w:eastAsia="宋体" w:hint="default"/>
          <w:spacing w:val="-3"/>
        </w:rPr>
        <w:t>2,000</w:t>
      </w:r>
      <w:r>
        <w:rPr>
          <w:rFonts w:ascii="宋体" w:hAnsi="宋体" w:cs="宋体" w:eastAsia="宋体" w:hint="default"/>
          <w:spacing w:val="-42"/>
        </w:rPr>
        <w:t> </w:t>
      </w:r>
      <w:r>
        <w:rPr>
          <w:spacing w:val="-5"/>
        </w:rPr>
        <w:t>万元。否则，泰豪集团须按《利润补偿协议》的</w:t>
      </w:r>
      <w:r>
        <w:rPr>
          <w:spacing w:val="-100"/>
        </w:rPr>
        <w:t> </w:t>
      </w:r>
      <w:r>
        <w:rPr>
          <w:spacing w:val="-100"/>
        </w:rPr>
      </w:r>
      <w:r>
        <w:rPr/>
        <w:t>相关约定向公司进行补偿。</w:t>
      </w:r>
      <w:r>
        <w:rPr>
          <w:rFonts w:ascii="宋体" w:hAnsi="宋体" w:cs="宋体" w:eastAsia="宋体" w:hint="default"/>
        </w:rPr>
        <w:t> </w:t>
      </w:r>
    </w:p>
    <w:p>
      <w:pPr>
        <w:pStyle w:val="BodyText"/>
        <w:spacing w:line="247" w:lineRule="exact"/>
        <w:ind w:left="557" w:right="102"/>
        <w:jc w:val="left"/>
      </w:pPr>
      <w:r>
        <w:rPr>
          <w:rFonts w:ascii="宋体" w:hAnsi="宋体" w:cs="宋体" w:eastAsia="宋体" w:hint="default"/>
          <w:spacing w:val="-3"/>
        </w:rPr>
        <w:t>4</w:t>
      </w:r>
      <w:r>
        <w:rPr>
          <w:spacing w:val="-3"/>
        </w:rPr>
        <w:t>、</w:t>
      </w:r>
      <w:r>
        <w:rPr>
          <w:rFonts w:ascii="宋体" w:hAnsi="宋体" w:cs="宋体" w:eastAsia="宋体" w:hint="default"/>
          <w:spacing w:val="-3"/>
        </w:rPr>
        <w:t>2019</w:t>
      </w:r>
      <w:r>
        <w:rPr>
          <w:rFonts w:ascii="宋体" w:hAnsi="宋体" w:cs="宋体" w:eastAsia="宋体" w:hint="default"/>
          <w:spacing w:val="-42"/>
        </w:rPr>
        <w:t> </w:t>
      </w:r>
      <w:r>
        <w:rPr/>
        <w:t>年</w:t>
      </w:r>
      <w:r>
        <w:rPr>
          <w:spacing w:val="-39"/>
        </w:rPr>
        <w:t> </w:t>
      </w:r>
      <w:r>
        <w:rPr>
          <w:rFonts w:ascii="宋体" w:hAnsi="宋体" w:cs="宋体" w:eastAsia="宋体" w:hint="default"/>
        </w:rPr>
        <w:t>5</w:t>
      </w:r>
      <w:r>
        <w:rPr>
          <w:rFonts w:ascii="宋体" w:hAnsi="宋体" w:cs="宋体" w:eastAsia="宋体" w:hint="default"/>
          <w:spacing w:val="-42"/>
        </w:rPr>
        <w:t> </w:t>
      </w:r>
      <w:r>
        <w:rPr/>
        <w:t>月</w:t>
      </w:r>
      <w:r>
        <w:rPr>
          <w:spacing w:val="-39"/>
        </w:rPr>
        <w:t> </w:t>
      </w:r>
      <w:r>
        <w:rPr>
          <w:rFonts w:ascii="宋体" w:hAnsi="宋体" w:cs="宋体" w:eastAsia="宋体" w:hint="default"/>
        </w:rPr>
        <w:t>20</w:t>
      </w:r>
      <w:r>
        <w:rPr>
          <w:rFonts w:ascii="宋体" w:hAnsi="宋体" w:cs="宋体" w:eastAsia="宋体" w:hint="default"/>
          <w:spacing w:val="-39"/>
        </w:rPr>
        <w:t> </w:t>
      </w:r>
      <w:r>
        <w:rPr>
          <w:spacing w:val="-3"/>
        </w:rPr>
        <w:t>日，泰豪电源技术有限公司与福州德塔签订《泰豪电源技术有限公司与福</w:t>
      </w:r>
    </w:p>
    <w:p>
      <w:pPr>
        <w:pStyle w:val="BodyText"/>
        <w:spacing w:line="237" w:lineRule="auto"/>
        <w:ind w:right="208"/>
        <w:jc w:val="both"/>
        <w:rPr>
          <w:rFonts w:ascii="宋体" w:hAnsi="宋体" w:cs="宋体" w:eastAsia="宋体" w:hint="default"/>
        </w:rPr>
      </w:pPr>
      <w:r>
        <w:rPr/>
        <w:t>州德塔动力设备有限公司及其全体股东之投资协议》，双方约定以</w:t>
      </w:r>
      <w:r>
        <w:rPr>
          <w:spacing w:val="-50"/>
        </w:rPr>
        <w:t> </w:t>
      </w:r>
      <w:r>
        <w:rPr>
          <w:rFonts w:ascii="宋体" w:hAnsi="宋体" w:cs="宋体" w:eastAsia="宋体" w:hint="default"/>
        </w:rPr>
        <w:t>8,360</w:t>
      </w:r>
      <w:r>
        <w:rPr>
          <w:rFonts w:ascii="宋体" w:hAnsi="宋体" w:cs="宋体" w:eastAsia="宋体" w:hint="default"/>
          <w:spacing w:val="-51"/>
        </w:rPr>
        <w:t> </w:t>
      </w:r>
      <w:r>
        <w:rPr/>
        <w:t>万元对福州德塔增资以</w:t>
      </w:r>
      <w:r>
        <w:rPr>
          <w:w w:val="100"/>
        </w:rPr>
        <w:t> </w:t>
      </w:r>
      <w:r>
        <w:rPr/>
        <w:t>及购买自然人股东股权，转让增资后泰豪电源持有对方</w:t>
      </w:r>
      <w:r>
        <w:rPr>
          <w:spacing w:val="7"/>
        </w:rPr>
        <w:t> </w:t>
      </w:r>
      <w:r>
        <w:rPr>
          <w:rFonts w:ascii="宋体" w:hAnsi="宋体" w:cs="宋体" w:eastAsia="宋体" w:hint="default"/>
        </w:rPr>
        <w:t>38%</w:t>
      </w:r>
      <w:r>
        <w:rPr/>
        <w:t>股权。投资协议约定福州德塔及其股</w:t>
      </w:r>
      <w:r>
        <w:rPr>
          <w:w w:val="100"/>
        </w:rPr>
        <w:t> </w:t>
      </w:r>
      <w:r>
        <w:rPr>
          <w:spacing w:val="-4"/>
        </w:rPr>
        <w:t>东在盈利承诺期内各年度的净利润数如下：</w:t>
      </w:r>
      <w:r>
        <w:rPr>
          <w:rFonts w:ascii="宋体" w:hAnsi="宋体" w:cs="宋体" w:eastAsia="宋体" w:hint="default"/>
          <w:spacing w:val="-4"/>
        </w:rPr>
        <w:t>2019</w:t>
      </w:r>
      <w:r>
        <w:rPr>
          <w:rFonts w:ascii="宋体" w:hAnsi="宋体" w:cs="宋体" w:eastAsia="宋体" w:hint="default"/>
          <w:spacing w:val="-38"/>
        </w:rPr>
        <w:t> </w:t>
      </w:r>
      <w:r>
        <w:rPr>
          <w:spacing w:val="-9"/>
        </w:rPr>
        <w:t>年度：</w:t>
      </w:r>
      <w:r>
        <w:rPr>
          <w:rFonts w:ascii="宋体" w:hAnsi="宋体" w:cs="宋体" w:eastAsia="宋体" w:hint="default"/>
          <w:spacing w:val="-9"/>
        </w:rPr>
        <w:t>2000</w:t>
      </w:r>
      <w:r>
        <w:rPr>
          <w:rFonts w:ascii="宋体" w:hAnsi="宋体" w:cs="宋体" w:eastAsia="宋体" w:hint="default"/>
          <w:spacing w:val="-37"/>
        </w:rPr>
        <w:t> </w:t>
      </w:r>
      <w:r>
        <w:rPr>
          <w:spacing w:val="-10"/>
        </w:rPr>
        <w:t>万；</w:t>
      </w:r>
      <w:r>
        <w:rPr>
          <w:rFonts w:ascii="宋体" w:hAnsi="宋体" w:cs="宋体" w:eastAsia="宋体" w:hint="default"/>
          <w:spacing w:val="-10"/>
        </w:rPr>
        <w:t>2020</w:t>
      </w:r>
      <w:r>
        <w:rPr>
          <w:rFonts w:ascii="宋体" w:hAnsi="宋体" w:cs="宋体" w:eastAsia="宋体" w:hint="default"/>
          <w:spacing w:val="-38"/>
        </w:rPr>
        <w:t> </w:t>
      </w:r>
      <w:r>
        <w:rPr>
          <w:spacing w:val="-9"/>
        </w:rPr>
        <w:t>年度：</w:t>
      </w:r>
      <w:r>
        <w:rPr>
          <w:rFonts w:ascii="宋体" w:hAnsi="宋体" w:cs="宋体" w:eastAsia="宋体" w:hint="default"/>
          <w:spacing w:val="-9"/>
        </w:rPr>
        <w:t>2500</w:t>
      </w:r>
      <w:r>
        <w:rPr>
          <w:rFonts w:ascii="宋体" w:hAnsi="宋体" w:cs="宋体" w:eastAsia="宋体" w:hint="default"/>
          <w:spacing w:val="-38"/>
        </w:rPr>
        <w:t> </w:t>
      </w:r>
      <w:r>
        <w:rPr>
          <w:spacing w:val="-10"/>
        </w:rPr>
        <w:t>万；</w:t>
      </w:r>
      <w:r>
        <w:rPr>
          <w:rFonts w:ascii="宋体" w:hAnsi="宋体" w:cs="宋体" w:eastAsia="宋体" w:hint="default"/>
          <w:spacing w:val="-10"/>
        </w:rPr>
        <w:t>2021</w:t>
      </w:r>
      <w:r>
        <w:rPr>
          <w:rFonts w:ascii="宋体" w:hAnsi="宋体" w:cs="宋体" w:eastAsia="宋体" w:hint="default"/>
          <w:spacing w:val="-38"/>
        </w:rPr>
        <w:t> </w:t>
      </w:r>
      <w:r>
        <w:rPr>
          <w:spacing w:val="-3"/>
        </w:rPr>
        <w:t>年度：</w:t>
      </w:r>
      <w:r>
        <w:rPr>
          <w:spacing w:val="-97"/>
        </w:rPr>
        <w:t> </w:t>
      </w:r>
      <w:r>
        <w:rPr>
          <w:rFonts w:ascii="宋体" w:hAnsi="宋体" w:cs="宋体" w:eastAsia="宋体" w:hint="default"/>
        </w:rPr>
        <w:t>3000</w:t>
      </w:r>
      <w:r>
        <w:rPr>
          <w:rFonts w:ascii="宋体" w:hAnsi="宋体" w:cs="宋体" w:eastAsia="宋体" w:hint="default"/>
          <w:spacing w:val="-35"/>
        </w:rPr>
        <w:t> </w:t>
      </w:r>
      <w:r>
        <w:rPr/>
        <w:t>万，三年累计净利润不低于</w:t>
      </w:r>
      <w:r>
        <w:rPr>
          <w:spacing w:val="-33"/>
        </w:rPr>
        <w:t> </w:t>
      </w:r>
      <w:r>
        <w:rPr>
          <w:rFonts w:ascii="宋体" w:hAnsi="宋体" w:cs="宋体" w:eastAsia="宋体" w:hint="default"/>
        </w:rPr>
        <w:t>7500</w:t>
      </w:r>
      <w:r>
        <w:rPr>
          <w:rFonts w:ascii="宋体" w:hAnsi="宋体" w:cs="宋体" w:eastAsia="宋体" w:hint="default"/>
          <w:spacing w:val="-33"/>
        </w:rPr>
        <w:t> </w:t>
      </w:r>
      <w:r>
        <w:rPr/>
        <w:t>万。否则，福州德塔及其全体股东须按投资协议的相关约</w:t>
      </w:r>
      <w:r>
        <w:rPr>
          <w:w w:val="100"/>
        </w:rPr>
        <w:t> </w:t>
      </w:r>
      <w:r>
        <w:rPr/>
        <w:t>定向公司进行补偿。</w:t>
      </w:r>
      <w:r>
        <w:rPr>
          <w:rFonts w:ascii="宋体" w:hAnsi="宋体" w:cs="宋体" w:eastAsia="宋体" w:hint="default"/>
        </w:rPr>
        <w:t> </w:t>
      </w:r>
    </w:p>
    <w:p>
      <w:pPr>
        <w:spacing w:after="0" w:line="237" w:lineRule="auto"/>
        <w:jc w:val="both"/>
        <w:rPr>
          <w:rFonts w:ascii="宋体" w:hAnsi="宋体" w:cs="宋体" w:eastAsia="宋体" w:hint="default"/>
        </w:rPr>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Heading5"/>
        <w:spacing w:line="240" w:lineRule="auto" w:before="36"/>
        <w:ind w:right="0"/>
        <w:jc w:val="left"/>
        <w:rPr>
          <w:b w:val="0"/>
          <w:bCs w:val="0"/>
        </w:rPr>
      </w:pPr>
      <w:r>
        <w:rPr>
          <w:rFonts w:ascii="宋体" w:hAnsi="宋体" w:cs="宋体" w:eastAsia="宋体" w:hint="default"/>
        </w:rPr>
        <w:t>2</w:t>
      </w:r>
      <w:r>
        <w:rPr/>
        <w:t>、</w:t>
      </w:r>
      <w:r>
        <w:rPr>
          <w:spacing w:val="3"/>
        </w:rPr>
        <w:t> </w:t>
      </w:r>
      <w:r>
        <w:rPr/>
        <w:t>或有事项</w:t>
      </w:r>
      <w:r>
        <w:rPr>
          <w:b w:val="0"/>
          <w:bCs w:val="0"/>
        </w:rPr>
      </w:r>
    </w:p>
    <w:p>
      <w:pPr>
        <w:pStyle w:val="Heading5"/>
        <w:spacing w:line="240" w:lineRule="auto" w:before="56"/>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8"/>
        </w:rPr>
        <w:t> </w:t>
      </w:r>
      <w:r>
        <w:rPr/>
        <w:t>资产负债表日存在的重要或有事项</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40" w:lineRule="auto" w:before="61"/>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8"/>
        </w:rPr>
        <w:t> </w:t>
      </w:r>
      <w:r>
        <w:rPr/>
        <w:t>公司没有需要披露的重要或有事项，也应予以说明：</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79"/>
          <w:pgSz w:w="11910" w:h="16840"/>
          <w:pgMar w:footer="1195" w:header="882" w:top="1120" w:bottom="1380" w:left="1060" w:right="1560"/>
        </w:sectPr>
      </w:pPr>
    </w:p>
    <w:p>
      <w:pPr>
        <w:pStyle w:val="Heading5"/>
        <w:spacing w:line="240" w:lineRule="auto" w:before="36"/>
        <w:ind w:right="0"/>
        <w:jc w:val="left"/>
        <w:rPr>
          <w:b w:val="0"/>
          <w:bCs w:val="0"/>
        </w:rPr>
      </w:pPr>
      <w:r>
        <w:rPr>
          <w:rFonts w:ascii="宋体" w:hAnsi="宋体" w:cs="宋体" w:eastAsia="宋体" w:hint="default"/>
        </w:rPr>
        <w:t>3</w:t>
      </w:r>
      <w:r>
        <w:rPr/>
        <w:t>、</w:t>
      </w:r>
      <w:r>
        <w:rPr>
          <w:spacing w:val="2"/>
        </w:rPr>
        <w:t> </w:t>
      </w:r>
      <w:r>
        <w:rPr/>
        <w:t>其他</w:t>
      </w:r>
      <w:r>
        <w:rPr>
          <w:b w:val="0"/>
          <w:bCs w:val="0"/>
        </w:rPr>
      </w:r>
    </w:p>
    <w:p>
      <w:pPr>
        <w:pStyle w:val="Heading3"/>
        <w:spacing w:line="313" w:lineRule="exact"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40" w:lineRule="auto" w:before="61"/>
        <w:ind w:right="-18"/>
        <w:jc w:val="left"/>
        <w:rPr>
          <w:b w:val="0"/>
          <w:bCs w:val="0"/>
        </w:rPr>
      </w:pPr>
      <w:r>
        <w:rPr/>
        <w:t>十五、</w:t>
      </w:r>
      <w:r>
        <w:rPr>
          <w:spacing w:val="104"/>
        </w:rPr>
        <w:t> </w:t>
      </w:r>
      <w:r>
        <w:rPr>
          <w:rFonts w:ascii="宋体" w:hAnsi="宋体" w:cs="宋体" w:eastAsia="宋体" w:hint="default"/>
          <w:spacing w:val="104"/>
        </w:rPr>
      </w:r>
      <w:r>
        <w:rPr/>
        <w:t>资产负债表日后事项</w:t>
      </w:r>
      <w:r>
        <w:rPr>
          <w:b w:val="0"/>
          <w:bCs w:val="0"/>
        </w:rPr>
      </w:r>
    </w:p>
    <w:p>
      <w:pPr>
        <w:pStyle w:val="Heading5"/>
        <w:spacing w:line="240" w:lineRule="auto" w:before="59"/>
        <w:ind w:right="0"/>
        <w:jc w:val="left"/>
        <w:rPr>
          <w:b w:val="0"/>
          <w:bCs w:val="0"/>
        </w:rPr>
      </w:pPr>
      <w:r>
        <w:rPr>
          <w:rFonts w:ascii="Calibri" w:hAnsi="Calibri" w:cs="Calibri" w:eastAsia="Calibri" w:hint="default"/>
        </w:rPr>
        <w:t>1</w:t>
      </w:r>
      <w:r>
        <w:rPr/>
        <w:t>、</w:t>
      </w:r>
      <w:r>
        <w:rPr>
          <w:spacing w:val="5"/>
        </w:rPr>
        <w:t> </w:t>
      </w:r>
      <w:r>
        <w:rPr/>
        <w:t>重要的非调整事项</w:t>
      </w:r>
      <w:r>
        <w:rPr>
          <w:b w:val="0"/>
          <w:bCs w:val="0"/>
        </w:rPr>
      </w:r>
    </w:p>
    <w:p>
      <w:pPr>
        <w:pStyle w:val="Heading3"/>
        <w:spacing w:line="240" w:lineRule="auto" w:before="23"/>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40" w:lineRule="auto"/>
        <w:ind w:right="0"/>
        <w:jc w:val="left"/>
        <w:rPr>
          <w:b w:val="0"/>
          <w:bCs w:val="0"/>
        </w:rPr>
      </w:pPr>
      <w:r>
        <w:rPr>
          <w:rFonts w:ascii="Calibri" w:hAnsi="Calibri" w:cs="Calibri" w:eastAsia="Calibri" w:hint="default"/>
        </w:rPr>
        <w:t>2</w:t>
      </w:r>
      <w:r>
        <w:rPr/>
        <w:t>、</w:t>
      </w:r>
      <w:r>
        <w:rPr>
          <w:spacing w:val="4"/>
        </w:rPr>
        <w:t> </w:t>
      </w:r>
      <w:r>
        <w:rPr/>
        <w:t>利润分配情况</w:t>
      </w:r>
      <w:r>
        <w:rPr>
          <w:b w:val="0"/>
          <w:bCs w:val="0"/>
        </w:rPr>
      </w:r>
    </w:p>
    <w:p>
      <w:pPr>
        <w:pStyle w:val="Heading3"/>
        <w:spacing w:line="240" w:lineRule="auto" w:before="25"/>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959" w:space="3564"/>
            <w:col w:w="276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723"/>
        <w:gridCol w:w="5327"/>
      </w:tblGrid>
      <w:tr>
        <w:trPr>
          <w:trHeight w:val="28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r>
              <w:rPr>
                <w:rFonts w:ascii="宋体" w:hAnsi="宋体" w:cs="宋体" w:eastAsia="宋体" w:hint="default"/>
                <w:sz w:val="21"/>
                <w:szCs w:val="21"/>
              </w:rPr>
              <w:t> </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47,646,433.12</w:t>
            </w:r>
            <w:r>
              <w:rPr>
                <w:rFonts w:ascii="Times New Roman"/>
                <w:sz w:val="20"/>
              </w:rPr>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r>
              <w:rPr>
                <w:rFonts w:ascii="宋体" w:hAnsi="宋体" w:cs="宋体" w:eastAsia="宋体" w:hint="default"/>
                <w:sz w:val="21"/>
                <w:szCs w:val="21"/>
              </w:rPr>
              <w:t> </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Times New Roman" w:hAnsi="Times New Roman" w:cs="Times New Roman" w:eastAsia="Times New Roman" w:hint="default"/>
                <w:sz w:val="20"/>
                <w:szCs w:val="20"/>
              </w:rPr>
            </w:pPr>
            <w:r>
              <w:rPr>
                <w:rFonts w:ascii="Times New Roman"/>
                <w:w w:val="95"/>
                <w:sz w:val="20"/>
              </w:rPr>
              <w:t>47,646,433.12</w:t>
            </w:r>
            <w:r>
              <w:rPr>
                <w:rFonts w:ascii="Times New Roman"/>
                <w:sz w:val="20"/>
              </w:rPr>
            </w:r>
          </w:p>
        </w:tc>
      </w:tr>
    </w:tbl>
    <w:p>
      <w:pPr>
        <w:pStyle w:val="Heading3"/>
        <w:spacing w:line="274" w:lineRule="exact"/>
        <w:ind w:right="0"/>
        <w:jc w:val="both"/>
        <w:rPr>
          <w:rFonts w:ascii="宋体" w:hAnsi="宋体" w:cs="宋体" w:eastAsia="宋体" w:hint="default"/>
        </w:rPr>
      </w:pPr>
      <w:r>
        <w:rPr>
          <w:rFonts w:ascii="宋体"/>
        </w:rPr>
        <w:t> </w:t>
      </w:r>
    </w:p>
    <w:p>
      <w:pPr>
        <w:pStyle w:val="Heading5"/>
        <w:spacing w:line="240" w:lineRule="auto"/>
        <w:ind w:right="0"/>
        <w:jc w:val="both"/>
        <w:rPr>
          <w:b w:val="0"/>
          <w:bCs w:val="0"/>
        </w:rPr>
      </w:pPr>
      <w:r>
        <w:rPr>
          <w:rFonts w:ascii="Calibri" w:hAnsi="Calibri" w:cs="Calibri" w:eastAsia="Calibri" w:hint="default"/>
        </w:rPr>
        <w:t>3</w:t>
      </w:r>
      <w:r>
        <w:rPr/>
        <w:t>、</w:t>
      </w:r>
      <w:r>
        <w:rPr>
          <w:spacing w:val="2"/>
        </w:rPr>
        <w:t> </w:t>
      </w:r>
      <w:r>
        <w:rPr/>
        <w:t>销售退回</w:t>
      </w:r>
      <w:r>
        <w:rPr>
          <w:b w:val="0"/>
          <w:bCs w:val="0"/>
        </w:rPr>
      </w:r>
    </w:p>
    <w:p>
      <w:pPr>
        <w:pStyle w:val="Heading3"/>
        <w:spacing w:line="240" w:lineRule="auto" w:before="23"/>
        <w:ind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40" w:lineRule="auto"/>
        <w:ind w:right="0"/>
        <w:jc w:val="both"/>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Heading3"/>
        <w:spacing w:line="240" w:lineRule="auto" w:before="23"/>
        <w:ind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74" w:lineRule="exact" w:before="4"/>
        <w:ind w:left="697" w:right="0"/>
        <w:jc w:val="left"/>
      </w:pPr>
      <w:r>
        <w:rPr>
          <w:rFonts w:ascii="宋体" w:hAnsi="宋体" w:cs="宋体" w:eastAsia="宋体" w:hint="default"/>
          <w:spacing w:val="-9"/>
        </w:rPr>
        <w:t>1</w:t>
      </w:r>
      <w:r>
        <w:rPr>
          <w:spacing w:val="-9"/>
        </w:rPr>
        <w:t>、</w:t>
      </w:r>
      <w:r>
        <w:rPr>
          <w:rFonts w:ascii="宋体" w:hAnsi="宋体" w:cs="宋体" w:eastAsia="宋体" w:hint="default"/>
          <w:spacing w:val="-9"/>
        </w:rPr>
        <w:t>2020</w:t>
      </w:r>
      <w:r>
        <w:rPr>
          <w:rFonts w:ascii="宋体" w:hAnsi="宋体" w:cs="宋体" w:eastAsia="宋体" w:hint="default"/>
          <w:spacing w:val="-45"/>
        </w:rPr>
        <w:t> </w:t>
      </w:r>
      <w:r>
        <w:rPr/>
        <w:t>年</w:t>
      </w:r>
      <w:r>
        <w:rPr>
          <w:spacing w:val="-47"/>
        </w:rPr>
        <w:t> </w:t>
      </w:r>
      <w:r>
        <w:rPr>
          <w:rFonts w:ascii="宋体" w:hAnsi="宋体" w:cs="宋体" w:eastAsia="宋体" w:hint="default"/>
        </w:rPr>
        <w:t>4</w:t>
      </w:r>
      <w:r>
        <w:rPr>
          <w:rFonts w:ascii="宋体" w:hAnsi="宋体" w:cs="宋体" w:eastAsia="宋体" w:hint="default"/>
          <w:spacing w:val="-45"/>
        </w:rPr>
        <w:t> </w:t>
      </w:r>
      <w:r>
        <w:rPr/>
        <w:t>月</w:t>
      </w:r>
      <w:r>
        <w:rPr>
          <w:spacing w:val="-45"/>
        </w:rPr>
        <w:t> </w:t>
      </w:r>
      <w:r>
        <w:rPr>
          <w:rFonts w:ascii="宋体" w:hAnsi="宋体" w:cs="宋体" w:eastAsia="宋体" w:hint="default"/>
        </w:rPr>
        <w:t>24</w:t>
      </w:r>
      <w:r>
        <w:rPr>
          <w:rFonts w:ascii="宋体" w:hAnsi="宋体" w:cs="宋体" w:eastAsia="宋体" w:hint="default"/>
          <w:spacing w:val="-45"/>
        </w:rPr>
        <w:t> </w:t>
      </w:r>
      <w:r>
        <w:rPr>
          <w:spacing w:val="-3"/>
        </w:rPr>
        <w:t>日本公司第七届董事会第十八次会议通过《泰豪科技股份有限公司分配预</w:t>
      </w:r>
    </w:p>
    <w:p>
      <w:pPr>
        <w:pStyle w:val="BodyText"/>
        <w:spacing w:line="272" w:lineRule="exact"/>
        <w:ind w:left="216" w:right="0"/>
        <w:jc w:val="both"/>
        <w:rPr>
          <w:rFonts w:ascii="宋体" w:hAnsi="宋体" w:cs="宋体" w:eastAsia="宋体" w:hint="default"/>
        </w:rPr>
      </w:pPr>
      <w:r>
        <w:rPr>
          <w:w w:val="100"/>
        </w:rPr>
        <w:t>案</w:t>
      </w:r>
      <w:r>
        <w:rPr>
          <w:spacing w:val="-106"/>
          <w:w w:val="100"/>
        </w:rPr>
        <w:t>》</w:t>
      </w:r>
      <w:r>
        <w:rPr>
          <w:spacing w:val="-3"/>
          <w:w w:val="100"/>
        </w:rPr>
        <w:t>，</w:t>
      </w:r>
      <w:r>
        <w:rPr>
          <w:w w:val="100"/>
        </w:rPr>
        <w:t>公</w:t>
      </w:r>
      <w:r>
        <w:rPr>
          <w:spacing w:val="-3"/>
          <w:w w:val="100"/>
        </w:rPr>
        <w:t>司</w:t>
      </w:r>
      <w:r>
        <w:rPr>
          <w:w w:val="100"/>
        </w:rPr>
        <w:t>拟</w:t>
      </w:r>
      <w:r>
        <w:rPr>
          <w:spacing w:val="-3"/>
          <w:w w:val="100"/>
        </w:rPr>
        <w:t>以</w:t>
      </w:r>
      <w:r>
        <w:rPr>
          <w:w w:val="100"/>
        </w:rPr>
        <w:t>截止</w:t>
      </w:r>
      <w:r>
        <w:rPr>
          <w:spacing w:val="-48"/>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19</w:t>
      </w:r>
      <w:r>
        <w:rPr>
          <w:rFonts w:ascii="宋体" w:hAnsi="宋体" w:cs="宋体" w:eastAsia="宋体" w:hint="default"/>
          <w:spacing w:val="-48"/>
        </w:rPr>
        <w:t> </w:t>
      </w:r>
      <w:r>
        <w:rPr>
          <w:w w:val="100"/>
        </w:rPr>
        <w:t>年</w:t>
      </w:r>
      <w:r>
        <w:rPr>
          <w:spacing w:val="-48"/>
        </w:rPr>
        <w:t> </w:t>
      </w:r>
      <w:r>
        <w:rPr>
          <w:rFonts w:ascii="宋体" w:hAnsi="宋体" w:cs="宋体" w:eastAsia="宋体" w:hint="default"/>
          <w:w w:val="100"/>
        </w:rPr>
        <w:t>12</w:t>
      </w:r>
      <w:r>
        <w:rPr>
          <w:rFonts w:ascii="宋体" w:hAnsi="宋体" w:cs="宋体" w:eastAsia="宋体" w:hint="default"/>
          <w:spacing w:val="-47"/>
        </w:rPr>
        <w:t> </w:t>
      </w:r>
      <w:r>
        <w:rPr>
          <w:w w:val="100"/>
        </w:rPr>
        <w:t>月</w:t>
      </w:r>
      <w:r>
        <w:rPr>
          <w:spacing w:val="-48"/>
        </w:rPr>
        <w:t> </w:t>
      </w:r>
      <w:r>
        <w:rPr>
          <w:rFonts w:ascii="宋体" w:hAnsi="宋体" w:cs="宋体" w:eastAsia="宋体" w:hint="default"/>
          <w:w w:val="100"/>
        </w:rPr>
        <w:t>31</w:t>
      </w:r>
      <w:r>
        <w:rPr>
          <w:rFonts w:ascii="宋体" w:hAnsi="宋体" w:cs="宋体" w:eastAsia="宋体" w:hint="default"/>
          <w:spacing w:val="-48"/>
        </w:rPr>
        <w:t> </w:t>
      </w:r>
      <w:r>
        <w:rPr>
          <w:spacing w:val="-3"/>
          <w:w w:val="100"/>
        </w:rPr>
        <w:t>日</w:t>
      </w:r>
      <w:r>
        <w:rPr>
          <w:w w:val="100"/>
        </w:rPr>
        <w:t>的</w:t>
      </w:r>
      <w:r>
        <w:rPr>
          <w:spacing w:val="-3"/>
          <w:w w:val="100"/>
        </w:rPr>
        <w:t>总</w:t>
      </w:r>
      <w:r>
        <w:rPr>
          <w:w w:val="100"/>
        </w:rPr>
        <w:t>股本</w:t>
      </w:r>
      <w:r>
        <w:rPr>
          <w:spacing w:val="-48"/>
        </w:rPr>
        <w:t> </w:t>
      </w:r>
      <w:r>
        <w:rPr>
          <w:rFonts w:ascii="宋体" w:hAnsi="宋体" w:cs="宋体" w:eastAsia="宋体" w:hint="default"/>
          <w:w w:val="100"/>
        </w:rPr>
        <w:t>8</w:t>
      </w:r>
      <w:r>
        <w:rPr>
          <w:rFonts w:ascii="宋体" w:hAnsi="宋体" w:cs="宋体" w:eastAsia="宋体" w:hint="default"/>
          <w:spacing w:val="-3"/>
          <w:w w:val="100"/>
        </w:rPr>
        <w:t>6</w:t>
      </w:r>
      <w:r>
        <w:rPr>
          <w:rFonts w:ascii="宋体" w:hAnsi="宋体" w:cs="宋体" w:eastAsia="宋体" w:hint="default"/>
          <w:w w:val="100"/>
        </w:rPr>
        <w:t>6,298</w:t>
      </w:r>
      <w:r>
        <w:rPr>
          <w:rFonts w:ascii="宋体" w:hAnsi="宋体" w:cs="宋体" w:eastAsia="宋体" w:hint="default"/>
          <w:spacing w:val="-3"/>
          <w:w w:val="100"/>
        </w:rPr>
        <w:t>,</w:t>
      </w:r>
      <w:r>
        <w:rPr>
          <w:rFonts w:ascii="宋体" w:hAnsi="宋体" w:cs="宋体" w:eastAsia="宋体" w:hint="default"/>
          <w:w w:val="100"/>
        </w:rPr>
        <w:t>784</w:t>
      </w:r>
      <w:r>
        <w:rPr>
          <w:rFonts w:ascii="宋体" w:hAnsi="宋体" w:cs="宋体" w:eastAsia="宋体" w:hint="default"/>
          <w:spacing w:val="-48"/>
        </w:rPr>
        <w:t> </w:t>
      </w:r>
      <w:r>
        <w:rPr>
          <w:spacing w:val="-3"/>
          <w:w w:val="100"/>
        </w:rPr>
        <w:t>股</w:t>
      </w:r>
      <w:r>
        <w:rPr>
          <w:w w:val="100"/>
        </w:rPr>
        <w:t>为</w:t>
      </w:r>
      <w:r>
        <w:rPr>
          <w:spacing w:val="-3"/>
          <w:w w:val="100"/>
        </w:rPr>
        <w:t>基</w:t>
      </w:r>
      <w:r>
        <w:rPr>
          <w:w w:val="100"/>
        </w:rPr>
        <w:t>数</w:t>
      </w:r>
      <w:r>
        <w:rPr>
          <w:spacing w:val="-3"/>
          <w:w w:val="100"/>
        </w:rPr>
        <w:t>，拟</w:t>
      </w:r>
      <w:r>
        <w:rPr>
          <w:w w:val="100"/>
        </w:rPr>
        <w:t>派发</w:t>
      </w:r>
      <w:r>
        <w:rPr>
          <w:spacing w:val="-48"/>
        </w:rPr>
        <w:t> </w:t>
      </w:r>
      <w:r>
        <w:rPr>
          <w:rFonts w:ascii="宋体" w:hAnsi="宋体" w:cs="宋体" w:eastAsia="宋体" w:hint="default"/>
          <w:w w:val="100"/>
        </w:rPr>
        <w:t>2019</w:t>
      </w:r>
      <w:r>
        <w:rPr>
          <w:rFonts w:ascii="宋体" w:hAnsi="宋体" w:cs="宋体" w:eastAsia="宋体" w:hint="default"/>
          <w:spacing w:val="-50"/>
        </w:rPr>
        <w:t> </w:t>
      </w:r>
      <w:r>
        <w:rPr>
          <w:w w:val="100"/>
        </w:rPr>
        <w:t>年度每</w:t>
      </w:r>
      <w:r>
        <w:rPr>
          <w:spacing w:val="-50"/>
        </w:rPr>
        <w:t> </w:t>
      </w:r>
      <w:r>
        <w:rPr>
          <w:rFonts w:ascii="宋体" w:hAnsi="宋体" w:cs="宋体" w:eastAsia="宋体" w:hint="default"/>
          <w:w w:val="100"/>
        </w:rPr>
        <w:t>10</w:t>
      </w:r>
    </w:p>
    <w:p>
      <w:pPr>
        <w:pStyle w:val="BodyText"/>
        <w:spacing w:line="240" w:lineRule="auto"/>
        <w:ind w:left="216" w:right="0"/>
        <w:jc w:val="left"/>
        <w:rPr>
          <w:rFonts w:ascii="宋体" w:hAnsi="宋体" w:cs="宋体" w:eastAsia="宋体" w:hint="default"/>
        </w:rPr>
      </w:pPr>
      <w:r>
        <w:rPr>
          <w:spacing w:val="-2"/>
          <w:w w:val="100"/>
        </w:rPr>
        <w:t>股派发现金股利人民币</w:t>
      </w:r>
      <w:r>
        <w:rPr>
          <w:spacing w:val="-48"/>
          <w:w w:val="100"/>
        </w:rPr>
        <w:t> </w:t>
      </w:r>
      <w:r>
        <w:rPr>
          <w:rFonts w:ascii="宋体" w:hAnsi="宋体" w:cs="宋体" w:eastAsia="宋体" w:hint="default"/>
          <w:spacing w:val="-2"/>
          <w:w w:val="100"/>
        </w:rPr>
        <w:t>0.55</w:t>
      </w:r>
      <w:r>
        <w:rPr>
          <w:rFonts w:ascii="宋体" w:hAnsi="宋体" w:cs="宋体" w:eastAsia="宋体" w:hint="default"/>
          <w:spacing w:val="-47"/>
          <w:w w:val="100"/>
        </w:rPr>
        <w:t> </w:t>
      </w:r>
      <w:r>
        <w:rPr>
          <w:spacing w:val="-11"/>
          <w:w w:val="100"/>
        </w:rPr>
        <w:t>元（含税），合计派发现金股利人民币</w:t>
      </w:r>
      <w:r>
        <w:rPr>
          <w:spacing w:val="-48"/>
          <w:w w:val="100"/>
        </w:rPr>
        <w:t> </w:t>
      </w:r>
      <w:r>
        <w:rPr>
          <w:rFonts w:ascii="宋体" w:hAnsi="宋体" w:cs="宋体" w:eastAsia="宋体" w:hint="default"/>
          <w:spacing w:val="-1"/>
          <w:w w:val="100"/>
        </w:rPr>
        <w:t>47,646,433.12</w:t>
      </w:r>
      <w:r>
        <w:rPr>
          <w:rFonts w:ascii="宋体" w:hAnsi="宋体" w:cs="宋体" w:eastAsia="宋体" w:hint="default"/>
          <w:spacing w:val="-48"/>
          <w:w w:val="100"/>
        </w:rPr>
        <w:t> </w:t>
      </w:r>
      <w:r>
        <w:rPr>
          <w:spacing w:val="-27"/>
          <w:w w:val="100"/>
        </w:rPr>
        <w:t>元（含税）。此</w:t>
      </w:r>
      <w:r>
        <w:rPr>
          <w:spacing w:val="-103"/>
          <w:w w:val="100"/>
        </w:rPr>
        <w:t> </w:t>
      </w:r>
      <w:r>
        <w:rPr>
          <w:spacing w:val="-103"/>
          <w:w w:val="100"/>
        </w:rPr>
      </w:r>
      <w:r>
        <w:rPr/>
        <w:t>议案通过后还需要提请股东大会审议。</w:t>
      </w:r>
      <w:r>
        <w:rPr>
          <w:rFonts w:ascii="宋体" w:hAnsi="宋体" w:cs="宋体" w:eastAsia="宋体" w:hint="default"/>
        </w:rPr>
        <w:t> </w:t>
      </w:r>
    </w:p>
    <w:p>
      <w:pPr>
        <w:pStyle w:val="BodyText"/>
        <w:spacing w:line="271" w:lineRule="exact"/>
        <w:ind w:left="637" w:right="0"/>
        <w:jc w:val="left"/>
      </w:pPr>
      <w:r>
        <w:rPr>
          <w:rFonts w:ascii="宋体" w:hAnsi="宋体" w:cs="宋体" w:eastAsia="宋体" w:hint="default"/>
          <w:spacing w:val="-4"/>
        </w:rPr>
        <w:t>2</w:t>
      </w:r>
      <w:r>
        <w:rPr>
          <w:spacing w:val="-4"/>
        </w:rPr>
        <w:t>、</w:t>
      </w:r>
      <w:r>
        <w:rPr>
          <w:rFonts w:ascii="宋体" w:hAnsi="宋体" w:cs="宋体" w:eastAsia="宋体" w:hint="default"/>
          <w:spacing w:val="-4"/>
        </w:rPr>
        <w:t>2020</w:t>
      </w:r>
      <w:r>
        <w:rPr>
          <w:rFonts w:ascii="宋体" w:hAnsi="宋体" w:cs="宋体" w:eastAsia="宋体" w:hint="default"/>
          <w:spacing w:val="-59"/>
        </w:rPr>
        <w:t> </w:t>
      </w:r>
      <w:r>
        <w:rPr/>
        <w:t>年</w:t>
      </w:r>
      <w:r>
        <w:rPr>
          <w:spacing w:val="-57"/>
        </w:rPr>
        <w:t> </w:t>
      </w:r>
      <w:r>
        <w:rPr>
          <w:rFonts w:ascii="宋体" w:hAnsi="宋体" w:cs="宋体" w:eastAsia="宋体" w:hint="default"/>
        </w:rPr>
        <w:t>4</w:t>
      </w:r>
      <w:r>
        <w:rPr>
          <w:rFonts w:ascii="宋体" w:hAnsi="宋体" w:cs="宋体" w:eastAsia="宋体" w:hint="default"/>
          <w:spacing w:val="-59"/>
        </w:rPr>
        <w:t> </w:t>
      </w:r>
      <w:r>
        <w:rPr/>
        <w:t>月</w:t>
      </w:r>
      <w:r>
        <w:rPr>
          <w:spacing w:val="-57"/>
        </w:rPr>
        <w:t> </w:t>
      </w:r>
      <w:r>
        <w:rPr>
          <w:rFonts w:ascii="宋体" w:hAnsi="宋体" w:cs="宋体" w:eastAsia="宋体" w:hint="default"/>
        </w:rPr>
        <w:t>22</w:t>
      </w:r>
      <w:r>
        <w:rPr>
          <w:rFonts w:ascii="宋体" w:hAnsi="宋体" w:cs="宋体" w:eastAsia="宋体" w:hint="default"/>
          <w:spacing w:val="-59"/>
        </w:rPr>
        <w:t> </w:t>
      </w:r>
      <w:r>
        <w:rPr/>
        <w:t>日本公司第七届董事会第十七次会议审议通过《关于公司符合非公开发行</w:t>
      </w:r>
    </w:p>
    <w:p>
      <w:pPr>
        <w:pStyle w:val="BodyText"/>
        <w:spacing w:line="272" w:lineRule="exact" w:before="27"/>
        <w:ind w:left="216" w:right="0"/>
        <w:jc w:val="left"/>
        <w:rPr>
          <w:rFonts w:ascii="宋体" w:hAnsi="宋体" w:cs="宋体" w:eastAsia="宋体" w:hint="default"/>
        </w:rPr>
      </w:pPr>
      <w:r>
        <w:rPr>
          <w:spacing w:val="-7"/>
          <w:w w:val="100"/>
        </w:rPr>
        <w:t>股票条件的议案》，拟发行采取向特定对象非公开发行且不超过</w:t>
      </w:r>
      <w:r>
        <w:rPr>
          <w:spacing w:val="-42"/>
          <w:w w:val="100"/>
        </w:rPr>
        <w:t> </w:t>
      </w:r>
      <w:r>
        <w:rPr>
          <w:rFonts w:ascii="宋体" w:hAnsi="宋体" w:cs="宋体" w:eastAsia="宋体" w:hint="default"/>
          <w:spacing w:val="-1"/>
          <w:w w:val="100"/>
        </w:rPr>
        <w:t>130,000.00</w:t>
      </w:r>
      <w:r>
        <w:rPr>
          <w:rFonts w:ascii="宋体" w:hAnsi="宋体" w:cs="宋体" w:eastAsia="宋体" w:hint="default"/>
          <w:spacing w:val="-46"/>
          <w:w w:val="100"/>
        </w:rPr>
        <w:t> </w:t>
      </w:r>
      <w:r>
        <w:rPr>
          <w:spacing w:val="-18"/>
          <w:w w:val="100"/>
        </w:rPr>
        <w:t>万元（含此数），本次</w:t>
      </w:r>
      <w:r>
        <w:rPr>
          <w:spacing w:val="-102"/>
          <w:w w:val="100"/>
        </w:rPr>
        <w:t> </w:t>
      </w:r>
      <w:r>
        <w:rPr>
          <w:spacing w:val="-102"/>
          <w:w w:val="100"/>
        </w:rPr>
      </w:r>
      <w:r>
        <w:rPr/>
        <w:t>发行方案尚需经公司股东大会审议通过及中国证监会核准。</w:t>
      </w:r>
      <w:r>
        <w:rPr>
          <w:rFonts w:ascii="宋体" w:hAnsi="宋体" w:cs="宋体" w:eastAsia="宋体" w:hint="default"/>
        </w:rPr>
        <w:t> </w:t>
      </w:r>
    </w:p>
    <w:p>
      <w:pPr>
        <w:pStyle w:val="BodyText"/>
        <w:spacing w:line="272" w:lineRule="exact" w:before="1"/>
        <w:ind w:left="216" w:right="228" w:firstLine="420"/>
        <w:jc w:val="both"/>
      </w:pPr>
      <w:r>
        <w:rPr>
          <w:rFonts w:ascii="宋体" w:hAnsi="宋体" w:cs="宋体" w:eastAsia="宋体" w:hint="default"/>
          <w:spacing w:val="-3"/>
          <w:w w:val="100"/>
        </w:rPr>
        <w:t>3</w:t>
      </w:r>
      <w:r>
        <w:rPr>
          <w:spacing w:val="-3"/>
          <w:w w:val="100"/>
        </w:rPr>
        <w:t>、根据本公司公开发行</w:t>
      </w:r>
      <w:r>
        <w:rPr>
          <w:spacing w:val="-51"/>
          <w:w w:val="100"/>
        </w:rPr>
        <w:t> </w:t>
      </w:r>
      <w:r>
        <w:rPr>
          <w:rFonts w:ascii="宋体" w:hAnsi="宋体" w:cs="宋体" w:eastAsia="宋体" w:hint="default"/>
          <w:spacing w:val="-1"/>
          <w:w w:val="100"/>
        </w:rPr>
        <w:t>2020</w:t>
      </w:r>
      <w:r>
        <w:rPr>
          <w:rFonts w:ascii="宋体" w:hAnsi="宋体" w:cs="宋体" w:eastAsia="宋体" w:hint="default"/>
          <w:spacing w:val="-52"/>
          <w:w w:val="100"/>
        </w:rPr>
        <w:t> </w:t>
      </w:r>
      <w:r>
        <w:rPr>
          <w:spacing w:val="-8"/>
          <w:w w:val="100"/>
        </w:rPr>
        <w:t>年公司债券（面向合格投资者）（第一期）发行公告，公司面向</w:t>
      </w:r>
      <w:r>
        <w:rPr>
          <w:w w:val="100"/>
        </w:rPr>
        <w:t> </w:t>
      </w:r>
      <w:r>
        <w:rPr>
          <w:spacing w:val="-2"/>
          <w:w w:val="100"/>
        </w:rPr>
        <w:t>合格投资者公开发行总额不超过 </w:t>
      </w:r>
      <w:r>
        <w:rPr>
          <w:rFonts w:ascii="宋体" w:hAnsi="宋体" w:cs="宋体" w:eastAsia="宋体" w:hint="default"/>
          <w:spacing w:val="-2"/>
          <w:w w:val="100"/>
        </w:rPr>
      </w:r>
      <w:r>
        <w:rPr>
          <w:rFonts w:ascii="宋体" w:hAnsi="宋体" w:cs="宋体" w:eastAsia="宋体" w:hint="default"/>
          <w:w w:val="100"/>
        </w:rPr>
        <w:t>12</w:t>
      </w:r>
      <w:r>
        <w:rPr>
          <w:rFonts w:ascii="宋体" w:hAnsi="宋体" w:cs="宋体" w:eastAsia="宋体" w:hint="default"/>
          <w:spacing w:val="14"/>
          <w:w w:val="100"/>
        </w:rPr>
        <w:t> </w:t>
      </w:r>
      <w:r>
        <w:rPr>
          <w:spacing w:val="-9"/>
          <w:w w:val="100"/>
        </w:rPr>
        <w:t>亿元的公司债券（以下简称“本次债券”）已获得中国证券监</w:t>
      </w:r>
      <w:r>
        <w:rPr>
          <w:w w:val="100"/>
        </w:rPr>
        <w:t> </w:t>
      </w:r>
      <w:r>
        <w:rPr/>
        <w:t>督管理委员会“证监许可【</w:t>
      </w:r>
      <w:r>
        <w:rPr>
          <w:rFonts w:ascii="宋体" w:hAnsi="宋体" w:cs="宋体" w:eastAsia="宋体" w:hint="default"/>
        </w:rPr>
        <w:t>2019</w:t>
      </w:r>
      <w:r>
        <w:rPr/>
        <w:t>】</w:t>
      </w:r>
      <w:r>
        <w:rPr>
          <w:rFonts w:ascii="宋体" w:hAnsi="宋体" w:cs="宋体" w:eastAsia="宋体" w:hint="default"/>
        </w:rPr>
        <w:t>1610</w:t>
      </w:r>
      <w:r>
        <w:rPr>
          <w:rFonts w:ascii="宋体" w:hAnsi="宋体" w:cs="宋体" w:eastAsia="宋体" w:hint="default"/>
          <w:spacing w:val="-32"/>
        </w:rPr>
        <w:t> </w:t>
      </w:r>
      <w:r>
        <w:rPr/>
        <w:t>号”文核准。公司公开发行</w:t>
      </w:r>
      <w:r>
        <w:rPr>
          <w:spacing w:val="-34"/>
        </w:rPr>
        <w:t> </w:t>
      </w:r>
      <w:r>
        <w:rPr>
          <w:rFonts w:ascii="宋体" w:hAnsi="宋体" w:cs="宋体" w:eastAsia="宋体" w:hint="default"/>
        </w:rPr>
        <w:t>2020</w:t>
      </w:r>
      <w:r>
        <w:rPr>
          <w:rFonts w:ascii="宋体" w:hAnsi="宋体" w:cs="宋体" w:eastAsia="宋体" w:hint="default"/>
          <w:spacing w:val="-34"/>
        </w:rPr>
        <w:t> </w:t>
      </w:r>
      <w:r>
        <w:rPr/>
        <w:t>年公司债券（面向合格</w:t>
      </w:r>
    </w:p>
    <w:p>
      <w:pPr>
        <w:pStyle w:val="BodyText"/>
        <w:spacing w:line="272" w:lineRule="exact" w:before="1"/>
        <w:ind w:left="216" w:right="222"/>
        <w:jc w:val="left"/>
      </w:pPr>
      <w:r>
        <w:rPr>
          <w:spacing w:val="-11"/>
          <w:w w:val="100"/>
        </w:rPr>
        <w:t>投资者）（第一期）（以下简称“本期债券”）为第一期发行，本期债券的发行规模为不超过人民币</w:t>
      </w:r>
      <w:r>
        <w:rPr>
          <w:spacing w:val="-90"/>
          <w:w w:val="100"/>
        </w:rPr>
        <w:t> </w:t>
      </w:r>
      <w:r>
        <w:rPr>
          <w:spacing w:val="-90"/>
          <w:w w:val="100"/>
        </w:rPr>
      </w:r>
      <w:r>
        <w:rPr>
          <w:rFonts w:ascii="宋体" w:hAnsi="宋体" w:cs="宋体" w:eastAsia="宋体" w:hint="default"/>
        </w:rPr>
        <w:t>4</w:t>
      </w:r>
      <w:r>
        <w:rPr>
          <w:rFonts w:ascii="宋体" w:hAnsi="宋体" w:cs="宋体" w:eastAsia="宋体" w:hint="default"/>
          <w:spacing w:val="8"/>
        </w:rPr>
        <w:t> </w:t>
      </w:r>
      <w:r>
        <w:rPr/>
        <w:t>亿元，本期发行的公司债券由江西省融资担保股份有限公司提供无条件不可撤销的连带责任保</w:t>
      </w:r>
    </w:p>
    <w:p>
      <w:pPr>
        <w:pStyle w:val="BodyText"/>
        <w:spacing w:line="244" w:lineRule="exact"/>
        <w:ind w:left="216" w:right="0"/>
        <w:jc w:val="both"/>
      </w:pPr>
      <w:r>
        <w:rPr/>
        <w:t>证担保。</w:t>
      </w:r>
    </w:p>
    <w:p>
      <w:pPr>
        <w:pStyle w:val="Heading3"/>
        <w:spacing w:line="309" w:lineRule="exact"/>
        <w:ind w:right="0"/>
        <w:jc w:val="both"/>
        <w:rPr>
          <w:rFonts w:ascii="宋体" w:hAnsi="宋体" w:cs="宋体" w:eastAsia="宋体" w:hint="default"/>
        </w:rPr>
      </w:pPr>
      <w:r>
        <w:rPr>
          <w:rFonts w:ascii="宋体"/>
        </w:rPr>
        <w:t> </w:t>
      </w:r>
    </w:p>
    <w:p>
      <w:pPr>
        <w:pStyle w:val="Heading5"/>
        <w:spacing w:line="290" w:lineRule="auto"/>
        <w:ind w:right="6952"/>
        <w:jc w:val="both"/>
        <w:rPr>
          <w:rFonts w:ascii="宋体" w:hAnsi="宋体" w:cs="宋体" w:eastAsia="宋体" w:hint="default"/>
          <w:b w:val="0"/>
          <w:bCs w:val="0"/>
        </w:rPr>
      </w:pPr>
      <w:r>
        <w:rPr/>
        <w:t>十六、</w:t>
      </w:r>
      <w:r>
        <w:rPr>
          <w:spacing w:val="102"/>
        </w:rPr>
        <w:t> </w:t>
      </w:r>
      <w:r>
        <w:rPr>
          <w:rFonts w:ascii="宋体" w:hAnsi="宋体" w:cs="宋体" w:eastAsia="宋体" w:hint="default"/>
          <w:spacing w:val="102"/>
        </w:rPr>
      </w:r>
      <w:r>
        <w:rPr/>
        <w:t>其他重要事项</w:t>
      </w:r>
      <w:r>
        <w:rPr>
          <w:w w:val="100"/>
        </w:rPr>
        <w:t> </w:t>
      </w:r>
      <w:r>
        <w:rPr>
          <w:rFonts w:ascii="宋体" w:hAnsi="宋体" w:cs="宋体" w:eastAsia="宋体" w:hint="default"/>
        </w:rPr>
        <w:t>1</w:t>
      </w:r>
      <w:r>
        <w:rPr/>
        <w:t>、</w:t>
      </w:r>
      <w:r>
        <w:rPr>
          <w:spacing w:val="4"/>
        </w:rPr>
        <w:t> </w:t>
      </w:r>
      <w:r>
        <w:rPr/>
        <w:t>前期会计差错更正</w:t>
      </w:r>
      <w:r>
        <w:rPr>
          <w:w w:val="100"/>
        </w:rPr>
        <w:t> </w:t>
      </w:r>
      <w:r>
        <w:rPr>
          <w:rFonts w:ascii="宋体" w:hAnsi="宋体" w:cs="宋体" w:eastAsia="宋体" w:hint="default"/>
        </w:rPr>
        <w:t>(1).</w:t>
      </w:r>
      <w:r>
        <w:rPr/>
        <w:t>追溯重述法</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6"/>
        <w:ind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40" w:lineRule="auto"/>
        <w:ind w:right="0"/>
        <w:jc w:val="both"/>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5"/>
        </w:rPr>
        <w:t> </w:t>
      </w:r>
      <w:r>
        <w:rPr/>
        <w:t>未来适用法</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both"/>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Heading5"/>
        <w:spacing w:line="240" w:lineRule="auto" w:before="36"/>
        <w:ind w:left="136" w:right="0"/>
        <w:jc w:val="left"/>
        <w:rPr>
          <w:b w:val="0"/>
          <w:bCs w:val="0"/>
        </w:rPr>
      </w:pPr>
      <w:r>
        <w:rPr>
          <w:rFonts w:ascii="宋体" w:hAnsi="宋体" w:cs="宋体" w:eastAsia="宋体" w:hint="default"/>
        </w:rPr>
        <w:t>2</w:t>
      </w:r>
      <w:r>
        <w:rPr/>
        <w:t>、</w:t>
      </w:r>
      <w:r>
        <w:rPr>
          <w:spacing w:val="3"/>
        </w:rPr>
        <w:t> </w:t>
      </w:r>
      <w:r>
        <w:rPr/>
        <w:t>债务重组</w:t>
      </w:r>
      <w:r>
        <w:rPr>
          <w:b w:val="0"/>
          <w:bCs w:val="0"/>
        </w:rPr>
      </w:r>
    </w:p>
    <w:p>
      <w:pPr>
        <w:pStyle w:val="Heading3"/>
        <w:spacing w:line="313" w:lineRule="exact" w:before="50"/>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136" w:right="0"/>
        <w:jc w:val="left"/>
        <w:rPr>
          <w:rFonts w:ascii="宋体" w:hAnsi="宋体" w:cs="宋体" w:eastAsia="宋体" w:hint="default"/>
        </w:rPr>
      </w:pPr>
      <w:r>
        <w:rPr>
          <w:rFonts w:ascii="宋体"/>
        </w:rPr>
        <w:t> </w:t>
      </w:r>
    </w:p>
    <w:p>
      <w:pPr>
        <w:pStyle w:val="Heading5"/>
        <w:spacing w:line="240" w:lineRule="auto"/>
        <w:ind w:left="136" w:right="0"/>
        <w:jc w:val="left"/>
        <w:rPr>
          <w:b w:val="0"/>
          <w:bCs w:val="0"/>
        </w:rPr>
      </w:pPr>
      <w:r>
        <w:rPr>
          <w:rFonts w:ascii="宋体" w:hAnsi="宋体" w:cs="宋体" w:eastAsia="宋体" w:hint="default"/>
        </w:rPr>
        <w:t>3</w:t>
      </w:r>
      <w:r>
        <w:rPr/>
        <w:t>、</w:t>
      </w:r>
      <w:r>
        <w:rPr>
          <w:spacing w:val="3"/>
        </w:rPr>
        <w:t> </w:t>
      </w:r>
      <w:r>
        <w:rPr/>
        <w:t>资产置换</w:t>
      </w:r>
      <w:r>
        <w:rPr>
          <w:b w:val="0"/>
          <w:bCs w:val="0"/>
        </w:rPr>
      </w:r>
    </w:p>
    <w:p>
      <w:pPr>
        <w:pStyle w:val="Heading5"/>
        <w:spacing w:line="240" w:lineRule="auto" w:before="56"/>
        <w:ind w:left="13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4"/>
        </w:rPr>
        <w:t> </w:t>
      </w:r>
      <w:r>
        <w:rPr/>
        <w:t>非货币性资产交换</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100"/>
        <w:ind w:left="1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136" w:right="0"/>
        <w:jc w:val="left"/>
        <w:rPr>
          <w:rFonts w:ascii="宋体" w:hAnsi="宋体" w:cs="宋体" w:eastAsia="宋体" w:hint="default"/>
        </w:rPr>
      </w:pPr>
      <w:r>
        <w:rPr>
          <w:rFonts w:ascii="宋体"/>
        </w:rPr>
        <w:t> </w:t>
      </w:r>
    </w:p>
    <w:p>
      <w:pPr>
        <w:pStyle w:val="Heading5"/>
        <w:spacing w:line="240" w:lineRule="auto" w:before="61"/>
        <w:ind w:left="136"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5"/>
        </w:rPr>
        <w:t> </w:t>
      </w:r>
      <w:r>
        <w:rPr/>
        <w:t>其他资产置换</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1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80"/>
          <w:pgSz w:w="11910" w:h="16840"/>
          <w:pgMar w:footer="1195" w:header="882" w:top="1120" w:bottom="1380" w:left="1140" w:right="1680"/>
        </w:sectPr>
      </w:pPr>
    </w:p>
    <w:p>
      <w:pPr>
        <w:spacing w:line="240" w:lineRule="auto" w:before="10"/>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headerReference w:type="default" r:id="rId81"/>
          <w:footerReference w:type="default" r:id="rId82"/>
          <w:pgSz w:w="16840" w:h="11910" w:orient="landscape"/>
          <w:pgMar w:header="882" w:footer="1195" w:top="1120" w:bottom="1380" w:left="1380" w:right="1220"/>
          <w:pgNumType w:start="192"/>
        </w:sectPr>
      </w:pPr>
    </w:p>
    <w:p>
      <w:pPr>
        <w:pStyle w:val="Heading5"/>
        <w:spacing w:line="240" w:lineRule="auto" w:before="36"/>
        <w:ind w:left="144" w:right="0"/>
        <w:jc w:val="left"/>
        <w:rPr>
          <w:b w:val="0"/>
          <w:bCs w:val="0"/>
        </w:rPr>
      </w:pPr>
      <w:r>
        <w:rPr>
          <w:rFonts w:ascii="宋体" w:hAnsi="宋体" w:cs="宋体" w:eastAsia="宋体" w:hint="default"/>
        </w:rPr>
        <w:t>4</w:t>
      </w:r>
      <w:r>
        <w:rPr/>
        <w:t>、</w:t>
      </w:r>
      <w:r>
        <w:rPr>
          <w:spacing w:val="3"/>
        </w:rPr>
        <w:t> </w:t>
      </w:r>
      <w:r>
        <w:rPr/>
        <w:t>年金计划</w:t>
      </w:r>
      <w:r>
        <w:rPr>
          <w:b w:val="0"/>
          <w:bCs w:val="0"/>
        </w:rPr>
      </w:r>
    </w:p>
    <w:p>
      <w:pPr>
        <w:pStyle w:val="Heading3"/>
        <w:spacing w:line="313" w:lineRule="exact" w:before="50"/>
        <w:ind w:left="14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144" w:right="0"/>
        <w:jc w:val="left"/>
        <w:rPr>
          <w:rFonts w:ascii="宋体" w:hAnsi="宋体" w:cs="宋体" w:eastAsia="宋体" w:hint="default"/>
        </w:rPr>
      </w:pPr>
      <w:r>
        <w:rPr>
          <w:rFonts w:ascii="宋体"/>
        </w:rPr>
        <w:t> </w:t>
      </w:r>
    </w:p>
    <w:p>
      <w:pPr>
        <w:pStyle w:val="Heading5"/>
        <w:spacing w:line="240" w:lineRule="auto"/>
        <w:ind w:left="144" w:right="0"/>
        <w:jc w:val="left"/>
        <w:rPr>
          <w:rFonts w:ascii="宋体" w:hAnsi="宋体" w:cs="宋体" w:eastAsia="宋体" w:hint="default"/>
          <w:b w:val="0"/>
          <w:bCs w:val="0"/>
        </w:rPr>
      </w:pPr>
      <w:r>
        <w:rPr>
          <w:rFonts w:ascii="宋体" w:hAnsi="宋体" w:cs="宋体" w:eastAsia="宋体" w:hint="default"/>
        </w:rPr>
        <w:t>5</w:t>
      </w:r>
      <w:r>
        <w:rPr/>
        <w:t>、 终止经营</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14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3"/>
          <w:szCs w:val="33"/>
        </w:rPr>
      </w:pPr>
    </w:p>
    <w:p>
      <w:pPr>
        <w:pStyle w:val="BodyText"/>
        <w:spacing w:line="240" w:lineRule="auto"/>
        <w:ind w:left="144" w:right="0"/>
        <w:jc w:val="left"/>
        <w:rPr>
          <w:rFonts w:ascii="宋体" w:hAnsi="宋体" w:cs="宋体" w:eastAsia="宋体" w:hint="default"/>
          <w:sz w:val="24"/>
          <w:szCs w:val="24"/>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6840" w:h="11910" w:orient="landscape"/>
          <w:pgMar w:top="1120" w:bottom="1380" w:left="1380" w:right="1220"/>
          <w:cols w:num="2" w:equalWidth="0">
            <w:col w:w="2185" w:space="9378"/>
            <w:col w:w="2677"/>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846"/>
        <w:gridCol w:w="1850"/>
        <w:gridCol w:w="1423"/>
        <w:gridCol w:w="1424"/>
        <w:gridCol w:w="1286"/>
        <w:gridCol w:w="1378"/>
        <w:gridCol w:w="2729"/>
      </w:tblGrid>
      <w:tr>
        <w:trPr>
          <w:trHeight w:val="554" w:hRule="exact"/>
        </w:trPr>
        <w:tc>
          <w:tcPr>
            <w:tcW w:w="3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10"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4" w:right="0"/>
              <w:jc w:val="left"/>
              <w:rPr>
                <w:rFonts w:ascii="宋体" w:hAnsi="宋体" w:cs="宋体" w:eastAsia="宋体" w:hint="default"/>
                <w:sz w:val="21"/>
                <w:szCs w:val="21"/>
              </w:rPr>
            </w:pPr>
            <w:r>
              <w:rPr>
                <w:rFonts w:ascii="宋体" w:hAnsi="宋体" w:cs="宋体" w:eastAsia="宋体" w:hint="default"/>
                <w:sz w:val="21"/>
                <w:szCs w:val="21"/>
              </w:rPr>
              <w:t>费用</w:t>
            </w:r>
            <w:r>
              <w:rPr>
                <w:rFonts w:ascii="宋体" w:hAnsi="宋体" w:cs="宋体" w:eastAsia="宋体" w:hint="default"/>
                <w:sz w:val="21"/>
                <w:szCs w:val="21"/>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8" w:right="0"/>
              <w:jc w:val="left"/>
              <w:rPr>
                <w:rFonts w:ascii="宋体" w:hAnsi="宋体" w:cs="宋体" w:eastAsia="宋体" w:hint="default"/>
                <w:sz w:val="21"/>
                <w:szCs w:val="21"/>
              </w:rPr>
            </w:pPr>
            <w:r>
              <w:rPr>
                <w:rFonts w:ascii="宋体" w:hAnsi="宋体" w:cs="宋体" w:eastAsia="宋体" w:hint="default"/>
                <w:sz w:val="21"/>
                <w:szCs w:val="21"/>
              </w:rPr>
              <w:t>利润总额</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hAnsi="宋体" w:cs="宋体" w:eastAsia="宋体" w:hint="default"/>
                <w:spacing w:val="-2"/>
                <w:sz w:val="21"/>
                <w:szCs w:val="21"/>
              </w:rPr>
              <w:t>所得税费用</w:t>
            </w:r>
            <w:r>
              <w:rPr>
                <w:rFonts w:ascii="宋体" w:hAnsi="宋体" w:cs="宋体" w:eastAsia="宋体" w:hint="default"/>
                <w:sz w:val="21"/>
                <w:szCs w:val="21"/>
              </w:rPr>
              <w:t>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9"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归属于母公司所有者的终止</w:t>
            </w:r>
          </w:p>
          <w:p>
            <w:pPr>
              <w:pStyle w:val="TableParagraph"/>
              <w:spacing w:line="274" w:lineRule="exact"/>
              <w:ind w:left="108" w:right="0"/>
              <w:jc w:val="center"/>
              <w:rPr>
                <w:rFonts w:ascii="宋体" w:hAnsi="宋体" w:cs="宋体" w:eastAsia="宋体" w:hint="default"/>
                <w:sz w:val="21"/>
                <w:szCs w:val="21"/>
              </w:rPr>
            </w:pPr>
            <w:r>
              <w:rPr>
                <w:rFonts w:ascii="宋体" w:hAnsi="宋体" w:cs="宋体" w:eastAsia="宋体" w:hint="default"/>
                <w:sz w:val="21"/>
                <w:szCs w:val="21"/>
              </w:rPr>
              <w:t>经营利润</w:t>
            </w:r>
            <w:r>
              <w:rPr>
                <w:rFonts w:ascii="宋体" w:hAnsi="宋体" w:cs="宋体" w:eastAsia="宋体" w:hint="default"/>
                <w:sz w:val="21"/>
                <w:szCs w:val="21"/>
              </w:rPr>
              <w:t> </w:t>
            </w:r>
          </w:p>
        </w:tc>
      </w:tr>
      <w:tr>
        <w:trPr>
          <w:trHeight w:val="284" w:hRule="exact"/>
        </w:trPr>
        <w:tc>
          <w:tcPr>
            <w:tcW w:w="3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济南吉美乐电源技术有限公司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10,477,644.93</w:t>
            </w:r>
            <w:r>
              <w:rPr>
                <w:rFonts w:ascii="Times New Roman"/>
                <w:sz w:val="20"/>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9,092,947.87</w:t>
            </w:r>
            <w:r>
              <w:rPr>
                <w:rFonts w:ascii="Times New Roman"/>
                <w:sz w:val="20"/>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1,384,697.06</w:t>
            </w:r>
            <w:r>
              <w:rPr>
                <w:rFonts w:ascii="Times New Roman"/>
                <w:sz w:val="20"/>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20"/>
                <w:szCs w:val="20"/>
              </w:rPr>
            </w:pPr>
            <w:r>
              <w:rPr>
                <w:rFonts w:ascii="Times New Roman"/>
                <w:w w:val="95"/>
                <w:sz w:val="20"/>
              </w:rPr>
              <w:t>277,029.02</w:t>
            </w:r>
            <w:r>
              <w:rPr>
                <w:rFonts w:ascii="Times New Roman"/>
                <w:sz w:val="20"/>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0"/>
                <w:szCs w:val="20"/>
              </w:rPr>
            </w:pPr>
            <w:r>
              <w:rPr>
                <w:rFonts w:ascii="Times New Roman"/>
                <w:w w:val="95"/>
                <w:sz w:val="20"/>
              </w:rPr>
              <w:t>1,107,668.04</w:t>
            </w:r>
            <w:r>
              <w:rPr>
                <w:rFonts w:ascii="Times New Roman"/>
                <w:sz w:val="20"/>
              </w:rPr>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1,107,668.04</w:t>
            </w:r>
            <w:r>
              <w:rPr>
                <w:rFonts w:ascii="Times New Roman"/>
                <w:sz w:val="20"/>
              </w:rPr>
            </w:r>
          </w:p>
        </w:tc>
      </w:tr>
      <w:tr>
        <w:trPr>
          <w:trHeight w:val="283" w:hRule="exact"/>
        </w:trPr>
        <w:tc>
          <w:tcPr>
            <w:tcW w:w="3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湖南基石通信技术有限公司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6,905,935.58</w:t>
            </w:r>
            <w:r>
              <w:rPr>
                <w:rFonts w:ascii="Times New Roman"/>
                <w:sz w:val="20"/>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8,967,766.44</w:t>
            </w:r>
            <w:r>
              <w:rPr>
                <w:rFonts w:ascii="Times New Roman"/>
                <w:sz w:val="20"/>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-2,061,830.86</w:t>
            </w:r>
            <w:r>
              <w:rPr>
                <w:rFonts w:ascii="Times New Roman"/>
                <w:sz w:val="20"/>
              </w:rPr>
            </w:r>
          </w:p>
        </w:tc>
        <w:tc>
          <w:tcPr>
            <w:tcW w:w="128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0"/>
                <w:szCs w:val="20"/>
              </w:rPr>
            </w:pPr>
            <w:r>
              <w:rPr>
                <w:rFonts w:ascii="Times New Roman"/>
                <w:w w:val="95"/>
                <w:sz w:val="20"/>
              </w:rPr>
              <w:t>-2,061,830.86</w:t>
            </w:r>
            <w:r>
              <w:rPr>
                <w:rFonts w:ascii="Times New Roman"/>
                <w:sz w:val="20"/>
              </w:rPr>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-1,051,533.74</w:t>
            </w:r>
            <w:r>
              <w:rPr>
                <w:rFonts w:ascii="Times New Roman"/>
                <w:sz w:val="20"/>
              </w:rPr>
            </w:r>
          </w:p>
        </w:tc>
      </w:tr>
      <w:tr>
        <w:trPr>
          <w:trHeight w:val="281" w:hRule="exact"/>
        </w:trPr>
        <w:tc>
          <w:tcPr>
            <w:tcW w:w="3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上海致胜信息技术有限公司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1,369,824.36</w:t>
            </w:r>
            <w:r>
              <w:rPr>
                <w:rFonts w:ascii="Times New Roman"/>
                <w:sz w:val="20"/>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8,935,108.84</w:t>
            </w:r>
            <w:r>
              <w:rPr>
                <w:rFonts w:ascii="Times New Roman"/>
                <w:sz w:val="20"/>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-7,565,284.48</w:t>
            </w:r>
            <w:r>
              <w:rPr>
                <w:rFonts w:ascii="Times New Roman"/>
                <w:sz w:val="20"/>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20"/>
                <w:szCs w:val="20"/>
              </w:rPr>
            </w:pPr>
            <w:r>
              <w:rPr>
                <w:rFonts w:ascii="Times New Roman"/>
                <w:w w:val="95"/>
                <w:sz w:val="20"/>
              </w:rPr>
              <w:t>89,344.04</w:t>
            </w:r>
            <w:r>
              <w:rPr>
                <w:rFonts w:ascii="Times New Roman"/>
                <w:sz w:val="20"/>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0"/>
                <w:szCs w:val="20"/>
              </w:rPr>
            </w:pPr>
            <w:r>
              <w:rPr>
                <w:rFonts w:ascii="Times New Roman"/>
                <w:w w:val="95"/>
                <w:sz w:val="20"/>
              </w:rPr>
              <w:t>-7,654,628.52</w:t>
            </w:r>
            <w:r>
              <w:rPr>
                <w:rFonts w:ascii="Times New Roman"/>
                <w:sz w:val="20"/>
              </w:rPr>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-3,903,860.55</w:t>
            </w:r>
            <w:r>
              <w:rPr>
                <w:rFonts w:ascii="Times New Roman"/>
                <w:sz w:val="20"/>
              </w:rPr>
            </w:r>
          </w:p>
        </w:tc>
      </w:tr>
      <w:tr>
        <w:trPr>
          <w:trHeight w:val="283" w:hRule="exact"/>
        </w:trPr>
        <w:tc>
          <w:tcPr>
            <w:tcW w:w="3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宁波博辕信息技术服务有限公司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141,037.20</w:t>
            </w:r>
            <w:r>
              <w:rPr>
                <w:rFonts w:ascii="Times New Roman"/>
                <w:sz w:val="20"/>
              </w:rPr>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20"/>
                <w:szCs w:val="20"/>
              </w:rPr>
            </w:pPr>
            <w:r>
              <w:rPr>
                <w:rFonts w:ascii="Times New Roman"/>
                <w:w w:val="95"/>
                <w:sz w:val="20"/>
              </w:rPr>
              <w:t>99,633.77</w:t>
            </w:r>
            <w:r>
              <w:rPr>
                <w:rFonts w:ascii="Times New Roman"/>
                <w:sz w:val="20"/>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41,403.43</w:t>
            </w:r>
            <w:r>
              <w:rPr>
                <w:rFonts w:ascii="Times New Roman"/>
                <w:sz w:val="20"/>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20"/>
                <w:szCs w:val="20"/>
              </w:rPr>
            </w:pPr>
            <w:r>
              <w:rPr>
                <w:rFonts w:ascii="Times New Roman"/>
                <w:w w:val="95"/>
                <w:sz w:val="20"/>
              </w:rPr>
              <w:t>16,898.76</w:t>
            </w:r>
            <w:r>
              <w:rPr>
                <w:rFonts w:ascii="Times New Roman"/>
                <w:sz w:val="20"/>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0"/>
                <w:szCs w:val="20"/>
              </w:rPr>
            </w:pPr>
            <w:r>
              <w:rPr>
                <w:rFonts w:ascii="Times New Roman"/>
                <w:w w:val="95"/>
                <w:sz w:val="20"/>
              </w:rPr>
              <w:t>24,504.67</w:t>
            </w:r>
            <w:r>
              <w:rPr>
                <w:rFonts w:ascii="Times New Roman"/>
                <w:sz w:val="20"/>
              </w:rPr>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24,504.67</w:t>
            </w:r>
            <w:r>
              <w:rPr>
                <w:rFonts w:ascii="Times New Roman"/>
                <w:sz w:val="20"/>
              </w:rPr>
            </w:r>
          </w:p>
        </w:tc>
      </w:tr>
      <w:tr>
        <w:trPr>
          <w:trHeight w:val="281" w:hRule="exact"/>
        </w:trPr>
        <w:tc>
          <w:tcPr>
            <w:tcW w:w="3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杭州乾龙伟业电器成套有限公司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10,461,075.99</w:t>
            </w:r>
            <w:r>
              <w:rPr>
                <w:rFonts w:ascii="Times New Roman"/>
                <w:sz w:val="20"/>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-10,461,075.99</w:t>
            </w:r>
            <w:r>
              <w:rPr>
                <w:rFonts w:ascii="Times New Roman"/>
                <w:sz w:val="20"/>
              </w:rPr>
            </w:r>
          </w:p>
        </w:tc>
        <w:tc>
          <w:tcPr>
            <w:tcW w:w="128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w w:val="95"/>
                <w:sz w:val="20"/>
              </w:rPr>
              <w:t>-10,461,075.99</w:t>
            </w:r>
            <w:r>
              <w:rPr>
                <w:rFonts w:ascii="Times New Roman"/>
                <w:sz w:val="20"/>
              </w:rPr>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-4,483,318.28</w:t>
            </w:r>
            <w:r>
              <w:rPr>
                <w:rFonts w:ascii="Times New Roman"/>
                <w:sz w:val="20"/>
              </w:rPr>
            </w:r>
          </w:p>
        </w:tc>
      </w:tr>
      <w:tr>
        <w:trPr>
          <w:trHeight w:val="283" w:hRule="exact"/>
        </w:trPr>
        <w:tc>
          <w:tcPr>
            <w:tcW w:w="38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贵州泰豪宝碳智慧能源有限公司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20"/>
                <w:szCs w:val="20"/>
              </w:rPr>
            </w:pPr>
            <w:r>
              <w:rPr>
                <w:rFonts w:ascii="Times New Roman"/>
                <w:w w:val="95"/>
                <w:sz w:val="20"/>
              </w:rPr>
              <w:t>213,941.27</w:t>
            </w:r>
            <w:r>
              <w:rPr>
                <w:rFonts w:ascii="Times New Roman"/>
                <w:sz w:val="20"/>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-213,941.27</w:t>
            </w:r>
            <w:r>
              <w:rPr>
                <w:rFonts w:ascii="Times New Roman"/>
                <w:sz w:val="20"/>
              </w:rPr>
            </w:r>
          </w:p>
        </w:tc>
        <w:tc>
          <w:tcPr>
            <w:tcW w:w="128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0"/>
                <w:szCs w:val="20"/>
              </w:rPr>
            </w:pPr>
            <w:r>
              <w:rPr>
                <w:rFonts w:ascii="Times New Roman"/>
                <w:w w:val="95"/>
                <w:sz w:val="20"/>
              </w:rPr>
              <w:t>-213,941.27</w:t>
            </w:r>
            <w:r>
              <w:rPr>
                <w:rFonts w:ascii="Times New Roman"/>
                <w:sz w:val="20"/>
              </w:rPr>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0"/>
                <w:szCs w:val="20"/>
              </w:rPr>
            </w:pPr>
            <w:r>
              <w:rPr>
                <w:rFonts w:ascii="Times New Roman"/>
                <w:w w:val="95"/>
                <w:sz w:val="20"/>
              </w:rPr>
              <w:t>-192,547.14</w:t>
            </w:r>
            <w:r>
              <w:rPr>
                <w:rFonts w:ascii="Times New Roman"/>
                <w:sz w:val="20"/>
              </w:rPr>
            </w:r>
          </w:p>
        </w:tc>
      </w:tr>
    </w:tbl>
    <w:p>
      <w:pPr>
        <w:pStyle w:val="Heading3"/>
        <w:spacing w:line="240" w:lineRule="auto" w:before="19"/>
        <w:ind w:left="144" w:right="0"/>
        <w:jc w:val="left"/>
        <w:rPr>
          <w:rFonts w:ascii="宋体" w:hAnsi="宋体" w:cs="宋体" w:eastAsia="宋体" w:hint="default"/>
        </w:rPr>
      </w:pPr>
      <w:r>
        <w:rPr>
          <w:rFonts w:ascii="宋体"/>
        </w:rPr>
        <w:t> </w:t>
      </w:r>
    </w:p>
    <w:p>
      <w:pPr>
        <w:pStyle w:val="Heading5"/>
        <w:spacing w:line="240" w:lineRule="auto"/>
        <w:ind w:left="144" w:right="0"/>
        <w:jc w:val="left"/>
        <w:rPr>
          <w:rFonts w:ascii="宋体" w:hAnsi="宋体" w:cs="宋体" w:eastAsia="宋体" w:hint="default"/>
          <w:b w:val="0"/>
          <w:bCs w:val="0"/>
        </w:rPr>
      </w:pPr>
      <w:r>
        <w:rPr>
          <w:rFonts w:ascii="宋体" w:hAnsi="宋体" w:cs="宋体" w:eastAsia="宋体" w:hint="default"/>
        </w:rPr>
        <w:t>6</w:t>
      </w:r>
      <w:r>
        <w:rPr/>
        <w:t>、 分部信息</w:t>
      </w:r>
      <w:r>
        <w:rPr>
          <w:rFonts w:ascii="宋体" w:hAnsi="宋体" w:cs="宋体" w:eastAsia="宋体" w:hint="default"/>
          <w:w w:val="99"/>
        </w:rPr>
        <w:t> </w:t>
      </w:r>
      <w:r>
        <w:rPr>
          <w:rFonts w:ascii="宋体" w:hAnsi="宋体" w:cs="宋体" w:eastAsia="宋体" w:hint="default"/>
          <w:b w:val="0"/>
          <w:bCs w:val="0"/>
        </w:rPr>
      </w:r>
    </w:p>
    <w:p>
      <w:pPr>
        <w:pStyle w:val="Heading5"/>
        <w:spacing w:line="240" w:lineRule="auto" w:before="56"/>
        <w:ind w:left="144"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7"/>
        </w:rPr>
        <w:t> </w:t>
      </w:r>
      <w:r>
        <w:rPr/>
        <w:t>报告分部的确定依据与会计政策</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2"/>
        <w:ind w:left="144" w:right="0"/>
        <w:jc w:val="left"/>
        <w:rPr>
          <w:rFonts w:ascii="宋体" w:hAnsi="宋体" w:cs="宋体" w:eastAsia="宋体" w:hint="default"/>
        </w:rPr>
      </w:pPr>
      <w:r>
        <w:rPr>
          <w:sz w:val="24"/>
          <w:szCs w:val="24"/>
        </w:rPr>
        <w:t>√适用</w:t>
      </w:r>
      <w:r>
        <w:rPr>
          <w:spacing w:val="120"/>
          <w:sz w:val="24"/>
          <w:szCs w:val="24"/>
        </w:rPr>
        <w:t> </w:t>
      </w:r>
      <w:r>
        <w:rPr>
          <w:rFonts w:ascii="宋体" w:hAnsi="宋体" w:cs="宋体" w:eastAsia="宋体" w:hint="default"/>
          <w:spacing w:val="120"/>
          <w:sz w:val="24"/>
          <w:szCs w:val="24"/>
        </w:rPr>
      </w:r>
      <w:r>
        <w:rPr>
          <w:sz w:val="24"/>
          <w:szCs w:val="24"/>
        </w:rPr>
        <w:t>□不适用</w:t>
      </w:r>
      <w:r>
        <w:rPr>
          <w:rFonts w:ascii="宋体" w:hAnsi="宋体" w:cs="宋体" w:eastAsia="宋体" w:hint="default"/>
          <w:sz w:val="24"/>
          <w:szCs w:val="24"/>
        </w:rPr>
        <w:t>  </w:t>
      </w:r>
      <w:r>
        <w:rPr>
          <w:spacing w:val="-2"/>
        </w:rPr>
        <w:t>本公司根据产品所属的细分行业，以内部组织结构、管理要求、内部报告制度为依据确定经营分部，以经营分部为基础确定报告分部。经营分部，是指</w:t>
      </w:r>
      <w:r>
        <w:rPr>
          <w:spacing w:val="22"/>
        </w:rPr>
        <w:t> </w:t>
      </w:r>
      <w:r>
        <w:rPr>
          <w:spacing w:val="22"/>
        </w:rPr>
      </w:r>
      <w:r>
        <w:rPr/>
        <w:t>公司内同时满足下列条件的组成部分：</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44" w:right="0"/>
        <w:jc w:val="left"/>
        <w:rPr>
          <w:rFonts w:ascii="宋体" w:hAnsi="宋体" w:cs="宋体" w:eastAsia="宋体" w:hint="default"/>
        </w:rPr>
      </w:pPr>
      <w:r>
        <w:rPr/>
        <w:t>（</w:t>
      </w:r>
      <w:r>
        <w:rPr>
          <w:rFonts w:ascii="宋体" w:hAnsi="宋体" w:cs="宋体" w:eastAsia="宋体" w:hint="default"/>
        </w:rPr>
        <w:t>1</w:t>
      </w:r>
      <w:r>
        <w:rPr/>
        <w:t>）该组成部分能够在日常活动中产生收入、发生费用；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44" w:right="0"/>
        <w:jc w:val="left"/>
        <w:rPr>
          <w:rFonts w:ascii="宋体" w:hAnsi="宋体" w:cs="宋体" w:eastAsia="宋体" w:hint="default"/>
        </w:rPr>
      </w:pPr>
      <w:r>
        <w:rPr/>
        <w:t>（</w:t>
      </w:r>
      <w:r>
        <w:rPr>
          <w:rFonts w:ascii="宋体" w:hAnsi="宋体" w:cs="宋体" w:eastAsia="宋体" w:hint="default"/>
        </w:rPr>
        <w:t>2</w:t>
      </w:r>
      <w:r>
        <w:rPr/>
        <w:t>）公司管理层能够定期评价该组成部分的经营成果，以决定向其配置资源、评价其业绩；</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44" w:right="0"/>
        <w:jc w:val="left"/>
        <w:rPr>
          <w:rFonts w:ascii="宋体" w:hAnsi="宋体" w:cs="宋体" w:eastAsia="宋体" w:hint="default"/>
        </w:rPr>
      </w:pPr>
      <w:r>
        <w:rPr/>
        <w:t>（</w:t>
      </w:r>
      <w:r>
        <w:rPr>
          <w:rFonts w:ascii="宋体" w:hAnsi="宋体" w:cs="宋体" w:eastAsia="宋体" w:hint="default"/>
        </w:rPr>
        <w:t>3</w:t>
      </w:r>
      <w:r>
        <w:rPr/>
        <w:t>）公司能够取得该组成部分的财务状况、经营成果和现金流量等有关会计信息。</w:t>
      </w:r>
      <w:r>
        <w:rPr>
          <w:rFonts w:ascii="宋体" w:hAnsi="宋体" w:cs="宋体" w:eastAsia="宋体" w:hint="default"/>
          <w:w w:val="100"/>
        </w:rPr>
        <w:t> </w:t>
      </w:r>
      <w:r>
        <w:rPr/>
        <w:t>如果两个或多个经营分部存在相似经济特征且同时在以下方面具有相同或相似性的，可以合并为一个经营分部：</w:t>
      </w:r>
      <w:r>
        <w:rPr>
          <w:rFonts w:ascii="宋体" w:hAnsi="宋体" w:cs="宋体" w:eastAsia="宋体" w:hint="default"/>
          <w:spacing w:val="-3"/>
        </w:rPr>
        <w:t> </w:t>
      </w:r>
      <w:r>
        <w:rPr>
          <w:rFonts w:ascii="宋体" w:hAnsi="宋体" w:cs="宋体" w:eastAsia="宋体" w:hint="default"/>
        </w:rPr>
        <w:t> </w:t>
      </w:r>
    </w:p>
    <w:p>
      <w:pPr>
        <w:pStyle w:val="BodyText"/>
        <w:spacing w:line="246" w:lineRule="exact"/>
        <w:ind w:left="144" w:right="0"/>
        <w:jc w:val="left"/>
        <w:rPr>
          <w:rFonts w:ascii="宋体" w:hAnsi="宋体" w:cs="宋体" w:eastAsia="宋体" w:hint="default"/>
        </w:rPr>
      </w:pPr>
      <w:r>
        <w:rPr/>
        <w:t>（</w:t>
      </w:r>
      <w:r>
        <w:rPr>
          <w:rFonts w:ascii="宋体" w:hAnsi="宋体" w:cs="宋体" w:eastAsia="宋体" w:hint="default"/>
        </w:rPr>
        <w:t>1</w:t>
      </w:r>
      <w:r>
        <w:rPr/>
        <w:t>）各单项产品或劳务的性质；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44" w:right="0"/>
        <w:jc w:val="left"/>
        <w:rPr>
          <w:rFonts w:ascii="宋体" w:hAnsi="宋体" w:cs="宋体" w:eastAsia="宋体" w:hint="default"/>
        </w:rPr>
      </w:pPr>
      <w:r>
        <w:rPr/>
        <w:t>（</w:t>
      </w:r>
      <w:r>
        <w:rPr>
          <w:rFonts w:ascii="宋体" w:hAnsi="宋体" w:cs="宋体" w:eastAsia="宋体" w:hint="default"/>
        </w:rPr>
        <w:t>2</w:t>
      </w:r>
      <w:r>
        <w:rPr/>
        <w:t>）生产过程的性质；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44" w:right="0"/>
        <w:jc w:val="left"/>
        <w:rPr>
          <w:rFonts w:ascii="宋体" w:hAnsi="宋体" w:cs="宋体" w:eastAsia="宋体" w:hint="default"/>
        </w:rPr>
      </w:pPr>
      <w:r>
        <w:rPr/>
        <w:t>（</w:t>
      </w:r>
      <w:r>
        <w:rPr>
          <w:rFonts w:ascii="宋体" w:hAnsi="宋体" w:cs="宋体" w:eastAsia="宋体" w:hint="default"/>
        </w:rPr>
        <w:t>3</w:t>
      </w:r>
      <w:r>
        <w:rPr/>
        <w:t>）产品或劳务的客户类型；</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44" w:right="0"/>
        <w:jc w:val="left"/>
        <w:rPr>
          <w:rFonts w:ascii="宋体" w:hAnsi="宋体" w:cs="宋体" w:eastAsia="宋体" w:hint="default"/>
        </w:rPr>
      </w:pPr>
      <w:r>
        <w:rPr/>
        <w:t>（</w:t>
      </w:r>
      <w:r>
        <w:rPr>
          <w:rFonts w:ascii="宋体" w:hAnsi="宋体" w:cs="宋体" w:eastAsia="宋体" w:hint="default"/>
        </w:rPr>
        <w:t>4</w:t>
      </w:r>
      <w:r>
        <w:rPr/>
        <w:t>）销售产品或提供劳务的方式；</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44" w:right="0"/>
        <w:jc w:val="left"/>
        <w:rPr>
          <w:rFonts w:ascii="宋体" w:hAnsi="宋体" w:cs="宋体" w:eastAsia="宋体" w:hint="default"/>
          <w:sz w:val="24"/>
          <w:szCs w:val="24"/>
        </w:rPr>
      </w:pPr>
      <w:r>
        <w:rPr/>
        <w:t>（</w:t>
      </w:r>
      <w:r>
        <w:rPr>
          <w:rFonts w:ascii="宋体" w:hAnsi="宋体" w:cs="宋体" w:eastAsia="宋体" w:hint="default"/>
        </w:rPr>
        <w:t>5</w:t>
      </w:r>
      <w:r>
        <w:rPr/>
        <w:t>）生产产品及提供劳务受法律、行政法规的影响。</w:t>
      </w:r>
      <w:r>
        <w:rPr>
          <w:rFonts w:ascii="宋体" w:hAnsi="宋体" w:cs="宋体" w:eastAsia="宋体" w:hint="default"/>
          <w:sz w:val="24"/>
          <w:szCs w:val="24"/>
        </w:rPr>
        <w:t> </w:t>
      </w:r>
    </w:p>
    <w:p>
      <w:pPr>
        <w:spacing w:after="0" w:line="273" w:lineRule="exact"/>
        <w:jc w:val="left"/>
        <w:rPr>
          <w:rFonts w:ascii="宋体" w:hAnsi="宋体" w:cs="宋体" w:eastAsia="宋体" w:hint="default"/>
          <w:sz w:val="24"/>
          <w:szCs w:val="24"/>
        </w:rPr>
        <w:sectPr>
          <w:type w:val="continuous"/>
          <w:pgSz w:w="16840" w:h="11910" w:orient="landscape"/>
          <w:pgMar w:top="1120" w:bottom="1380" w:left="1380" w:right="1220"/>
        </w:sectPr>
      </w:pPr>
    </w:p>
    <w:p>
      <w:pPr>
        <w:pStyle w:val="Heading3"/>
        <w:spacing w:line="240" w:lineRule="auto" w:before="111"/>
        <w:ind w:left="224" w:right="0"/>
        <w:jc w:val="left"/>
        <w:rPr>
          <w:rFonts w:ascii="宋体" w:hAnsi="宋体" w:cs="宋体" w:eastAsia="宋体" w:hint="default"/>
        </w:rPr>
      </w:pPr>
      <w:r>
        <w:rPr>
          <w:rFonts w:ascii="宋体"/>
        </w:rPr>
        <w:t> </w:t>
      </w:r>
    </w:p>
    <w:p>
      <w:pPr>
        <w:pStyle w:val="Heading5"/>
        <w:spacing w:line="240" w:lineRule="auto" w:before="61"/>
        <w:ind w:left="224"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5"/>
        </w:rPr>
        <w:t> </w:t>
      </w:r>
      <w:r>
        <w:rPr/>
        <w:t>报告分部的财务信息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left="224"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pgSz w:w="16840" w:h="11910" w:orient="landscape"/>
          <w:pgMar w:header="882" w:footer="1195" w:top="1120" w:bottom="1380" w:left="1300" w:right="1220"/>
          <w:cols w:num="2" w:equalWidth="0">
            <w:col w:w="2714" w:space="8849"/>
            <w:col w:w="2757"/>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175"/>
        <w:gridCol w:w="2736"/>
        <w:gridCol w:w="1875"/>
        <w:gridCol w:w="1728"/>
        <w:gridCol w:w="1834"/>
        <w:gridCol w:w="1742"/>
      </w:tblGrid>
      <w:tr>
        <w:trPr>
          <w:trHeight w:val="322" w:hRule="exact"/>
        </w:trPr>
        <w:tc>
          <w:tcPr>
            <w:tcW w:w="4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45" w:right="0"/>
              <w:jc w:val="left"/>
              <w:rPr>
                <w:rFonts w:ascii="宋体" w:hAnsi="宋体" w:cs="宋体" w:eastAsia="宋体" w:hint="default"/>
                <w:sz w:val="24"/>
                <w:szCs w:val="24"/>
              </w:rPr>
            </w:pPr>
            <w:r>
              <w:rPr>
                <w:rFonts w:ascii="宋体" w:hAnsi="宋体" w:cs="宋体" w:eastAsia="宋体" w:hint="default"/>
                <w:sz w:val="24"/>
                <w:szCs w:val="24"/>
              </w:rPr>
              <w:t>智能电力业务</w:t>
            </w:r>
            <w:r>
              <w:rPr>
                <w:rFonts w:ascii="宋体" w:hAnsi="宋体" w:cs="宋体" w:eastAsia="宋体" w:hint="default"/>
                <w:sz w:val="24"/>
                <w:szCs w:val="24"/>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9"/>
              <w:jc w:val="right"/>
              <w:rPr>
                <w:rFonts w:ascii="宋体" w:hAnsi="宋体" w:cs="宋体" w:eastAsia="宋体" w:hint="default"/>
                <w:sz w:val="24"/>
                <w:szCs w:val="24"/>
              </w:rPr>
            </w:pPr>
            <w:r>
              <w:rPr>
                <w:rFonts w:ascii="宋体" w:hAnsi="宋体" w:cs="宋体" w:eastAsia="宋体" w:hint="default"/>
                <w:sz w:val="24"/>
                <w:szCs w:val="24"/>
              </w:rPr>
              <w:t>军工装备业务</w:t>
            </w:r>
            <w:r>
              <w:rPr>
                <w:rFonts w:ascii="宋体" w:hAnsi="宋体" w:cs="宋体" w:eastAsia="宋体" w:hint="default"/>
                <w:sz w:val="24"/>
                <w:szCs w:val="24"/>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19" w:right="0"/>
              <w:jc w:val="lef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2" w:right="0"/>
              <w:jc w:val="left"/>
              <w:rPr>
                <w:rFonts w:ascii="宋体" w:hAnsi="宋体" w:cs="宋体" w:eastAsia="宋体" w:hint="default"/>
                <w:sz w:val="24"/>
                <w:szCs w:val="24"/>
              </w:rPr>
            </w:pPr>
            <w:r>
              <w:rPr>
                <w:rFonts w:ascii="宋体" w:hAnsi="宋体" w:cs="宋体" w:eastAsia="宋体" w:hint="default"/>
                <w:sz w:val="24"/>
                <w:szCs w:val="24"/>
              </w:rPr>
              <w:t>分部间抵销</w:t>
            </w:r>
            <w:r>
              <w:rPr>
                <w:rFonts w:ascii="宋体" w:hAnsi="宋体" w:cs="宋体" w:eastAsia="宋体" w:hint="default"/>
                <w:sz w:val="24"/>
                <w:szCs w:val="24"/>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26"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r>
      <w:tr>
        <w:trPr>
          <w:trHeight w:val="281" w:hRule="exact"/>
        </w:trPr>
        <w:tc>
          <w:tcPr>
            <w:tcW w:w="4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一、营业收入</w:t>
            </w:r>
            <w:r>
              <w:rPr>
                <w:rFonts w:ascii="宋体" w:hAnsi="宋体" w:cs="宋体" w:eastAsia="宋体" w:hint="default"/>
                <w:sz w:val="21"/>
                <w:szCs w:val="21"/>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spacing w:val="-1"/>
                <w:sz w:val="20"/>
              </w:rPr>
              <w:t>5,614,795,423.54</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spacing w:val="-1"/>
                <w:sz w:val="20"/>
              </w:rPr>
              <w:t>1,258,817,825.72</w:t>
            </w:r>
          </w:p>
        </w:tc>
        <w:tc>
          <w:tcPr>
            <w:tcW w:w="1728"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spacing w:val="-1"/>
                <w:sz w:val="20"/>
              </w:rPr>
              <w:t>1,569,153,205.69</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spacing w:val="-1"/>
                <w:sz w:val="20"/>
              </w:rPr>
              <w:t>5,304,460,043.57</w:t>
            </w:r>
          </w:p>
        </w:tc>
      </w:tr>
      <w:tr>
        <w:trPr>
          <w:trHeight w:val="283" w:hRule="exact"/>
        </w:trPr>
        <w:tc>
          <w:tcPr>
            <w:tcW w:w="4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二、营业成本</w:t>
            </w:r>
            <w:r>
              <w:rPr>
                <w:rFonts w:ascii="宋体" w:hAnsi="宋体" w:cs="宋体" w:eastAsia="宋体" w:hint="default"/>
                <w:sz w:val="21"/>
                <w:szCs w:val="21"/>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spacing w:val="-1"/>
                <w:sz w:val="20"/>
              </w:rPr>
              <w:t>4,630,401,265.05</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5"/>
                <w:sz w:val="20"/>
              </w:rPr>
              <w:t>957,470,436.13</w:t>
            </w:r>
            <w:r>
              <w:rPr>
                <w:rFonts w:ascii="Times New Roman"/>
                <w:sz w:val="20"/>
              </w:rPr>
            </w:r>
          </w:p>
        </w:tc>
        <w:tc>
          <w:tcPr>
            <w:tcW w:w="1728"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spacing w:val="-1"/>
                <w:sz w:val="20"/>
              </w:rPr>
              <w:t>1,549,357,613.17</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spacing w:val="-1"/>
                <w:sz w:val="20"/>
              </w:rPr>
              <w:t>4,038,514,088.01</w:t>
            </w:r>
          </w:p>
        </w:tc>
      </w:tr>
      <w:tr>
        <w:trPr>
          <w:trHeight w:val="283" w:hRule="exact"/>
        </w:trPr>
        <w:tc>
          <w:tcPr>
            <w:tcW w:w="4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三、对联营和合营企业的投资收益</w:t>
            </w:r>
            <w:r>
              <w:rPr>
                <w:rFonts w:ascii="宋体" w:hAnsi="宋体" w:cs="宋体" w:eastAsia="宋体" w:hint="default"/>
                <w:sz w:val="21"/>
                <w:szCs w:val="21"/>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5"/>
                <w:sz w:val="20"/>
              </w:rPr>
              <w:t>-1,651,419.70</w:t>
            </w:r>
            <w:r>
              <w:rPr>
                <w:rFonts w:ascii="Times New Roman"/>
                <w:sz w:val="20"/>
              </w:rPr>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5"/>
                <w:sz w:val="20"/>
              </w:rPr>
              <w:t>14,589,382.63</w:t>
            </w:r>
            <w:r>
              <w:rPr>
                <w:rFonts w:ascii="Times New Roman"/>
                <w:sz w:val="20"/>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454,310.44</w:t>
            </w:r>
            <w:r>
              <w:rPr>
                <w:rFonts w:ascii="Times New Roman"/>
                <w:sz w:val="20"/>
              </w:rPr>
            </w:r>
          </w:p>
        </w:tc>
        <w:tc>
          <w:tcPr>
            <w:tcW w:w="1834"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5"/>
                <w:sz w:val="20"/>
              </w:rPr>
              <w:t>13,392,273.37</w:t>
            </w:r>
            <w:r>
              <w:rPr>
                <w:rFonts w:ascii="Times New Roman"/>
                <w:sz w:val="20"/>
              </w:rPr>
            </w:r>
          </w:p>
        </w:tc>
      </w:tr>
      <w:tr>
        <w:trPr>
          <w:trHeight w:val="281" w:hRule="exact"/>
        </w:trPr>
        <w:tc>
          <w:tcPr>
            <w:tcW w:w="4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四、信用减值损失</w:t>
            </w:r>
            <w:r>
              <w:rPr>
                <w:rFonts w:ascii="宋体" w:hAnsi="宋体" w:cs="宋体" w:eastAsia="宋体" w:hint="default"/>
                <w:sz w:val="21"/>
                <w:szCs w:val="21"/>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5"/>
                <w:sz w:val="20"/>
              </w:rPr>
              <w:t>74,551,479.90</w:t>
            </w:r>
            <w:r>
              <w:rPr>
                <w:rFonts w:ascii="Times New Roman"/>
                <w:sz w:val="20"/>
              </w:rPr>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5"/>
                <w:sz w:val="20"/>
              </w:rPr>
              <w:t>-25,776,348.68</w:t>
            </w:r>
            <w:r>
              <w:rPr>
                <w:rFonts w:ascii="Times New Roman"/>
                <w:sz w:val="20"/>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411,851.65</w:t>
            </w:r>
            <w:r>
              <w:rPr>
                <w:rFonts w:ascii="Times New Roman"/>
                <w:sz w:val="20"/>
              </w:rPr>
            </w:r>
          </w:p>
        </w:tc>
        <w:tc>
          <w:tcPr>
            <w:tcW w:w="1834"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5"/>
                <w:sz w:val="20"/>
              </w:rPr>
              <w:t>49,186,982.87</w:t>
            </w:r>
            <w:r>
              <w:rPr>
                <w:rFonts w:ascii="Times New Roman"/>
                <w:sz w:val="20"/>
              </w:rPr>
            </w:r>
          </w:p>
        </w:tc>
      </w:tr>
      <w:tr>
        <w:trPr>
          <w:trHeight w:val="283" w:hRule="exact"/>
        </w:trPr>
        <w:tc>
          <w:tcPr>
            <w:tcW w:w="4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五、资产减值损失</w:t>
            </w:r>
            <w:r>
              <w:rPr>
                <w:rFonts w:ascii="宋体" w:hAnsi="宋体" w:cs="宋体" w:eastAsia="宋体" w:hint="default"/>
                <w:sz w:val="21"/>
                <w:szCs w:val="21"/>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5"/>
                <w:sz w:val="20"/>
              </w:rPr>
              <w:t>130,878,318.57</w:t>
            </w:r>
            <w:r>
              <w:rPr>
                <w:rFonts w:ascii="Times New Roman"/>
                <w:sz w:val="20"/>
              </w:rPr>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5"/>
                <w:sz w:val="20"/>
              </w:rPr>
              <w:t>-3,981,945.71</w:t>
            </w:r>
            <w:r>
              <w:rPr>
                <w:rFonts w:ascii="Times New Roman"/>
                <w:sz w:val="20"/>
              </w:rPr>
            </w:r>
          </w:p>
        </w:tc>
        <w:tc>
          <w:tcPr>
            <w:tcW w:w="1728"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5"/>
                <w:sz w:val="20"/>
              </w:rPr>
              <w:t>126,896,372.86</w:t>
            </w:r>
            <w:r>
              <w:rPr>
                <w:rFonts w:ascii="Times New Roman"/>
                <w:sz w:val="20"/>
              </w:rPr>
            </w:r>
          </w:p>
        </w:tc>
      </w:tr>
      <w:tr>
        <w:trPr>
          <w:trHeight w:val="281" w:hRule="exact"/>
        </w:trPr>
        <w:tc>
          <w:tcPr>
            <w:tcW w:w="4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六、折旧费和摊销费</w:t>
            </w:r>
            <w:r>
              <w:rPr>
                <w:rFonts w:ascii="宋体" w:hAnsi="宋体" w:cs="宋体" w:eastAsia="宋体" w:hint="default"/>
                <w:sz w:val="21"/>
                <w:szCs w:val="21"/>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5"/>
                <w:sz w:val="20"/>
              </w:rPr>
              <w:t>92,224,377.17</w:t>
            </w:r>
            <w:r>
              <w:rPr>
                <w:rFonts w:ascii="Times New Roman"/>
                <w:sz w:val="20"/>
              </w:rPr>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5"/>
                <w:sz w:val="20"/>
              </w:rPr>
              <w:t>25,421,068.72</w:t>
            </w:r>
            <w:r>
              <w:rPr>
                <w:rFonts w:ascii="Times New Roman"/>
                <w:sz w:val="20"/>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52,296.12</w:t>
            </w:r>
            <w:r>
              <w:rPr>
                <w:rFonts w:ascii="Times New Roman"/>
                <w:sz w:val="20"/>
              </w:rPr>
            </w:r>
          </w:p>
        </w:tc>
        <w:tc>
          <w:tcPr>
            <w:tcW w:w="1834"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5"/>
                <w:sz w:val="20"/>
              </w:rPr>
              <w:t>117,697,742.01</w:t>
            </w:r>
            <w:r>
              <w:rPr>
                <w:rFonts w:ascii="Times New Roman"/>
                <w:sz w:val="20"/>
              </w:rPr>
            </w:r>
          </w:p>
        </w:tc>
      </w:tr>
      <w:tr>
        <w:trPr>
          <w:trHeight w:val="283" w:hRule="exact"/>
        </w:trPr>
        <w:tc>
          <w:tcPr>
            <w:tcW w:w="4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七、利润总额</w:t>
            </w:r>
            <w:r>
              <w:rPr>
                <w:rFonts w:ascii="宋体" w:hAnsi="宋体" w:cs="宋体" w:eastAsia="宋体" w:hint="default"/>
                <w:sz w:val="21"/>
                <w:szCs w:val="21"/>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5"/>
                <w:sz w:val="20"/>
              </w:rPr>
              <w:t>553,059,983.39</w:t>
            </w:r>
            <w:r>
              <w:rPr>
                <w:rFonts w:ascii="Times New Roman"/>
                <w:sz w:val="20"/>
              </w:rPr>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5"/>
                <w:sz w:val="20"/>
              </w:rPr>
              <w:t>292,120,612.69</w:t>
            </w:r>
            <w:r>
              <w:rPr>
                <w:rFonts w:ascii="Times New Roman"/>
                <w:sz w:val="20"/>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-3,123,641.71</w:t>
            </w:r>
            <w:r>
              <w:rPr>
                <w:rFonts w:ascii="Times New Roman"/>
                <w:sz w:val="20"/>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618,096,707.25</w:t>
            </w:r>
            <w:r>
              <w:rPr>
                <w:rFonts w:ascii="Times New Roman"/>
                <w:sz w:val="20"/>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5"/>
                <w:sz w:val="20"/>
              </w:rPr>
              <w:t>223,960,247.12</w:t>
            </w:r>
            <w:r>
              <w:rPr>
                <w:rFonts w:ascii="Times New Roman"/>
                <w:sz w:val="20"/>
              </w:rPr>
            </w:r>
          </w:p>
        </w:tc>
      </w:tr>
      <w:tr>
        <w:trPr>
          <w:trHeight w:val="283" w:hRule="exact"/>
        </w:trPr>
        <w:tc>
          <w:tcPr>
            <w:tcW w:w="4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八、所得税费用</w:t>
            </w:r>
            <w:r>
              <w:rPr>
                <w:rFonts w:ascii="宋体" w:hAnsi="宋体" w:cs="宋体" w:eastAsia="宋体" w:hint="default"/>
                <w:sz w:val="21"/>
                <w:szCs w:val="21"/>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5"/>
                <w:sz w:val="20"/>
              </w:rPr>
              <w:t>35,361,846.51</w:t>
            </w:r>
            <w:r>
              <w:rPr>
                <w:rFonts w:ascii="Times New Roman"/>
                <w:sz w:val="20"/>
              </w:rPr>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5"/>
                <w:sz w:val="20"/>
              </w:rPr>
              <w:t>37,923,746.33</w:t>
            </w:r>
            <w:r>
              <w:rPr>
                <w:rFonts w:ascii="Times New Roman"/>
                <w:sz w:val="20"/>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-80,827.11</w:t>
            </w:r>
            <w:r>
              <w:rPr>
                <w:rFonts w:ascii="Times New Roman"/>
                <w:sz w:val="20"/>
              </w:rPr>
            </w:r>
          </w:p>
        </w:tc>
        <w:tc>
          <w:tcPr>
            <w:tcW w:w="1834"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5"/>
                <w:sz w:val="20"/>
              </w:rPr>
              <w:t>73,204,765.73</w:t>
            </w:r>
            <w:r>
              <w:rPr>
                <w:rFonts w:ascii="Times New Roman"/>
                <w:sz w:val="20"/>
              </w:rPr>
            </w:r>
          </w:p>
        </w:tc>
      </w:tr>
      <w:tr>
        <w:trPr>
          <w:trHeight w:val="281" w:hRule="exact"/>
        </w:trPr>
        <w:tc>
          <w:tcPr>
            <w:tcW w:w="4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九、净利润</w:t>
            </w:r>
            <w:r>
              <w:rPr>
                <w:rFonts w:ascii="宋体" w:hAnsi="宋体" w:cs="宋体" w:eastAsia="宋体" w:hint="default"/>
                <w:sz w:val="21"/>
                <w:szCs w:val="21"/>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5"/>
                <w:sz w:val="20"/>
              </w:rPr>
              <w:t>517,698,136.88</w:t>
            </w:r>
            <w:r>
              <w:rPr>
                <w:rFonts w:ascii="Times New Roman"/>
                <w:sz w:val="20"/>
              </w:rPr>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5"/>
                <w:sz w:val="20"/>
              </w:rPr>
              <w:t>254,196,866.36</w:t>
            </w:r>
            <w:r>
              <w:rPr>
                <w:rFonts w:ascii="Times New Roman"/>
                <w:sz w:val="20"/>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-3,042,814.60</w:t>
            </w:r>
            <w:r>
              <w:rPr>
                <w:rFonts w:ascii="Times New Roman"/>
                <w:sz w:val="20"/>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618,096,707.25</w:t>
            </w:r>
            <w:r>
              <w:rPr>
                <w:rFonts w:ascii="Times New Roman"/>
                <w:sz w:val="20"/>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w w:val="95"/>
                <w:sz w:val="20"/>
              </w:rPr>
              <w:t>150,755,481.39</w:t>
            </w:r>
            <w:r>
              <w:rPr>
                <w:rFonts w:ascii="Times New Roman"/>
                <w:sz w:val="20"/>
              </w:rPr>
            </w:r>
          </w:p>
        </w:tc>
      </w:tr>
      <w:tr>
        <w:trPr>
          <w:trHeight w:val="283" w:hRule="exact"/>
        </w:trPr>
        <w:tc>
          <w:tcPr>
            <w:tcW w:w="4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十、资产总额</w:t>
            </w:r>
            <w:r>
              <w:rPr>
                <w:rFonts w:ascii="宋体" w:hAnsi="宋体" w:cs="宋体" w:eastAsia="宋体" w:hint="default"/>
                <w:sz w:val="21"/>
                <w:szCs w:val="21"/>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w w:val="95"/>
                <w:sz w:val="20"/>
              </w:rPr>
              <w:t>17,508,435,763.19</w:t>
            </w:r>
            <w:r>
              <w:rPr>
                <w:rFonts w:ascii="Times New Roman"/>
                <w:sz w:val="20"/>
              </w:rPr>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spacing w:val="-1"/>
                <w:sz w:val="20"/>
              </w:rPr>
              <w:t>2,871,010,976.94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149,709,198.93</w:t>
            </w:r>
            <w:r>
              <w:rPr>
                <w:rFonts w:ascii="Times New Roman"/>
                <w:sz w:val="20"/>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spacing w:val="-1"/>
                <w:sz w:val="20"/>
              </w:rPr>
              <w:t>7,729,459,405.89</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w w:val="95"/>
                <w:sz w:val="20"/>
              </w:rPr>
              <w:t>12,799,696,533.17</w:t>
            </w:r>
            <w:r>
              <w:rPr>
                <w:rFonts w:ascii="Times New Roman"/>
                <w:sz w:val="20"/>
              </w:rPr>
            </w:r>
          </w:p>
        </w:tc>
      </w:tr>
      <w:tr>
        <w:trPr>
          <w:trHeight w:val="283" w:hRule="exact"/>
        </w:trPr>
        <w:tc>
          <w:tcPr>
            <w:tcW w:w="4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十一、负债总额</w:t>
            </w:r>
            <w:r>
              <w:rPr>
                <w:rFonts w:ascii="宋体" w:hAnsi="宋体" w:cs="宋体" w:eastAsia="宋体" w:hint="default"/>
                <w:sz w:val="21"/>
                <w:szCs w:val="21"/>
              </w:rPr>
              <w:t> </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w w:val="95"/>
                <w:sz w:val="20"/>
              </w:rPr>
              <w:t>12,307,233,400.22</w:t>
            </w:r>
            <w:r>
              <w:rPr>
                <w:rFonts w:ascii="Times New Roman"/>
                <w:sz w:val="20"/>
              </w:rPr>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0"/>
                <w:szCs w:val="20"/>
              </w:rPr>
            </w:pPr>
            <w:r>
              <w:rPr>
                <w:rFonts w:ascii="Times New Roman"/>
                <w:spacing w:val="-1"/>
                <w:sz w:val="20"/>
              </w:rPr>
              <w:t>1,951,458,277.49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6,015,374.22</w:t>
            </w:r>
            <w:r>
              <w:rPr>
                <w:rFonts w:ascii="Times New Roman"/>
                <w:sz w:val="20"/>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spacing w:val="-1"/>
                <w:sz w:val="20"/>
              </w:rPr>
              <w:t>5,682,172,100.02</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9"/>
              <w:jc w:val="right"/>
              <w:rPr>
                <w:rFonts w:ascii="Times New Roman" w:hAnsi="Times New Roman" w:cs="Times New Roman" w:eastAsia="Times New Roman" w:hint="default"/>
                <w:sz w:val="20"/>
                <w:szCs w:val="20"/>
              </w:rPr>
            </w:pPr>
            <w:r>
              <w:rPr>
                <w:rFonts w:ascii="Times New Roman"/>
                <w:spacing w:val="-1"/>
                <w:sz w:val="20"/>
              </w:rPr>
              <w:t>8,582,534,951.91</w:t>
            </w:r>
          </w:p>
        </w:tc>
      </w:tr>
    </w:tbl>
    <w:p>
      <w:pPr>
        <w:pStyle w:val="Heading3"/>
        <w:spacing w:line="274" w:lineRule="exact"/>
        <w:ind w:left="224" w:right="0"/>
        <w:jc w:val="left"/>
        <w:rPr>
          <w:rFonts w:ascii="宋体" w:hAnsi="宋体" w:cs="宋体" w:eastAsia="宋体" w:hint="default"/>
        </w:rPr>
      </w:pPr>
      <w:r>
        <w:rPr>
          <w:rFonts w:ascii="宋体"/>
        </w:rPr>
        <w:t> </w:t>
      </w:r>
    </w:p>
    <w:p>
      <w:pPr>
        <w:pStyle w:val="Heading5"/>
        <w:spacing w:line="240" w:lineRule="auto"/>
        <w:ind w:left="224"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51"/>
        </w:rPr>
        <w:t> </w:t>
      </w:r>
      <w:r>
        <w:rPr/>
        <w:t>公司无报告分部的，或者不能披露各报告分部的资产总额和负债总额的，应说明原因</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left="224"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224" w:right="0"/>
        <w:jc w:val="left"/>
        <w:rPr>
          <w:rFonts w:ascii="宋体" w:hAnsi="宋体" w:cs="宋体" w:eastAsia="宋体" w:hint="default"/>
        </w:rPr>
      </w:pPr>
      <w:r>
        <w:rPr>
          <w:rFonts w:ascii="宋体"/>
        </w:rPr>
        <w:t> </w:t>
      </w:r>
    </w:p>
    <w:p>
      <w:pPr>
        <w:pStyle w:val="Heading5"/>
        <w:spacing w:line="240" w:lineRule="auto" w:before="61"/>
        <w:ind w:left="224"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47"/>
        </w:rPr>
        <w:t> </w:t>
      </w:r>
      <w:r>
        <w:rPr/>
        <w:t>其他说明</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2"/>
        <w:ind w:left="224"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224" w:right="0"/>
        <w:jc w:val="left"/>
        <w:rPr>
          <w:rFonts w:ascii="宋体" w:hAnsi="宋体" w:cs="宋体" w:eastAsia="宋体" w:hint="default"/>
        </w:rPr>
      </w:pPr>
      <w:r>
        <w:rPr>
          <w:rFonts w:ascii="宋体"/>
        </w:rPr>
        <w:t> </w:t>
      </w:r>
    </w:p>
    <w:p>
      <w:pPr>
        <w:pStyle w:val="Heading5"/>
        <w:spacing w:line="240" w:lineRule="auto" w:before="61"/>
        <w:ind w:left="224" w:right="0"/>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Heading3"/>
        <w:spacing w:line="313" w:lineRule="exact" w:before="100"/>
        <w:ind w:left="224"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224" w:right="0"/>
        <w:jc w:val="left"/>
        <w:rPr>
          <w:rFonts w:ascii="宋体" w:hAnsi="宋体" w:cs="宋体" w:eastAsia="宋体" w:hint="default"/>
        </w:rPr>
      </w:pPr>
      <w:r>
        <w:rPr>
          <w:rFonts w:ascii="宋体"/>
        </w:rPr>
        <w:t> </w:t>
      </w:r>
    </w:p>
    <w:p>
      <w:pPr>
        <w:pStyle w:val="Heading5"/>
        <w:spacing w:line="240" w:lineRule="auto" w:before="61"/>
        <w:ind w:left="224" w:right="0"/>
        <w:jc w:val="left"/>
        <w:rPr>
          <w:b w:val="0"/>
          <w:bCs w:val="0"/>
        </w:rPr>
      </w:pPr>
      <w:r>
        <w:rPr>
          <w:rFonts w:ascii="宋体" w:hAnsi="宋体" w:cs="宋体" w:eastAsia="宋体" w:hint="default"/>
        </w:rPr>
        <w:t>8</w:t>
      </w:r>
      <w:r>
        <w:rPr/>
        <w:t>、</w:t>
      </w:r>
      <w:r>
        <w:rPr>
          <w:spacing w:val="2"/>
        </w:rPr>
        <w:t> </w:t>
      </w:r>
      <w:r>
        <w:rPr/>
        <w:t>其他</w:t>
      </w:r>
      <w:r>
        <w:rPr>
          <w:b w:val="0"/>
          <w:bCs w:val="0"/>
        </w:rPr>
      </w:r>
    </w:p>
    <w:p>
      <w:pPr>
        <w:pStyle w:val="Heading3"/>
        <w:spacing w:line="240" w:lineRule="auto" w:before="52"/>
        <w:ind w:left="224"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00" w:right="1220"/>
        </w:sectPr>
      </w:pPr>
    </w:p>
    <w:p>
      <w:pPr>
        <w:pStyle w:val="Heading5"/>
        <w:spacing w:line="290" w:lineRule="auto" w:before="117"/>
        <w:ind w:left="224" w:right="0"/>
        <w:jc w:val="left"/>
        <w:rPr>
          <w:b w:val="0"/>
          <w:bCs w:val="0"/>
        </w:rPr>
      </w:pPr>
      <w:r>
        <w:rPr/>
        <w:t>十七、</w:t>
      </w:r>
      <w:r>
        <w:rPr>
          <w:spacing w:val="99"/>
        </w:rPr>
        <w:t> </w:t>
      </w:r>
      <w:r>
        <w:rPr>
          <w:rFonts w:ascii="宋体" w:hAnsi="宋体" w:cs="宋体" w:eastAsia="宋体" w:hint="default"/>
          <w:spacing w:val="99"/>
        </w:rPr>
      </w:r>
      <w:r>
        <w:rPr/>
        <w:t>母公司财务报表主要项目注释</w:t>
      </w:r>
      <w:r>
        <w:rPr>
          <w:rFonts w:ascii="宋体" w:hAnsi="宋体" w:cs="宋体" w:eastAsia="宋体" w:hint="default"/>
          <w:w w:val="99"/>
        </w:rPr>
        <w:t> </w:t>
      </w:r>
      <w:r>
        <w:rPr>
          <w:rFonts w:ascii="宋体" w:hAnsi="宋体" w:cs="宋体" w:eastAsia="宋体" w:hint="default"/>
        </w:rPr>
        <w:t>1</w:t>
      </w:r>
      <w:r>
        <w:rPr/>
        <w:t>、</w:t>
      </w:r>
      <w:r>
        <w:rPr>
          <w:spacing w:val="-2"/>
        </w:rPr>
        <w:t> </w:t>
      </w:r>
      <w:r>
        <w:rPr/>
        <w:t>应收账款</w:t>
      </w:r>
      <w:r>
        <w:rPr>
          <w:b w:val="0"/>
          <w:bCs w:val="0"/>
        </w:rPr>
      </w:r>
    </w:p>
    <w:p>
      <w:pPr>
        <w:pStyle w:val="Heading5"/>
        <w:spacing w:line="240" w:lineRule="auto" w:before="14"/>
        <w:ind w:left="224"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6"/>
        </w:rPr>
        <w:t> </w:t>
      </w:r>
      <w:r>
        <w:rPr/>
        <w:t>按账龄披露</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3"/>
        <w:spacing w:line="240" w:lineRule="auto" w:before="163"/>
        <w:ind w:left="224"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pgSz w:w="16840" w:h="11910" w:orient="landscape"/>
          <w:pgMar w:header="882" w:footer="1195" w:top="1120" w:bottom="1380" w:left="1300" w:right="1200"/>
          <w:cols w:num="2" w:equalWidth="0">
            <w:col w:w="3911" w:space="7323"/>
            <w:col w:w="3106"/>
          </w:cols>
        </w:sectPr>
      </w:pPr>
    </w:p>
    <w:p>
      <w:pPr>
        <w:spacing w:line="240" w:lineRule="auto" w:before="10"/>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6925"/>
        <w:gridCol w:w="7177"/>
      </w:tblGrid>
      <w:tr>
        <w:trPr>
          <w:trHeight w:val="283" w:hRule="exact"/>
        </w:trPr>
        <w:tc>
          <w:tcPr>
            <w:tcW w:w="69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140"/>
              <w:jc w:val="right"/>
              <w:rPr>
                <w:rFonts w:ascii="宋体" w:hAnsi="宋体" w:cs="宋体" w:eastAsia="宋体" w:hint="default"/>
                <w:sz w:val="21"/>
                <w:szCs w:val="21"/>
              </w:rPr>
            </w:pPr>
            <w:r>
              <w:rPr>
                <w:rFonts w:ascii="宋体" w:hAnsi="宋体" w:cs="宋体" w:eastAsia="宋体" w:hint="default"/>
                <w:spacing w:val="-2"/>
                <w:sz w:val="21"/>
                <w:szCs w:val="21"/>
              </w:rPr>
              <w:t>账龄</w:t>
            </w:r>
            <w:r>
              <w:rPr>
                <w:rFonts w:ascii="宋体" w:hAnsi="宋体" w:cs="宋体" w:eastAsia="宋体" w:hint="default"/>
                <w:sz w:val="21"/>
                <w:szCs w:val="21"/>
              </w:rPr>
              <w:t> </w:t>
            </w:r>
          </w:p>
        </w:tc>
        <w:tc>
          <w:tcPr>
            <w:tcW w:w="7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3" w:hRule="exact"/>
        </w:trPr>
        <w:tc>
          <w:tcPr>
            <w:tcW w:w="141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1" w:hRule="exact"/>
        </w:trPr>
        <w:tc>
          <w:tcPr>
            <w:tcW w:w="141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4" w:hRule="exact"/>
        </w:trPr>
        <w:tc>
          <w:tcPr>
            <w:tcW w:w="69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717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7"/>
              <w:jc w:val="right"/>
              <w:rPr>
                <w:rFonts w:ascii="Times New Roman" w:hAnsi="Times New Roman" w:cs="Times New Roman" w:eastAsia="Times New Roman" w:hint="default"/>
                <w:sz w:val="20"/>
                <w:szCs w:val="20"/>
              </w:rPr>
            </w:pPr>
            <w:r>
              <w:rPr>
                <w:rFonts w:ascii="Times New Roman"/>
                <w:spacing w:val="-1"/>
                <w:sz w:val="20"/>
              </w:rPr>
              <w:t>1,077,816,207.29</w:t>
            </w:r>
          </w:p>
        </w:tc>
      </w:tr>
      <w:tr>
        <w:trPr>
          <w:trHeight w:val="283" w:hRule="exact"/>
        </w:trPr>
        <w:tc>
          <w:tcPr>
            <w:tcW w:w="6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非关联方</w:t>
            </w:r>
            <w:r>
              <w:rPr>
                <w:rFonts w:ascii="宋体" w:hAnsi="宋体" w:cs="宋体" w:eastAsia="宋体" w:hint="default"/>
                <w:sz w:val="21"/>
                <w:szCs w:val="21"/>
              </w:rPr>
              <w:t> </w:t>
            </w:r>
          </w:p>
        </w:tc>
        <w:tc>
          <w:tcPr>
            <w:tcW w:w="717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7"/>
              <w:jc w:val="right"/>
              <w:rPr>
                <w:rFonts w:ascii="Times New Roman" w:hAnsi="Times New Roman" w:cs="Times New Roman" w:eastAsia="Times New Roman" w:hint="default"/>
                <w:sz w:val="20"/>
                <w:szCs w:val="20"/>
              </w:rPr>
            </w:pPr>
            <w:r>
              <w:rPr>
                <w:rFonts w:ascii="Times New Roman"/>
                <w:spacing w:val="-1"/>
                <w:sz w:val="20"/>
              </w:rPr>
              <w:t>1,006,698,303.22</w:t>
            </w:r>
          </w:p>
        </w:tc>
      </w:tr>
      <w:tr>
        <w:trPr>
          <w:trHeight w:val="281" w:hRule="exact"/>
        </w:trPr>
        <w:tc>
          <w:tcPr>
            <w:tcW w:w="6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717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7"/>
              <w:jc w:val="right"/>
              <w:rPr>
                <w:rFonts w:ascii="Times New Roman" w:hAnsi="Times New Roman" w:cs="Times New Roman" w:eastAsia="Times New Roman" w:hint="default"/>
                <w:sz w:val="20"/>
                <w:szCs w:val="20"/>
              </w:rPr>
            </w:pPr>
            <w:r>
              <w:rPr>
                <w:rFonts w:ascii="Times New Roman"/>
                <w:spacing w:val="-1"/>
                <w:sz w:val="20"/>
              </w:rPr>
              <w:t>2,084,514,510.51</w:t>
            </w:r>
          </w:p>
        </w:tc>
      </w:tr>
      <w:tr>
        <w:trPr>
          <w:trHeight w:val="283" w:hRule="exact"/>
        </w:trPr>
        <w:tc>
          <w:tcPr>
            <w:tcW w:w="6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717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6"/>
              <w:jc w:val="right"/>
              <w:rPr>
                <w:rFonts w:ascii="Times New Roman" w:hAnsi="Times New Roman" w:cs="Times New Roman" w:eastAsia="Times New Roman" w:hint="default"/>
                <w:sz w:val="20"/>
                <w:szCs w:val="20"/>
              </w:rPr>
            </w:pPr>
            <w:r>
              <w:rPr>
                <w:rFonts w:ascii="Times New Roman"/>
                <w:w w:val="95"/>
                <w:sz w:val="20"/>
              </w:rPr>
              <w:t>198,848,255.15</w:t>
            </w:r>
            <w:r>
              <w:rPr>
                <w:rFonts w:ascii="Times New Roman"/>
                <w:sz w:val="20"/>
              </w:rPr>
            </w:r>
          </w:p>
        </w:tc>
      </w:tr>
      <w:tr>
        <w:trPr>
          <w:trHeight w:val="283" w:hRule="exact"/>
        </w:trPr>
        <w:tc>
          <w:tcPr>
            <w:tcW w:w="6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717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6"/>
              <w:jc w:val="right"/>
              <w:rPr>
                <w:rFonts w:ascii="Times New Roman" w:hAnsi="Times New Roman" w:cs="Times New Roman" w:eastAsia="Times New Roman" w:hint="default"/>
                <w:sz w:val="20"/>
                <w:szCs w:val="20"/>
              </w:rPr>
            </w:pPr>
            <w:r>
              <w:rPr>
                <w:rFonts w:ascii="Times New Roman"/>
                <w:w w:val="95"/>
                <w:sz w:val="20"/>
              </w:rPr>
              <w:t>93,661,885.94</w:t>
            </w:r>
            <w:r>
              <w:rPr>
                <w:rFonts w:ascii="Times New Roman"/>
                <w:sz w:val="20"/>
              </w:rPr>
            </w:r>
          </w:p>
        </w:tc>
      </w:tr>
      <w:tr>
        <w:trPr>
          <w:trHeight w:val="281" w:hRule="exact"/>
        </w:trPr>
        <w:tc>
          <w:tcPr>
            <w:tcW w:w="6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71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717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6"/>
              <w:jc w:val="right"/>
              <w:rPr>
                <w:rFonts w:ascii="Times New Roman" w:hAnsi="Times New Roman" w:cs="Times New Roman" w:eastAsia="Times New Roman" w:hint="default"/>
                <w:sz w:val="20"/>
                <w:szCs w:val="20"/>
              </w:rPr>
            </w:pPr>
            <w:r>
              <w:rPr>
                <w:rFonts w:ascii="Times New Roman"/>
                <w:w w:val="95"/>
                <w:sz w:val="20"/>
              </w:rPr>
              <w:t>100,943,522.24</w:t>
            </w:r>
            <w:r>
              <w:rPr>
                <w:rFonts w:ascii="Times New Roman"/>
                <w:sz w:val="20"/>
              </w:rPr>
            </w:r>
          </w:p>
        </w:tc>
      </w:tr>
      <w:tr>
        <w:trPr>
          <w:trHeight w:val="283" w:hRule="exact"/>
        </w:trPr>
        <w:tc>
          <w:tcPr>
            <w:tcW w:w="6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717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6"/>
              <w:jc w:val="right"/>
              <w:rPr>
                <w:rFonts w:ascii="Times New Roman" w:hAnsi="Times New Roman" w:cs="Times New Roman" w:eastAsia="Times New Roman" w:hint="default"/>
                <w:sz w:val="20"/>
                <w:szCs w:val="20"/>
              </w:rPr>
            </w:pPr>
            <w:r>
              <w:rPr>
                <w:rFonts w:ascii="Times New Roman"/>
                <w:w w:val="95"/>
                <w:sz w:val="20"/>
              </w:rPr>
              <w:t>23,046,300.99</w:t>
            </w:r>
            <w:r>
              <w:rPr>
                <w:rFonts w:ascii="Times New Roman"/>
                <w:sz w:val="20"/>
              </w:rPr>
            </w:r>
          </w:p>
        </w:tc>
      </w:tr>
      <w:tr>
        <w:trPr>
          <w:trHeight w:val="281" w:hRule="exact"/>
        </w:trPr>
        <w:tc>
          <w:tcPr>
            <w:tcW w:w="6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717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6"/>
              <w:jc w:val="right"/>
              <w:rPr>
                <w:rFonts w:ascii="Times New Roman" w:hAnsi="Times New Roman" w:cs="Times New Roman" w:eastAsia="Times New Roman" w:hint="default"/>
                <w:sz w:val="20"/>
                <w:szCs w:val="20"/>
              </w:rPr>
            </w:pPr>
            <w:r>
              <w:rPr>
                <w:rFonts w:ascii="Times New Roman"/>
                <w:w w:val="95"/>
                <w:sz w:val="20"/>
              </w:rPr>
              <w:t>83,054,987.27</w:t>
            </w:r>
            <w:r>
              <w:rPr>
                <w:rFonts w:ascii="Times New Roman"/>
                <w:sz w:val="20"/>
              </w:rPr>
            </w:r>
          </w:p>
        </w:tc>
      </w:tr>
      <w:tr>
        <w:trPr>
          <w:trHeight w:val="322" w:hRule="exact"/>
        </w:trPr>
        <w:tc>
          <w:tcPr>
            <w:tcW w:w="69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098"/>
              <w:jc w:val="righ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717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7"/>
              <w:jc w:val="right"/>
              <w:rPr>
                <w:rFonts w:ascii="Times New Roman" w:hAnsi="Times New Roman" w:cs="Times New Roman" w:eastAsia="Times New Roman" w:hint="default"/>
                <w:sz w:val="20"/>
                <w:szCs w:val="20"/>
              </w:rPr>
            </w:pPr>
            <w:r>
              <w:rPr>
                <w:rFonts w:ascii="Times New Roman"/>
                <w:spacing w:val="-1"/>
                <w:sz w:val="20"/>
              </w:rPr>
              <w:t>2,584,069,462.10</w:t>
            </w:r>
          </w:p>
        </w:tc>
      </w:tr>
    </w:tbl>
    <w:p>
      <w:pPr>
        <w:spacing w:after="0" w:line="224" w:lineRule="exact"/>
        <w:jc w:val="right"/>
        <w:rPr>
          <w:rFonts w:ascii="Times New Roman" w:hAnsi="Times New Roman" w:cs="Times New Roman" w:eastAsia="Times New Roman" w:hint="default"/>
          <w:sz w:val="20"/>
          <w:szCs w:val="20"/>
        </w:rPr>
        <w:sectPr>
          <w:type w:val="continuous"/>
          <w:pgSz w:w="16840" w:h="11910" w:orient="landscape"/>
          <w:pgMar w:top="1120" w:bottom="1380" w:left="1300" w:right="1200"/>
        </w:sectPr>
      </w:pPr>
    </w:p>
    <w:p>
      <w:pPr>
        <w:pStyle w:val="Heading3"/>
        <w:spacing w:line="273" w:lineRule="exact"/>
        <w:ind w:left="224" w:right="0"/>
        <w:jc w:val="left"/>
        <w:rPr>
          <w:rFonts w:ascii="宋体" w:hAnsi="宋体" w:cs="宋体" w:eastAsia="宋体" w:hint="default"/>
        </w:rPr>
      </w:pPr>
      <w:r>
        <w:rPr>
          <w:rFonts w:ascii="宋体"/>
        </w:rPr>
        <w:t> </w:t>
      </w:r>
    </w:p>
    <w:p>
      <w:pPr>
        <w:pStyle w:val="Heading3"/>
        <w:spacing w:line="313" w:lineRule="exact"/>
        <w:ind w:left="224" w:right="0"/>
        <w:jc w:val="left"/>
        <w:rPr>
          <w:rFonts w:ascii="宋体" w:hAnsi="宋体" w:cs="宋体" w:eastAsia="宋体" w:hint="default"/>
        </w:rPr>
      </w:pPr>
      <w:r>
        <w:rPr>
          <w:rFonts w:ascii="宋体"/>
        </w:rPr>
        <w:t> </w:t>
      </w:r>
    </w:p>
    <w:p>
      <w:pPr>
        <w:pStyle w:val="Heading5"/>
        <w:spacing w:line="240" w:lineRule="auto"/>
        <w:ind w:left="224"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7"/>
        </w:rPr>
        <w:t> </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tabs>
          <w:tab w:pos="1275" w:val="left" w:leader="none"/>
        </w:tabs>
        <w:spacing w:line="240" w:lineRule="auto"/>
        <w:ind w:left="224"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1300" w:right="1200"/>
          <w:cols w:num="2" w:equalWidth="0">
            <w:col w:w="3134" w:space="8326"/>
            <w:col w:w="2880"/>
          </w:cols>
        </w:sectPr>
      </w:pPr>
    </w:p>
    <w:p>
      <w:pPr>
        <w:spacing w:line="240" w:lineRule="auto" w:before="4"/>
        <w:rPr>
          <w:rFonts w:ascii="宋体" w:hAnsi="宋体" w:cs="宋体" w:eastAsia="宋体" w:hint="default"/>
          <w:sz w:val="2"/>
          <w:szCs w:val="2"/>
        </w:rPr>
      </w:pPr>
    </w:p>
    <w:tbl>
      <w:tblPr>
        <w:tblW w:w="0" w:type="auto"/>
        <w:jc w:val="left"/>
        <w:tblInd w:w="187" w:type="dxa"/>
        <w:tblLayout w:type="fixed"/>
        <w:tblCellMar>
          <w:top w:w="0" w:type="dxa"/>
          <w:left w:w="0" w:type="dxa"/>
          <w:bottom w:w="0" w:type="dxa"/>
          <w:right w:w="0" w:type="dxa"/>
        </w:tblCellMar>
        <w:tblLook w:val="01E0"/>
      </w:tblPr>
      <w:tblGrid>
        <w:gridCol w:w="1695"/>
        <w:gridCol w:w="1464"/>
        <w:gridCol w:w="689"/>
        <w:gridCol w:w="1310"/>
        <w:gridCol w:w="715"/>
        <w:gridCol w:w="1462"/>
        <w:gridCol w:w="1795"/>
        <w:gridCol w:w="718"/>
        <w:gridCol w:w="1553"/>
        <w:gridCol w:w="739"/>
        <w:gridCol w:w="1795"/>
      </w:tblGrid>
      <w:tr>
        <w:trPr>
          <w:trHeight w:val="322" w:hRule="exact"/>
        </w:trPr>
        <w:tc>
          <w:tcPr>
            <w:tcW w:w="16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602" w:right="0"/>
              <w:jc w:val="left"/>
              <w:rPr>
                <w:rFonts w:ascii="宋体" w:hAnsi="宋体" w:cs="宋体" w:eastAsia="宋体" w:hint="default"/>
                <w:sz w:val="24"/>
                <w:szCs w:val="24"/>
              </w:rPr>
            </w:pPr>
            <w:r>
              <w:rPr>
                <w:rFonts w:ascii="宋体" w:hAnsi="宋体" w:cs="宋体" w:eastAsia="宋体" w:hint="default"/>
                <w:sz w:val="24"/>
                <w:szCs w:val="24"/>
              </w:rPr>
              <w:t>类别</w:t>
            </w:r>
            <w:r>
              <w:rPr>
                <w:rFonts w:ascii="宋体" w:hAnsi="宋体" w:cs="宋体" w:eastAsia="宋体" w:hint="default"/>
                <w:sz w:val="24"/>
                <w:szCs w:val="24"/>
              </w:rPr>
              <w:t> </w:t>
            </w:r>
          </w:p>
        </w:tc>
        <w:tc>
          <w:tcPr>
            <w:tcW w:w="5641"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4" w:right="0"/>
              <w:jc w:val="center"/>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6601"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0" w:right="0"/>
              <w:jc w:val="center"/>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r>
      <w:tr>
        <w:trPr>
          <w:trHeight w:val="322" w:hRule="exact"/>
        </w:trPr>
        <w:tc>
          <w:tcPr>
            <w:tcW w:w="1695" w:type="dxa"/>
            <w:vMerge/>
            <w:tcBorders>
              <w:left w:val="single" w:sz="4" w:space="0" w:color="000000"/>
              <w:right w:val="single" w:sz="4" w:space="0" w:color="000000"/>
            </w:tcBorders>
          </w:tcPr>
          <w:p>
            <w:pP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92" w:right="0"/>
              <w:jc w:val="left"/>
              <w:rPr>
                <w:rFonts w:ascii="宋体" w:hAnsi="宋体" w:cs="宋体" w:eastAsia="宋体" w:hint="default"/>
                <w:sz w:val="24"/>
                <w:szCs w:val="24"/>
              </w:rPr>
            </w:pPr>
            <w:r>
              <w:rPr>
                <w:rFonts w:ascii="宋体" w:hAnsi="宋体" w:cs="宋体" w:eastAsia="宋体" w:hint="default"/>
                <w:sz w:val="24"/>
                <w:szCs w:val="24"/>
              </w:rPr>
              <w:t>账面余额</w:t>
            </w:r>
            <w:r>
              <w:rPr>
                <w:rFonts w:ascii="宋体" w:hAnsi="宋体" w:cs="宋体" w:eastAsia="宋体" w:hint="default"/>
                <w:sz w:val="24"/>
                <w:szCs w:val="24"/>
              </w:rPr>
              <w:t> </w:t>
            </w:r>
          </w:p>
        </w:tc>
        <w:tc>
          <w:tcPr>
            <w:tcW w:w="20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8" w:right="0"/>
              <w:jc w:val="left"/>
              <w:rPr>
                <w:rFonts w:ascii="宋体" w:hAnsi="宋体" w:cs="宋体" w:eastAsia="宋体" w:hint="default"/>
                <w:sz w:val="24"/>
                <w:szCs w:val="24"/>
              </w:rPr>
            </w:pPr>
            <w:r>
              <w:rPr>
                <w:rFonts w:ascii="宋体" w:hAnsi="宋体" w:cs="宋体" w:eastAsia="宋体" w:hint="default"/>
                <w:sz w:val="24"/>
                <w:szCs w:val="24"/>
              </w:rPr>
              <w:t>坏账准备</w:t>
            </w:r>
            <w:r>
              <w:rPr>
                <w:rFonts w:ascii="宋体" w:hAnsi="宋体" w:cs="宋体" w:eastAsia="宋体" w:hint="default"/>
                <w:sz w:val="24"/>
                <w:szCs w:val="24"/>
              </w:rPr>
              <w:t> </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312" w:lineRule="exact"/>
              <w:ind w:left="484" w:right="365"/>
              <w:jc w:val="left"/>
              <w:rPr>
                <w:rFonts w:ascii="宋体" w:hAnsi="宋体" w:cs="宋体" w:eastAsia="宋体" w:hint="default"/>
                <w:sz w:val="24"/>
                <w:szCs w:val="24"/>
              </w:rPr>
            </w:pPr>
            <w:r>
              <w:rPr>
                <w:rFonts w:ascii="宋体" w:hAnsi="宋体" w:cs="宋体" w:eastAsia="宋体" w:hint="default"/>
                <w:sz w:val="24"/>
                <w:szCs w:val="24"/>
              </w:rPr>
              <w:t>账面</w:t>
            </w:r>
            <w:r>
              <w:rPr>
                <w:rFonts w:ascii="宋体" w:hAnsi="宋体" w:cs="宋体" w:eastAsia="宋体" w:hint="default"/>
                <w:sz w:val="24"/>
                <w:szCs w:val="24"/>
              </w:rPr>
              <w:t> </w:t>
            </w:r>
            <w:r>
              <w:rPr>
                <w:rFonts w:ascii="宋体" w:hAnsi="宋体" w:cs="宋体" w:eastAsia="宋体" w:hint="default"/>
                <w:sz w:val="24"/>
                <w:szCs w:val="24"/>
              </w:rPr>
              <w:t>价值</w:t>
            </w:r>
            <w:r>
              <w:rPr>
                <w:rFonts w:ascii="宋体" w:hAnsi="宋体" w:cs="宋体" w:eastAsia="宋体" w:hint="default"/>
                <w:sz w:val="24"/>
                <w:szCs w:val="24"/>
              </w:rPr>
              <w:t> </w:t>
            </w:r>
          </w:p>
        </w:tc>
        <w:tc>
          <w:tcPr>
            <w:tcW w:w="25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70" w:right="0"/>
              <w:jc w:val="left"/>
              <w:rPr>
                <w:rFonts w:ascii="宋体" w:hAnsi="宋体" w:cs="宋体" w:eastAsia="宋体" w:hint="default"/>
                <w:sz w:val="24"/>
                <w:szCs w:val="24"/>
              </w:rPr>
            </w:pPr>
            <w:r>
              <w:rPr>
                <w:rFonts w:ascii="宋体" w:hAnsi="宋体" w:cs="宋体" w:eastAsia="宋体" w:hint="default"/>
                <w:sz w:val="24"/>
                <w:szCs w:val="24"/>
              </w:rPr>
              <w:t>账面余额</w:t>
            </w:r>
            <w:r>
              <w:rPr>
                <w:rFonts w:ascii="宋体" w:hAnsi="宋体" w:cs="宋体" w:eastAsia="宋体" w:hint="default"/>
                <w:sz w:val="24"/>
                <w:szCs w:val="24"/>
              </w:rPr>
              <w:t> </w:t>
            </w:r>
          </w:p>
        </w:tc>
        <w:tc>
          <w:tcPr>
            <w:tcW w:w="22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60" w:right="0"/>
              <w:jc w:val="left"/>
              <w:rPr>
                <w:rFonts w:ascii="宋体" w:hAnsi="宋体" w:cs="宋体" w:eastAsia="宋体" w:hint="default"/>
                <w:sz w:val="24"/>
                <w:szCs w:val="24"/>
              </w:rPr>
            </w:pPr>
            <w:r>
              <w:rPr>
                <w:rFonts w:ascii="宋体" w:hAnsi="宋体" w:cs="宋体" w:eastAsia="宋体" w:hint="default"/>
                <w:sz w:val="24"/>
                <w:szCs w:val="24"/>
              </w:rPr>
              <w:t>坏账准备</w:t>
            </w:r>
            <w:r>
              <w:rPr>
                <w:rFonts w:ascii="宋体" w:hAnsi="宋体" w:cs="宋体" w:eastAsia="宋体" w:hint="default"/>
                <w:sz w:val="24"/>
                <w:szCs w:val="24"/>
              </w:rPr>
              <w:t> </w:t>
            </w:r>
          </w:p>
        </w:tc>
        <w:tc>
          <w:tcPr>
            <w:tcW w:w="179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312" w:lineRule="exact"/>
              <w:ind w:left="652" w:right="530"/>
              <w:jc w:val="left"/>
              <w:rPr>
                <w:rFonts w:ascii="宋体" w:hAnsi="宋体" w:cs="宋体" w:eastAsia="宋体" w:hint="default"/>
                <w:sz w:val="24"/>
                <w:szCs w:val="24"/>
              </w:rPr>
            </w:pPr>
            <w:r>
              <w:rPr>
                <w:rFonts w:ascii="宋体" w:hAnsi="宋体" w:cs="宋体" w:eastAsia="宋体" w:hint="default"/>
                <w:sz w:val="24"/>
                <w:szCs w:val="24"/>
              </w:rPr>
              <w:t>账面</w:t>
            </w:r>
            <w:r>
              <w:rPr>
                <w:rFonts w:ascii="宋体" w:hAnsi="宋体" w:cs="宋体" w:eastAsia="宋体" w:hint="default"/>
                <w:sz w:val="24"/>
                <w:szCs w:val="24"/>
              </w:rPr>
              <w:t> </w:t>
            </w:r>
            <w:r>
              <w:rPr>
                <w:rFonts w:ascii="宋体" w:hAnsi="宋体" w:cs="宋体" w:eastAsia="宋体" w:hint="default"/>
                <w:sz w:val="24"/>
                <w:szCs w:val="24"/>
              </w:rPr>
              <w:t>价值</w:t>
            </w:r>
            <w:r>
              <w:rPr>
                <w:rFonts w:ascii="宋体" w:hAnsi="宋体" w:cs="宋体" w:eastAsia="宋体" w:hint="default"/>
                <w:sz w:val="24"/>
                <w:szCs w:val="24"/>
              </w:rPr>
              <w:t> </w:t>
            </w:r>
          </w:p>
        </w:tc>
      </w:tr>
      <w:tr>
        <w:trPr>
          <w:trHeight w:val="944" w:hRule="exact"/>
        </w:trPr>
        <w:tc>
          <w:tcPr>
            <w:tcW w:w="1695" w:type="dxa"/>
            <w:vMerge/>
            <w:tcBorders>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487" w:right="0"/>
              <w:jc w:val="left"/>
              <w:rPr>
                <w:rFonts w:ascii="宋体" w:hAnsi="宋体" w:cs="宋体" w:eastAsia="宋体" w:hint="default"/>
                <w:sz w:val="24"/>
                <w:szCs w:val="24"/>
              </w:rPr>
            </w:pPr>
            <w:r>
              <w:rPr>
                <w:rFonts w:ascii="宋体" w:hAnsi="宋体" w:cs="宋体" w:eastAsia="宋体" w:hint="default"/>
                <w:sz w:val="24"/>
                <w:szCs w:val="24"/>
              </w:rPr>
              <w:t>金额</w:t>
            </w:r>
            <w:r>
              <w:rPr>
                <w:rFonts w:ascii="宋体" w:hAnsi="宋体" w:cs="宋体" w:eastAsia="宋体" w:hint="default"/>
                <w:sz w:val="24"/>
                <w:szCs w:val="24"/>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7"/>
              <w:ind w:left="158" w:right="39" w:hanging="60"/>
              <w:jc w:val="left"/>
              <w:rPr>
                <w:rFonts w:ascii="宋体" w:hAnsi="宋体" w:cs="宋体" w:eastAsia="宋体" w:hint="default"/>
                <w:sz w:val="24"/>
                <w:szCs w:val="24"/>
              </w:rPr>
            </w:pPr>
            <w:r>
              <w:rPr>
                <w:rFonts w:ascii="宋体" w:hAnsi="宋体" w:cs="宋体" w:eastAsia="宋体" w:hint="default"/>
                <w:sz w:val="24"/>
                <w:szCs w:val="24"/>
              </w:rPr>
              <w:t>比例 </w:t>
            </w:r>
            <w:r>
              <w:rPr>
                <w:rFonts w:ascii="宋体" w:hAnsi="宋体" w:cs="宋体" w:eastAsia="宋体" w:hint="default"/>
                <w:sz w:val="24"/>
                <w:szCs w:val="24"/>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410" w:right="0"/>
              <w:jc w:val="left"/>
              <w:rPr>
                <w:rFonts w:ascii="宋体" w:hAnsi="宋体" w:cs="宋体" w:eastAsia="宋体" w:hint="default"/>
                <w:sz w:val="24"/>
                <w:szCs w:val="24"/>
              </w:rPr>
            </w:pPr>
            <w:r>
              <w:rPr>
                <w:rFonts w:ascii="宋体" w:hAnsi="宋体" w:cs="宋体" w:eastAsia="宋体" w:hint="default"/>
                <w:sz w:val="24"/>
                <w:szCs w:val="24"/>
              </w:rPr>
              <w:t>金额</w:t>
            </w:r>
            <w:r>
              <w:rPr>
                <w:rFonts w:ascii="宋体" w:hAnsi="宋体" w:cs="宋体" w:eastAsia="宋体" w:hint="default"/>
                <w:sz w:val="24"/>
                <w:szCs w:val="24"/>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5" w:right="0"/>
              <w:jc w:val="left"/>
              <w:rPr>
                <w:rFonts w:ascii="宋体" w:hAnsi="宋体" w:cs="宋体" w:eastAsia="宋体" w:hint="default"/>
                <w:sz w:val="24"/>
                <w:szCs w:val="24"/>
              </w:rPr>
            </w:pPr>
            <w:r>
              <w:rPr>
                <w:rFonts w:ascii="宋体" w:hAnsi="宋体" w:cs="宋体" w:eastAsia="宋体" w:hint="default"/>
                <w:sz w:val="24"/>
                <w:szCs w:val="24"/>
              </w:rPr>
              <w:t>计提</w:t>
            </w:r>
          </w:p>
          <w:p>
            <w:pPr>
              <w:pStyle w:val="TableParagraph"/>
              <w:spacing w:line="310" w:lineRule="exact" w:before="31"/>
              <w:ind w:left="175" w:right="48" w:hanging="60"/>
              <w:jc w:val="left"/>
              <w:rPr>
                <w:rFonts w:ascii="宋体" w:hAnsi="宋体" w:cs="宋体" w:eastAsia="宋体" w:hint="default"/>
                <w:sz w:val="24"/>
                <w:szCs w:val="24"/>
              </w:rPr>
            </w:pPr>
            <w:r>
              <w:rPr>
                <w:rFonts w:ascii="宋体" w:hAnsi="宋体" w:cs="宋体" w:eastAsia="宋体" w:hint="default"/>
                <w:sz w:val="24"/>
                <w:szCs w:val="24"/>
              </w:rPr>
              <w:t>比例 </w:t>
            </w:r>
            <w:r>
              <w:rPr>
                <w:rFonts w:ascii="宋体" w:hAnsi="宋体" w:cs="宋体" w:eastAsia="宋体" w:hint="default"/>
                <w:sz w:val="24"/>
                <w:szCs w:val="24"/>
              </w:rPr>
              <w:t>(%) </w:t>
            </w:r>
          </w:p>
        </w:tc>
        <w:tc>
          <w:tcPr>
            <w:tcW w:w="1462" w:type="dxa"/>
            <w:vMerge/>
            <w:tcBorders>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652" w:right="0"/>
              <w:jc w:val="left"/>
              <w:rPr>
                <w:rFonts w:ascii="宋体" w:hAnsi="宋体" w:cs="宋体" w:eastAsia="宋体" w:hint="default"/>
                <w:sz w:val="24"/>
                <w:szCs w:val="24"/>
              </w:rPr>
            </w:pPr>
            <w:r>
              <w:rPr>
                <w:rFonts w:ascii="宋体" w:hAnsi="宋体" w:cs="宋体" w:eastAsia="宋体" w:hint="default"/>
                <w:sz w:val="24"/>
                <w:szCs w:val="24"/>
              </w:rPr>
              <w:t>金额</w:t>
            </w:r>
            <w:r>
              <w:rPr>
                <w:rFonts w:ascii="宋体" w:hAnsi="宋体" w:cs="宋体" w:eastAsia="宋体" w:hint="default"/>
                <w:sz w:val="24"/>
                <w:szCs w:val="24"/>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7"/>
              <w:ind w:left="175" w:right="50" w:hanging="60"/>
              <w:jc w:val="left"/>
              <w:rPr>
                <w:rFonts w:ascii="宋体" w:hAnsi="宋体" w:cs="宋体" w:eastAsia="宋体" w:hint="default"/>
                <w:sz w:val="24"/>
                <w:szCs w:val="24"/>
              </w:rPr>
            </w:pPr>
            <w:r>
              <w:rPr>
                <w:rFonts w:ascii="宋体" w:hAnsi="宋体" w:cs="宋体" w:eastAsia="宋体" w:hint="default"/>
                <w:sz w:val="24"/>
                <w:szCs w:val="24"/>
              </w:rPr>
              <w:t>比例 </w:t>
            </w:r>
            <w:r>
              <w:rPr>
                <w:rFonts w:ascii="宋体" w:hAnsi="宋体" w:cs="宋体" w:eastAsia="宋体" w:hint="default"/>
                <w:sz w:val="24"/>
                <w:szCs w:val="24"/>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530" w:right="0"/>
              <w:jc w:val="left"/>
              <w:rPr>
                <w:rFonts w:ascii="宋体" w:hAnsi="宋体" w:cs="宋体" w:eastAsia="宋体" w:hint="default"/>
                <w:sz w:val="24"/>
                <w:szCs w:val="24"/>
              </w:rPr>
            </w:pPr>
            <w:r>
              <w:rPr>
                <w:rFonts w:ascii="宋体" w:hAnsi="宋体" w:cs="宋体" w:eastAsia="宋体" w:hint="default"/>
                <w:sz w:val="24"/>
                <w:szCs w:val="24"/>
              </w:rPr>
              <w:t>金额</w:t>
            </w:r>
            <w:r>
              <w:rPr>
                <w:rFonts w:ascii="宋体" w:hAnsi="宋体" w:cs="宋体" w:eastAsia="宋体" w:hint="default"/>
                <w:sz w:val="24"/>
                <w:szCs w:val="24"/>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4" w:right="0"/>
              <w:jc w:val="left"/>
              <w:rPr>
                <w:rFonts w:ascii="宋体" w:hAnsi="宋体" w:cs="宋体" w:eastAsia="宋体" w:hint="default"/>
                <w:sz w:val="24"/>
                <w:szCs w:val="24"/>
              </w:rPr>
            </w:pPr>
            <w:r>
              <w:rPr>
                <w:rFonts w:ascii="宋体" w:hAnsi="宋体" w:cs="宋体" w:eastAsia="宋体" w:hint="default"/>
                <w:sz w:val="24"/>
                <w:szCs w:val="24"/>
              </w:rPr>
              <w:t>计提</w:t>
            </w:r>
          </w:p>
          <w:p>
            <w:pPr>
              <w:pStyle w:val="TableParagraph"/>
              <w:spacing w:line="310" w:lineRule="exact" w:before="31"/>
              <w:ind w:left="184" w:right="62" w:hanging="60"/>
              <w:jc w:val="left"/>
              <w:rPr>
                <w:rFonts w:ascii="宋体" w:hAnsi="宋体" w:cs="宋体" w:eastAsia="宋体" w:hint="default"/>
                <w:sz w:val="24"/>
                <w:szCs w:val="24"/>
              </w:rPr>
            </w:pPr>
            <w:r>
              <w:rPr>
                <w:rFonts w:ascii="宋体" w:hAnsi="宋体" w:cs="宋体" w:eastAsia="宋体" w:hint="default"/>
                <w:sz w:val="24"/>
                <w:szCs w:val="24"/>
              </w:rPr>
              <w:t>比例 </w:t>
            </w:r>
            <w:r>
              <w:rPr>
                <w:rFonts w:ascii="宋体" w:hAnsi="宋体" w:cs="宋体" w:eastAsia="宋体" w:hint="default"/>
                <w:sz w:val="24"/>
                <w:szCs w:val="24"/>
              </w:rPr>
              <w:t>(%) </w:t>
            </w:r>
          </w:p>
        </w:tc>
        <w:tc>
          <w:tcPr>
            <w:tcW w:w="1795" w:type="dxa"/>
            <w:vMerge/>
            <w:tcBorders>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00" w:right="1200"/>
        </w:sectPr>
      </w:pPr>
    </w:p>
    <w:p>
      <w:pPr>
        <w:spacing w:line="240" w:lineRule="auto" w:before="7"/>
        <w:rPr>
          <w:rFonts w:ascii="宋体" w:hAnsi="宋体" w:cs="宋体" w:eastAsia="宋体" w:hint="default"/>
          <w:sz w:val="11"/>
          <w:szCs w:val="11"/>
        </w:rPr>
      </w:pPr>
    </w:p>
    <w:tbl>
      <w:tblPr>
        <w:tblW w:w="0" w:type="auto"/>
        <w:jc w:val="left"/>
        <w:tblInd w:w="187" w:type="dxa"/>
        <w:tblLayout w:type="fixed"/>
        <w:tblCellMar>
          <w:top w:w="0" w:type="dxa"/>
          <w:left w:w="0" w:type="dxa"/>
          <w:bottom w:w="0" w:type="dxa"/>
          <w:right w:w="0" w:type="dxa"/>
        </w:tblCellMar>
        <w:tblLook w:val="01E0"/>
      </w:tblPr>
      <w:tblGrid>
        <w:gridCol w:w="1695"/>
        <w:gridCol w:w="1464"/>
        <w:gridCol w:w="689"/>
        <w:gridCol w:w="1310"/>
        <w:gridCol w:w="715"/>
        <w:gridCol w:w="1462"/>
        <w:gridCol w:w="1795"/>
        <w:gridCol w:w="718"/>
        <w:gridCol w:w="1553"/>
        <w:gridCol w:w="739"/>
        <w:gridCol w:w="1795"/>
      </w:tblGrid>
      <w:tr>
        <w:trPr>
          <w:trHeight w:val="555" w:hRule="exact"/>
        </w:trPr>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78"/>
                <w:sz w:val="21"/>
                <w:szCs w:val="21"/>
              </w:rPr>
              <w:t> </w:t>
            </w:r>
            <w:r>
              <w:rPr>
                <w:rFonts w:ascii="宋体" w:hAnsi="宋体" w:cs="宋体" w:eastAsia="宋体" w:hint="default"/>
                <w:sz w:val="21"/>
                <w:szCs w:val="21"/>
              </w:rPr>
              <w:t>单</w:t>
            </w:r>
            <w:r>
              <w:rPr>
                <w:rFonts w:ascii="宋体" w:hAnsi="宋体" w:cs="宋体" w:eastAsia="宋体" w:hint="default"/>
                <w:spacing w:val="-78"/>
                <w:sz w:val="21"/>
                <w:szCs w:val="21"/>
              </w:rPr>
              <w:t> </w:t>
            </w:r>
            <w:r>
              <w:rPr>
                <w:rFonts w:ascii="宋体" w:hAnsi="宋体" w:cs="宋体" w:eastAsia="宋体" w:hint="default"/>
                <w:sz w:val="21"/>
                <w:szCs w:val="21"/>
              </w:rPr>
              <w:t>项</w:t>
            </w:r>
            <w:r>
              <w:rPr>
                <w:rFonts w:ascii="宋体" w:hAnsi="宋体" w:cs="宋体" w:eastAsia="宋体" w:hint="default"/>
                <w:spacing w:val="-78"/>
                <w:sz w:val="21"/>
                <w:szCs w:val="21"/>
              </w:rPr>
              <w:t> </w:t>
            </w:r>
            <w:r>
              <w:rPr>
                <w:rFonts w:ascii="宋体" w:hAnsi="宋体" w:cs="宋体" w:eastAsia="宋体" w:hint="default"/>
                <w:sz w:val="21"/>
                <w:szCs w:val="21"/>
              </w:rPr>
              <w:t>计</w:t>
            </w:r>
            <w:r>
              <w:rPr>
                <w:rFonts w:ascii="宋体" w:hAnsi="宋体" w:cs="宋体" w:eastAsia="宋体" w:hint="default"/>
                <w:spacing w:val="-78"/>
                <w:sz w:val="21"/>
                <w:szCs w:val="21"/>
              </w:rPr>
              <w:t> </w:t>
            </w:r>
            <w:r>
              <w:rPr>
                <w:rFonts w:ascii="宋体" w:hAnsi="宋体" w:cs="宋体" w:eastAsia="宋体" w:hint="default"/>
                <w:sz w:val="21"/>
                <w:szCs w:val="21"/>
              </w:rPr>
              <w:t>提</w:t>
            </w:r>
            <w:r>
              <w:rPr>
                <w:rFonts w:ascii="宋体" w:hAnsi="宋体" w:cs="宋体" w:eastAsia="宋体" w:hint="default"/>
                <w:spacing w:val="-78"/>
                <w:sz w:val="21"/>
                <w:szCs w:val="21"/>
              </w:rPr>
              <w:t> </w:t>
            </w:r>
            <w:r>
              <w:rPr>
                <w:rFonts w:ascii="宋体" w:hAnsi="宋体" w:cs="宋体" w:eastAsia="宋体" w:hint="default"/>
                <w:spacing w:val="11"/>
                <w:sz w:val="21"/>
                <w:szCs w:val="21"/>
              </w:rPr>
              <w:t>坏账</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464"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93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557" w:hRule="exact"/>
        </w:trPr>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78"/>
                <w:sz w:val="21"/>
                <w:szCs w:val="21"/>
              </w:rPr>
              <w:t> </w:t>
            </w:r>
            <w:r>
              <w:rPr>
                <w:rFonts w:ascii="宋体" w:hAnsi="宋体" w:cs="宋体" w:eastAsia="宋体" w:hint="default"/>
                <w:sz w:val="21"/>
                <w:szCs w:val="21"/>
              </w:rPr>
              <w:t>组</w:t>
            </w:r>
            <w:r>
              <w:rPr>
                <w:rFonts w:ascii="宋体" w:hAnsi="宋体" w:cs="宋体" w:eastAsia="宋体" w:hint="default"/>
                <w:spacing w:val="-78"/>
                <w:sz w:val="21"/>
                <w:szCs w:val="21"/>
              </w:rPr>
              <w:t> </w:t>
            </w:r>
            <w:r>
              <w:rPr>
                <w:rFonts w:ascii="宋体" w:hAnsi="宋体" w:cs="宋体" w:eastAsia="宋体" w:hint="default"/>
                <w:sz w:val="21"/>
                <w:szCs w:val="21"/>
              </w:rPr>
              <w:t>合</w:t>
            </w:r>
            <w:r>
              <w:rPr>
                <w:rFonts w:ascii="宋体" w:hAnsi="宋体" w:cs="宋体" w:eastAsia="宋体" w:hint="default"/>
                <w:spacing w:val="-78"/>
                <w:sz w:val="21"/>
                <w:szCs w:val="21"/>
              </w:rPr>
              <w:t> </w:t>
            </w:r>
            <w:r>
              <w:rPr>
                <w:rFonts w:ascii="宋体" w:hAnsi="宋体" w:cs="宋体" w:eastAsia="宋体" w:hint="default"/>
                <w:sz w:val="21"/>
                <w:szCs w:val="21"/>
              </w:rPr>
              <w:t>计</w:t>
            </w:r>
            <w:r>
              <w:rPr>
                <w:rFonts w:ascii="宋体" w:hAnsi="宋体" w:cs="宋体" w:eastAsia="宋体" w:hint="default"/>
                <w:spacing w:val="-78"/>
                <w:sz w:val="21"/>
                <w:szCs w:val="21"/>
              </w:rPr>
              <w:t> </w:t>
            </w:r>
            <w:r>
              <w:rPr>
                <w:rFonts w:ascii="宋体" w:hAnsi="宋体" w:cs="宋体" w:eastAsia="宋体" w:hint="default"/>
                <w:sz w:val="21"/>
                <w:szCs w:val="21"/>
              </w:rPr>
              <w:t>提</w:t>
            </w:r>
            <w:r>
              <w:rPr>
                <w:rFonts w:ascii="宋体" w:hAnsi="宋体" w:cs="宋体" w:eastAsia="宋体" w:hint="default"/>
                <w:spacing w:val="-78"/>
                <w:sz w:val="21"/>
                <w:szCs w:val="21"/>
              </w:rPr>
              <w:t> </w:t>
            </w:r>
            <w:r>
              <w:rPr>
                <w:rFonts w:ascii="宋体" w:hAnsi="宋体" w:cs="宋体" w:eastAsia="宋体" w:hint="default"/>
                <w:spacing w:val="11"/>
                <w:sz w:val="21"/>
                <w:szCs w:val="21"/>
              </w:rPr>
              <w:t>坏账</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20"/>
                <w:szCs w:val="20"/>
              </w:rPr>
            </w:pPr>
            <w:r>
              <w:rPr>
                <w:rFonts w:ascii="Times New Roman"/>
                <w:sz w:val="20"/>
              </w:rPr>
              <w:t>2,584,069,462.10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Times New Roman" w:hAnsi="Times New Roman" w:cs="Times New Roman" w:eastAsia="Times New Roman" w:hint="default"/>
                <w:sz w:val="20"/>
                <w:szCs w:val="20"/>
              </w:rPr>
            </w:pPr>
            <w:r>
              <w:rPr>
                <w:rFonts w:ascii="Times New Roman"/>
                <w:sz w:val="20"/>
              </w:rPr>
              <w:t>100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20"/>
                <w:szCs w:val="20"/>
              </w:rPr>
            </w:pPr>
            <w:r>
              <w:rPr>
                <w:rFonts w:ascii="Times New Roman"/>
                <w:sz w:val="20"/>
              </w:rPr>
              <w:t>224,375,934.54</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Times New Roman" w:hAnsi="Times New Roman" w:cs="Times New Roman" w:eastAsia="Times New Roman" w:hint="default"/>
                <w:sz w:val="20"/>
                <w:szCs w:val="20"/>
              </w:rPr>
            </w:pPr>
            <w:r>
              <w:rPr>
                <w:rFonts w:ascii="Times New Roman"/>
                <w:sz w:val="20"/>
              </w:rPr>
              <w:t>8.68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0"/>
                <w:szCs w:val="20"/>
              </w:rPr>
            </w:pPr>
            <w:r>
              <w:rPr>
                <w:rFonts w:ascii="Times New Roman"/>
                <w:sz w:val="20"/>
              </w:rPr>
              <w:t>2,359,693,527.56</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5"/>
              <w:jc w:val="right"/>
              <w:rPr>
                <w:rFonts w:ascii="Times New Roman" w:hAnsi="Times New Roman" w:cs="Times New Roman" w:eastAsia="Times New Roman" w:hint="default"/>
                <w:sz w:val="20"/>
                <w:szCs w:val="20"/>
              </w:rPr>
            </w:pPr>
            <w:r>
              <w:rPr>
                <w:rFonts w:ascii="Times New Roman"/>
                <w:spacing w:val="-1"/>
                <w:sz w:val="20"/>
              </w:rPr>
              <w:t>2,030,846,521.21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9"/>
              <w:jc w:val="right"/>
              <w:rPr>
                <w:rFonts w:ascii="Times New Roman" w:hAnsi="Times New Roman" w:cs="Times New Roman" w:eastAsia="Times New Roman" w:hint="default"/>
                <w:sz w:val="20"/>
                <w:szCs w:val="20"/>
              </w:rPr>
            </w:pPr>
            <w:r>
              <w:rPr>
                <w:rFonts w:ascii="Times New Roman"/>
                <w:sz w:val="20"/>
              </w:rPr>
              <w:t>100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5"/>
              <w:jc w:val="right"/>
              <w:rPr>
                <w:rFonts w:ascii="Times New Roman" w:hAnsi="Times New Roman" w:cs="Times New Roman" w:eastAsia="Times New Roman" w:hint="default"/>
                <w:sz w:val="20"/>
                <w:szCs w:val="20"/>
              </w:rPr>
            </w:pPr>
            <w:r>
              <w:rPr>
                <w:rFonts w:ascii="Times New Roman"/>
                <w:w w:val="95"/>
                <w:sz w:val="20"/>
              </w:rPr>
              <w:t>246,315,497.79</w:t>
            </w:r>
            <w:r>
              <w:rPr>
                <w:rFonts w:ascii="Times New Roman"/>
                <w:sz w:val="20"/>
              </w:rPr>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4"/>
              <w:jc w:val="right"/>
              <w:rPr>
                <w:rFonts w:ascii="Times New Roman" w:hAnsi="Times New Roman" w:cs="Times New Roman" w:eastAsia="Times New Roman" w:hint="default"/>
                <w:sz w:val="20"/>
                <w:szCs w:val="20"/>
              </w:rPr>
            </w:pPr>
            <w:r>
              <w:rPr>
                <w:rFonts w:ascii="Times New Roman"/>
                <w:sz w:val="20"/>
              </w:rPr>
              <w:t>12.13</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5"/>
              <w:jc w:val="right"/>
              <w:rPr>
                <w:rFonts w:ascii="Times New Roman" w:hAnsi="Times New Roman" w:cs="Times New Roman" w:eastAsia="Times New Roman" w:hint="default"/>
                <w:sz w:val="20"/>
                <w:szCs w:val="20"/>
              </w:rPr>
            </w:pPr>
            <w:r>
              <w:rPr>
                <w:rFonts w:ascii="Times New Roman"/>
                <w:spacing w:val="-1"/>
                <w:sz w:val="20"/>
              </w:rPr>
              <w:t>1,784,531,023.42</w:t>
            </w:r>
          </w:p>
        </w:tc>
      </w:tr>
      <w:tr>
        <w:trPr>
          <w:trHeight w:val="281" w:hRule="exact"/>
        </w:trPr>
        <w:tc>
          <w:tcPr>
            <w:tcW w:w="1393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283" w:hRule="exact"/>
        </w:trPr>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信用风险组合</w:t>
            </w:r>
            <w:r>
              <w:rPr>
                <w:rFonts w:ascii="宋体" w:hAnsi="宋体" w:cs="宋体" w:eastAsia="宋体" w:hint="default"/>
                <w:sz w:val="21"/>
                <w:szCs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0"/>
                <w:szCs w:val="20"/>
              </w:rPr>
            </w:pPr>
            <w:r>
              <w:rPr>
                <w:rFonts w:ascii="Times New Roman"/>
                <w:sz w:val="20"/>
              </w:rPr>
              <w:t>1,506,253,254.81</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20"/>
                <w:szCs w:val="20"/>
              </w:rPr>
            </w:pPr>
            <w:r>
              <w:rPr>
                <w:rFonts w:ascii="Times New Roman"/>
                <w:sz w:val="20"/>
              </w:rPr>
              <w:t>58.29</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0"/>
                <w:szCs w:val="20"/>
              </w:rPr>
            </w:pPr>
            <w:r>
              <w:rPr>
                <w:rFonts w:ascii="Times New Roman"/>
                <w:sz w:val="20"/>
              </w:rPr>
              <w:t>224,375,934.54</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14.9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1,281,877,320.27</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spacing w:val="-1"/>
                <w:sz w:val="20"/>
              </w:rPr>
              <w:t>1,665,799,179.30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82.02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246,315,497.79</w:t>
            </w:r>
            <w:r>
              <w:rPr>
                <w:rFonts w:ascii="Times New Roman"/>
                <w:sz w:val="20"/>
              </w:rPr>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20"/>
                <w:szCs w:val="20"/>
              </w:rPr>
            </w:pPr>
            <w:r>
              <w:rPr>
                <w:rFonts w:ascii="Times New Roman"/>
                <w:sz w:val="20"/>
              </w:rPr>
              <w:t>14.79</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spacing w:val="-1"/>
                <w:sz w:val="20"/>
              </w:rPr>
              <w:t>1,419,483,681.51</w:t>
            </w:r>
          </w:p>
        </w:tc>
      </w:tr>
      <w:tr>
        <w:trPr>
          <w:trHeight w:val="281" w:hRule="exact"/>
        </w:trPr>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关联方组合</w:t>
            </w:r>
            <w:r>
              <w:rPr>
                <w:rFonts w:ascii="宋体" w:hAnsi="宋体" w:cs="宋体" w:eastAsia="宋体" w:hint="default"/>
                <w:sz w:val="21"/>
                <w:szCs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0"/>
                <w:szCs w:val="20"/>
              </w:rPr>
            </w:pPr>
            <w:r>
              <w:rPr>
                <w:rFonts w:ascii="Times New Roman"/>
                <w:sz w:val="20"/>
              </w:rPr>
              <w:t>1,077,816,207.29</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20"/>
                <w:szCs w:val="20"/>
              </w:rPr>
            </w:pPr>
            <w:r>
              <w:rPr>
                <w:rFonts w:ascii="Times New Roman"/>
                <w:sz w:val="20"/>
              </w:rPr>
              <w:t>41.71</w:t>
            </w:r>
          </w:p>
        </w:tc>
        <w:tc>
          <w:tcPr>
            <w:tcW w:w="1310"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1,077,816,207.29</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365,047,341.91</w:t>
            </w:r>
            <w:r>
              <w:rPr>
                <w:rFonts w:ascii="Times New Roman"/>
                <w:sz w:val="20"/>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0"/>
                <w:szCs w:val="20"/>
              </w:rPr>
            </w:pPr>
            <w:r>
              <w:rPr>
                <w:rFonts w:ascii="Times New Roman"/>
                <w:sz w:val="20"/>
              </w:rPr>
              <w:t>17.98</w:t>
            </w:r>
          </w:p>
        </w:tc>
        <w:tc>
          <w:tcPr>
            <w:tcW w:w="1553"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0"/>
                <w:szCs w:val="20"/>
              </w:rPr>
            </w:pPr>
            <w:r>
              <w:rPr>
                <w:rFonts w:ascii="Times New Roman"/>
                <w:w w:val="95"/>
                <w:sz w:val="20"/>
              </w:rPr>
              <w:t>365,047,341.91</w:t>
            </w:r>
            <w:r>
              <w:rPr>
                <w:rFonts w:ascii="Times New Roman"/>
                <w:sz w:val="20"/>
              </w:rPr>
            </w:r>
          </w:p>
        </w:tc>
      </w:tr>
      <w:tr>
        <w:trPr>
          <w:trHeight w:val="324" w:hRule="exact"/>
        </w:trPr>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02"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Times New Roman" w:hAnsi="Times New Roman" w:cs="Times New Roman" w:eastAsia="Times New Roman" w:hint="default"/>
                <w:sz w:val="20"/>
                <w:szCs w:val="20"/>
              </w:rPr>
            </w:pPr>
            <w:r>
              <w:rPr>
                <w:rFonts w:ascii="Times New Roman"/>
                <w:sz w:val="20"/>
              </w:rPr>
              <w:t>2,584,069,462.10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89" w:right="0"/>
              <w:jc w:val="left"/>
              <w:rPr>
                <w:rFonts w:ascii="Times New Roman" w:hAnsi="Times New Roman" w:cs="Times New Roman" w:eastAsia="Times New Roman" w:hint="default"/>
                <w:sz w:val="20"/>
                <w:szCs w:val="20"/>
              </w:rPr>
            </w:pPr>
            <w:r>
              <w:rPr>
                <w:rFonts w:ascii="Times New Roman"/>
                <w:sz w:val="20"/>
              </w:rPr>
              <w:t>100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Times New Roman" w:hAnsi="Times New Roman" w:cs="Times New Roman" w:eastAsia="Times New Roman" w:hint="default"/>
                <w:sz w:val="20"/>
                <w:szCs w:val="20"/>
              </w:rPr>
            </w:pPr>
            <w:r>
              <w:rPr>
                <w:rFonts w:ascii="Times New Roman"/>
                <w:sz w:val="20"/>
              </w:rPr>
              <w:t>224,375,934.54</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79" w:right="0"/>
              <w:jc w:val="left"/>
              <w:rPr>
                <w:rFonts w:ascii="Times New Roman" w:hAnsi="Times New Roman" w:cs="Times New Roman" w:eastAsia="Times New Roman" w:hint="default"/>
                <w:sz w:val="20"/>
                <w:szCs w:val="20"/>
              </w:rPr>
            </w:pPr>
            <w:r>
              <w:rPr>
                <w:rFonts w:ascii="Times New Roman"/>
                <w:sz w:val="20"/>
              </w:rPr>
              <w:t>8.68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Times New Roman" w:hAnsi="Times New Roman" w:cs="Times New Roman" w:eastAsia="Times New Roman" w:hint="default"/>
                <w:sz w:val="20"/>
                <w:szCs w:val="20"/>
              </w:rPr>
            </w:pPr>
            <w:r>
              <w:rPr>
                <w:rFonts w:ascii="Times New Roman"/>
                <w:sz w:val="20"/>
              </w:rPr>
              <w:t>2,359,693,527.56</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5"/>
              <w:jc w:val="right"/>
              <w:rPr>
                <w:rFonts w:ascii="Times New Roman" w:hAnsi="Times New Roman" w:cs="Times New Roman" w:eastAsia="Times New Roman" w:hint="default"/>
                <w:sz w:val="20"/>
                <w:szCs w:val="20"/>
              </w:rPr>
            </w:pPr>
            <w:r>
              <w:rPr>
                <w:rFonts w:ascii="Times New Roman"/>
                <w:spacing w:val="-1"/>
                <w:sz w:val="20"/>
              </w:rPr>
              <w:t>2,030,846,521.21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06" w:right="0"/>
              <w:jc w:val="left"/>
              <w:rPr>
                <w:rFonts w:ascii="Times New Roman" w:hAnsi="Times New Roman" w:cs="Times New Roman" w:eastAsia="Times New Roman" w:hint="default"/>
                <w:sz w:val="20"/>
                <w:szCs w:val="20"/>
              </w:rPr>
            </w:pPr>
            <w:r>
              <w:rPr>
                <w:rFonts w:ascii="Times New Roman"/>
                <w:sz w:val="20"/>
              </w:rPr>
              <w:t>100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5"/>
              <w:jc w:val="right"/>
              <w:rPr>
                <w:rFonts w:ascii="Times New Roman" w:hAnsi="Times New Roman" w:cs="Times New Roman" w:eastAsia="Times New Roman" w:hint="default"/>
                <w:sz w:val="20"/>
                <w:szCs w:val="20"/>
              </w:rPr>
            </w:pPr>
            <w:r>
              <w:rPr>
                <w:rFonts w:ascii="Times New Roman"/>
                <w:w w:val="95"/>
                <w:sz w:val="20"/>
              </w:rPr>
              <w:t>246,315,497.79</w:t>
            </w:r>
            <w:r>
              <w:rPr>
                <w:rFonts w:ascii="Times New Roman"/>
                <w:sz w:val="20"/>
              </w:rPr>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39" w:right="0"/>
              <w:jc w:val="left"/>
              <w:rPr>
                <w:rFonts w:ascii="Times New Roman" w:hAnsi="Times New Roman" w:cs="Times New Roman" w:eastAsia="Times New Roman" w:hint="default"/>
                <w:sz w:val="20"/>
                <w:szCs w:val="20"/>
              </w:rPr>
            </w:pPr>
            <w:r>
              <w:rPr>
                <w:rFonts w:ascii="Times New Roman"/>
                <w:sz w:val="20"/>
              </w:rPr>
              <w:t>12.13</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5"/>
              <w:jc w:val="right"/>
              <w:rPr>
                <w:rFonts w:ascii="Times New Roman" w:hAnsi="Times New Roman" w:cs="Times New Roman" w:eastAsia="Times New Roman" w:hint="default"/>
                <w:sz w:val="20"/>
                <w:szCs w:val="20"/>
              </w:rPr>
            </w:pPr>
            <w:r>
              <w:rPr>
                <w:rFonts w:ascii="Times New Roman"/>
                <w:spacing w:val="-1"/>
                <w:sz w:val="20"/>
              </w:rPr>
              <w:t>1,784,531,023.42</w:t>
            </w:r>
          </w:p>
        </w:tc>
      </w:tr>
    </w:tbl>
    <w:p>
      <w:pPr>
        <w:spacing w:after="0" w:line="240" w:lineRule="auto"/>
        <w:jc w:val="right"/>
        <w:rPr>
          <w:rFonts w:ascii="Times New Roman" w:hAnsi="Times New Roman" w:cs="Times New Roman" w:eastAsia="Times New Roman" w:hint="default"/>
          <w:sz w:val="20"/>
          <w:szCs w:val="20"/>
        </w:rPr>
        <w:sectPr>
          <w:pgSz w:w="16840" w:h="11910" w:orient="landscape"/>
          <w:pgMar w:header="882" w:footer="1195" w:top="1120" w:bottom="1380" w:left="1300" w:right="1220"/>
        </w:sectPr>
      </w:pPr>
    </w:p>
    <w:p>
      <w:pPr>
        <w:pStyle w:val="Heading3"/>
        <w:spacing w:line="272" w:lineRule="exact"/>
        <w:ind w:left="224" w:right="0"/>
        <w:jc w:val="left"/>
        <w:rPr>
          <w:rFonts w:ascii="宋体" w:hAnsi="宋体" w:cs="宋体" w:eastAsia="宋体" w:hint="default"/>
        </w:rPr>
      </w:pPr>
      <w:r>
        <w:rPr>
          <w:rFonts w:ascii="宋体"/>
        </w:rPr>
        <w:t> </w:t>
      </w:r>
    </w:p>
    <w:p>
      <w:pPr>
        <w:pStyle w:val="Heading3"/>
        <w:spacing w:line="311" w:lineRule="exact"/>
        <w:ind w:left="224" w:right="0"/>
        <w:jc w:val="left"/>
        <w:rPr>
          <w:rFonts w:ascii="宋体" w:hAnsi="宋体" w:cs="宋体" w:eastAsia="宋体" w:hint="default"/>
        </w:rPr>
      </w:pPr>
      <w:r>
        <w:rPr/>
        <w:t>按单项计提坏账准备：</w:t>
      </w:r>
      <w:r>
        <w:rPr>
          <w:rFonts w:ascii="宋体" w:hAnsi="宋体" w:cs="宋体" w:eastAsia="宋体" w:hint="default"/>
        </w:rPr>
        <w:t> </w:t>
      </w:r>
    </w:p>
    <w:p>
      <w:pPr>
        <w:pStyle w:val="Heading3"/>
        <w:spacing w:line="312" w:lineRule="exact"/>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1" w:lineRule="exact"/>
        <w:ind w:left="224" w:right="0"/>
        <w:jc w:val="left"/>
        <w:rPr>
          <w:rFonts w:ascii="宋体" w:hAnsi="宋体" w:cs="宋体" w:eastAsia="宋体" w:hint="default"/>
        </w:rPr>
      </w:pPr>
      <w:r>
        <w:rPr>
          <w:rFonts w:ascii="宋体"/>
        </w:rPr>
        <w:t> </w:t>
      </w:r>
    </w:p>
    <w:p>
      <w:pPr>
        <w:pStyle w:val="Heading3"/>
        <w:spacing w:line="312" w:lineRule="exact"/>
        <w:ind w:left="224" w:right="0"/>
        <w:jc w:val="left"/>
        <w:rPr>
          <w:rFonts w:ascii="宋体" w:hAnsi="宋体" w:cs="宋体" w:eastAsia="宋体" w:hint="default"/>
        </w:rPr>
      </w:pPr>
      <w:r>
        <w:rPr>
          <w:rFonts w:ascii="宋体"/>
        </w:rPr>
        <w:t> </w:t>
      </w:r>
    </w:p>
    <w:p>
      <w:pPr>
        <w:pStyle w:val="BodyText"/>
        <w:spacing w:line="270" w:lineRule="exact" w:before="4"/>
        <w:ind w:left="224" w:right="0"/>
        <w:jc w:val="left"/>
        <w:rPr>
          <w:rFonts w:ascii="宋体" w:hAnsi="宋体" w:cs="宋体" w:eastAsia="宋体" w:hint="default"/>
        </w:rPr>
      </w:pPr>
      <w:r>
        <w:rPr/>
        <w:t>按组合计提坏账准备：</w:t>
      </w:r>
      <w:r>
        <w:rPr>
          <w:rFonts w:ascii="宋体" w:hAnsi="宋体" w:cs="宋体" w:eastAsia="宋体" w:hint="default"/>
        </w:rPr>
        <w:t> </w:t>
      </w:r>
    </w:p>
    <w:p>
      <w:pPr>
        <w:pStyle w:val="Heading3"/>
        <w:spacing w:line="308" w:lineRule="exact"/>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left="224" w:right="0"/>
        <w:jc w:val="left"/>
        <w:rPr>
          <w:rFonts w:ascii="宋体" w:hAnsi="宋体" w:cs="宋体" w:eastAsia="宋体" w:hint="default"/>
        </w:rPr>
      </w:pPr>
      <w:r>
        <w:rPr>
          <w:rFonts w:ascii="宋体"/>
        </w:rPr>
        <w:t> </w:t>
      </w:r>
    </w:p>
    <w:p>
      <w:pPr>
        <w:pStyle w:val="Heading3"/>
        <w:spacing w:line="310" w:lineRule="exact" w:before="31"/>
        <w:ind w:left="224" w:right="0"/>
        <w:jc w:val="left"/>
        <w:rPr>
          <w:rFonts w:ascii="宋体" w:hAnsi="宋体" w:cs="宋体" w:eastAsia="宋体" w:hint="default"/>
        </w:rPr>
      </w:pPr>
      <w:r>
        <w:rPr>
          <w:rFonts w:ascii="宋体" w:hAnsi="宋体" w:cs="宋体" w:eastAsia="宋体" w:hint="default"/>
        </w:rPr>
        <w:t>  </w:t>
      </w:r>
      <w:r>
        <w:rPr/>
        <w:t>组合计提项目：信用风险组合</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3"/>
        <w:spacing w:line="240" w:lineRule="auto" w:before="206"/>
        <w:ind w:left="224"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00" w:right="1220"/>
          <w:cols w:num="2" w:equalWidth="0">
            <w:col w:w="3465" w:space="7666"/>
            <w:col w:w="3189"/>
          </w:cols>
        </w:sectPr>
      </w:pP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264"/>
        <w:gridCol w:w="3596"/>
        <w:gridCol w:w="3660"/>
        <w:gridCol w:w="3569"/>
      </w:tblGrid>
      <w:tr>
        <w:trPr>
          <w:trHeight w:val="281" w:hRule="exact"/>
        </w:trPr>
        <w:tc>
          <w:tcPr>
            <w:tcW w:w="3264"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108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3264" w:type="dxa"/>
            <w:vMerge/>
            <w:tcBorders>
              <w:left w:val="single" w:sz="4" w:space="0" w:color="000000"/>
              <w:bottom w:val="single" w:sz="4" w:space="0" w:color="000000"/>
              <w:right w:val="single" w:sz="4" w:space="0" w:color="000000"/>
            </w:tcBorders>
          </w:tcPr>
          <w:p>
            <w:pP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9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spacing w:val="-1"/>
                <w:sz w:val="20"/>
              </w:rPr>
              <w:t>1,006,698,303.22</w:t>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36,223,041.49</w:t>
            </w:r>
            <w:r>
              <w:rPr>
                <w:rFonts w:ascii="Times New Roman"/>
                <w:sz w:val="20"/>
              </w:rPr>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sz w:val="20"/>
              </w:rPr>
              <w:t>3.6</w:t>
            </w:r>
          </w:p>
        </w:tc>
      </w:tr>
      <w:tr>
        <w:trPr>
          <w:trHeight w:val="281"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198,848,255.15</w:t>
            </w:r>
            <w:r>
              <w:rPr>
                <w:rFonts w:ascii="Times New Roman"/>
                <w:sz w:val="20"/>
              </w:rPr>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21,778,994.46</w:t>
            </w:r>
            <w:r>
              <w:rPr>
                <w:rFonts w:ascii="Times New Roman"/>
                <w:sz w:val="20"/>
              </w:rPr>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sz w:val="20"/>
              </w:rPr>
              <w:t>10.95</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Times New Roman" w:hAnsi="Times New Roman" w:cs="Times New Roman" w:eastAsia="Times New Roman" w:hint="default"/>
                <w:sz w:val="20"/>
                <w:szCs w:val="20"/>
              </w:rPr>
            </w:pPr>
            <w:r>
              <w:rPr>
                <w:rFonts w:ascii="Times New Roman"/>
                <w:w w:val="95"/>
                <w:sz w:val="20"/>
              </w:rPr>
              <w:t>93,661,885.94</w:t>
            </w:r>
            <w:r>
              <w:rPr>
                <w:rFonts w:ascii="Times New Roman"/>
                <w:sz w:val="20"/>
              </w:rPr>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Times New Roman" w:hAnsi="Times New Roman" w:cs="Times New Roman" w:eastAsia="Times New Roman" w:hint="default"/>
                <w:sz w:val="20"/>
                <w:szCs w:val="20"/>
              </w:rPr>
            </w:pPr>
            <w:r>
              <w:rPr>
                <w:rFonts w:ascii="Times New Roman"/>
                <w:w w:val="95"/>
                <w:sz w:val="20"/>
              </w:rPr>
              <w:t>20,756,212.40</w:t>
            </w:r>
            <w:r>
              <w:rPr>
                <w:rFonts w:ascii="Times New Roman"/>
                <w:sz w:val="20"/>
              </w:rPr>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Times New Roman" w:hAnsi="Times New Roman" w:cs="Times New Roman" w:eastAsia="Times New Roman" w:hint="default"/>
                <w:sz w:val="20"/>
                <w:szCs w:val="20"/>
              </w:rPr>
            </w:pPr>
            <w:r>
              <w:rPr>
                <w:rFonts w:ascii="Times New Roman"/>
                <w:sz w:val="20"/>
              </w:rPr>
              <w:t>22.16</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100,943,522.24</w:t>
            </w:r>
            <w:r>
              <w:rPr>
                <w:rFonts w:ascii="Times New Roman"/>
                <w:sz w:val="20"/>
              </w:rPr>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44,125,658.13</w:t>
            </w:r>
            <w:r>
              <w:rPr>
                <w:rFonts w:ascii="Times New Roman"/>
                <w:sz w:val="20"/>
              </w:rPr>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sz w:val="20"/>
              </w:rPr>
              <w:t>43.71</w:t>
            </w:r>
          </w:p>
        </w:tc>
      </w:tr>
      <w:tr>
        <w:trPr>
          <w:trHeight w:val="281"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1"/>
              <w:jc w:val="right"/>
              <w:rPr>
                <w:rFonts w:ascii="Times New Roman" w:hAnsi="Times New Roman" w:cs="Times New Roman" w:eastAsia="Times New Roman" w:hint="default"/>
                <w:sz w:val="20"/>
                <w:szCs w:val="20"/>
              </w:rPr>
            </w:pPr>
            <w:r>
              <w:rPr>
                <w:rFonts w:ascii="Times New Roman"/>
                <w:w w:val="95"/>
                <w:sz w:val="20"/>
              </w:rPr>
              <w:t>23,046,300.99</w:t>
            </w:r>
            <w:r>
              <w:rPr>
                <w:rFonts w:ascii="Times New Roman"/>
                <w:sz w:val="20"/>
              </w:rPr>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1"/>
              <w:jc w:val="right"/>
              <w:rPr>
                <w:rFonts w:ascii="Times New Roman" w:hAnsi="Times New Roman" w:cs="Times New Roman" w:eastAsia="Times New Roman" w:hint="default"/>
                <w:sz w:val="20"/>
                <w:szCs w:val="20"/>
              </w:rPr>
            </w:pPr>
            <w:r>
              <w:rPr>
                <w:rFonts w:ascii="Times New Roman"/>
                <w:w w:val="95"/>
                <w:sz w:val="20"/>
              </w:rPr>
              <w:t>18,437,040.79</w:t>
            </w:r>
            <w:r>
              <w:rPr>
                <w:rFonts w:ascii="Times New Roman"/>
                <w:sz w:val="20"/>
              </w:rPr>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98"/>
              <w:jc w:val="right"/>
              <w:rPr>
                <w:rFonts w:ascii="Times New Roman" w:hAnsi="Times New Roman" w:cs="Times New Roman" w:eastAsia="Times New Roman" w:hint="default"/>
                <w:sz w:val="20"/>
                <w:szCs w:val="20"/>
              </w:rPr>
            </w:pPr>
            <w:r>
              <w:rPr>
                <w:rFonts w:ascii="Times New Roman"/>
                <w:sz w:val="20"/>
              </w:rPr>
              <w:t>80</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Times New Roman" w:hAnsi="Times New Roman" w:cs="Times New Roman" w:eastAsia="Times New Roman" w:hint="default"/>
                <w:sz w:val="20"/>
                <w:szCs w:val="20"/>
              </w:rPr>
            </w:pPr>
            <w:r>
              <w:rPr>
                <w:rFonts w:ascii="Times New Roman"/>
                <w:w w:val="95"/>
                <w:sz w:val="20"/>
              </w:rPr>
              <w:t>83,054,987.27</w:t>
            </w:r>
            <w:r>
              <w:rPr>
                <w:rFonts w:ascii="Times New Roman"/>
                <w:sz w:val="20"/>
              </w:rPr>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Times New Roman" w:hAnsi="Times New Roman" w:cs="Times New Roman" w:eastAsia="Times New Roman" w:hint="default"/>
                <w:sz w:val="20"/>
                <w:szCs w:val="20"/>
              </w:rPr>
            </w:pPr>
            <w:r>
              <w:rPr>
                <w:rFonts w:ascii="Times New Roman"/>
                <w:w w:val="95"/>
                <w:sz w:val="20"/>
              </w:rPr>
              <w:t>83,054,987.27</w:t>
            </w:r>
            <w:r>
              <w:rPr>
                <w:rFonts w:ascii="Times New Roman"/>
                <w:sz w:val="20"/>
              </w:rPr>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98"/>
              <w:jc w:val="right"/>
              <w:rPr>
                <w:rFonts w:ascii="Times New Roman" w:hAnsi="Times New Roman" w:cs="Times New Roman" w:eastAsia="Times New Roman" w:hint="default"/>
                <w:sz w:val="20"/>
                <w:szCs w:val="20"/>
              </w:rPr>
            </w:pPr>
            <w:r>
              <w:rPr>
                <w:rFonts w:ascii="Times New Roman"/>
                <w:sz w:val="20"/>
              </w:rPr>
              <w:t>100</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5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spacing w:val="-1"/>
                <w:sz w:val="20"/>
              </w:rPr>
              <w:t>1,506,253,254.81</w:t>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224,375,934.54</w:t>
            </w:r>
            <w:r>
              <w:rPr>
                <w:rFonts w:ascii="Times New Roman"/>
                <w:sz w:val="20"/>
              </w:rPr>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sz w:val="20"/>
              </w:rPr>
              <w:t>14.90</w:t>
            </w:r>
          </w:p>
        </w:tc>
      </w:tr>
    </w:tbl>
    <w:p>
      <w:pPr>
        <w:pStyle w:val="Heading3"/>
        <w:spacing w:line="274" w:lineRule="exact"/>
        <w:ind w:left="224" w:right="0"/>
        <w:jc w:val="left"/>
        <w:rPr>
          <w:rFonts w:ascii="宋体" w:hAnsi="宋体" w:cs="宋体" w:eastAsia="宋体" w:hint="default"/>
        </w:rPr>
      </w:pPr>
      <w:r>
        <w:rPr>
          <w:rFonts w:ascii="宋体"/>
        </w:rPr>
        <w:t> </w:t>
      </w:r>
    </w:p>
    <w:p>
      <w:pPr>
        <w:spacing w:after="0" w:line="274" w:lineRule="exact"/>
        <w:jc w:val="left"/>
        <w:rPr>
          <w:rFonts w:ascii="宋体" w:hAnsi="宋体" w:cs="宋体" w:eastAsia="宋体" w:hint="default"/>
        </w:rPr>
        <w:sectPr>
          <w:type w:val="continuous"/>
          <w:pgSz w:w="16840" w:h="11910" w:orient="landscape"/>
          <w:pgMar w:top="1120" w:bottom="1380" w:left="1300" w:right="1220"/>
        </w:sectPr>
      </w:pPr>
    </w:p>
    <w:p>
      <w:pPr>
        <w:pStyle w:val="Heading3"/>
        <w:spacing w:line="310" w:lineRule="exact" w:before="143"/>
        <w:ind w:left="224" w:right="0"/>
        <w:jc w:val="left"/>
        <w:rPr>
          <w:rFonts w:ascii="宋体" w:hAnsi="宋体" w:cs="宋体" w:eastAsia="宋体" w:hint="default"/>
        </w:rPr>
      </w:pPr>
      <w:r>
        <w:rPr>
          <w:rFonts w:ascii="宋体" w:hAnsi="宋体" w:cs="宋体" w:eastAsia="宋体" w:hint="default"/>
        </w:rPr>
        <w:t>  </w:t>
      </w:r>
      <w:r>
        <w:rPr/>
        <w:t>按组合计提坏账的确认标准及说明</w:t>
      </w:r>
      <w:r>
        <w:rPr>
          <w:spacing w:val="1"/>
        </w:rPr>
        <w:t>：</w:t>
      </w:r>
      <w:r>
        <w:rPr>
          <w:rFonts w:ascii="宋体" w:hAnsi="宋体" w:cs="宋体" w:eastAsia="宋体" w:hint="default"/>
        </w:rPr>
        <w:t> </w:t>
      </w:r>
    </w:p>
    <w:p>
      <w:pPr>
        <w:pStyle w:val="Heading3"/>
        <w:spacing w:line="283" w:lineRule="exact"/>
        <w:ind w:left="224"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0" w:lineRule="exact" w:before="31"/>
        <w:ind w:left="224" w:right="0"/>
        <w:jc w:val="left"/>
        <w:rPr>
          <w:rFonts w:ascii="宋体" w:hAnsi="宋体" w:cs="宋体" w:eastAsia="宋体" w:hint="default"/>
        </w:rPr>
      </w:pPr>
      <w:r>
        <w:rPr>
          <w:rFonts w:ascii="宋体" w:hAnsi="宋体" w:cs="宋体" w:eastAsia="宋体" w:hint="default"/>
        </w:rPr>
        <w:t>  </w:t>
      </w:r>
      <w:r>
        <w:rPr/>
        <w:t>采用其他方法计提坏账准备的的应收账</w:t>
      </w:r>
      <w:r>
        <w:rPr>
          <w:spacing w:val="1"/>
        </w:rPr>
        <w:t>款</w:t>
      </w:r>
      <w:r>
        <w:rPr>
          <w:rFonts w:ascii="宋体" w:hAnsi="宋体" w:cs="宋体" w:eastAsia="宋体" w:hint="default"/>
        </w:rPr>
        <w:t> </w:t>
      </w:r>
    </w:p>
    <w:tbl>
      <w:tblPr>
        <w:tblW w:w="0" w:type="auto"/>
        <w:jc w:val="left"/>
        <w:tblInd w:w="223" w:type="dxa"/>
        <w:tblLayout w:type="fixed"/>
        <w:tblCellMar>
          <w:top w:w="0" w:type="dxa"/>
          <w:left w:w="0" w:type="dxa"/>
          <w:bottom w:w="0" w:type="dxa"/>
          <w:right w:w="0" w:type="dxa"/>
        </w:tblCellMar>
        <w:tblLook w:val="01E0"/>
      </w:tblPr>
      <w:tblGrid>
        <w:gridCol w:w="1949"/>
        <w:gridCol w:w="1733"/>
        <w:gridCol w:w="2269"/>
        <w:gridCol w:w="1702"/>
        <w:gridCol w:w="1982"/>
        <w:gridCol w:w="2281"/>
        <w:gridCol w:w="1949"/>
      </w:tblGrid>
      <w:tr>
        <w:trPr>
          <w:trHeight w:val="283" w:hRule="exact"/>
        </w:trPr>
        <w:tc>
          <w:tcPr>
            <w:tcW w:w="1949"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57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62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1949" w:type="dxa"/>
            <w:vMerge/>
            <w:tcBorders>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预期信用损失率</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4" w:right="0"/>
              <w:jc w:val="left"/>
              <w:rPr>
                <w:rFonts w:ascii="宋体" w:hAnsi="宋体" w:cs="宋体" w:eastAsia="宋体" w:hint="default"/>
                <w:sz w:val="21"/>
                <w:szCs w:val="21"/>
              </w:rPr>
            </w:pPr>
            <w:r>
              <w:rPr>
                <w:rFonts w:ascii="宋体" w:hAnsi="宋体" w:cs="宋体" w:eastAsia="宋体" w:hint="default"/>
                <w:sz w:val="21"/>
                <w:szCs w:val="21"/>
              </w:rPr>
              <w:t>预期信用损失率</w:t>
            </w:r>
            <w:r>
              <w:rPr>
                <w:rFonts w:ascii="宋体" w:hAnsi="宋体" w:cs="宋体" w:eastAsia="宋体" w:hint="default"/>
                <w:sz w:val="21"/>
                <w:szCs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2"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r>
      <w:tr>
        <w:trPr>
          <w:trHeight w:val="283"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关联方组合</w:t>
            </w:r>
            <w:r>
              <w:rPr>
                <w:rFonts w:ascii="宋体" w:hAnsi="宋体" w:cs="宋体" w:eastAsia="宋体" w:hint="default"/>
                <w:sz w:val="21"/>
                <w:szCs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Times New Roman" w:hAnsi="Times New Roman" w:cs="Times New Roman" w:eastAsia="Times New Roman" w:hint="default"/>
                <w:sz w:val="20"/>
                <w:szCs w:val="20"/>
              </w:rPr>
            </w:pPr>
            <w:r>
              <w:rPr>
                <w:rFonts w:ascii="Times New Roman"/>
                <w:sz w:val="20"/>
              </w:rPr>
              <w:t>1,077,816,207.29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w w:val="99"/>
                <w:sz w:val="20"/>
              </w:rPr>
              <w:t> </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w w:val="99"/>
                <w:sz w:val="20"/>
              </w:rPr>
              <w:t> </w:t>
            </w:r>
            <w:r>
              <w:rPr>
                <w:rFonts w:ascii="宋体"/>
                <w:sz w:val="20"/>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Times New Roman" w:hAnsi="Times New Roman" w:cs="Times New Roman" w:eastAsia="Times New Roman" w:hint="default"/>
                <w:sz w:val="20"/>
                <w:szCs w:val="20"/>
              </w:rPr>
            </w:pPr>
            <w:r>
              <w:rPr>
                <w:rFonts w:ascii="Times New Roman"/>
                <w:sz w:val="20"/>
              </w:rPr>
              <w:t>365,047,341.91</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w w:val="100"/>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w w:val="100"/>
                <w:sz w:val="21"/>
              </w:rPr>
              <w:t> </w:t>
            </w:r>
          </w:p>
        </w:tc>
      </w:tr>
      <w:tr>
        <w:trPr>
          <w:trHeight w:val="284"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Times New Roman" w:hAnsi="Times New Roman" w:cs="Times New Roman" w:eastAsia="Times New Roman" w:hint="default"/>
                <w:sz w:val="20"/>
                <w:szCs w:val="20"/>
              </w:rPr>
            </w:pPr>
            <w:r>
              <w:rPr>
                <w:rFonts w:ascii="Times New Roman"/>
                <w:sz w:val="20"/>
              </w:rPr>
              <w:t>1,077,816,207.29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w w:val="99"/>
                <w:sz w:val="20"/>
              </w:rPr>
              <w:t> </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w w:val="99"/>
                <w:sz w:val="20"/>
              </w:rPr>
              <w:t> </w:t>
            </w:r>
            <w:r>
              <w:rPr>
                <w:rFonts w:ascii="宋体"/>
                <w:sz w:val="20"/>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Times New Roman" w:hAnsi="Times New Roman" w:cs="Times New Roman" w:eastAsia="Times New Roman" w:hint="default"/>
                <w:sz w:val="20"/>
                <w:szCs w:val="20"/>
              </w:rPr>
            </w:pPr>
            <w:r>
              <w:rPr>
                <w:rFonts w:ascii="Times New Roman"/>
                <w:sz w:val="20"/>
              </w:rPr>
              <w:t>365,047,341.91</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pgSz w:w="16840" w:h="11910" w:orient="landscape"/>
          <w:pgMar w:header="882" w:footer="1195" w:top="1120" w:bottom="1380" w:left="1300" w:right="1200"/>
        </w:sectPr>
      </w:pPr>
    </w:p>
    <w:p>
      <w:pPr>
        <w:pStyle w:val="Heading3"/>
        <w:spacing w:line="284" w:lineRule="exact"/>
        <w:ind w:left="224" w:right="0"/>
        <w:jc w:val="left"/>
        <w:rPr>
          <w:rFonts w:ascii="宋体" w:hAnsi="宋体" w:cs="宋体" w:eastAsia="宋体" w:hint="default"/>
        </w:rPr>
      </w:pPr>
      <w:r>
        <w:rPr>
          <w:rFonts w:ascii="宋体"/>
        </w:rPr>
        <w:t> </w:t>
      </w:r>
    </w:p>
    <w:p>
      <w:pPr>
        <w:pStyle w:val="BodyText"/>
        <w:spacing w:line="270" w:lineRule="exact" w:before="4"/>
        <w:ind w:left="224" w:right="0"/>
        <w:jc w:val="left"/>
        <w:rPr>
          <w:rFonts w:ascii="宋体" w:hAnsi="宋体" w:cs="宋体" w:eastAsia="宋体" w:hint="default"/>
        </w:rPr>
      </w:pPr>
      <w:r>
        <w:rPr/>
        <w:t>如按预期信用损失一般模型计提坏账准备，请参照其他应收款披露：</w:t>
      </w:r>
      <w:r>
        <w:rPr>
          <w:rFonts w:ascii="宋体" w:hAnsi="宋体" w:cs="宋体" w:eastAsia="宋体" w:hint="default"/>
        </w:rPr>
        <w:t> </w:t>
      </w:r>
    </w:p>
    <w:p>
      <w:pPr>
        <w:pStyle w:val="Heading3"/>
        <w:spacing w:line="308" w:lineRule="exact"/>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224" w:right="0"/>
        <w:jc w:val="left"/>
        <w:rPr>
          <w:rFonts w:ascii="宋体" w:hAnsi="宋体" w:cs="宋体" w:eastAsia="宋体" w:hint="default"/>
        </w:rPr>
      </w:pPr>
      <w:r>
        <w:rPr>
          <w:rFonts w:ascii="宋体"/>
        </w:rPr>
        <w:t> </w:t>
      </w:r>
    </w:p>
    <w:p>
      <w:pPr>
        <w:pStyle w:val="Heading5"/>
        <w:spacing w:line="240" w:lineRule="auto" w:before="61"/>
        <w:ind w:left="224" w:right="0"/>
        <w:jc w:val="left"/>
        <w:rPr>
          <w:rFonts w:ascii="宋体" w:hAnsi="宋体" w:cs="宋体" w:eastAsia="宋体" w:hint="default"/>
          <w:b w:val="0"/>
          <w:bCs w:val="0"/>
        </w:rPr>
      </w:pPr>
      <w:r>
        <w:rPr>
          <w:rFonts w:ascii="宋体" w:hAnsi="宋体" w:cs="宋体" w:eastAsia="宋体" w:hint="default"/>
        </w:rPr>
        <w:t>(3).</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tabs>
          <w:tab w:pos="1275" w:val="left" w:leader="none"/>
        </w:tabs>
        <w:spacing w:line="240" w:lineRule="auto"/>
        <w:ind w:left="224"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1300" w:right="1200"/>
          <w:cols w:num="2" w:equalWidth="0">
            <w:col w:w="6634" w:space="4929"/>
            <w:col w:w="2777"/>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307"/>
        <w:gridCol w:w="1940"/>
        <w:gridCol w:w="2105"/>
        <w:gridCol w:w="1937"/>
        <w:gridCol w:w="1942"/>
        <w:gridCol w:w="1940"/>
        <w:gridCol w:w="1932"/>
      </w:tblGrid>
      <w:tr>
        <w:trPr>
          <w:trHeight w:val="283" w:hRule="exact"/>
        </w:trPr>
        <w:tc>
          <w:tcPr>
            <w:tcW w:w="2307" w:type="dxa"/>
            <w:vMerge w:val="restart"/>
            <w:tcBorders>
              <w:top w:val="single" w:sz="4" w:space="0" w:color="000000"/>
              <w:left w:val="single" w:sz="4" w:space="0" w:color="000000"/>
              <w:right w:val="single" w:sz="4" w:space="0" w:color="000000"/>
            </w:tcBorders>
          </w:tcPr>
          <w:p>
            <w:pPr>
              <w:pStyle w:val="TableParagraph"/>
              <w:spacing w:line="240" w:lineRule="auto" w:before="108"/>
              <w:ind w:left="106" w:right="0"/>
              <w:jc w:val="center"/>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940" w:type="dxa"/>
            <w:vMerge w:val="restart"/>
            <w:tcBorders>
              <w:top w:val="single" w:sz="4" w:space="0" w:color="000000"/>
              <w:left w:val="single" w:sz="4" w:space="0" w:color="000000"/>
              <w:right w:val="single" w:sz="4" w:space="0" w:color="000000"/>
            </w:tcBorders>
          </w:tcPr>
          <w:p>
            <w:pPr>
              <w:pStyle w:val="TableParagraph"/>
              <w:spacing w:line="240" w:lineRule="auto" w:before="108"/>
              <w:ind w:left="54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792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932" w:type="dxa"/>
            <w:vMerge w:val="restart"/>
            <w:tcBorders>
              <w:top w:val="single" w:sz="4" w:space="0" w:color="000000"/>
              <w:left w:val="single" w:sz="4" w:space="0" w:color="000000"/>
              <w:right w:val="single" w:sz="4" w:space="0" w:color="000000"/>
            </w:tcBorders>
          </w:tcPr>
          <w:p>
            <w:pPr>
              <w:pStyle w:val="TableParagraph"/>
              <w:spacing w:line="240" w:lineRule="auto" w:before="108"/>
              <w:ind w:left="53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2307" w:type="dxa"/>
            <w:vMerge/>
            <w:tcBorders>
              <w:left w:val="single" w:sz="4" w:space="0" w:color="000000"/>
              <w:bottom w:val="single" w:sz="4" w:space="0" w:color="000000"/>
              <w:right w:val="single" w:sz="4" w:space="0" w:color="000000"/>
            </w:tcBorders>
          </w:tcPr>
          <w:p>
            <w:pPr/>
          </w:p>
        </w:tc>
        <w:tc>
          <w:tcPr>
            <w:tcW w:w="1940" w:type="dxa"/>
            <w:vMerge/>
            <w:tcBorders>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6" w:right="0"/>
              <w:jc w:val="left"/>
              <w:rPr>
                <w:rFonts w:ascii="宋体" w:hAnsi="宋体" w:cs="宋体" w:eastAsia="宋体" w:hint="default"/>
                <w:sz w:val="21"/>
                <w:szCs w:val="21"/>
              </w:rPr>
            </w:pPr>
            <w:r>
              <w:rPr>
                <w:rFonts w:ascii="宋体" w:hAnsi="宋体" w:cs="宋体" w:eastAsia="宋体" w:hint="default"/>
                <w:sz w:val="21"/>
                <w:szCs w:val="21"/>
              </w:rPr>
              <w:t>收回或转回</w:t>
            </w:r>
            <w:r>
              <w:rPr>
                <w:rFonts w:ascii="宋体" w:hAnsi="宋体" w:cs="宋体" w:eastAsia="宋体" w:hint="default"/>
                <w:sz w:val="21"/>
                <w:szCs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9" w:right="0"/>
              <w:jc w:val="left"/>
              <w:rPr>
                <w:rFonts w:ascii="宋体" w:hAnsi="宋体" w:cs="宋体" w:eastAsia="宋体" w:hint="default"/>
                <w:sz w:val="21"/>
                <w:szCs w:val="21"/>
              </w:rPr>
            </w:pPr>
            <w:r>
              <w:rPr>
                <w:rFonts w:ascii="宋体" w:hAnsi="宋体" w:cs="宋体" w:eastAsia="宋体" w:hint="default"/>
                <w:sz w:val="21"/>
                <w:szCs w:val="21"/>
              </w:rPr>
              <w:t>转销或核销</w:t>
            </w:r>
            <w:r>
              <w:rPr>
                <w:rFonts w:ascii="宋体" w:hAnsi="宋体" w:cs="宋体" w:eastAsia="宋体" w:hint="default"/>
                <w:sz w:val="21"/>
                <w:szCs w:val="21"/>
              </w:rPr>
              <w:t>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932" w:type="dxa"/>
            <w:vMerge/>
            <w:tcBorders>
              <w:left w:val="single" w:sz="4" w:space="0" w:color="000000"/>
              <w:bottom w:val="single" w:sz="4" w:space="0" w:color="000000"/>
              <w:right w:val="single" w:sz="4" w:space="0" w:color="000000"/>
            </w:tcBorders>
          </w:tcPr>
          <w:p>
            <w:pPr/>
          </w:p>
        </w:tc>
      </w:tr>
      <w:tr>
        <w:trPr>
          <w:trHeight w:val="283"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应收账款坏账准备</w:t>
            </w:r>
            <w:r>
              <w:rPr>
                <w:rFonts w:ascii="宋体" w:hAnsi="宋体" w:cs="宋体" w:eastAsia="宋体" w:hint="default"/>
                <w:sz w:val="21"/>
                <w:szCs w:val="21"/>
              </w:rPr>
              <w:t>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246,315,497.79</w:t>
            </w:r>
            <w:r>
              <w:rPr>
                <w:rFonts w:ascii="宋体"/>
                <w:sz w:val="21"/>
              </w:rPr>
              <w:t> </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-21,879,641.25</w:t>
            </w:r>
            <w:r>
              <w:rPr>
                <w:rFonts w:ascii="宋体"/>
                <w:sz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-59,922.00</w:t>
            </w:r>
            <w:r>
              <w:rPr>
                <w:rFonts w:ascii="宋体"/>
                <w:sz w:val="21"/>
              </w:rPr>
              <w:t>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224,375,934.54</w:t>
            </w:r>
            <w:r>
              <w:rPr>
                <w:rFonts w:ascii="宋体"/>
                <w:sz w:val="21"/>
              </w:rPr>
              <w:t> </w:t>
            </w:r>
          </w:p>
        </w:tc>
      </w:tr>
      <w:tr>
        <w:trPr>
          <w:trHeight w:val="283" w:hRule="exac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246,315,497.79</w:t>
            </w:r>
            <w:r>
              <w:rPr>
                <w:rFonts w:ascii="宋体"/>
                <w:sz w:val="21"/>
              </w:rPr>
              <w:t> </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-21,879,641.25</w:t>
            </w:r>
            <w:r>
              <w:rPr>
                <w:rFonts w:ascii="宋体"/>
                <w:sz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-59,922.00</w:t>
            </w:r>
            <w:r>
              <w:rPr>
                <w:rFonts w:ascii="宋体"/>
                <w:sz w:val="21"/>
              </w:rPr>
              <w:t>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224,375,934.54</w:t>
            </w:r>
            <w:r>
              <w:rPr>
                <w:rFonts w:ascii="宋体"/>
                <w:sz w:val="21"/>
              </w:rPr>
              <w:t> </w:t>
            </w:r>
          </w:p>
        </w:tc>
      </w:tr>
    </w:tbl>
    <w:p>
      <w:pPr>
        <w:spacing w:line="240" w:lineRule="auto" w:before="7"/>
        <w:rPr>
          <w:rFonts w:ascii="宋体" w:hAnsi="宋体" w:cs="宋体" w:eastAsia="宋体" w:hint="default"/>
          <w:sz w:val="14"/>
          <w:szCs w:val="14"/>
        </w:rPr>
      </w:pPr>
    </w:p>
    <w:p>
      <w:pPr>
        <w:pStyle w:val="Heading3"/>
        <w:spacing w:line="312" w:lineRule="exact" w:before="26"/>
        <w:ind w:left="224" w:right="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Heading3"/>
        <w:spacing w:line="311" w:lineRule="exact"/>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224" w:right="0"/>
        <w:jc w:val="left"/>
        <w:rPr>
          <w:rFonts w:ascii="宋体" w:hAnsi="宋体" w:cs="宋体" w:eastAsia="宋体" w:hint="default"/>
        </w:rPr>
      </w:pPr>
      <w:r>
        <w:rPr>
          <w:rFonts w:ascii="宋体"/>
        </w:rPr>
        <w:t> </w:t>
      </w:r>
    </w:p>
    <w:p>
      <w:pPr>
        <w:pStyle w:val="Heading5"/>
        <w:spacing w:line="240" w:lineRule="auto"/>
        <w:ind w:left="224"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46"/>
        </w:rPr>
        <w:t> </w:t>
      </w:r>
      <w:r>
        <w:rPr/>
        <w:t>本期实际核销的应收账款情况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00" w:right="1200"/>
        </w:sectPr>
      </w:pPr>
    </w:p>
    <w:p>
      <w:pPr>
        <w:spacing w:line="240" w:lineRule="auto" w:before="10"/>
        <w:rPr>
          <w:rFonts w:ascii="宋体" w:hAnsi="宋体" w:cs="宋体" w:eastAsia="宋体" w:hint="default"/>
          <w:sz w:val="16"/>
          <w:szCs w:val="16"/>
        </w:rPr>
      </w:pPr>
    </w:p>
    <w:p>
      <w:pPr>
        <w:pStyle w:val="BodyText"/>
        <w:spacing w:line="240" w:lineRule="auto" w:before="61"/>
        <w:ind w:left="0" w:right="373"/>
        <w:jc w:val="righ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line="240" w:lineRule="auto" w:before="4"/>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4273"/>
        <w:gridCol w:w="4777"/>
      </w:tblGrid>
      <w:tr>
        <w:trPr>
          <w:trHeight w:val="284"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center"/>
              <w:rPr>
                <w:rFonts w:ascii="宋体" w:hAnsi="宋体" w:cs="宋体" w:eastAsia="宋体" w:hint="default"/>
                <w:sz w:val="21"/>
                <w:szCs w:val="21"/>
              </w:rPr>
            </w:pPr>
            <w:r>
              <w:rPr>
                <w:rFonts w:ascii="宋体" w:hAnsi="宋体" w:cs="宋体" w:eastAsia="宋体" w:hint="default"/>
                <w:sz w:val="21"/>
                <w:szCs w:val="21"/>
              </w:rPr>
              <w:t>核销金额</w:t>
            </w:r>
            <w:r>
              <w:rPr>
                <w:rFonts w:ascii="宋体" w:hAnsi="宋体" w:cs="宋体" w:eastAsia="宋体" w:hint="default"/>
                <w:sz w:val="21"/>
                <w:szCs w:val="21"/>
              </w:rPr>
              <w:t> </w:t>
            </w:r>
          </w:p>
        </w:tc>
      </w:tr>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59,922.00</w:t>
            </w:r>
            <w:r>
              <w:rPr>
                <w:rFonts w:ascii="Times New Roman"/>
                <w:sz w:val="20"/>
              </w:rPr>
            </w:r>
          </w:p>
        </w:tc>
      </w:tr>
    </w:tbl>
    <w:p>
      <w:pPr>
        <w:spacing w:line="240" w:lineRule="auto" w:before="6"/>
        <w:rPr>
          <w:rFonts w:ascii="宋体" w:hAnsi="宋体" w:cs="宋体" w:eastAsia="宋体" w:hint="default"/>
          <w:sz w:val="13"/>
          <w:szCs w:val="13"/>
        </w:rPr>
      </w:pPr>
    </w:p>
    <w:p>
      <w:pPr>
        <w:pStyle w:val="Heading3"/>
        <w:spacing w:line="312" w:lineRule="exact" w:before="26"/>
        <w:ind w:left="256" w:right="0"/>
        <w:jc w:val="left"/>
        <w:rPr>
          <w:rFonts w:ascii="宋体" w:hAnsi="宋体" w:cs="宋体" w:eastAsia="宋体" w:hint="default"/>
        </w:rPr>
      </w:pPr>
      <w:r>
        <w:rPr/>
        <w:t>其中重要的应收账款核销情况</w:t>
      </w:r>
      <w:r>
        <w:rPr>
          <w:rFonts w:ascii="宋体" w:hAnsi="宋体" w:cs="宋体" w:eastAsia="宋体" w:hint="default"/>
        </w:rPr>
        <w:t> </w:t>
      </w:r>
    </w:p>
    <w:p>
      <w:pPr>
        <w:pStyle w:val="Heading3"/>
        <w:spacing w:line="311" w:lineRule="exact"/>
        <w:ind w:left="25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256" w:right="0"/>
        <w:jc w:val="left"/>
        <w:rPr>
          <w:rFonts w:ascii="宋体" w:hAnsi="宋体" w:cs="宋体" w:eastAsia="宋体" w:hint="default"/>
        </w:rPr>
      </w:pPr>
      <w:r>
        <w:rPr>
          <w:rFonts w:ascii="宋体"/>
        </w:rPr>
        <w:t> </w:t>
      </w:r>
    </w:p>
    <w:p>
      <w:pPr>
        <w:pStyle w:val="Heading5"/>
        <w:spacing w:line="240" w:lineRule="auto"/>
        <w:ind w:left="256"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48"/>
        </w:rPr>
        <w:t> </w:t>
      </w:r>
      <w:r>
        <w:rPr/>
        <w:t>按欠款方归集的期末余额前五名的应收账款情况</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left="25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256" w:right="0"/>
        <w:jc w:val="left"/>
        <w:rPr>
          <w:rFonts w:ascii="宋体" w:hAnsi="宋体" w:cs="宋体" w:eastAsia="宋体" w:hint="default"/>
        </w:rPr>
      </w:pPr>
      <w:r>
        <w:rPr>
          <w:rFonts w:ascii="宋体"/>
        </w:rPr>
        <w:t> </w:t>
      </w:r>
    </w:p>
    <w:p>
      <w:pPr>
        <w:spacing w:line="240" w:lineRule="auto" w:before="10"/>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143"/>
        <w:gridCol w:w="1716"/>
        <w:gridCol w:w="2808"/>
        <w:gridCol w:w="1642"/>
      </w:tblGrid>
      <w:tr>
        <w:trPr>
          <w:trHeight w:val="362" w:hRule="exact"/>
        </w:trPr>
        <w:tc>
          <w:tcPr>
            <w:tcW w:w="314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
              <w:ind w:left="1157"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7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left="43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left="100" w:right="0"/>
              <w:jc w:val="center"/>
              <w:rPr>
                <w:rFonts w:ascii="宋体" w:hAnsi="宋体" w:cs="宋体" w:eastAsia="宋体" w:hint="default"/>
                <w:sz w:val="21"/>
                <w:szCs w:val="21"/>
              </w:rPr>
            </w:pPr>
            <w:r>
              <w:rPr>
                <w:rFonts w:ascii="宋体" w:hAnsi="宋体" w:cs="宋体" w:eastAsia="宋体" w:hint="default"/>
                <w:sz w:val="21"/>
                <w:szCs w:val="21"/>
              </w:rPr>
              <w:t>占应收账款总额的比例</w:t>
            </w:r>
            <w:r>
              <w:rPr>
                <w:rFonts w:ascii="宋体" w:hAnsi="宋体" w:cs="宋体" w:eastAsia="宋体" w:hint="default"/>
                <w:sz w:val="21"/>
                <w:szCs w:val="21"/>
              </w:rPr>
              <w:t>(%) </w:t>
            </w:r>
          </w:p>
        </w:tc>
        <w:tc>
          <w:tcPr>
            <w:tcW w:w="164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
              <w:ind w:right="84"/>
              <w:jc w:val="right"/>
              <w:rPr>
                <w:rFonts w:ascii="宋体" w:hAnsi="宋体" w:cs="宋体" w:eastAsia="宋体" w:hint="default"/>
                <w:sz w:val="21"/>
                <w:szCs w:val="21"/>
              </w:rPr>
            </w:pPr>
            <w:r>
              <w:rPr>
                <w:rFonts w:ascii="宋体" w:hAnsi="宋体" w:cs="宋体" w:eastAsia="宋体" w:hint="default"/>
                <w:spacing w:val="-2"/>
                <w:sz w:val="21"/>
                <w:szCs w:val="21"/>
              </w:rPr>
              <w:t>坏账准备余额</w:t>
            </w:r>
            <w:r>
              <w:rPr>
                <w:rFonts w:ascii="宋体" w:hAnsi="宋体" w:cs="宋体" w:eastAsia="宋体" w:hint="default"/>
                <w:sz w:val="21"/>
                <w:szCs w:val="21"/>
              </w:rPr>
              <w:t> </w:t>
            </w:r>
          </w:p>
        </w:tc>
      </w:tr>
      <w:tr>
        <w:trPr>
          <w:trHeight w:val="348" w:hRule="exact"/>
        </w:trPr>
        <w:tc>
          <w:tcPr>
            <w:tcW w:w="3143"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泰豪电源技术有限公司</w:t>
            </w:r>
            <w:r>
              <w:rPr>
                <w:rFonts w:ascii="宋体" w:hAnsi="宋体" w:cs="宋体" w:eastAsia="宋体" w:hint="default"/>
                <w:sz w:val="21"/>
                <w:szCs w:val="21"/>
              </w:rPr>
              <w:t> </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0"/>
                <w:szCs w:val="20"/>
              </w:rPr>
            </w:pPr>
            <w:r>
              <w:rPr>
                <w:rFonts w:ascii="Times New Roman"/>
                <w:w w:val="95"/>
                <w:sz w:val="20"/>
              </w:rPr>
              <w:t>942,876,591.06</w:t>
            </w:r>
            <w:r>
              <w:rPr>
                <w:rFonts w:ascii="Times New Roman"/>
                <w:sz w:val="20"/>
              </w:rPr>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Times New Roman" w:hAnsi="Times New Roman" w:cs="Times New Roman" w:eastAsia="Times New Roman" w:hint="default"/>
                <w:sz w:val="20"/>
                <w:szCs w:val="20"/>
              </w:rPr>
            </w:pPr>
            <w:r>
              <w:rPr>
                <w:rFonts w:ascii="Times New Roman"/>
                <w:sz w:val="20"/>
              </w:rPr>
              <w:t>36.49</w:t>
            </w:r>
          </w:p>
        </w:tc>
        <w:tc>
          <w:tcPr>
            <w:tcW w:w="1642" w:type="dxa"/>
            <w:tcBorders>
              <w:top w:val="single" w:sz="4" w:space="0" w:color="000000"/>
              <w:left w:val="single" w:sz="4" w:space="0" w:color="000000"/>
              <w:bottom w:val="single" w:sz="4" w:space="0" w:color="000000"/>
              <w:right w:val="nil" w:sz="6" w:space="0" w:color="auto"/>
            </w:tcBorders>
          </w:tcPr>
          <w:p>
            <w:pPr/>
          </w:p>
        </w:tc>
      </w:tr>
      <w:tr>
        <w:trPr>
          <w:trHeight w:val="351" w:hRule="exact"/>
        </w:trPr>
        <w:tc>
          <w:tcPr>
            <w:tcW w:w="31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南昌市欣鼎建筑材料有限公司</w:t>
            </w:r>
            <w:r>
              <w:rPr>
                <w:rFonts w:ascii="宋体" w:hAnsi="宋体" w:cs="宋体" w:eastAsia="宋体" w:hint="default"/>
                <w:sz w:val="21"/>
                <w:szCs w:val="21"/>
              </w:rPr>
              <w:t> </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20"/>
                <w:szCs w:val="20"/>
              </w:rPr>
            </w:pPr>
            <w:r>
              <w:rPr>
                <w:rFonts w:ascii="Times New Roman"/>
                <w:w w:val="95"/>
                <w:sz w:val="20"/>
              </w:rPr>
              <w:t>62,028,466.37</w:t>
            </w:r>
            <w:r>
              <w:rPr>
                <w:rFonts w:ascii="Times New Roman"/>
                <w:sz w:val="20"/>
              </w:rPr>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20"/>
                <w:szCs w:val="20"/>
              </w:rPr>
            </w:pPr>
            <w:r>
              <w:rPr>
                <w:rFonts w:ascii="Times New Roman"/>
                <w:sz w:val="20"/>
              </w:rPr>
              <w:t>2.40</w:t>
            </w:r>
          </w:p>
        </w:tc>
        <w:tc>
          <w:tcPr>
            <w:tcW w:w="16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20"/>
                <w:szCs w:val="20"/>
              </w:rPr>
            </w:pPr>
            <w:r>
              <w:rPr>
                <w:rFonts w:ascii="Times New Roman"/>
                <w:w w:val="95"/>
                <w:sz w:val="20"/>
              </w:rPr>
              <w:t>4,700,850.75</w:t>
            </w:r>
            <w:r>
              <w:rPr>
                <w:rFonts w:ascii="Times New Roman"/>
                <w:sz w:val="20"/>
              </w:rPr>
            </w:r>
          </w:p>
        </w:tc>
      </w:tr>
      <w:tr>
        <w:trPr>
          <w:trHeight w:val="350" w:hRule="exact"/>
        </w:trPr>
        <w:tc>
          <w:tcPr>
            <w:tcW w:w="31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上海爱济能源科技有限公司</w:t>
            </w:r>
            <w:r>
              <w:rPr>
                <w:rFonts w:ascii="宋体" w:hAnsi="宋体" w:cs="宋体" w:eastAsia="宋体" w:hint="default"/>
                <w:sz w:val="21"/>
                <w:szCs w:val="21"/>
              </w:rPr>
              <w:t> </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0"/>
                <w:szCs w:val="20"/>
              </w:rPr>
            </w:pPr>
            <w:r>
              <w:rPr>
                <w:rFonts w:ascii="Times New Roman"/>
                <w:w w:val="95"/>
                <w:sz w:val="20"/>
              </w:rPr>
              <w:t>57,051,453.90</w:t>
            </w:r>
            <w:r>
              <w:rPr>
                <w:rFonts w:ascii="Times New Roman"/>
                <w:sz w:val="20"/>
              </w:rPr>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sz w:val="20"/>
              </w:rPr>
              <w:t>2.21</w:t>
            </w:r>
          </w:p>
        </w:tc>
        <w:tc>
          <w:tcPr>
            <w:tcW w:w="16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5"/>
                <w:sz w:val="20"/>
              </w:rPr>
              <w:t>2,052,826.73</w:t>
            </w:r>
            <w:r>
              <w:rPr>
                <w:rFonts w:ascii="Times New Roman"/>
                <w:sz w:val="20"/>
              </w:rPr>
            </w:r>
          </w:p>
        </w:tc>
      </w:tr>
      <w:tr>
        <w:trPr>
          <w:trHeight w:val="350" w:hRule="exact"/>
        </w:trPr>
        <w:tc>
          <w:tcPr>
            <w:tcW w:w="3143"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飞尔特能源</w:t>
            </w:r>
            <w:r>
              <w:rPr>
                <w:rFonts w:ascii="宋体" w:hAnsi="宋体" w:cs="宋体" w:eastAsia="宋体" w:hint="default"/>
                <w:sz w:val="21"/>
                <w:szCs w:val="21"/>
              </w:rPr>
              <w:t>(</w:t>
            </w:r>
            <w:r>
              <w:rPr>
                <w:rFonts w:ascii="宋体" w:hAnsi="宋体" w:cs="宋体" w:eastAsia="宋体" w:hint="default"/>
                <w:sz w:val="21"/>
                <w:szCs w:val="21"/>
              </w:rPr>
              <w:t>东莞</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0"/>
                <w:szCs w:val="20"/>
              </w:rPr>
            </w:pPr>
            <w:r>
              <w:rPr>
                <w:rFonts w:ascii="Times New Roman"/>
                <w:w w:val="95"/>
                <w:sz w:val="20"/>
              </w:rPr>
              <w:t>50,851,001.14</w:t>
            </w:r>
            <w:r>
              <w:rPr>
                <w:rFonts w:ascii="Times New Roman"/>
                <w:sz w:val="20"/>
              </w:rPr>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sz w:val="20"/>
              </w:rPr>
              <w:t>1.97</w:t>
            </w:r>
          </w:p>
        </w:tc>
        <w:tc>
          <w:tcPr>
            <w:tcW w:w="16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5"/>
                <w:sz w:val="20"/>
              </w:rPr>
              <w:t>1,829,721.89</w:t>
            </w:r>
            <w:r>
              <w:rPr>
                <w:rFonts w:ascii="Times New Roman"/>
                <w:sz w:val="20"/>
              </w:rPr>
            </w:r>
          </w:p>
        </w:tc>
      </w:tr>
      <w:tr>
        <w:trPr>
          <w:trHeight w:val="350" w:hRule="exact"/>
        </w:trPr>
        <w:tc>
          <w:tcPr>
            <w:tcW w:w="3143"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sz w:val="21"/>
              </w:rPr>
              <w:t>SUNISLANDHOLDINGCO.,LIMITED </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0"/>
                <w:szCs w:val="20"/>
              </w:rPr>
            </w:pPr>
            <w:r>
              <w:rPr>
                <w:rFonts w:ascii="Times New Roman"/>
                <w:w w:val="95"/>
                <w:sz w:val="20"/>
              </w:rPr>
              <w:t>46,009,482.81</w:t>
            </w:r>
            <w:r>
              <w:rPr>
                <w:rFonts w:ascii="Times New Roman"/>
                <w:sz w:val="20"/>
              </w:rPr>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20"/>
                <w:szCs w:val="20"/>
              </w:rPr>
            </w:pPr>
            <w:r>
              <w:rPr>
                <w:rFonts w:ascii="Times New Roman"/>
                <w:sz w:val="20"/>
              </w:rPr>
              <w:t>1.78</w:t>
            </w:r>
          </w:p>
        </w:tc>
        <w:tc>
          <w:tcPr>
            <w:tcW w:w="16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5"/>
                <w:sz w:val="20"/>
              </w:rPr>
              <w:t>5,277,962.57</w:t>
            </w:r>
            <w:r>
              <w:rPr>
                <w:rFonts w:ascii="Times New Roman"/>
                <w:sz w:val="20"/>
              </w:rPr>
            </w:r>
          </w:p>
        </w:tc>
      </w:tr>
      <w:tr>
        <w:trPr>
          <w:trHeight w:val="360" w:hRule="exact"/>
        </w:trPr>
        <w:tc>
          <w:tcPr>
            <w:tcW w:w="3143" w:type="dxa"/>
            <w:tcBorders>
              <w:top w:val="single" w:sz="4" w:space="0" w:color="000000"/>
              <w:left w:val="nil" w:sz="6" w:space="0" w:color="auto"/>
              <w:bottom w:val="single" w:sz="12" w:space="0" w:color="000000"/>
              <w:right w:val="single" w:sz="4" w:space="0" w:color="000000"/>
            </w:tcBorders>
          </w:tcPr>
          <w:p>
            <w:pPr>
              <w:pStyle w:val="TableParagraph"/>
              <w:spacing w:line="274" w:lineRule="exact"/>
              <w:ind w:left="12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0"/>
                <w:szCs w:val="20"/>
              </w:rPr>
            </w:pPr>
            <w:r>
              <w:rPr>
                <w:rFonts w:ascii="Times New Roman"/>
                <w:spacing w:val="-1"/>
                <w:sz w:val="20"/>
              </w:rPr>
              <w:t>1,158,816,995.28</w:t>
            </w:r>
          </w:p>
        </w:tc>
        <w:tc>
          <w:tcPr>
            <w:tcW w:w="28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8"/>
              <w:ind w:right="2"/>
              <w:jc w:val="center"/>
              <w:rPr>
                <w:rFonts w:ascii="Times New Roman" w:hAnsi="Times New Roman" w:cs="Times New Roman" w:eastAsia="Times New Roman" w:hint="default"/>
                <w:sz w:val="20"/>
                <w:szCs w:val="20"/>
              </w:rPr>
            </w:pPr>
            <w:r>
              <w:rPr>
                <w:rFonts w:ascii="Times New Roman"/>
                <w:sz w:val="20"/>
              </w:rPr>
              <w:t>44.85</w:t>
            </w:r>
          </w:p>
        </w:tc>
        <w:tc>
          <w:tcPr>
            <w:tcW w:w="164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5"/>
                <w:sz w:val="20"/>
              </w:rPr>
              <w:t>13,861,361.94</w:t>
            </w:r>
            <w:r>
              <w:rPr>
                <w:rFonts w:ascii="Times New Roman"/>
                <w:sz w:val="20"/>
              </w:rPr>
            </w:r>
          </w:p>
        </w:tc>
      </w:tr>
    </w:tbl>
    <w:p>
      <w:pPr>
        <w:pStyle w:val="Heading3"/>
        <w:spacing w:line="274" w:lineRule="exact"/>
        <w:ind w:left="256" w:right="0"/>
        <w:jc w:val="left"/>
        <w:rPr>
          <w:rFonts w:ascii="宋体" w:hAnsi="宋体" w:cs="宋体" w:eastAsia="宋体" w:hint="default"/>
        </w:rPr>
      </w:pPr>
      <w:r>
        <w:rPr>
          <w:rFonts w:ascii="宋体"/>
        </w:rPr>
        <w:t> </w:t>
      </w:r>
    </w:p>
    <w:p>
      <w:pPr>
        <w:pStyle w:val="Heading5"/>
        <w:spacing w:line="240" w:lineRule="auto"/>
        <w:ind w:left="256"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47"/>
        </w:rPr>
        <w:t> </w:t>
      </w:r>
      <w:r>
        <w:rPr/>
        <w:t>因金融资产转移而终止确认的应收账款</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25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13"/>
        <w:rPr>
          <w:rFonts w:ascii="宋体" w:hAnsi="宋体" w:cs="宋体" w:eastAsia="宋体" w:hint="default"/>
          <w:sz w:val="25"/>
          <w:szCs w:val="25"/>
        </w:rPr>
      </w:pPr>
    </w:p>
    <w:p>
      <w:pPr>
        <w:pStyle w:val="Heading5"/>
        <w:spacing w:line="240" w:lineRule="auto" w:before="0"/>
        <w:ind w:left="256"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48"/>
        </w:rPr>
        <w:t> </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25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headerReference w:type="default" r:id="rId83"/>
          <w:footerReference w:type="default" r:id="rId84"/>
          <w:pgSz w:w="11910" w:h="16840"/>
          <w:pgMar w:header="882" w:footer="1195" w:top="1120" w:bottom="1380" w:left="1020" w:right="1300"/>
          <w:pgNumType w:start="197"/>
        </w:sectPr>
      </w:pPr>
    </w:p>
    <w:p>
      <w:pPr>
        <w:pStyle w:val="Heading3"/>
        <w:spacing w:line="313" w:lineRule="exact" w:before="26"/>
        <w:ind w:left="256" w:right="0"/>
        <w:jc w:val="left"/>
        <w:rPr>
          <w:rFonts w:ascii="宋体" w:hAnsi="宋体" w:cs="宋体" w:eastAsia="宋体" w:hint="default"/>
        </w:rPr>
      </w:pPr>
      <w:r>
        <w:rPr/>
        <w:t>其他说明：</w:t>
      </w:r>
      <w:r>
        <w:rPr>
          <w:rFonts w:ascii="宋体" w:hAnsi="宋体" w:cs="宋体" w:eastAsia="宋体" w:hint="default"/>
        </w:rPr>
        <w:t> </w:t>
      </w:r>
    </w:p>
    <w:p>
      <w:pPr>
        <w:pStyle w:val="Heading3"/>
        <w:spacing w:line="311" w:lineRule="exact"/>
        <w:ind w:left="25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1" w:lineRule="exact"/>
        <w:ind w:left="256" w:right="0"/>
        <w:jc w:val="left"/>
        <w:rPr>
          <w:rFonts w:ascii="宋体" w:hAnsi="宋体" w:cs="宋体" w:eastAsia="宋体" w:hint="default"/>
        </w:rPr>
      </w:pPr>
      <w:r>
        <w:rPr>
          <w:rFonts w:ascii="宋体"/>
        </w:rPr>
        <w:t> </w:t>
      </w:r>
    </w:p>
    <w:p>
      <w:pPr>
        <w:pStyle w:val="Heading3"/>
        <w:spacing w:line="313" w:lineRule="exact"/>
        <w:ind w:left="256" w:right="0"/>
        <w:jc w:val="left"/>
        <w:rPr>
          <w:rFonts w:ascii="宋体" w:hAnsi="宋体" w:cs="宋体" w:eastAsia="宋体" w:hint="default"/>
        </w:rPr>
      </w:pPr>
      <w:r>
        <w:rPr>
          <w:rFonts w:ascii="宋体"/>
        </w:rPr>
        <w:t> </w:t>
      </w:r>
    </w:p>
    <w:p>
      <w:pPr>
        <w:pStyle w:val="Heading5"/>
        <w:spacing w:line="290" w:lineRule="auto"/>
        <w:ind w:left="256" w:right="0"/>
        <w:jc w:val="left"/>
        <w:rPr>
          <w:rFonts w:ascii="宋体" w:hAnsi="宋体" w:cs="宋体" w:eastAsia="宋体" w:hint="default"/>
          <w:b w:val="0"/>
          <w:bCs w:val="0"/>
        </w:rPr>
      </w:pPr>
      <w:r>
        <w:rPr>
          <w:rFonts w:ascii="宋体" w:hAnsi="宋体" w:cs="宋体" w:eastAsia="宋体" w:hint="default"/>
        </w:rPr>
        <w:t>2</w:t>
      </w:r>
      <w:r>
        <w:rPr/>
        <w:t>、</w:t>
      </w:r>
      <w:r>
        <w:rPr>
          <w:spacing w:val="-4"/>
        </w:rPr>
        <w:t> </w:t>
      </w:r>
      <w:r>
        <w:rPr/>
        <w:t>其他应收款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left="25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32"/>
          <w:szCs w:val="32"/>
        </w:rPr>
      </w:pPr>
    </w:p>
    <w:p>
      <w:pPr>
        <w:pStyle w:val="BodyText"/>
        <w:spacing w:line="240" w:lineRule="auto"/>
        <w:ind w:left="256"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1020" w:right="1300"/>
          <w:cols w:num="2" w:equalWidth="0">
            <w:col w:w="2298" w:space="4224"/>
            <w:col w:w="3068"/>
          </w:cols>
        </w:sectPr>
      </w:pPr>
    </w:p>
    <w:p>
      <w:pPr>
        <w:spacing w:line="240" w:lineRule="auto" w:before="4"/>
        <w:rPr>
          <w:rFonts w:ascii="宋体" w:hAnsi="宋体" w:cs="宋体" w:eastAsia="宋体" w:hint="default"/>
          <w:sz w:val="2"/>
          <w:szCs w:val="2"/>
        </w:rPr>
      </w:pPr>
    </w:p>
    <w:tbl>
      <w:tblPr>
        <w:tblW w:w="0" w:type="auto"/>
        <w:jc w:val="left"/>
        <w:tblInd w:w="220" w:type="dxa"/>
        <w:tblLayout w:type="fixed"/>
        <w:tblCellMar>
          <w:top w:w="0" w:type="dxa"/>
          <w:left w:w="0" w:type="dxa"/>
          <w:bottom w:w="0" w:type="dxa"/>
          <w:right w:w="0" w:type="dxa"/>
        </w:tblCellMar>
        <w:tblLook w:val="01E0"/>
      </w:tblPr>
      <w:tblGrid>
        <w:gridCol w:w="3140"/>
        <w:gridCol w:w="2885"/>
        <w:gridCol w:w="2871"/>
      </w:tblGrid>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03"/>
              <w:jc w:val="righ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55"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50"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应收利息</w:t>
            </w:r>
            <w:r>
              <w:rPr>
                <w:rFonts w:ascii="宋体" w:hAnsi="宋体" w:cs="宋体" w:eastAsia="宋体" w:hint="default"/>
                <w:sz w:val="24"/>
                <w:szCs w:val="24"/>
              </w:rPr>
              <w:t> </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应收股利</w:t>
            </w:r>
            <w:r>
              <w:rPr>
                <w:rFonts w:ascii="宋体" w:hAnsi="宋体" w:cs="宋体" w:eastAsia="宋体" w:hint="default"/>
                <w:sz w:val="24"/>
                <w:szCs w:val="24"/>
              </w:rPr>
              <w:t> </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其他应收款</w:t>
            </w:r>
            <w:r>
              <w:rPr>
                <w:rFonts w:ascii="宋体" w:hAnsi="宋体" w:cs="宋体" w:eastAsia="宋体" w:hint="default"/>
                <w:sz w:val="24"/>
                <w:szCs w:val="24"/>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30"/>
              <w:jc w:val="right"/>
              <w:rPr>
                <w:rFonts w:ascii="Times New Roman" w:hAnsi="Times New Roman" w:cs="Times New Roman" w:eastAsia="Times New Roman" w:hint="default"/>
                <w:sz w:val="20"/>
                <w:szCs w:val="20"/>
              </w:rPr>
            </w:pPr>
            <w:r>
              <w:rPr>
                <w:rFonts w:ascii="Times New Roman"/>
                <w:w w:val="95"/>
                <w:sz w:val="20"/>
              </w:rPr>
              <w:t>659,777,826.94</w:t>
            </w:r>
            <w:r>
              <w:rPr>
                <w:rFonts w:ascii="Times New Roman"/>
                <w:sz w:val="20"/>
              </w:rPr>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30"/>
              <w:jc w:val="right"/>
              <w:rPr>
                <w:rFonts w:ascii="Times New Roman" w:hAnsi="Times New Roman" w:cs="Times New Roman" w:eastAsia="Times New Roman" w:hint="default"/>
                <w:sz w:val="20"/>
                <w:szCs w:val="20"/>
              </w:rPr>
            </w:pPr>
            <w:r>
              <w:rPr>
                <w:rFonts w:ascii="Times New Roman"/>
                <w:spacing w:val="-1"/>
                <w:sz w:val="20"/>
              </w:rPr>
              <w:t>1,350,237,035.20</w:t>
            </w:r>
          </w:p>
        </w:tc>
      </w:tr>
      <w:tr>
        <w:trPr>
          <w:trHeight w:val="322"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203"/>
              <w:jc w:val="righ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5"/>
              <w:jc w:val="right"/>
              <w:rPr>
                <w:rFonts w:ascii="Times New Roman" w:hAnsi="Times New Roman" w:cs="Times New Roman" w:eastAsia="Times New Roman" w:hint="default"/>
                <w:sz w:val="20"/>
                <w:szCs w:val="20"/>
              </w:rPr>
            </w:pPr>
            <w:r>
              <w:rPr>
                <w:rFonts w:ascii="Times New Roman"/>
                <w:w w:val="95"/>
                <w:sz w:val="20"/>
              </w:rPr>
              <w:t>659,777,826.94</w:t>
            </w:r>
            <w:r>
              <w:rPr>
                <w:rFonts w:ascii="Times New Roman"/>
                <w:sz w:val="20"/>
              </w:rPr>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6"/>
              <w:jc w:val="right"/>
              <w:rPr>
                <w:rFonts w:ascii="Times New Roman" w:hAnsi="Times New Roman" w:cs="Times New Roman" w:eastAsia="Times New Roman" w:hint="default"/>
                <w:sz w:val="20"/>
                <w:szCs w:val="20"/>
              </w:rPr>
            </w:pPr>
            <w:r>
              <w:rPr>
                <w:rFonts w:ascii="Times New Roman"/>
                <w:spacing w:val="-1"/>
                <w:sz w:val="20"/>
              </w:rPr>
              <w:t>1,350,237,035.20</w:t>
            </w:r>
          </w:p>
        </w:tc>
      </w:tr>
    </w:tbl>
    <w:p>
      <w:pPr>
        <w:spacing w:line="240" w:lineRule="auto" w:before="6"/>
        <w:rPr>
          <w:rFonts w:ascii="宋体" w:hAnsi="宋体" w:cs="宋体" w:eastAsia="宋体" w:hint="default"/>
          <w:sz w:val="13"/>
          <w:szCs w:val="13"/>
        </w:rPr>
      </w:pPr>
    </w:p>
    <w:p>
      <w:pPr>
        <w:pStyle w:val="Heading3"/>
        <w:spacing w:line="312" w:lineRule="exact" w:before="56"/>
        <w:ind w:left="256" w:right="0"/>
        <w:jc w:val="left"/>
        <w:rPr>
          <w:rFonts w:ascii="宋体" w:hAnsi="宋体" w:cs="宋体" w:eastAsia="宋体" w:hint="default"/>
        </w:rPr>
      </w:pPr>
      <w:r>
        <w:rPr>
          <w:rFonts w:ascii="宋体" w:hAnsi="宋体" w:cs="宋体" w:eastAsia="宋体" w:hint="default"/>
        </w:rPr>
        <w:t>  </w:t>
      </w:r>
      <w:r>
        <w:rPr/>
        <w:t>其他说明：</w:t>
      </w:r>
      <w:r>
        <w:rPr>
          <w:rFonts w:ascii="宋体" w:hAnsi="宋体" w:cs="宋体" w:eastAsia="宋体" w:hint="default"/>
        </w:rPr>
        <w:t> </w:t>
      </w:r>
    </w:p>
    <w:p>
      <w:pPr>
        <w:pStyle w:val="Heading3"/>
        <w:spacing w:line="280" w:lineRule="exact"/>
        <w:ind w:left="25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256"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type w:val="continuous"/>
          <w:pgSz w:w="11910" w:h="16840"/>
          <w:pgMar w:top="1120" w:bottom="1380" w:left="1020" w:right="130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140" w:right="1560"/>
        </w:sectPr>
      </w:pPr>
    </w:p>
    <w:p>
      <w:pPr>
        <w:pStyle w:val="Heading5"/>
        <w:spacing w:line="290" w:lineRule="auto" w:before="36"/>
        <w:ind w:left="136" w:right="977"/>
        <w:jc w:val="left"/>
        <w:rPr>
          <w:rFonts w:ascii="宋体" w:hAnsi="宋体" w:cs="宋体" w:eastAsia="宋体" w:hint="default"/>
          <w:b w:val="0"/>
          <w:bCs w:val="0"/>
        </w:rPr>
      </w:pPr>
      <w:r>
        <w:rPr/>
        <w:t>应收利息</w:t>
      </w:r>
      <w:r>
        <w:rPr>
          <w:rFonts w:ascii="宋体" w:hAnsi="宋体" w:cs="宋体" w:eastAsia="宋体" w:hint="default"/>
          <w:w w:val="99"/>
        </w:rPr>
        <w:t> </w:t>
      </w: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left="136" w:right="97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40" w:lineRule="auto"/>
        <w:ind w:left="136" w:right="977"/>
        <w:jc w:val="left"/>
        <w:rPr>
          <w:rFonts w:ascii="宋体" w:hAnsi="宋体" w:cs="宋体" w:eastAsia="宋体" w:hint="default"/>
          <w:b w:val="0"/>
          <w:bCs w:val="0"/>
        </w:rPr>
      </w:pPr>
      <w:r>
        <w:rPr>
          <w:rFonts w:ascii="宋体" w:hAnsi="宋体" w:cs="宋体" w:eastAsia="宋体" w:hint="default"/>
        </w:rPr>
        <w:t>(2).</w:t>
      </w:r>
      <w:r>
        <w:rPr/>
        <w:t>重要逾期利息</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136" w:right="97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40" w:lineRule="auto"/>
        <w:ind w:left="136" w:right="977"/>
        <w:jc w:val="left"/>
        <w:rPr>
          <w:rFonts w:ascii="宋体" w:hAnsi="宋体" w:cs="宋体" w:eastAsia="宋体" w:hint="default"/>
          <w:b w:val="0"/>
          <w:bCs w:val="0"/>
        </w:rPr>
      </w:pPr>
      <w:r>
        <w:rPr>
          <w:rFonts w:ascii="宋体" w:hAnsi="宋体" w:cs="宋体" w:eastAsia="宋体" w:hint="default"/>
        </w:rPr>
        <w:t>(3).</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left="136" w:right="97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before="29"/>
        <w:ind w:left="136" w:right="977"/>
        <w:jc w:val="left"/>
        <w:rPr>
          <w:rFonts w:ascii="宋体" w:hAnsi="宋体" w:cs="宋体" w:eastAsia="宋体" w:hint="default"/>
        </w:rPr>
      </w:pPr>
      <w:r>
        <w:rPr>
          <w:rFonts w:ascii="宋体" w:hAnsi="宋体" w:cs="宋体" w:eastAsia="宋体" w:hint="default"/>
        </w:rPr>
        <w:t>  </w:t>
      </w:r>
      <w:r>
        <w:rPr/>
        <w:t>其他说明：</w:t>
      </w:r>
      <w:r>
        <w:rPr>
          <w:rFonts w:ascii="宋体" w:hAnsi="宋体" w:cs="宋体" w:eastAsia="宋体" w:hint="default"/>
        </w:rPr>
        <w:t> </w:t>
      </w:r>
    </w:p>
    <w:p>
      <w:pPr>
        <w:pStyle w:val="Heading3"/>
        <w:spacing w:line="280" w:lineRule="exact"/>
        <w:ind w:left="136" w:right="97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136" w:right="0"/>
        <w:jc w:val="left"/>
        <w:rPr>
          <w:rFonts w:ascii="宋体" w:hAnsi="宋体" w:cs="宋体" w:eastAsia="宋体" w:hint="default"/>
        </w:rPr>
      </w:pPr>
      <w:r>
        <w:rPr>
          <w:rFonts w:ascii="宋体"/>
        </w:rPr>
        <w:t> </w:t>
      </w:r>
    </w:p>
    <w:p>
      <w:pPr>
        <w:pStyle w:val="Heading5"/>
        <w:spacing w:line="290" w:lineRule="auto"/>
        <w:ind w:left="136" w:right="1399"/>
        <w:jc w:val="left"/>
        <w:rPr>
          <w:rFonts w:ascii="宋体" w:hAnsi="宋体" w:cs="宋体" w:eastAsia="宋体" w:hint="default"/>
          <w:b w:val="0"/>
          <w:bCs w:val="0"/>
        </w:rPr>
      </w:pPr>
      <w:r>
        <w:rPr/>
        <w:t>应收股利</w:t>
      </w:r>
      <w:r>
        <w:rPr>
          <w:rFonts w:ascii="宋体" w:hAnsi="宋体" w:cs="宋体" w:eastAsia="宋体" w:hint="default"/>
          <w:w w:val="99"/>
        </w:rPr>
        <w:t> </w:t>
      </w:r>
      <w:r>
        <w:rPr>
          <w:rFonts w:ascii="宋体" w:hAnsi="宋体" w:cs="宋体" w:eastAsia="宋体" w:hint="default"/>
        </w:rPr>
        <w:t>(4).</w:t>
      </w:r>
      <w:r>
        <w:rPr/>
        <w:t>应收股利</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8"/>
        <w:ind w:left="136" w:right="97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40" w:lineRule="auto" w:before="61"/>
        <w:ind w:left="136" w:right="0"/>
        <w:jc w:val="left"/>
        <w:rPr>
          <w:rFonts w:ascii="宋体" w:hAnsi="宋体" w:cs="宋体" w:eastAsia="宋体" w:hint="default"/>
          <w:b w:val="0"/>
          <w:bCs w:val="0"/>
        </w:rPr>
      </w:pPr>
      <w:r>
        <w:rPr>
          <w:rFonts w:ascii="宋体" w:hAnsi="宋体" w:cs="宋体" w:eastAsia="宋体" w:hint="default"/>
        </w:rPr>
        <w:t>(5).</w:t>
      </w:r>
      <w:r>
        <w:rPr/>
        <w:t>重要的账龄超过</w:t>
      </w:r>
      <w:r>
        <w:rPr>
          <w:spacing w:val="-52"/>
        </w:rPr>
        <w:t> </w:t>
      </w:r>
      <w:r>
        <w:rPr>
          <w:rFonts w:ascii="宋体" w:hAnsi="宋体" w:cs="宋体" w:eastAsia="宋体" w:hint="default"/>
        </w:rPr>
        <w:t>1</w:t>
      </w:r>
      <w:r>
        <w:rPr>
          <w:rFonts w:ascii="宋体" w:hAnsi="宋体" w:cs="宋体" w:eastAsia="宋体" w:hint="default"/>
          <w:spacing w:val="-52"/>
        </w:rPr>
        <w:t> </w:t>
      </w:r>
      <w:r>
        <w:rPr/>
        <w:t>年的应收股利</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136" w:right="97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40" w:lineRule="auto"/>
        <w:ind w:left="136" w:right="977"/>
        <w:jc w:val="left"/>
        <w:rPr>
          <w:rFonts w:ascii="宋体" w:hAnsi="宋体" w:cs="宋体" w:eastAsia="宋体" w:hint="default"/>
          <w:b w:val="0"/>
          <w:bCs w:val="0"/>
        </w:rPr>
      </w:pPr>
      <w:r>
        <w:rPr>
          <w:rFonts w:ascii="宋体" w:hAnsi="宋体" w:cs="宋体" w:eastAsia="宋体" w:hint="default"/>
        </w:rPr>
        <w:t>(6).</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left="136" w:right="97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1" w:lineRule="exact"/>
        <w:ind w:left="136" w:right="0"/>
        <w:jc w:val="left"/>
        <w:rPr>
          <w:rFonts w:ascii="宋体" w:hAnsi="宋体" w:cs="宋体" w:eastAsia="宋体" w:hint="default"/>
        </w:rPr>
      </w:pPr>
      <w:r>
        <w:rPr>
          <w:rFonts w:ascii="宋体"/>
        </w:rPr>
        <w:t> </w:t>
      </w:r>
    </w:p>
    <w:p>
      <w:pPr>
        <w:pStyle w:val="Heading3"/>
        <w:spacing w:line="312" w:lineRule="exact" w:before="28"/>
        <w:ind w:left="136" w:right="977"/>
        <w:jc w:val="left"/>
        <w:rPr>
          <w:rFonts w:ascii="宋体" w:hAnsi="宋体" w:cs="宋体" w:eastAsia="宋体" w:hint="default"/>
        </w:rPr>
      </w:pPr>
      <w:r>
        <w:rPr>
          <w:rFonts w:ascii="宋体" w:hAnsi="宋体" w:cs="宋体" w:eastAsia="宋体" w:hint="default"/>
        </w:rPr>
        <w:t>  </w:t>
      </w:r>
      <w:r>
        <w:rPr/>
        <w:t>其他说明：</w:t>
      </w:r>
      <w:r>
        <w:rPr>
          <w:rFonts w:ascii="宋体" w:hAnsi="宋体" w:cs="宋体" w:eastAsia="宋体" w:hint="default"/>
        </w:rPr>
        <w:t> </w:t>
      </w:r>
    </w:p>
    <w:p>
      <w:pPr>
        <w:pStyle w:val="Heading3"/>
        <w:spacing w:line="281" w:lineRule="exact"/>
        <w:ind w:left="136" w:right="97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left="136" w:right="0"/>
        <w:jc w:val="left"/>
        <w:rPr>
          <w:rFonts w:ascii="宋体" w:hAnsi="宋体" w:cs="宋体" w:eastAsia="宋体" w:hint="default"/>
        </w:rPr>
      </w:pPr>
      <w:r>
        <w:rPr>
          <w:rFonts w:ascii="宋体"/>
        </w:rPr>
        <w:t> </w:t>
      </w:r>
    </w:p>
    <w:p>
      <w:pPr>
        <w:pStyle w:val="Heading5"/>
        <w:spacing w:line="240" w:lineRule="auto"/>
        <w:ind w:left="136" w:right="977"/>
        <w:jc w:val="left"/>
        <w:rPr>
          <w:rFonts w:ascii="宋体" w:hAnsi="宋体" w:cs="宋体" w:eastAsia="宋体" w:hint="default"/>
          <w:b w:val="0"/>
          <w:bCs w:val="0"/>
        </w:rPr>
      </w:pPr>
      <w:r>
        <w:rPr/>
        <w:t>其他应收款</w:t>
      </w:r>
      <w:r>
        <w:rPr>
          <w:rFonts w:ascii="宋体" w:hAnsi="宋体" w:cs="宋体" w:eastAsia="宋体" w:hint="default"/>
          <w:w w:val="99"/>
        </w:rPr>
        <w:t> </w:t>
      </w:r>
      <w:r>
        <w:rPr>
          <w:rFonts w:ascii="宋体" w:hAnsi="宋体" w:cs="宋体" w:eastAsia="宋体" w:hint="default"/>
          <w:b w:val="0"/>
          <w:bCs w:val="0"/>
        </w:rPr>
      </w:r>
    </w:p>
    <w:p>
      <w:pPr>
        <w:pStyle w:val="Heading5"/>
        <w:spacing w:line="240" w:lineRule="auto" w:before="58"/>
        <w:ind w:left="136" w:right="977"/>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按账龄披露</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136" w:right="97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16"/>
          <w:szCs w:val="16"/>
        </w:rPr>
      </w:pPr>
    </w:p>
    <w:p>
      <w:pPr>
        <w:pStyle w:val="BodyText"/>
        <w:spacing w:line="240" w:lineRule="auto"/>
        <w:ind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1140" w:right="1560"/>
          <w:cols w:num="2" w:equalWidth="0">
            <w:col w:w="3626" w:space="2897"/>
            <w:col w:w="2687"/>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491"/>
        <w:gridCol w:w="4405"/>
      </w:tblGrid>
      <w:tr>
        <w:trPr>
          <w:trHeight w:val="322"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880"/>
              <w:jc w:val="right"/>
              <w:rPr>
                <w:rFonts w:ascii="宋体" w:hAnsi="宋体" w:cs="宋体" w:eastAsia="宋体" w:hint="default"/>
                <w:sz w:val="24"/>
                <w:szCs w:val="24"/>
              </w:rPr>
            </w:pPr>
            <w:r>
              <w:rPr>
                <w:rFonts w:ascii="宋体" w:hAnsi="宋体" w:cs="宋体" w:eastAsia="宋体" w:hint="default"/>
                <w:sz w:val="24"/>
                <w:szCs w:val="24"/>
              </w:rPr>
              <w:t>账龄</w:t>
            </w:r>
            <w:r>
              <w:rPr>
                <w:rFonts w:ascii="宋体" w:hAnsi="宋体" w:cs="宋体" w:eastAsia="宋体" w:hint="default"/>
                <w:sz w:val="24"/>
                <w:szCs w:val="24"/>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478" w:right="0"/>
              <w:jc w:val="left"/>
              <w:rPr>
                <w:rFonts w:ascii="宋体" w:hAnsi="宋体" w:cs="宋体" w:eastAsia="宋体" w:hint="default"/>
                <w:sz w:val="24"/>
                <w:szCs w:val="24"/>
              </w:rPr>
            </w:pPr>
            <w:r>
              <w:rPr>
                <w:rFonts w:ascii="宋体" w:hAnsi="宋体" w:cs="宋体" w:eastAsia="宋体" w:hint="default"/>
                <w:sz w:val="24"/>
                <w:szCs w:val="24"/>
              </w:rPr>
              <w:t>期末账面余额</w:t>
            </w:r>
            <w:r>
              <w:rPr>
                <w:rFonts w:ascii="宋体" w:hAnsi="宋体" w:cs="宋体" w:eastAsia="宋体" w:hint="default"/>
                <w:sz w:val="24"/>
                <w:szCs w:val="24"/>
              </w:rPr>
              <w:t> </w:t>
            </w:r>
          </w:p>
        </w:tc>
      </w:tr>
      <w:tr>
        <w:trPr>
          <w:trHeight w:val="283"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1"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602,736,221.92</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602,736,221.92</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81,811,070.46</w:t>
            </w:r>
          </w:p>
        </w:tc>
      </w:tr>
      <w:tr>
        <w:trPr>
          <w:trHeight w:val="284"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15,632,796.94</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79,341,746.31</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29,431,421.96</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30,230,265.82</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839,183,523.41</w:t>
            </w:r>
          </w:p>
        </w:tc>
      </w:tr>
    </w:tbl>
    <w:p>
      <w:pPr>
        <w:pStyle w:val="Heading3"/>
        <w:spacing w:line="273" w:lineRule="exact"/>
        <w:ind w:left="136" w:right="0"/>
        <w:jc w:val="left"/>
        <w:rPr>
          <w:rFonts w:ascii="宋体" w:hAnsi="宋体" w:cs="宋体" w:eastAsia="宋体" w:hint="default"/>
        </w:rPr>
      </w:pPr>
      <w:r>
        <w:rPr>
          <w:rFonts w:ascii="宋体"/>
        </w:rPr>
        <w:t> </w:t>
      </w:r>
    </w:p>
    <w:p>
      <w:pPr>
        <w:pStyle w:val="Heading3"/>
        <w:spacing w:line="313" w:lineRule="exact"/>
        <w:ind w:left="136" w:right="0"/>
        <w:jc w:val="left"/>
        <w:rPr>
          <w:rFonts w:ascii="宋体" w:hAnsi="宋体" w:cs="宋体" w:eastAsia="宋体" w:hint="default"/>
        </w:rPr>
      </w:pPr>
      <w:r>
        <w:rPr>
          <w:rFonts w:ascii="宋体"/>
        </w:rPr>
        <w:t> </w:t>
      </w:r>
    </w:p>
    <w:p>
      <w:pPr>
        <w:pStyle w:val="Heading5"/>
        <w:spacing w:line="240" w:lineRule="auto"/>
        <w:ind w:left="136" w:right="6269"/>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136" w:right="626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560"/>
        </w:sectPr>
      </w:pPr>
    </w:p>
    <w:p>
      <w:pPr>
        <w:spacing w:line="240" w:lineRule="auto" w:before="9"/>
        <w:rPr>
          <w:rFonts w:ascii="宋体" w:hAnsi="宋体" w:cs="宋体" w:eastAsia="宋体" w:hint="default"/>
          <w:sz w:val="18"/>
          <w:szCs w:val="18"/>
        </w:rPr>
      </w:pPr>
    </w:p>
    <w:p>
      <w:pPr>
        <w:pStyle w:val="BodyText"/>
        <w:spacing w:line="240" w:lineRule="auto" w:before="36"/>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632"/>
        <w:gridCol w:w="2907"/>
        <w:gridCol w:w="2511"/>
      </w:tblGrid>
      <w:tr>
        <w:trPr>
          <w:trHeight w:val="284"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15"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19"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与子公司往来款</w:t>
            </w:r>
            <w:r>
              <w:rPr>
                <w:rFonts w:ascii="宋体" w:hAnsi="宋体" w:cs="宋体" w:eastAsia="宋体" w:hint="default"/>
                <w:sz w:val="21"/>
                <w:szCs w:val="21"/>
              </w:rPr>
              <w:t> </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462,892,631.47</w:t>
            </w:r>
            <w:r>
              <w:rPr>
                <w:rFonts w:ascii="Times New Roman"/>
                <w:sz w:val="20"/>
              </w:rPr>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spacing w:val="-1"/>
                <w:sz w:val="20"/>
              </w:rPr>
              <w:t>1,170,978,712.79</w:t>
            </w: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股权处置款</w:t>
            </w:r>
            <w:r>
              <w:rPr>
                <w:rFonts w:ascii="宋体" w:hAnsi="宋体" w:cs="宋体" w:eastAsia="宋体" w:hint="default"/>
                <w:sz w:val="21"/>
                <w:szCs w:val="21"/>
              </w:rPr>
              <w:t> </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65,176,399.43</w:t>
            </w:r>
            <w:r>
              <w:rPr>
                <w:rFonts w:ascii="Times New Roman"/>
                <w:sz w:val="20"/>
              </w:rPr>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49,176,389.43</w:t>
            </w:r>
            <w:r>
              <w:rPr>
                <w:rFonts w:ascii="Times New Roman"/>
                <w:sz w:val="20"/>
              </w:rPr>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保证金及押金</w:t>
            </w:r>
            <w:r>
              <w:rPr>
                <w:rFonts w:ascii="宋体" w:hAnsi="宋体" w:cs="宋体" w:eastAsia="宋体" w:hint="default"/>
                <w:sz w:val="21"/>
                <w:szCs w:val="21"/>
              </w:rPr>
              <w:t> </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Times New Roman" w:hAnsi="Times New Roman" w:cs="Times New Roman" w:eastAsia="Times New Roman" w:hint="default"/>
                <w:sz w:val="20"/>
                <w:szCs w:val="20"/>
              </w:rPr>
            </w:pPr>
            <w:r>
              <w:rPr>
                <w:rFonts w:ascii="Times New Roman"/>
                <w:w w:val="95"/>
                <w:sz w:val="20"/>
              </w:rPr>
              <w:t>71,850,569.22</w:t>
            </w:r>
            <w:r>
              <w:rPr>
                <w:rFonts w:ascii="Times New Roman"/>
                <w:sz w:val="20"/>
              </w:rPr>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Times New Roman" w:hAnsi="Times New Roman" w:cs="Times New Roman" w:eastAsia="Times New Roman" w:hint="default"/>
                <w:sz w:val="20"/>
                <w:szCs w:val="20"/>
              </w:rPr>
            </w:pPr>
            <w:r>
              <w:rPr>
                <w:rFonts w:ascii="Times New Roman"/>
                <w:w w:val="95"/>
                <w:sz w:val="20"/>
              </w:rPr>
              <w:t>78,198,412.64</w:t>
            </w:r>
            <w:r>
              <w:rPr>
                <w:rFonts w:ascii="Times New Roman"/>
                <w:sz w:val="20"/>
              </w:rPr>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员工往来及备用金</w:t>
            </w:r>
            <w:r>
              <w:rPr>
                <w:rFonts w:ascii="宋体" w:hAnsi="宋体" w:cs="宋体" w:eastAsia="宋体" w:hint="default"/>
                <w:sz w:val="21"/>
                <w:szCs w:val="21"/>
              </w:rPr>
              <w:t> </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39,582,650.35</w:t>
            </w:r>
            <w:r>
              <w:rPr>
                <w:rFonts w:ascii="Times New Roman"/>
                <w:sz w:val="20"/>
              </w:rPr>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25,940,171.64</w:t>
            </w:r>
            <w:r>
              <w:rPr>
                <w:rFonts w:ascii="Times New Roman"/>
                <w:sz w:val="20"/>
              </w:rPr>
            </w: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其他往来</w:t>
            </w:r>
            <w:r>
              <w:rPr>
                <w:rFonts w:ascii="宋体" w:hAnsi="宋体" w:cs="宋体" w:eastAsia="宋体" w:hint="default"/>
                <w:sz w:val="21"/>
                <w:szCs w:val="21"/>
              </w:rPr>
              <w:t> </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199,681,272.94</w:t>
            </w:r>
            <w:r>
              <w:rPr>
                <w:rFonts w:ascii="Times New Roman"/>
                <w:sz w:val="20"/>
              </w:rPr>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168,497,842.50</w:t>
            </w:r>
            <w:r>
              <w:rPr>
                <w:rFonts w:ascii="Times New Roman"/>
                <w:sz w:val="20"/>
              </w:rPr>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Times New Roman" w:hAnsi="Times New Roman" w:cs="Times New Roman" w:eastAsia="Times New Roman" w:hint="default"/>
                <w:sz w:val="20"/>
                <w:szCs w:val="20"/>
              </w:rPr>
            </w:pPr>
            <w:r>
              <w:rPr>
                <w:rFonts w:ascii="Times New Roman"/>
                <w:w w:val="95"/>
                <w:sz w:val="20"/>
              </w:rPr>
              <w:t>839,183,523.41</w:t>
            </w:r>
            <w:r>
              <w:rPr>
                <w:rFonts w:ascii="Times New Roman"/>
                <w:sz w:val="20"/>
              </w:rPr>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Times New Roman" w:hAnsi="Times New Roman" w:cs="Times New Roman" w:eastAsia="Times New Roman" w:hint="default"/>
                <w:sz w:val="20"/>
                <w:szCs w:val="20"/>
              </w:rPr>
            </w:pPr>
            <w:r>
              <w:rPr>
                <w:rFonts w:ascii="Times New Roman"/>
                <w:spacing w:val="-1"/>
                <w:sz w:val="20"/>
              </w:rPr>
              <w:t>1,492,791,529.00</w:t>
            </w:r>
          </w:p>
        </w:tc>
      </w:tr>
    </w:tbl>
    <w:p>
      <w:pPr>
        <w:spacing w:after="0" w:line="226" w:lineRule="exact"/>
        <w:jc w:val="right"/>
        <w:rPr>
          <w:rFonts w:ascii="Times New Roman" w:hAnsi="Times New Roman" w:cs="Times New Roman" w:eastAsia="Times New Roman" w:hint="default"/>
          <w:sz w:val="20"/>
          <w:szCs w:val="20"/>
        </w:rPr>
        <w:sectPr>
          <w:pgSz w:w="11910" w:h="16840"/>
          <w:pgMar w:header="882" w:footer="1195" w:top="1120" w:bottom="1380" w:left="1040" w:right="1560"/>
        </w:sectPr>
      </w:pPr>
    </w:p>
    <w:p>
      <w:pPr>
        <w:pStyle w:val="Heading3"/>
        <w:spacing w:line="274" w:lineRule="exact"/>
        <w:ind w:left="236" w:right="0"/>
        <w:jc w:val="left"/>
        <w:rPr>
          <w:rFonts w:ascii="宋体" w:hAnsi="宋体" w:cs="宋体" w:eastAsia="宋体" w:hint="default"/>
        </w:rPr>
      </w:pPr>
      <w:r>
        <w:rPr>
          <w:rFonts w:ascii="宋体"/>
        </w:rPr>
        <w:t> </w:t>
      </w:r>
    </w:p>
    <w:p>
      <w:pPr>
        <w:pStyle w:val="Heading5"/>
        <w:spacing w:line="240" w:lineRule="auto"/>
        <w:ind w:left="236"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2"/>
        </w:rPr>
        <w:t> </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6"/>
          <w:szCs w:val="26"/>
        </w:rPr>
      </w:pPr>
    </w:p>
    <w:p>
      <w:pPr>
        <w:pStyle w:val="BodyText"/>
        <w:spacing w:line="240" w:lineRule="auto"/>
        <w:ind w:left="236"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1040" w:right="1560"/>
          <w:cols w:num="2" w:equalWidth="0">
            <w:col w:w="2559" w:space="3844"/>
            <w:col w:w="2907"/>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151"/>
        <w:gridCol w:w="1481"/>
        <w:gridCol w:w="1889"/>
        <w:gridCol w:w="1848"/>
        <w:gridCol w:w="1681"/>
      </w:tblGrid>
      <w:tr>
        <w:trPr>
          <w:trHeight w:val="445" w:hRule="exact"/>
        </w:trPr>
        <w:tc>
          <w:tcPr>
            <w:tcW w:w="21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650"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18"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9"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6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624"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986" w:hRule="exact"/>
        </w:trPr>
        <w:tc>
          <w:tcPr>
            <w:tcW w:w="2151" w:type="dxa"/>
            <w:vMerge/>
            <w:tcBorders>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8" w:right="101" w:hanging="104"/>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期信用损失</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1" w:right="0" w:firstLine="52"/>
              <w:jc w:val="left"/>
              <w:rPr>
                <w:rFonts w:ascii="宋体" w:hAnsi="宋体" w:cs="宋体" w:eastAsia="宋体" w:hint="default"/>
                <w:sz w:val="21"/>
                <w:szCs w:val="21"/>
              </w:rPr>
            </w:pPr>
            <w:r>
              <w:rPr>
                <w:rFonts w:ascii="宋体" w:hAnsi="宋体" w:cs="宋体" w:eastAsia="宋体" w:hint="default"/>
                <w:sz w:val="21"/>
                <w:szCs w:val="21"/>
              </w:rPr>
              <w:t>整个存续期预期</w:t>
            </w:r>
          </w:p>
          <w:p>
            <w:pPr>
              <w:pStyle w:val="TableParagraph"/>
              <w:spacing w:line="240" w:lineRule="auto"/>
              <w:ind w:left="465" w:right="149" w:hanging="315"/>
              <w:jc w:val="left"/>
              <w:rPr>
                <w:rFonts w:ascii="宋体" w:hAnsi="宋体" w:cs="宋体" w:eastAsia="宋体" w:hint="default"/>
                <w:sz w:val="21"/>
                <w:szCs w:val="21"/>
              </w:rPr>
            </w:pPr>
            <w:r>
              <w:rPr>
                <w:rFonts w:ascii="宋体" w:hAnsi="宋体" w:cs="宋体" w:eastAsia="宋体" w:hint="default"/>
                <w:sz w:val="21"/>
                <w:szCs w:val="21"/>
              </w:rPr>
              <w:t>信用损失</w:t>
            </w:r>
            <w:r>
              <w:rPr>
                <w:rFonts w:ascii="宋体" w:hAnsi="宋体" w:cs="宋体" w:eastAsia="宋体" w:hint="default"/>
                <w:sz w:val="21"/>
                <w:szCs w:val="21"/>
              </w:rPr>
              <w:t>(</w:t>
            </w:r>
            <w:r>
              <w:rPr>
                <w:rFonts w:ascii="宋体" w:hAnsi="宋体" w:cs="宋体" w:eastAsia="宋体" w:hint="default"/>
                <w:sz w:val="21"/>
                <w:szCs w:val="21"/>
              </w:rPr>
              <w:t>未发生</w:t>
            </w:r>
            <w:r>
              <w:rPr>
                <w:rFonts w:ascii="宋体" w:hAnsi="宋体" w:cs="宋体" w:eastAsia="宋体" w:hint="default"/>
                <w:w w:val="100"/>
                <w:sz w:val="21"/>
                <w:szCs w:val="21"/>
              </w:rPr>
              <w:t> </w:t>
            </w:r>
            <w:r>
              <w:rPr>
                <w:rFonts w:ascii="宋体" w:hAnsi="宋体" w:cs="宋体" w:eastAsia="宋体" w:hint="default"/>
                <w:sz w:val="21"/>
                <w:szCs w:val="21"/>
              </w:rPr>
              <w:t>信用减值</w:t>
            </w:r>
            <w:r>
              <w:rPr>
                <w:rFonts w:ascii="宋体" w:hAnsi="宋体" w:cs="宋体" w:eastAsia="宋体" w:hint="default"/>
                <w:sz w:val="21"/>
                <w:szCs w:val="21"/>
              </w:rPr>
              <w:t>) </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firstLine="50"/>
              <w:jc w:val="left"/>
              <w:rPr>
                <w:rFonts w:ascii="宋体" w:hAnsi="宋体" w:cs="宋体" w:eastAsia="宋体" w:hint="default"/>
                <w:sz w:val="21"/>
                <w:szCs w:val="21"/>
              </w:rPr>
            </w:pPr>
            <w:r>
              <w:rPr>
                <w:rFonts w:ascii="宋体" w:hAnsi="宋体" w:cs="宋体" w:eastAsia="宋体" w:hint="default"/>
                <w:sz w:val="21"/>
                <w:szCs w:val="21"/>
              </w:rPr>
              <w:t>整个存续期预期</w:t>
            </w:r>
          </w:p>
          <w:p>
            <w:pPr>
              <w:pStyle w:val="TableParagraph"/>
              <w:spacing w:line="240" w:lineRule="auto"/>
              <w:ind w:left="446" w:right="127" w:hanging="315"/>
              <w:jc w:val="left"/>
              <w:rPr>
                <w:rFonts w:ascii="宋体" w:hAnsi="宋体" w:cs="宋体" w:eastAsia="宋体" w:hint="default"/>
                <w:sz w:val="21"/>
                <w:szCs w:val="21"/>
              </w:rPr>
            </w:pPr>
            <w:r>
              <w:rPr>
                <w:rFonts w:ascii="宋体" w:hAnsi="宋体" w:cs="宋体" w:eastAsia="宋体" w:hint="default"/>
                <w:sz w:val="21"/>
                <w:szCs w:val="21"/>
              </w:rPr>
              <w:t>信用损失</w:t>
            </w:r>
            <w:r>
              <w:rPr>
                <w:rFonts w:ascii="宋体" w:hAnsi="宋体" w:cs="宋体" w:eastAsia="宋体" w:hint="default"/>
                <w:sz w:val="21"/>
                <w:szCs w:val="21"/>
              </w:rPr>
              <w:t>(</w:t>
            </w:r>
            <w:r>
              <w:rPr>
                <w:rFonts w:ascii="宋体" w:hAnsi="宋体" w:cs="宋体" w:eastAsia="宋体" w:hint="default"/>
                <w:sz w:val="21"/>
                <w:szCs w:val="21"/>
              </w:rPr>
              <w:t>已发生</w:t>
            </w:r>
            <w:r>
              <w:rPr>
                <w:rFonts w:ascii="宋体" w:hAnsi="宋体" w:cs="宋体" w:eastAsia="宋体" w:hint="default"/>
                <w:w w:val="100"/>
                <w:sz w:val="21"/>
                <w:szCs w:val="21"/>
              </w:rPr>
              <w:t> </w:t>
            </w:r>
            <w:r>
              <w:rPr>
                <w:rFonts w:ascii="宋体" w:hAnsi="宋体" w:cs="宋体" w:eastAsia="宋体" w:hint="default"/>
                <w:sz w:val="21"/>
                <w:szCs w:val="21"/>
              </w:rPr>
              <w:t>信用减值</w:t>
            </w:r>
            <w:r>
              <w:rPr>
                <w:rFonts w:ascii="宋体" w:hAnsi="宋体" w:cs="宋体" w:eastAsia="宋体" w:hint="default"/>
                <w:sz w:val="21"/>
                <w:szCs w:val="21"/>
              </w:rPr>
              <w:t>) </w:t>
            </w:r>
          </w:p>
        </w:tc>
        <w:tc>
          <w:tcPr>
            <w:tcW w:w="1681" w:type="dxa"/>
            <w:vMerge/>
            <w:tcBorders>
              <w:left w:val="single" w:sz="4" w:space="0" w:color="000000"/>
              <w:bottom w:val="single" w:sz="4" w:space="0" w:color="000000"/>
              <w:right w:val="single" w:sz="4" w:space="0" w:color="000000"/>
            </w:tcBorders>
          </w:tcPr>
          <w:p>
            <w:pPr/>
          </w:p>
        </w:tc>
      </w:tr>
      <w:tr>
        <w:trPr>
          <w:trHeight w:val="283"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日余额</w:t>
            </w:r>
            <w:r>
              <w:rPr>
                <w:rFonts w:ascii="宋体" w:hAnsi="宋体" w:cs="宋体" w:eastAsia="宋体" w:hint="default"/>
                <w:sz w:val="21"/>
                <w:szCs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767,979.21</w:t>
            </w:r>
            <w:r>
              <w:rPr>
                <w:rFonts w:ascii="Times New Roman"/>
                <w:sz w:val="20"/>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63,671,002.06</w:t>
            </w:r>
            <w:r>
              <w:rPr>
                <w:rFonts w:ascii="Times New Roman"/>
                <w:sz w:val="20"/>
              </w:rPr>
            </w:r>
          </w:p>
        </w:tc>
        <w:tc>
          <w:tcPr>
            <w:tcW w:w="1848"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64,438,981.27</w:t>
            </w:r>
            <w:r>
              <w:rPr>
                <w:rFonts w:ascii="Times New Roman"/>
                <w:sz w:val="20"/>
              </w:rPr>
            </w:r>
          </w:p>
        </w:tc>
      </w:tr>
      <w:tr>
        <w:trPr>
          <w:trHeight w:val="554"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日余额在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z w:val="21"/>
                <w:szCs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Times New Roman" w:hAnsi="Times New Roman" w:cs="Times New Roman" w:eastAsia="Times New Roman" w:hint="default"/>
                <w:sz w:val="20"/>
                <w:szCs w:val="20"/>
              </w:rPr>
            </w:pPr>
            <w:r>
              <w:rPr>
                <w:rFonts w:ascii="Times New Roman"/>
                <w:w w:val="95"/>
                <w:sz w:val="20"/>
              </w:rPr>
              <w:t>5,921,119.71</w:t>
            </w:r>
            <w:r>
              <w:rPr>
                <w:rFonts w:ascii="Times New Roman"/>
                <w:sz w:val="20"/>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Times New Roman" w:hAnsi="Times New Roman" w:cs="Times New Roman" w:eastAsia="Times New Roman" w:hint="default"/>
                <w:sz w:val="20"/>
                <w:szCs w:val="20"/>
              </w:rPr>
            </w:pPr>
            <w:r>
              <w:rPr>
                <w:rFonts w:ascii="Times New Roman"/>
                <w:w w:val="95"/>
                <w:sz w:val="20"/>
              </w:rPr>
              <w:t>136,633,374.09</w:t>
            </w:r>
            <w:r>
              <w:rPr>
                <w:rFonts w:ascii="Times New Roman"/>
                <w:sz w:val="20"/>
              </w:rPr>
            </w:r>
          </w:p>
        </w:tc>
        <w:tc>
          <w:tcPr>
            <w:tcW w:w="1848"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Times New Roman" w:hAnsi="Times New Roman" w:cs="Times New Roman" w:eastAsia="Times New Roman" w:hint="default"/>
                <w:sz w:val="20"/>
                <w:szCs w:val="20"/>
              </w:rPr>
            </w:pPr>
            <w:r>
              <w:rPr>
                <w:rFonts w:ascii="Times New Roman"/>
                <w:w w:val="95"/>
                <w:sz w:val="20"/>
              </w:rPr>
              <w:t>142,554,493.80</w:t>
            </w:r>
            <w:r>
              <w:rPr>
                <w:rFonts w:ascii="Times New Roman"/>
                <w:sz w:val="20"/>
              </w:rPr>
            </w:r>
          </w:p>
        </w:tc>
      </w:tr>
      <w:tr>
        <w:trPr>
          <w:trHeight w:val="281"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1,890,186.15</w:t>
            </w:r>
            <w:r>
              <w:rPr>
                <w:rFonts w:ascii="Times New Roman"/>
                <w:sz w:val="20"/>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34,961,016.52</w:t>
            </w:r>
            <w:r>
              <w:rPr>
                <w:rFonts w:ascii="Times New Roman"/>
                <w:sz w:val="20"/>
              </w:rPr>
            </w:r>
          </w:p>
        </w:tc>
        <w:tc>
          <w:tcPr>
            <w:tcW w:w="1848"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36,851,202.67</w:t>
            </w:r>
            <w:r>
              <w:rPr>
                <w:rFonts w:ascii="Times New Roman"/>
                <w:sz w:val="20"/>
              </w:rPr>
            </w:r>
          </w:p>
        </w:tc>
      </w:tr>
      <w:tr>
        <w:trPr>
          <w:trHeight w:val="284"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48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848"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日余额</w:t>
            </w:r>
            <w:r>
              <w:rPr>
                <w:rFonts w:ascii="宋体" w:hAnsi="宋体" w:cs="宋体" w:eastAsia="宋体" w:hint="default"/>
                <w:sz w:val="21"/>
                <w:szCs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7,811,305.86</w:t>
            </w:r>
            <w:r>
              <w:rPr>
                <w:rFonts w:ascii="Times New Roman"/>
                <w:sz w:val="20"/>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171,594,390.61</w:t>
            </w:r>
            <w:r>
              <w:rPr>
                <w:rFonts w:ascii="Times New Roman"/>
                <w:sz w:val="20"/>
              </w:rPr>
            </w:r>
          </w:p>
        </w:tc>
        <w:tc>
          <w:tcPr>
            <w:tcW w:w="1848"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179,405,696.47</w:t>
            </w:r>
            <w:r>
              <w:rPr>
                <w:rFonts w:ascii="Times New Roman"/>
                <w:sz w:val="20"/>
              </w:rPr>
            </w:r>
          </w:p>
        </w:tc>
      </w:tr>
    </w:tbl>
    <w:p>
      <w:pPr>
        <w:spacing w:line="240" w:lineRule="auto" w:before="2"/>
        <w:rPr>
          <w:rFonts w:ascii="宋体" w:hAnsi="宋体" w:cs="宋体" w:eastAsia="宋体" w:hint="default"/>
          <w:sz w:val="13"/>
          <w:szCs w:val="13"/>
        </w:rPr>
      </w:pPr>
    </w:p>
    <w:p>
      <w:pPr>
        <w:pStyle w:val="BodyText"/>
        <w:spacing w:line="271" w:lineRule="exact" w:before="36"/>
        <w:ind w:left="236" w:right="0"/>
        <w:jc w:val="left"/>
      </w:pPr>
      <w:r>
        <w:rPr/>
        <w:t>对本期发生损失准备变动的其他应收款账面余额显著变动的情况说明：</w:t>
      </w:r>
    </w:p>
    <w:p>
      <w:pPr>
        <w:pStyle w:val="Heading3"/>
        <w:spacing w:line="308" w:lineRule="exact"/>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before="28"/>
        <w:ind w:left="236" w:right="0"/>
        <w:jc w:val="left"/>
        <w:rPr>
          <w:rFonts w:ascii="宋体" w:hAnsi="宋体" w:cs="宋体" w:eastAsia="宋体" w:hint="default"/>
        </w:rPr>
      </w:pPr>
      <w:r>
        <w:rPr>
          <w:rFonts w:ascii="宋体" w:hAnsi="宋体" w:cs="宋体" w:eastAsia="宋体" w:hint="default"/>
        </w:rPr>
        <w:t>  </w:t>
      </w:r>
      <w:r>
        <w:rPr/>
        <w:t>本期坏账准备计提金额以及评估金融工具的信用风险是否显著增加的采用依据</w:t>
      </w:r>
      <w:r>
        <w:rPr>
          <w:spacing w:val="2"/>
        </w:rPr>
        <w:t>：</w:t>
      </w:r>
      <w:r>
        <w:rPr>
          <w:rFonts w:ascii="宋体" w:hAnsi="宋体" w:cs="宋体" w:eastAsia="宋体" w:hint="default"/>
        </w:rPr>
        <w:t> </w:t>
      </w:r>
    </w:p>
    <w:p>
      <w:pPr>
        <w:pStyle w:val="Heading3"/>
        <w:spacing w:line="281" w:lineRule="exact"/>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left="236" w:right="0"/>
        <w:jc w:val="left"/>
        <w:rPr>
          <w:rFonts w:ascii="宋体" w:hAnsi="宋体" w:cs="宋体" w:eastAsia="宋体" w:hint="default"/>
        </w:rPr>
      </w:pPr>
      <w:r>
        <w:rPr>
          <w:rFonts w:ascii="宋体"/>
        </w:rPr>
        <w:t> </w:t>
      </w:r>
    </w:p>
    <w:p>
      <w:pPr>
        <w:pStyle w:val="Heading5"/>
        <w:spacing w:line="240" w:lineRule="auto"/>
        <w:ind w:left="236"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2"/>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tabs>
          <w:tab w:pos="1051" w:val="left" w:leader="none"/>
        </w:tabs>
        <w:spacing w:line="240" w:lineRule="auto" w:before="4"/>
        <w:ind w:left="0" w:right="231"/>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313"/>
        <w:gridCol w:w="1477"/>
        <w:gridCol w:w="1375"/>
        <w:gridCol w:w="1090"/>
        <w:gridCol w:w="1169"/>
        <w:gridCol w:w="1162"/>
        <w:gridCol w:w="1477"/>
      </w:tblGrid>
      <w:tr>
        <w:trPr>
          <w:trHeight w:val="319" w:hRule="exact"/>
        </w:trPr>
        <w:tc>
          <w:tcPr>
            <w:tcW w:w="131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10" w:right="0"/>
              <w:jc w:val="left"/>
              <w:rPr>
                <w:rFonts w:ascii="宋体" w:hAnsi="宋体" w:cs="宋体" w:eastAsia="宋体" w:hint="default"/>
                <w:sz w:val="24"/>
                <w:szCs w:val="24"/>
              </w:rPr>
            </w:pPr>
            <w:r>
              <w:rPr>
                <w:rFonts w:ascii="宋体" w:hAnsi="宋体" w:cs="宋体" w:eastAsia="宋体" w:hint="default"/>
                <w:sz w:val="24"/>
                <w:szCs w:val="24"/>
              </w:rPr>
              <w:t>类别</w:t>
            </w:r>
            <w:r>
              <w:rPr>
                <w:rFonts w:ascii="宋体" w:hAnsi="宋体" w:cs="宋体" w:eastAsia="宋体" w:hint="default"/>
                <w:sz w:val="24"/>
                <w:szCs w:val="24"/>
              </w:rPr>
              <w:t> </w:t>
            </w:r>
          </w:p>
        </w:tc>
        <w:tc>
          <w:tcPr>
            <w:tcW w:w="147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51"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c>
          <w:tcPr>
            <w:tcW w:w="47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70" w:right="0"/>
              <w:jc w:val="left"/>
              <w:rPr>
                <w:rFonts w:ascii="宋体" w:hAnsi="宋体" w:cs="宋体" w:eastAsia="宋体" w:hint="default"/>
                <w:sz w:val="24"/>
                <w:szCs w:val="24"/>
              </w:rPr>
            </w:pPr>
            <w:r>
              <w:rPr>
                <w:rFonts w:ascii="宋体" w:hAnsi="宋体" w:cs="宋体" w:eastAsia="宋体" w:hint="default"/>
                <w:sz w:val="24"/>
                <w:szCs w:val="24"/>
              </w:rPr>
              <w:t>本期变动金额</w:t>
            </w:r>
            <w:r>
              <w:rPr>
                <w:rFonts w:ascii="宋体" w:hAnsi="宋体" w:cs="宋体" w:eastAsia="宋体" w:hint="default"/>
                <w:sz w:val="24"/>
                <w:szCs w:val="24"/>
              </w:rPr>
              <w:t> </w:t>
            </w:r>
          </w:p>
        </w:tc>
        <w:tc>
          <w:tcPr>
            <w:tcW w:w="147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49"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r>
      <w:tr>
        <w:trPr>
          <w:trHeight w:val="634" w:hRule="exact"/>
        </w:trPr>
        <w:tc>
          <w:tcPr>
            <w:tcW w:w="1313" w:type="dxa"/>
            <w:vMerge/>
            <w:tcBorders>
              <w:left w:val="single" w:sz="4" w:space="0" w:color="000000"/>
              <w:bottom w:val="single" w:sz="4" w:space="0" w:color="000000"/>
              <w:right w:val="single" w:sz="4" w:space="0" w:color="000000"/>
            </w:tcBorders>
          </w:tcPr>
          <w:p>
            <w:pPr/>
          </w:p>
        </w:tc>
        <w:tc>
          <w:tcPr>
            <w:tcW w:w="1477" w:type="dxa"/>
            <w:vMerge/>
            <w:tcBorders>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17" w:right="0"/>
              <w:jc w:val="center"/>
              <w:rPr>
                <w:rFonts w:ascii="宋体" w:hAnsi="宋体" w:cs="宋体" w:eastAsia="宋体" w:hint="default"/>
                <w:sz w:val="24"/>
                <w:szCs w:val="24"/>
              </w:rPr>
            </w:pPr>
            <w:r>
              <w:rPr>
                <w:rFonts w:ascii="宋体" w:hAnsi="宋体" w:cs="宋体" w:eastAsia="宋体" w:hint="default"/>
                <w:sz w:val="24"/>
                <w:szCs w:val="24"/>
              </w:rPr>
              <w:t>计提</w:t>
            </w:r>
            <w:r>
              <w:rPr>
                <w:rFonts w:ascii="宋体" w:hAnsi="宋体" w:cs="宋体" w:eastAsia="宋体" w:hint="default"/>
                <w:sz w:val="24"/>
                <w:szCs w:val="24"/>
              </w:rPr>
              <w:t>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收回或</w:t>
            </w:r>
          </w:p>
          <w:p>
            <w:pPr>
              <w:pStyle w:val="TableParagraph"/>
              <w:spacing w:line="312" w:lineRule="exact"/>
              <w:ind w:left="120" w:right="0"/>
              <w:jc w:val="center"/>
              <w:rPr>
                <w:rFonts w:ascii="宋体" w:hAnsi="宋体" w:cs="宋体" w:eastAsia="宋体" w:hint="default"/>
                <w:sz w:val="24"/>
                <w:szCs w:val="24"/>
              </w:rPr>
            </w:pPr>
            <w:r>
              <w:rPr>
                <w:rFonts w:ascii="宋体" w:hAnsi="宋体" w:cs="宋体" w:eastAsia="宋体" w:hint="default"/>
                <w:sz w:val="24"/>
                <w:szCs w:val="24"/>
              </w:rPr>
              <w:t>转回</w:t>
            </w:r>
            <w:r>
              <w:rPr>
                <w:rFonts w:ascii="宋体" w:hAnsi="宋体" w:cs="宋体" w:eastAsia="宋体" w:hint="default"/>
                <w:sz w:val="24"/>
                <w:szCs w:val="24"/>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转销或</w:t>
            </w:r>
          </w:p>
          <w:p>
            <w:pPr>
              <w:pStyle w:val="TableParagraph"/>
              <w:spacing w:line="312" w:lineRule="exact"/>
              <w:ind w:left="117" w:right="0"/>
              <w:jc w:val="center"/>
              <w:rPr>
                <w:rFonts w:ascii="宋体" w:hAnsi="宋体" w:cs="宋体" w:eastAsia="宋体" w:hint="default"/>
                <w:sz w:val="24"/>
                <w:szCs w:val="24"/>
              </w:rPr>
            </w:pPr>
            <w:r>
              <w:rPr>
                <w:rFonts w:ascii="宋体" w:hAnsi="宋体" w:cs="宋体" w:eastAsia="宋体" w:hint="default"/>
                <w:sz w:val="24"/>
                <w:szCs w:val="24"/>
              </w:rPr>
              <w:t>核销</w:t>
            </w:r>
            <w:r>
              <w:rPr>
                <w:rFonts w:ascii="宋体" w:hAnsi="宋体" w:cs="宋体" w:eastAsia="宋体" w:hint="default"/>
                <w:sz w:val="24"/>
                <w:szCs w:val="24"/>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21" w:right="0"/>
              <w:jc w:val="left"/>
              <w:rPr>
                <w:rFonts w:ascii="宋体" w:hAnsi="宋体" w:cs="宋体" w:eastAsia="宋体" w:hint="default"/>
                <w:sz w:val="24"/>
                <w:szCs w:val="24"/>
              </w:rPr>
            </w:pPr>
            <w:r>
              <w:rPr>
                <w:rFonts w:ascii="宋体" w:hAnsi="宋体" w:cs="宋体" w:eastAsia="宋体" w:hint="default"/>
                <w:sz w:val="24"/>
                <w:szCs w:val="24"/>
              </w:rPr>
              <w:t>其他变</w:t>
            </w:r>
          </w:p>
          <w:p>
            <w:pPr>
              <w:pStyle w:val="TableParagraph"/>
              <w:spacing w:line="312" w:lineRule="exact"/>
              <w:ind w:right="-10"/>
              <w:jc w:val="right"/>
              <w:rPr>
                <w:rFonts w:ascii="宋体" w:hAnsi="宋体" w:cs="宋体" w:eastAsia="宋体" w:hint="default"/>
                <w:sz w:val="24"/>
                <w:szCs w:val="24"/>
              </w:rPr>
            </w:pPr>
            <w:r>
              <w:rPr>
                <w:rFonts w:ascii="宋体" w:hAnsi="宋体" w:cs="宋体" w:eastAsia="宋体" w:hint="default"/>
                <w:sz w:val="24"/>
                <w:szCs w:val="24"/>
              </w:rPr>
              <w:t>动</w:t>
            </w:r>
            <w:r>
              <w:rPr>
                <w:rFonts w:ascii="宋体" w:hAnsi="宋体" w:cs="宋体" w:eastAsia="宋体" w:hint="default"/>
                <w:sz w:val="24"/>
                <w:szCs w:val="24"/>
              </w:rPr>
              <w:t> </w:t>
            </w:r>
          </w:p>
        </w:tc>
        <w:tc>
          <w:tcPr>
            <w:tcW w:w="1477" w:type="dxa"/>
            <w:vMerge/>
            <w:tcBorders>
              <w:left w:val="single" w:sz="4" w:space="0" w:color="000000"/>
              <w:bottom w:val="single" w:sz="4" w:space="0" w:color="000000"/>
              <w:right w:val="single" w:sz="4" w:space="0" w:color="000000"/>
            </w:tcBorders>
          </w:tcPr>
          <w:p>
            <w:pPr/>
          </w:p>
        </w:tc>
      </w:tr>
      <w:tr>
        <w:trPr>
          <w:trHeight w:val="554"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5"/>
                <w:sz w:val="21"/>
                <w:szCs w:val="21"/>
              </w:rPr>
              <w:t>其他应收款</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0"/>
                <w:szCs w:val="20"/>
              </w:rPr>
            </w:pPr>
            <w:r>
              <w:rPr>
                <w:rFonts w:ascii="Times New Roman"/>
                <w:sz w:val="20"/>
              </w:rPr>
              <w:t>142,554,493.80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0"/>
                <w:szCs w:val="20"/>
              </w:rPr>
            </w:pPr>
            <w:r>
              <w:rPr>
                <w:rFonts w:ascii="Times New Roman"/>
                <w:sz w:val="20"/>
              </w:rPr>
              <w:t>36,851,202.67</w:t>
            </w:r>
          </w:p>
        </w:tc>
        <w:tc>
          <w:tcPr>
            <w:tcW w:w="109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4"/>
              <w:jc w:val="center"/>
              <w:rPr>
                <w:rFonts w:ascii="Times New Roman" w:hAnsi="Times New Roman" w:cs="Times New Roman" w:eastAsia="Times New Roman" w:hint="default"/>
                <w:sz w:val="20"/>
                <w:szCs w:val="20"/>
              </w:rPr>
            </w:pPr>
            <w:r>
              <w:rPr>
                <w:rFonts w:ascii="Times New Roman"/>
                <w:sz w:val="20"/>
              </w:rPr>
              <w:t>179,405,696.47</w:t>
            </w:r>
          </w:p>
        </w:tc>
      </w:tr>
      <w:tr>
        <w:trPr>
          <w:trHeight w:val="322"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0"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0"/>
                <w:szCs w:val="20"/>
              </w:rPr>
            </w:pPr>
            <w:r>
              <w:rPr>
                <w:rFonts w:ascii="Times New Roman"/>
                <w:sz w:val="20"/>
              </w:rPr>
              <w:t>142,554,493.80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0"/>
                <w:szCs w:val="20"/>
              </w:rPr>
            </w:pPr>
            <w:r>
              <w:rPr>
                <w:rFonts w:ascii="Times New Roman"/>
                <w:sz w:val="20"/>
              </w:rPr>
              <w:t>36,851,202.67</w:t>
            </w:r>
          </w:p>
        </w:tc>
        <w:tc>
          <w:tcPr>
            <w:tcW w:w="109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center"/>
              <w:rPr>
                <w:rFonts w:ascii="Times New Roman" w:hAnsi="Times New Roman" w:cs="Times New Roman" w:eastAsia="Times New Roman" w:hint="default"/>
                <w:sz w:val="20"/>
                <w:szCs w:val="20"/>
              </w:rPr>
            </w:pPr>
            <w:r>
              <w:rPr>
                <w:rFonts w:ascii="Times New Roman"/>
                <w:sz w:val="20"/>
              </w:rPr>
              <w:t>179,405,696.47</w:t>
            </w:r>
          </w:p>
        </w:tc>
      </w:tr>
    </w:tbl>
    <w:p>
      <w:pPr>
        <w:spacing w:after="0" w:line="240" w:lineRule="auto"/>
        <w:jc w:val="center"/>
        <w:rPr>
          <w:rFonts w:ascii="Times New Roman" w:hAnsi="Times New Roman" w:cs="Times New Roman" w:eastAsia="Times New Roman" w:hint="default"/>
          <w:sz w:val="20"/>
          <w:szCs w:val="20"/>
        </w:rPr>
        <w:sectPr>
          <w:type w:val="continuous"/>
          <w:pgSz w:w="11910" w:h="16840"/>
          <w:pgMar w:top="1120" w:bottom="1380" w:left="1040" w:right="1560"/>
        </w:sectPr>
      </w:pPr>
    </w:p>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85"/>
          <w:pgSz w:w="11910" w:h="16840"/>
          <w:pgMar w:footer="1195" w:header="882" w:top="1120" w:bottom="1380" w:left="1140" w:right="1560"/>
        </w:sectPr>
      </w:pPr>
    </w:p>
    <w:p>
      <w:pPr>
        <w:pStyle w:val="Heading3"/>
        <w:spacing w:line="313" w:lineRule="exact" w:before="26"/>
        <w:ind w:left="136" w:right="0"/>
        <w:jc w:val="left"/>
        <w:rPr>
          <w:rFonts w:ascii="宋体" w:hAnsi="宋体" w:cs="宋体" w:eastAsia="宋体" w:hint="default"/>
        </w:rPr>
      </w:pPr>
      <w:r>
        <w:rPr/>
        <w:t>其中本期坏账准备转回或收回金额重要的：</w:t>
      </w:r>
      <w:r>
        <w:rPr>
          <w:rFonts w:ascii="宋体" w:hAnsi="宋体" w:cs="宋体" w:eastAsia="宋体" w:hint="default"/>
        </w:rPr>
        <w:t> </w:t>
      </w:r>
    </w:p>
    <w:p>
      <w:pPr>
        <w:pStyle w:val="Heading3"/>
        <w:spacing w:line="313" w:lineRule="exact"/>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40" w:lineRule="auto" w:before="61"/>
        <w:ind w:left="136"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2"/>
        </w:rPr>
        <w:t> </w:t>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2"/>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left="136" w:right="0"/>
        <w:jc w:val="left"/>
        <w:rPr>
          <w:rFonts w:ascii="宋体" w:hAnsi="宋体" w:cs="宋体" w:eastAsia="宋体" w:hint="default"/>
        </w:rPr>
      </w:pPr>
      <w:r>
        <w:rPr>
          <w:rFonts w:ascii="宋体"/>
        </w:rPr>
        <w:t> </w:t>
      </w:r>
    </w:p>
    <w:p>
      <w:pPr>
        <w:pStyle w:val="Heading5"/>
        <w:spacing w:line="240" w:lineRule="auto" w:before="61"/>
        <w:ind w:left="136"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5"/>
        </w:rPr>
        <w:t> </w:t>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74"/>
        <w:ind w:right="0"/>
        <w:jc w:val="lef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type w:val="continuous"/>
          <w:pgSz w:w="11910" w:h="16840"/>
          <w:pgMar w:top="1120" w:bottom="1380" w:left="1140" w:right="1560"/>
          <w:cols w:num="2" w:equalWidth="0">
            <w:col w:w="5409" w:space="1113"/>
            <w:col w:w="268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800"/>
        <w:gridCol w:w="1184"/>
        <w:gridCol w:w="1603"/>
        <w:gridCol w:w="1505"/>
        <w:gridCol w:w="1260"/>
        <w:gridCol w:w="1544"/>
      </w:tblGrid>
      <w:tr>
        <w:trPr>
          <w:trHeight w:val="1099"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441" w:right="202" w:hanging="315"/>
              <w:jc w:val="left"/>
              <w:rPr>
                <w:rFonts w:ascii="宋体" w:hAnsi="宋体" w:cs="宋体" w:eastAsia="宋体" w:hint="default"/>
                <w:sz w:val="21"/>
                <w:szCs w:val="21"/>
              </w:rPr>
            </w:pPr>
            <w:r>
              <w:rPr>
                <w:rFonts w:ascii="宋体" w:hAnsi="宋体" w:cs="宋体" w:eastAsia="宋体" w:hint="default"/>
                <w:sz w:val="21"/>
                <w:szCs w:val="21"/>
              </w:rPr>
              <w:t>款项的性</w:t>
            </w:r>
            <w:r>
              <w:rPr>
                <w:rFonts w:ascii="宋体" w:hAnsi="宋体" w:cs="宋体" w:eastAsia="宋体" w:hint="default"/>
                <w:w w:val="100"/>
                <w:sz w:val="21"/>
                <w:szCs w:val="21"/>
              </w:rPr>
              <w:t> </w:t>
            </w:r>
            <w:r>
              <w:rPr>
                <w:rFonts w:ascii="宋体" w:hAnsi="宋体" w:cs="宋体" w:eastAsia="宋体" w:hint="default"/>
                <w:sz w:val="21"/>
                <w:szCs w:val="21"/>
              </w:rPr>
              <w:t>质</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01"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占其他应收</w:t>
            </w:r>
          </w:p>
          <w:p>
            <w:pPr>
              <w:pStyle w:val="TableParagraph"/>
              <w:spacing w:line="272" w:lineRule="exact" w:before="27"/>
              <w:ind w:left="98" w:right="96"/>
              <w:jc w:val="center"/>
              <w:rPr>
                <w:rFonts w:ascii="宋体" w:hAnsi="宋体" w:cs="宋体" w:eastAsia="宋体" w:hint="default"/>
                <w:sz w:val="21"/>
                <w:szCs w:val="21"/>
              </w:rPr>
            </w:pPr>
            <w:r>
              <w:rPr>
                <w:rFonts w:ascii="宋体" w:hAnsi="宋体" w:cs="宋体" w:eastAsia="宋体" w:hint="default"/>
                <w:sz w:val="21"/>
                <w:szCs w:val="21"/>
              </w:rPr>
              <w:t>款期末余额</w:t>
            </w:r>
            <w:r>
              <w:rPr>
                <w:rFonts w:ascii="宋体" w:hAnsi="宋体" w:cs="宋体" w:eastAsia="宋体" w:hint="default"/>
                <w:w w:val="100"/>
                <w:sz w:val="21"/>
                <w:szCs w:val="21"/>
              </w:rPr>
              <w:t> </w:t>
            </w:r>
            <w:r>
              <w:rPr>
                <w:rFonts w:ascii="宋体" w:hAnsi="宋体" w:cs="宋体" w:eastAsia="宋体" w:hint="default"/>
                <w:sz w:val="21"/>
                <w:szCs w:val="21"/>
              </w:rPr>
              <w:t>合计数的比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45" w:right="24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上海博辕信息技</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术服务有限公司</w:t>
            </w:r>
            <w:r>
              <w:rPr>
                <w:rFonts w:ascii="宋体" w:hAnsi="宋体" w:cs="宋体" w:eastAsia="宋体" w:hint="default"/>
                <w:sz w:val="21"/>
                <w:szCs w:val="21"/>
              </w:rPr>
              <w:t> </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3"/>
              <w:jc w:val="right"/>
              <w:rPr>
                <w:rFonts w:ascii="宋体" w:hAnsi="宋体" w:cs="宋体" w:eastAsia="宋体" w:hint="default"/>
                <w:sz w:val="21"/>
                <w:szCs w:val="21"/>
              </w:rPr>
            </w:pPr>
            <w:r>
              <w:rPr>
                <w:rFonts w:ascii="宋体"/>
                <w:spacing w:val="-1"/>
                <w:sz w:val="21"/>
              </w:rPr>
              <w:t>168,356,519.45</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4"/>
              <w:jc w:val="right"/>
              <w:rPr>
                <w:rFonts w:ascii="宋体" w:hAnsi="宋体" w:cs="宋体" w:eastAsia="宋体" w:hint="default"/>
                <w:sz w:val="21"/>
                <w:szCs w:val="21"/>
              </w:rPr>
            </w:pPr>
            <w:r>
              <w:rPr>
                <w:rFonts w:ascii="宋体"/>
                <w:sz w:val="21"/>
              </w:rPr>
              <w:t>20.06</w:t>
            </w:r>
          </w:p>
        </w:tc>
        <w:tc>
          <w:tcPr>
            <w:tcW w:w="1544"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泰豪科技</w:t>
            </w:r>
            <w:r>
              <w:rPr>
                <w:rFonts w:ascii="宋体" w:hAnsi="宋体" w:cs="宋体" w:eastAsia="宋体" w:hint="default"/>
                <w:sz w:val="21"/>
                <w:szCs w:val="21"/>
              </w:rPr>
              <w:t>(</w:t>
            </w:r>
            <w:r>
              <w:rPr>
                <w:rFonts w:ascii="宋体" w:hAnsi="宋体" w:cs="宋体" w:eastAsia="宋体" w:hint="default"/>
                <w:sz w:val="21"/>
                <w:szCs w:val="21"/>
              </w:rPr>
              <w:t>深圳</w:t>
            </w:r>
            <w:r>
              <w:rPr>
                <w:rFonts w:ascii="宋体" w:hAnsi="宋体" w:cs="宋体" w:eastAsia="宋体" w:hint="default"/>
                <w:sz w:val="21"/>
                <w:szCs w:val="21"/>
              </w:rPr>
              <w:t>)</w:t>
            </w:r>
          </w:p>
          <w:p>
            <w:pPr>
              <w:pStyle w:val="TableParagraph"/>
              <w:spacing w:line="272" w:lineRule="exact" w:before="27"/>
              <w:ind w:left="26" w:right="288"/>
              <w:jc w:val="left"/>
              <w:rPr>
                <w:rFonts w:ascii="宋体" w:hAnsi="宋体" w:cs="宋体" w:eastAsia="宋体" w:hint="default"/>
                <w:sz w:val="21"/>
                <w:szCs w:val="21"/>
              </w:rPr>
            </w:pPr>
            <w:r>
              <w:rPr>
                <w:rFonts w:ascii="宋体" w:hAnsi="宋体" w:cs="宋体" w:eastAsia="宋体" w:hint="default"/>
                <w:sz w:val="21"/>
                <w:szCs w:val="21"/>
              </w:rPr>
              <w:t>电力技术有限公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70,304,829.60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21"/>
                <w:szCs w:val="21"/>
              </w:rPr>
            </w:pPr>
            <w:r>
              <w:rPr>
                <w:rFonts w:ascii="宋体"/>
                <w:sz w:val="21"/>
              </w:rPr>
              <w:t>8.38</w:t>
            </w:r>
          </w:p>
        </w:tc>
        <w:tc>
          <w:tcPr>
            <w:tcW w:w="1544"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 w:right="288"/>
              <w:jc w:val="left"/>
              <w:rPr>
                <w:rFonts w:ascii="宋体" w:hAnsi="宋体" w:cs="宋体" w:eastAsia="宋体" w:hint="default"/>
                <w:sz w:val="21"/>
                <w:szCs w:val="21"/>
              </w:rPr>
            </w:pPr>
            <w:r>
              <w:rPr>
                <w:rFonts w:ascii="宋体" w:hAnsi="宋体" w:cs="宋体" w:eastAsia="宋体" w:hint="default"/>
                <w:sz w:val="21"/>
                <w:szCs w:val="21"/>
              </w:rPr>
              <w:t>江西泰豪特种电</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机有限公司</w:t>
            </w:r>
            <w:r>
              <w:rPr>
                <w:rFonts w:ascii="宋体" w:hAnsi="宋体" w:cs="宋体" w:eastAsia="宋体" w:hint="default"/>
                <w:sz w:val="21"/>
                <w:szCs w:val="21"/>
              </w:rPr>
              <w:t> </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3"/>
              <w:jc w:val="right"/>
              <w:rPr>
                <w:rFonts w:ascii="宋体" w:hAnsi="宋体" w:cs="宋体" w:eastAsia="宋体" w:hint="default"/>
                <w:sz w:val="21"/>
                <w:szCs w:val="21"/>
              </w:rPr>
            </w:pPr>
            <w:r>
              <w:rPr>
                <w:rFonts w:ascii="宋体"/>
                <w:spacing w:val="-1"/>
                <w:sz w:val="21"/>
              </w:rPr>
              <w:t>69,646,834.72</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z w:val="21"/>
                <w:szCs w:val="21"/>
              </w:rPr>
              <w:t>年</w:t>
            </w:r>
          </w:p>
          <w:p>
            <w:pPr>
              <w:pStyle w:val="TableParagraph"/>
              <w:spacing w:line="272" w:lineRule="exact"/>
              <w:ind w:left="26" w:right="0"/>
              <w:jc w:val="left"/>
              <w:rPr>
                <w:rFonts w:ascii="宋体" w:hAnsi="宋体" w:cs="宋体" w:eastAsia="宋体" w:hint="default"/>
                <w:sz w:val="21"/>
                <w:szCs w:val="21"/>
              </w:rPr>
            </w:pPr>
            <w:r>
              <w:rPr>
                <w:rFonts w:ascii="宋体"/>
                <w:sz w:val="21"/>
              </w:rPr>
              <w:t>636,700.00</w:t>
            </w:r>
          </w:p>
          <w:p>
            <w:pPr>
              <w:pStyle w:val="TableParagraph"/>
              <w:spacing w:line="272" w:lineRule="exact" w:before="27"/>
              <w:ind w:left="26" w:right="99"/>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3-4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102"/>
                <w:sz w:val="21"/>
                <w:szCs w:val="21"/>
              </w:rPr>
              <w:t> </w:t>
            </w:r>
            <w:r>
              <w:rPr>
                <w:rFonts w:ascii="宋体" w:hAnsi="宋体" w:cs="宋体" w:eastAsia="宋体" w:hint="default"/>
                <w:sz w:val="21"/>
                <w:szCs w:val="21"/>
              </w:rPr>
              <w:t>69,010,134.72</w:t>
            </w:r>
          </w:p>
          <w:p>
            <w:pPr>
              <w:pStyle w:val="TableParagraph"/>
              <w:spacing w:line="249"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4"/>
              <w:jc w:val="right"/>
              <w:rPr>
                <w:rFonts w:ascii="宋体" w:hAnsi="宋体" w:cs="宋体" w:eastAsia="宋体" w:hint="default"/>
                <w:sz w:val="21"/>
                <w:szCs w:val="21"/>
              </w:rPr>
            </w:pPr>
            <w:r>
              <w:rPr>
                <w:rFonts w:ascii="宋体"/>
                <w:sz w:val="21"/>
              </w:rPr>
              <w:t>8.30</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53,480,600.87</w:t>
            </w:r>
          </w:p>
        </w:tc>
      </w:tr>
      <w:tr>
        <w:trPr>
          <w:trHeight w:val="55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江西泰豪电力电</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气有限公司</w:t>
            </w:r>
            <w:r>
              <w:rPr>
                <w:rFonts w:ascii="宋体" w:hAnsi="宋体" w:cs="宋体" w:eastAsia="宋体" w:hint="default"/>
                <w:sz w:val="21"/>
                <w:szCs w:val="21"/>
              </w:rPr>
              <w:t> </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51,510,000.00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z w:val="21"/>
              </w:rPr>
              <w:t>6.14</w:t>
            </w:r>
          </w:p>
        </w:tc>
        <w:tc>
          <w:tcPr>
            <w:tcW w:w="1544"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上海泰豪迈能能</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源科技有限公司</w:t>
            </w:r>
            <w:r>
              <w:rPr>
                <w:rFonts w:ascii="宋体" w:hAnsi="宋体" w:cs="宋体" w:eastAsia="宋体" w:hint="default"/>
                <w:sz w:val="21"/>
                <w:szCs w:val="21"/>
              </w:rPr>
              <w:t> </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3"/>
              <w:jc w:val="right"/>
              <w:rPr>
                <w:rFonts w:ascii="宋体" w:hAnsi="宋体" w:cs="宋体" w:eastAsia="宋体" w:hint="default"/>
                <w:sz w:val="21"/>
                <w:szCs w:val="21"/>
              </w:rPr>
            </w:pPr>
            <w:r>
              <w:rPr>
                <w:rFonts w:ascii="宋体"/>
                <w:spacing w:val="-1"/>
                <w:sz w:val="21"/>
              </w:rPr>
              <w:t>50,261,941.80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4"/>
              <w:jc w:val="right"/>
              <w:rPr>
                <w:rFonts w:ascii="宋体" w:hAnsi="宋体" w:cs="宋体" w:eastAsia="宋体" w:hint="default"/>
                <w:sz w:val="21"/>
                <w:szCs w:val="21"/>
              </w:rPr>
            </w:pPr>
            <w:r>
              <w:rPr>
                <w:rFonts w:ascii="宋体"/>
                <w:sz w:val="21"/>
              </w:rPr>
              <w:t>5.99</w:t>
            </w:r>
          </w:p>
        </w:tc>
        <w:tc>
          <w:tcPr>
            <w:tcW w:w="15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5" w:right="0"/>
              <w:jc w:val="center"/>
              <w:rPr>
                <w:rFonts w:ascii="宋体" w:hAnsi="宋体" w:cs="宋体" w:eastAsia="宋体" w:hint="default"/>
                <w:sz w:val="21"/>
                <w:szCs w:val="21"/>
              </w:rPr>
            </w:pPr>
            <w:r>
              <w:rPr>
                <w:rFonts w:ascii="宋体"/>
                <w:sz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410,080,125.57</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2"/>
              <w:jc w:val="center"/>
              <w:rPr>
                <w:rFonts w:ascii="宋体" w:hAnsi="宋体" w:cs="宋体" w:eastAsia="宋体" w:hint="default"/>
                <w:sz w:val="21"/>
                <w:szCs w:val="21"/>
              </w:rPr>
            </w:pPr>
            <w:r>
              <w:rPr>
                <w:rFonts w:ascii="宋体"/>
                <w:w w:val="100"/>
                <w:sz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z w:val="21"/>
              </w:rPr>
              <w:t>48.87</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53,480,600.87</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140" w:right="1560"/>
        </w:sectPr>
      </w:pPr>
    </w:p>
    <w:p>
      <w:pPr>
        <w:pStyle w:val="Heading3"/>
        <w:spacing w:line="240" w:lineRule="auto" w:before="26"/>
        <w:ind w:left="136" w:right="0"/>
        <w:jc w:val="left"/>
        <w:rPr>
          <w:rFonts w:ascii="宋体" w:hAnsi="宋体" w:cs="宋体" w:eastAsia="宋体" w:hint="default"/>
        </w:rPr>
      </w:pPr>
      <w:r>
        <w:rPr>
          <w:rFonts w:ascii="宋体"/>
        </w:rPr>
        <w:t> </w:t>
      </w:r>
    </w:p>
    <w:p>
      <w:pPr>
        <w:pStyle w:val="Heading5"/>
        <w:spacing w:line="240" w:lineRule="auto" w:before="61"/>
        <w:ind w:left="136"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2"/>
        </w:rPr>
        <w:t> </w:t>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Heading3"/>
        <w:spacing w:line="312" w:lineRule="exact" w:before="52"/>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2" w:lineRule="exact"/>
        <w:ind w:left="136" w:right="0"/>
        <w:jc w:val="left"/>
        <w:rPr>
          <w:rFonts w:ascii="宋体" w:hAnsi="宋体" w:cs="宋体" w:eastAsia="宋体" w:hint="default"/>
        </w:rPr>
      </w:pPr>
      <w:r>
        <w:rPr>
          <w:rFonts w:ascii="宋体"/>
        </w:rPr>
        <w:t> </w:t>
      </w:r>
    </w:p>
    <w:p>
      <w:pPr>
        <w:pStyle w:val="Heading5"/>
        <w:spacing w:line="240" w:lineRule="auto"/>
        <w:ind w:left="136" w:right="0"/>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4"/>
        </w:rPr>
        <w:t> </w:t>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Heading3"/>
        <w:spacing w:line="312" w:lineRule="exact" w:before="52"/>
        <w:ind w:left="1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2" w:lineRule="exact"/>
        <w:ind w:left="136" w:right="0"/>
        <w:jc w:val="left"/>
        <w:rPr>
          <w:rFonts w:ascii="宋体" w:hAnsi="宋体" w:cs="宋体" w:eastAsia="宋体" w:hint="default"/>
        </w:rPr>
      </w:pPr>
      <w:r>
        <w:rPr>
          <w:rFonts w:ascii="宋体"/>
        </w:rPr>
        <w:t> </w:t>
      </w:r>
    </w:p>
    <w:p>
      <w:pPr>
        <w:pStyle w:val="Heading5"/>
        <w:spacing w:line="240" w:lineRule="auto"/>
        <w:ind w:left="136" w:right="0"/>
        <w:jc w:val="left"/>
        <w:rPr>
          <w:rFonts w:ascii="宋体" w:hAnsi="宋体" w:cs="宋体" w:eastAsia="宋体" w:hint="default"/>
          <w:b w:val="0"/>
          <w:bCs w:val="0"/>
        </w:rPr>
      </w:pPr>
      <w:r>
        <w:rPr>
          <w:rFonts w:ascii="宋体" w:hAnsi="宋体" w:cs="宋体" w:eastAsia="宋体" w:hint="default"/>
        </w:rPr>
        <w:t>(9).</w:t>
      </w:r>
      <w:r>
        <w:rPr>
          <w:rFonts w:ascii="宋体" w:hAnsi="宋体" w:cs="宋体" w:eastAsia="宋体" w:hint="default"/>
          <w:spacing w:val="-5"/>
        </w:rPr>
        <w:t> </w:t>
      </w:r>
      <w:r>
        <w:rPr/>
        <w:t>转移其他应收款且继续涉入形成的资产、负债金额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left="1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2" w:lineRule="exact" w:before="29"/>
        <w:ind w:left="136" w:right="0"/>
        <w:jc w:val="left"/>
        <w:rPr>
          <w:rFonts w:ascii="宋体" w:hAnsi="宋体" w:cs="宋体" w:eastAsia="宋体" w:hint="default"/>
        </w:rPr>
      </w:pPr>
      <w:r>
        <w:rPr>
          <w:rFonts w:ascii="宋体" w:hAnsi="宋体" w:cs="宋体" w:eastAsia="宋体" w:hint="default"/>
        </w:rPr>
        <w:t>  </w:t>
      </w:r>
      <w:r>
        <w:rPr/>
        <w:t>其他说明</w:t>
      </w:r>
      <w:r>
        <w:rPr>
          <w:spacing w:val="-1"/>
        </w:rPr>
        <w:t>：</w:t>
      </w:r>
      <w:r>
        <w:rPr>
          <w:rFonts w:ascii="宋体" w:hAnsi="宋体" w:cs="宋体" w:eastAsia="宋体" w:hint="default"/>
        </w:rPr>
        <w:t> </w:t>
      </w:r>
    </w:p>
    <w:p>
      <w:pPr>
        <w:pStyle w:val="Heading3"/>
        <w:spacing w:line="280" w:lineRule="exact"/>
        <w:ind w:left="1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left="136" w:right="0"/>
        <w:jc w:val="left"/>
        <w:rPr>
          <w:rFonts w:ascii="宋体" w:hAnsi="宋体" w:cs="宋体" w:eastAsia="宋体" w:hint="default"/>
        </w:rPr>
      </w:pPr>
      <w:r>
        <w:rPr>
          <w:rFonts w:ascii="宋体"/>
        </w:rPr>
        <w:t> </w:t>
      </w:r>
    </w:p>
    <w:p>
      <w:pPr>
        <w:pStyle w:val="Heading5"/>
        <w:spacing w:line="240" w:lineRule="auto"/>
        <w:ind w:left="136" w:right="0"/>
        <w:jc w:val="left"/>
        <w:rPr>
          <w:rFonts w:ascii="宋体" w:hAnsi="宋体" w:cs="宋体" w:eastAsia="宋体" w:hint="default"/>
          <w:b w:val="0"/>
          <w:bCs w:val="0"/>
        </w:rPr>
      </w:pPr>
      <w:r>
        <w:rPr>
          <w:rFonts w:ascii="宋体" w:hAnsi="宋体" w:cs="宋体" w:eastAsia="宋体" w:hint="default"/>
        </w:rPr>
        <w:t>3</w:t>
      </w:r>
      <w:r>
        <w:rPr/>
        <w:t>、</w:t>
      </w:r>
      <w:r>
        <w:rPr>
          <w:spacing w:val="-4"/>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560"/>
          <w:cols w:num="2" w:equalWidth="0">
            <w:col w:w="5409" w:space="1113"/>
            <w:col w:w="2688"/>
          </w:cols>
        </w:sectPr>
      </w:pPr>
    </w:p>
    <w:p>
      <w:pPr>
        <w:spacing w:line="240" w:lineRule="auto" w:before="0"/>
        <w:rPr>
          <w:rFonts w:ascii="宋体" w:hAnsi="宋体" w:cs="宋体" w:eastAsia="宋体" w:hint="default"/>
          <w:sz w:val="24"/>
          <w:szCs w:val="24"/>
        </w:rPr>
      </w:pPr>
    </w:p>
    <w:tbl>
      <w:tblPr>
        <w:tblW w:w="0" w:type="auto"/>
        <w:jc w:val="left"/>
        <w:tblInd w:w="180" w:type="dxa"/>
        <w:tblLayout w:type="fixed"/>
        <w:tblCellMar>
          <w:top w:w="0" w:type="dxa"/>
          <w:left w:w="0" w:type="dxa"/>
          <w:bottom w:w="0" w:type="dxa"/>
          <w:right w:w="0" w:type="dxa"/>
        </w:tblCellMar>
        <w:tblLook w:val="01E0"/>
      </w:tblPr>
      <w:tblGrid>
        <w:gridCol w:w="1800"/>
        <w:gridCol w:w="1462"/>
        <w:gridCol w:w="617"/>
        <w:gridCol w:w="1464"/>
        <w:gridCol w:w="1462"/>
        <w:gridCol w:w="629"/>
        <w:gridCol w:w="1462"/>
      </w:tblGrid>
      <w:tr>
        <w:trPr>
          <w:trHeight w:val="283" w:hRule="exact"/>
        </w:trPr>
        <w:tc>
          <w:tcPr>
            <w:tcW w:w="180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84"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5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5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5" w:hRule="exact"/>
        </w:trPr>
        <w:tc>
          <w:tcPr>
            <w:tcW w:w="1800" w:type="dxa"/>
            <w:vMerge/>
            <w:tcBorders>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04"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3" w:right="-13"/>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93" w:right="-13"/>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04"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02"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8" w:right="-5"/>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98" w:right="-5"/>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281"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6"/>
              <w:jc w:val="right"/>
              <w:rPr>
                <w:rFonts w:ascii="Times New Roman" w:hAnsi="Times New Roman" w:cs="Times New Roman" w:eastAsia="Times New Roman" w:hint="default"/>
                <w:sz w:val="20"/>
                <w:szCs w:val="20"/>
              </w:rPr>
            </w:pPr>
            <w:r>
              <w:rPr>
                <w:rFonts w:ascii="Times New Roman"/>
                <w:spacing w:val="-1"/>
                <w:sz w:val="20"/>
              </w:rPr>
              <w:t>3,038,930,911.27</w:t>
            </w:r>
          </w:p>
        </w:tc>
        <w:tc>
          <w:tcPr>
            <w:tcW w:w="61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8"/>
              <w:jc w:val="right"/>
              <w:rPr>
                <w:rFonts w:ascii="Times New Roman" w:hAnsi="Times New Roman" w:cs="Times New Roman" w:eastAsia="Times New Roman" w:hint="default"/>
                <w:sz w:val="20"/>
                <w:szCs w:val="20"/>
              </w:rPr>
            </w:pPr>
            <w:r>
              <w:rPr>
                <w:rFonts w:ascii="Times New Roman"/>
                <w:spacing w:val="-1"/>
                <w:sz w:val="20"/>
              </w:rPr>
              <w:t>3,038,930,911.27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7"/>
              <w:jc w:val="right"/>
              <w:rPr>
                <w:rFonts w:ascii="Times New Roman" w:hAnsi="Times New Roman" w:cs="Times New Roman" w:eastAsia="Times New Roman" w:hint="default"/>
                <w:sz w:val="20"/>
                <w:szCs w:val="20"/>
              </w:rPr>
            </w:pPr>
            <w:r>
              <w:rPr>
                <w:rFonts w:ascii="Times New Roman"/>
                <w:spacing w:val="-1"/>
                <w:sz w:val="20"/>
              </w:rPr>
              <w:t>2,957,402,034.87</w:t>
            </w:r>
          </w:p>
        </w:tc>
        <w:tc>
          <w:tcPr>
            <w:tcW w:w="62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2,957,402,034.87</w:t>
            </w:r>
          </w:p>
        </w:tc>
      </w:tr>
      <w:tr>
        <w:trPr>
          <w:trHeight w:val="557"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6"/>
                <w:sz w:val="21"/>
                <w:szCs w:val="21"/>
              </w:rPr>
              <w:t>对联营、合营企业</w:t>
            </w:r>
            <w:r>
              <w:rPr>
                <w:rFonts w:ascii="宋体" w:hAnsi="宋体" w:cs="宋体" w:eastAsia="宋体" w:hint="default"/>
                <w:sz w:val="21"/>
                <w:szCs w:val="21"/>
              </w:rPr>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5"/>
              <w:jc w:val="right"/>
              <w:rPr>
                <w:rFonts w:ascii="Times New Roman" w:hAnsi="Times New Roman" w:cs="Times New Roman" w:eastAsia="Times New Roman" w:hint="default"/>
                <w:sz w:val="20"/>
                <w:szCs w:val="20"/>
              </w:rPr>
            </w:pPr>
            <w:r>
              <w:rPr>
                <w:rFonts w:ascii="Times New Roman"/>
                <w:w w:val="95"/>
                <w:sz w:val="20"/>
              </w:rPr>
              <w:t>175,479,721.62</w:t>
            </w:r>
            <w:r>
              <w:rPr>
                <w:rFonts w:ascii="Times New Roman"/>
                <w:sz w:val="20"/>
              </w:rPr>
            </w:r>
          </w:p>
        </w:tc>
        <w:tc>
          <w:tcPr>
            <w:tcW w:w="61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8"/>
              <w:jc w:val="right"/>
              <w:rPr>
                <w:rFonts w:ascii="Times New Roman" w:hAnsi="Times New Roman" w:cs="Times New Roman" w:eastAsia="Times New Roman" w:hint="default"/>
                <w:sz w:val="20"/>
                <w:szCs w:val="20"/>
              </w:rPr>
            </w:pPr>
            <w:r>
              <w:rPr>
                <w:rFonts w:ascii="Times New Roman"/>
                <w:w w:val="95"/>
                <w:sz w:val="20"/>
              </w:rPr>
              <w:t>175,479,721.62</w:t>
            </w:r>
            <w:r>
              <w:rPr>
                <w:rFonts w:ascii="Times New Roman"/>
                <w:sz w:val="20"/>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7"/>
              <w:jc w:val="right"/>
              <w:rPr>
                <w:rFonts w:ascii="Times New Roman" w:hAnsi="Times New Roman" w:cs="Times New Roman" w:eastAsia="Times New Roman" w:hint="default"/>
                <w:sz w:val="20"/>
                <w:szCs w:val="20"/>
              </w:rPr>
            </w:pPr>
            <w:r>
              <w:rPr>
                <w:rFonts w:ascii="Times New Roman"/>
                <w:w w:val="95"/>
                <w:sz w:val="20"/>
              </w:rPr>
              <w:t>221,229,178.29</w:t>
            </w:r>
            <w:r>
              <w:rPr>
                <w:rFonts w:ascii="Times New Roman"/>
                <w:sz w:val="20"/>
              </w:rPr>
            </w:r>
          </w:p>
        </w:tc>
        <w:tc>
          <w:tcPr>
            <w:tcW w:w="62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47" w:right="0"/>
              <w:jc w:val="center"/>
              <w:rPr>
                <w:rFonts w:ascii="Times New Roman" w:hAnsi="Times New Roman" w:cs="Times New Roman" w:eastAsia="Times New Roman" w:hint="default"/>
                <w:sz w:val="20"/>
                <w:szCs w:val="20"/>
              </w:rPr>
            </w:pPr>
            <w:r>
              <w:rPr>
                <w:rFonts w:ascii="Times New Roman"/>
                <w:sz w:val="20"/>
              </w:rPr>
              <w:t>221,229,178.29</w:t>
            </w:r>
          </w:p>
        </w:tc>
      </w:tr>
      <w:tr>
        <w:trPr>
          <w:trHeight w:val="281"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4"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6"/>
              <w:jc w:val="right"/>
              <w:rPr>
                <w:rFonts w:ascii="Times New Roman" w:hAnsi="Times New Roman" w:cs="Times New Roman" w:eastAsia="Times New Roman" w:hint="default"/>
                <w:sz w:val="20"/>
                <w:szCs w:val="20"/>
              </w:rPr>
            </w:pPr>
            <w:r>
              <w:rPr>
                <w:rFonts w:ascii="Times New Roman"/>
                <w:spacing w:val="-1"/>
                <w:sz w:val="20"/>
              </w:rPr>
              <w:t>3,214,410,632.89</w:t>
            </w:r>
          </w:p>
        </w:tc>
        <w:tc>
          <w:tcPr>
            <w:tcW w:w="61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8"/>
              <w:jc w:val="right"/>
              <w:rPr>
                <w:rFonts w:ascii="Times New Roman" w:hAnsi="Times New Roman" w:cs="Times New Roman" w:eastAsia="Times New Roman" w:hint="default"/>
                <w:sz w:val="20"/>
                <w:szCs w:val="20"/>
              </w:rPr>
            </w:pPr>
            <w:r>
              <w:rPr>
                <w:rFonts w:ascii="Times New Roman"/>
                <w:spacing w:val="-1"/>
                <w:sz w:val="20"/>
              </w:rPr>
              <w:t>3,214,410,632.89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7"/>
              <w:jc w:val="right"/>
              <w:rPr>
                <w:rFonts w:ascii="Times New Roman" w:hAnsi="Times New Roman" w:cs="Times New Roman" w:eastAsia="Times New Roman" w:hint="default"/>
                <w:sz w:val="20"/>
                <w:szCs w:val="20"/>
              </w:rPr>
            </w:pPr>
            <w:r>
              <w:rPr>
                <w:rFonts w:ascii="Times New Roman"/>
                <w:spacing w:val="-1"/>
                <w:sz w:val="20"/>
              </w:rPr>
              <w:t>3,178,631,213.16</w:t>
            </w:r>
          </w:p>
        </w:tc>
        <w:tc>
          <w:tcPr>
            <w:tcW w:w="62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0"/>
                <w:szCs w:val="20"/>
              </w:rPr>
            </w:pPr>
            <w:r>
              <w:rPr>
                <w:rFonts w:ascii="Times New Roman"/>
                <w:sz w:val="20"/>
              </w:rPr>
              <w:t>3,178,631,213.16</w:t>
            </w:r>
          </w:p>
        </w:tc>
      </w:tr>
    </w:tbl>
    <w:p>
      <w:pPr>
        <w:spacing w:after="0" w:line="240" w:lineRule="auto"/>
        <w:jc w:val="center"/>
        <w:rPr>
          <w:rFonts w:ascii="Times New Roman" w:hAnsi="Times New Roman" w:cs="Times New Roman" w:eastAsia="Times New Roman" w:hint="default"/>
          <w:sz w:val="20"/>
          <w:szCs w:val="20"/>
        </w:rPr>
        <w:sectPr>
          <w:footerReference w:type="default" r:id="rId86"/>
          <w:pgSz w:w="11910" w:h="16840"/>
          <w:pgMar w:footer="1195" w:header="882" w:top="1120" w:bottom="1380" w:left="1060" w:right="1560"/>
        </w:sectPr>
      </w:pPr>
    </w:p>
    <w:p>
      <w:pPr>
        <w:pStyle w:val="Heading3"/>
        <w:spacing w:line="274" w:lineRule="exact"/>
        <w:ind w:right="0"/>
        <w:jc w:val="left"/>
        <w:rPr>
          <w:rFonts w:ascii="宋体" w:hAnsi="宋体" w:cs="宋体" w:eastAsia="宋体" w:hint="default"/>
        </w:rPr>
      </w:pPr>
      <w:r>
        <w:rPr>
          <w:rFonts w:ascii="宋体"/>
        </w:rPr>
        <w:t> </w:t>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对子公司投资</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258" w:space="4264"/>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601"/>
        <w:gridCol w:w="1477"/>
        <w:gridCol w:w="1250"/>
        <w:gridCol w:w="1253"/>
        <w:gridCol w:w="1476"/>
        <w:gridCol w:w="997"/>
        <w:gridCol w:w="996"/>
      </w:tblGrid>
      <w:tr>
        <w:trPr>
          <w:trHeight w:val="475"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90" w:right="0"/>
              <w:jc w:val="center"/>
              <w:rPr>
                <w:rFonts w:ascii="宋体" w:hAnsi="宋体" w:cs="宋体" w:eastAsia="宋体" w:hint="default"/>
                <w:sz w:val="18"/>
                <w:szCs w:val="18"/>
              </w:rPr>
            </w:pPr>
            <w:r>
              <w:rPr>
                <w:rFonts w:ascii="宋体" w:hAnsi="宋体" w:cs="宋体" w:eastAsia="宋体" w:hint="default"/>
                <w:sz w:val="18"/>
                <w:szCs w:val="18"/>
              </w:rPr>
              <w:t>被投资单位</w:t>
            </w:r>
            <w:r>
              <w:rPr>
                <w:rFonts w:ascii="宋体" w:hAnsi="宋体" w:cs="宋体" w:eastAsia="宋体" w:hint="default"/>
                <w:sz w:val="18"/>
                <w:szCs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71"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69"/>
              <w:jc w:val="righ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73"/>
              <w:jc w:val="righ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2"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hAnsi="宋体" w:cs="宋体" w:eastAsia="宋体" w:hint="default"/>
                <w:sz w:val="18"/>
                <w:szCs w:val="18"/>
              </w:rPr>
              <w:t>本期计提</w:t>
            </w:r>
          </w:p>
          <w:p>
            <w:pPr>
              <w:pStyle w:val="TableParagraph"/>
              <w:spacing w:line="234" w:lineRule="exact"/>
              <w:ind w:left="129" w:right="0"/>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z w:val="18"/>
                <w:szCs w:val="18"/>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1" w:right="0"/>
              <w:jc w:val="left"/>
              <w:rPr>
                <w:rFonts w:ascii="宋体" w:hAnsi="宋体" w:cs="宋体" w:eastAsia="宋体" w:hint="default"/>
                <w:sz w:val="18"/>
                <w:szCs w:val="18"/>
              </w:rPr>
            </w:pPr>
            <w:r>
              <w:rPr>
                <w:rFonts w:ascii="宋体" w:hAnsi="宋体" w:cs="宋体" w:eastAsia="宋体" w:hint="default"/>
                <w:sz w:val="18"/>
                <w:szCs w:val="18"/>
              </w:rPr>
              <w:t>减值准备</w:t>
            </w:r>
          </w:p>
          <w:p>
            <w:pPr>
              <w:pStyle w:val="TableParagraph"/>
              <w:spacing w:line="234" w:lineRule="exact"/>
              <w:ind w:left="131"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47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江西泰豪军工集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团有限公司</w:t>
            </w:r>
            <w:r>
              <w:rPr>
                <w:rFonts w:ascii="宋体" w:hAnsi="宋体" w:cs="宋体" w:eastAsia="宋体" w:hint="default"/>
                <w:sz w:val="18"/>
                <w:szCs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508,352,655.34</w:t>
            </w:r>
          </w:p>
        </w:tc>
        <w:tc>
          <w:tcPr>
            <w:tcW w:w="125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29" w:right="0"/>
              <w:jc w:val="center"/>
              <w:rPr>
                <w:rFonts w:ascii="Times New Roman" w:hAnsi="Times New Roman" w:cs="Times New Roman" w:eastAsia="Times New Roman" w:hint="default"/>
                <w:sz w:val="18"/>
                <w:szCs w:val="18"/>
              </w:rPr>
            </w:pPr>
            <w:r>
              <w:rPr>
                <w:rFonts w:ascii="Times New Roman"/>
                <w:sz w:val="18"/>
              </w:rPr>
              <w:t>508,352,655.34</w:t>
            </w:r>
          </w:p>
        </w:tc>
        <w:tc>
          <w:tcPr>
            <w:tcW w:w="99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江西泰豪电源技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术有限公司</w:t>
            </w:r>
            <w:r>
              <w:rPr>
                <w:rFonts w:ascii="宋体" w:hAnsi="宋体" w:cs="宋体" w:eastAsia="宋体" w:hint="default"/>
                <w:sz w:val="18"/>
                <w:szCs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200,000,000.00</w:t>
            </w:r>
          </w:p>
        </w:tc>
        <w:tc>
          <w:tcPr>
            <w:tcW w:w="125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29" w:right="0"/>
              <w:jc w:val="center"/>
              <w:rPr>
                <w:rFonts w:ascii="Times New Roman" w:hAnsi="Times New Roman" w:cs="Times New Roman" w:eastAsia="Times New Roman" w:hint="default"/>
                <w:sz w:val="18"/>
                <w:szCs w:val="18"/>
              </w:rPr>
            </w:pPr>
            <w:r>
              <w:rPr>
                <w:rFonts w:ascii="Times New Roman"/>
                <w:sz w:val="18"/>
              </w:rPr>
              <w:t>200,000,000.00</w:t>
            </w:r>
          </w:p>
        </w:tc>
        <w:tc>
          <w:tcPr>
            <w:tcW w:w="99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上海博辕信息技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术服务有限公司</w:t>
            </w:r>
            <w:r>
              <w:rPr>
                <w:rFonts w:ascii="宋体" w:hAnsi="宋体" w:cs="宋体" w:eastAsia="宋体" w:hint="default"/>
                <w:sz w:val="18"/>
                <w:szCs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668,732,269.53</w:t>
            </w:r>
          </w:p>
        </w:tc>
        <w:tc>
          <w:tcPr>
            <w:tcW w:w="125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29" w:right="0"/>
              <w:jc w:val="center"/>
              <w:rPr>
                <w:rFonts w:ascii="Times New Roman" w:hAnsi="Times New Roman" w:cs="Times New Roman" w:eastAsia="Times New Roman" w:hint="default"/>
                <w:sz w:val="18"/>
                <w:szCs w:val="18"/>
              </w:rPr>
            </w:pPr>
            <w:r>
              <w:rPr>
                <w:rFonts w:ascii="Times New Roman"/>
                <w:sz w:val="18"/>
              </w:rPr>
              <w:t>668,732,269.53</w:t>
            </w:r>
          </w:p>
        </w:tc>
        <w:tc>
          <w:tcPr>
            <w:tcW w:w="99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上海泰豪智能节</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能技术有限公司</w:t>
            </w:r>
            <w:r>
              <w:rPr>
                <w:rFonts w:ascii="宋体" w:hAnsi="宋体" w:cs="宋体" w:eastAsia="宋体" w:hint="default"/>
                <w:sz w:val="18"/>
                <w:szCs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149,880,000.00</w:t>
            </w:r>
          </w:p>
        </w:tc>
        <w:tc>
          <w:tcPr>
            <w:tcW w:w="125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29" w:right="0"/>
              <w:jc w:val="center"/>
              <w:rPr>
                <w:rFonts w:ascii="Times New Roman" w:hAnsi="Times New Roman" w:cs="Times New Roman" w:eastAsia="Times New Roman" w:hint="default"/>
                <w:sz w:val="18"/>
                <w:szCs w:val="18"/>
              </w:rPr>
            </w:pPr>
            <w:r>
              <w:rPr>
                <w:rFonts w:ascii="Times New Roman"/>
                <w:sz w:val="18"/>
              </w:rPr>
              <w:t>149,880,000.00</w:t>
            </w:r>
          </w:p>
        </w:tc>
        <w:tc>
          <w:tcPr>
            <w:tcW w:w="99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深圳泰豪晟大创</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业投资有限公司</w:t>
            </w:r>
            <w:r>
              <w:rPr>
                <w:rFonts w:ascii="宋体" w:hAnsi="宋体" w:cs="宋体" w:eastAsia="宋体" w:hint="default"/>
                <w:sz w:val="18"/>
                <w:szCs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125,000,000.00</w:t>
            </w:r>
          </w:p>
        </w:tc>
        <w:tc>
          <w:tcPr>
            <w:tcW w:w="125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29" w:right="0"/>
              <w:jc w:val="center"/>
              <w:rPr>
                <w:rFonts w:ascii="Times New Roman" w:hAnsi="Times New Roman" w:cs="Times New Roman" w:eastAsia="Times New Roman" w:hint="default"/>
                <w:sz w:val="18"/>
                <w:szCs w:val="18"/>
              </w:rPr>
            </w:pPr>
            <w:r>
              <w:rPr>
                <w:rFonts w:ascii="Times New Roman"/>
                <w:sz w:val="18"/>
              </w:rPr>
              <w:t>125,000,000.00</w:t>
            </w:r>
          </w:p>
        </w:tc>
        <w:tc>
          <w:tcPr>
            <w:tcW w:w="99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泰豪软件股份有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445,550,000.00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79,411,500.00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5,329,026.50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29" w:right="0"/>
              <w:jc w:val="center"/>
              <w:rPr>
                <w:rFonts w:ascii="Times New Roman" w:hAnsi="Times New Roman" w:cs="Times New Roman" w:eastAsia="Times New Roman" w:hint="default"/>
                <w:sz w:val="18"/>
                <w:szCs w:val="18"/>
              </w:rPr>
            </w:pPr>
            <w:r>
              <w:rPr>
                <w:rFonts w:ascii="Times New Roman"/>
                <w:sz w:val="18"/>
              </w:rPr>
              <w:t>519,632,473.50</w:t>
            </w:r>
          </w:p>
        </w:tc>
        <w:tc>
          <w:tcPr>
            <w:tcW w:w="99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龙岩市海德馨汽</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车有限公司</w:t>
            </w:r>
            <w:r>
              <w:rPr>
                <w:rFonts w:ascii="宋体" w:hAnsi="宋体" w:cs="宋体" w:eastAsia="宋体" w:hint="default"/>
                <w:sz w:val="18"/>
                <w:szCs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80,600,000.00</w:t>
            </w:r>
          </w:p>
        </w:tc>
        <w:tc>
          <w:tcPr>
            <w:tcW w:w="125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20" w:right="0"/>
              <w:jc w:val="center"/>
              <w:rPr>
                <w:rFonts w:ascii="Times New Roman" w:hAnsi="Times New Roman" w:cs="Times New Roman" w:eastAsia="Times New Roman" w:hint="default"/>
                <w:sz w:val="18"/>
                <w:szCs w:val="18"/>
              </w:rPr>
            </w:pPr>
            <w:r>
              <w:rPr>
                <w:rFonts w:ascii="Times New Roman"/>
                <w:sz w:val="18"/>
              </w:rPr>
              <w:t>80,600,000.00</w:t>
            </w:r>
          </w:p>
        </w:tc>
        <w:tc>
          <w:tcPr>
            <w:tcW w:w="99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泰豪国际投资有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99,737,110.00</w:t>
            </w:r>
          </w:p>
        </w:tc>
        <w:tc>
          <w:tcPr>
            <w:tcW w:w="125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0" w:right="0"/>
              <w:jc w:val="center"/>
              <w:rPr>
                <w:rFonts w:ascii="Times New Roman" w:hAnsi="Times New Roman" w:cs="Times New Roman" w:eastAsia="Times New Roman" w:hint="default"/>
                <w:sz w:val="18"/>
                <w:szCs w:val="18"/>
              </w:rPr>
            </w:pPr>
            <w:r>
              <w:rPr>
                <w:rFonts w:ascii="Times New Roman"/>
                <w:sz w:val="18"/>
              </w:rPr>
              <w:t>99,737,110.00</w:t>
            </w:r>
          </w:p>
        </w:tc>
        <w:tc>
          <w:tcPr>
            <w:tcW w:w="99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广东泰豪能源科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r>
              <w:rPr>
                <w:rFonts w:ascii="宋体" w:hAnsi="宋体" w:cs="宋体" w:eastAsia="宋体" w:hint="default"/>
                <w:sz w:val="18"/>
                <w:szCs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100,000,000.00</w:t>
            </w:r>
          </w:p>
        </w:tc>
        <w:tc>
          <w:tcPr>
            <w:tcW w:w="125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29" w:right="0"/>
              <w:jc w:val="center"/>
              <w:rPr>
                <w:rFonts w:ascii="Times New Roman" w:hAnsi="Times New Roman" w:cs="Times New Roman" w:eastAsia="Times New Roman" w:hint="default"/>
                <w:sz w:val="18"/>
                <w:szCs w:val="18"/>
              </w:rPr>
            </w:pPr>
            <w:r>
              <w:rPr>
                <w:rFonts w:ascii="Times New Roman"/>
                <w:sz w:val="18"/>
              </w:rPr>
              <w:t>100,000,000.00</w:t>
            </w:r>
          </w:p>
        </w:tc>
        <w:tc>
          <w:tcPr>
            <w:tcW w:w="99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上海泰豪迈能能</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源科技有限公司</w:t>
            </w:r>
            <w:r>
              <w:rPr>
                <w:rFonts w:ascii="宋体" w:hAnsi="宋体" w:cs="宋体" w:eastAsia="宋体" w:hint="default"/>
                <w:sz w:val="18"/>
                <w:szCs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5,000,000.00</w:t>
            </w:r>
          </w:p>
        </w:tc>
        <w:tc>
          <w:tcPr>
            <w:tcW w:w="125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spacing w:val="-1"/>
                <w:sz w:val="18"/>
              </w:rPr>
              <w:t>5,000,000.00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上海红生系统工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程有限公司</w:t>
            </w:r>
            <w:r>
              <w:rPr>
                <w:rFonts w:ascii="宋体" w:hAnsi="宋体" w:cs="宋体" w:eastAsia="宋体" w:hint="default"/>
                <w:sz w:val="18"/>
                <w:szCs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490,000,000.00</w:t>
            </w:r>
          </w:p>
        </w:tc>
        <w:tc>
          <w:tcPr>
            <w:tcW w:w="125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29" w:right="0"/>
              <w:jc w:val="center"/>
              <w:rPr>
                <w:rFonts w:ascii="Times New Roman" w:hAnsi="Times New Roman" w:cs="Times New Roman" w:eastAsia="Times New Roman" w:hint="default"/>
                <w:sz w:val="18"/>
                <w:szCs w:val="18"/>
              </w:rPr>
            </w:pPr>
            <w:r>
              <w:rPr>
                <w:rFonts w:ascii="Times New Roman"/>
                <w:sz w:val="18"/>
              </w:rPr>
              <w:t>490,000,000.00</w:t>
            </w:r>
          </w:p>
        </w:tc>
        <w:tc>
          <w:tcPr>
            <w:tcW w:w="99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江西泰豪电力电</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气有限公司</w:t>
            </w:r>
            <w:r>
              <w:rPr>
                <w:rFonts w:ascii="宋体" w:hAnsi="宋体" w:cs="宋体" w:eastAsia="宋体" w:hint="default"/>
                <w:sz w:val="18"/>
                <w:szCs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25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20" w:right="0"/>
              <w:jc w:val="center"/>
              <w:rPr>
                <w:rFonts w:ascii="Times New Roman" w:hAnsi="Times New Roman" w:cs="Times New Roman" w:eastAsia="Times New Roman" w:hint="default"/>
                <w:sz w:val="18"/>
                <w:szCs w:val="18"/>
              </w:rPr>
            </w:pPr>
            <w:r>
              <w:rPr>
                <w:rFonts w:ascii="Times New Roman"/>
                <w:sz w:val="18"/>
              </w:rPr>
              <w:t>50,000,000.00</w:t>
            </w:r>
          </w:p>
        </w:tc>
        <w:tc>
          <w:tcPr>
            <w:tcW w:w="99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泰豪国际工程有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25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20" w:right="0"/>
              <w:jc w:val="center"/>
              <w:rPr>
                <w:rFonts w:ascii="Times New Roman" w:hAnsi="Times New Roman" w:cs="Times New Roman" w:eastAsia="Times New Roman" w:hint="default"/>
                <w:sz w:val="18"/>
                <w:szCs w:val="18"/>
              </w:rPr>
            </w:pPr>
            <w:r>
              <w:rPr>
                <w:rFonts w:ascii="Times New Roman"/>
                <w:sz w:val="18"/>
              </w:rPr>
              <w:t>30,000,000.00</w:t>
            </w:r>
          </w:p>
        </w:tc>
        <w:tc>
          <w:tcPr>
            <w:tcW w:w="99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贵州泰豪宝碳智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慧能源有限公司</w:t>
            </w:r>
            <w:r>
              <w:rPr>
                <w:rFonts w:ascii="宋体" w:hAnsi="宋体" w:cs="宋体" w:eastAsia="宋体" w:hint="default"/>
                <w:sz w:val="18"/>
                <w:szCs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4,550,000.00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1,387,900.00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5,937,900.00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北京泰豪电力科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r>
              <w:rPr>
                <w:rFonts w:ascii="宋体" w:hAnsi="宋体" w:cs="宋体" w:eastAsia="宋体" w:hint="default"/>
                <w:sz w:val="18"/>
                <w:szCs w:val="18"/>
              </w:rPr>
              <w:t> </w:t>
            </w:r>
          </w:p>
        </w:tc>
        <w:tc>
          <w:tcPr>
            <w:tcW w:w="1477"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16,996,402.90</w:t>
            </w:r>
          </w:p>
        </w:tc>
        <w:tc>
          <w:tcPr>
            <w:tcW w:w="125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20" w:right="0"/>
              <w:jc w:val="center"/>
              <w:rPr>
                <w:rFonts w:ascii="Times New Roman" w:hAnsi="Times New Roman" w:cs="Times New Roman" w:eastAsia="Times New Roman" w:hint="default"/>
                <w:sz w:val="18"/>
                <w:szCs w:val="18"/>
              </w:rPr>
            </w:pPr>
            <w:r>
              <w:rPr>
                <w:rFonts w:ascii="Times New Roman"/>
                <w:sz w:val="18"/>
              </w:rPr>
              <w:t>16,996,402.90</w:t>
            </w:r>
          </w:p>
        </w:tc>
        <w:tc>
          <w:tcPr>
            <w:tcW w:w="99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pacing w:val="-1"/>
                <w:sz w:val="18"/>
              </w:rPr>
              <w:t>2,957,402,034.87</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97,795,802.90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16,266,926.50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center"/>
              <w:rPr>
                <w:rFonts w:ascii="Times New Roman" w:hAnsi="Times New Roman" w:cs="Times New Roman" w:eastAsia="Times New Roman" w:hint="default"/>
                <w:sz w:val="18"/>
                <w:szCs w:val="18"/>
              </w:rPr>
            </w:pPr>
            <w:r>
              <w:rPr>
                <w:rFonts w:ascii="Times New Roman"/>
                <w:sz w:val="18"/>
              </w:rPr>
              <w:t>3,038,930,911.27</w:t>
            </w:r>
          </w:p>
        </w:tc>
        <w:tc>
          <w:tcPr>
            <w:tcW w:w="99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60" w:right="1560"/>
        </w:sectPr>
      </w:pPr>
    </w:p>
    <w:p>
      <w:pPr>
        <w:spacing w:before="20"/>
        <w:ind w:left="6476" w:right="6494"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696.1pt;height:.75pt;mso-position-horizontal-relative:char;mso-position-vertical-relative:line" coordorigin="0,0" coordsize="13922,15">
            <v:group style="position:absolute;left:7;top:7;width:13908;height:2" coordorigin="7,7" coordsize="13908,2">
              <v:shape style="position:absolute;left:7;top:7;width:13908;height:2" coordorigin="7,7" coordsize="13908,0" path="m7,7l13915,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headerReference w:type="default" r:id="rId87"/>
          <w:footerReference w:type="default" r:id="rId88"/>
          <w:pgSz w:w="16840" w:h="11910" w:orient="landscape"/>
          <w:pgMar w:header="0" w:footer="0" w:top="800" w:bottom="280" w:left="1300" w:right="1220"/>
        </w:sectPr>
      </w:pPr>
    </w:p>
    <w:p>
      <w:pPr>
        <w:pStyle w:val="Heading5"/>
        <w:spacing w:line="240" w:lineRule="auto" w:before="36"/>
        <w:ind w:left="224"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对联营、合营企业投资</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left="224"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00" w:right="1220"/>
          <w:cols w:num="2" w:equalWidth="0">
            <w:col w:w="2966" w:space="8597"/>
            <w:col w:w="2757"/>
          </w:cols>
        </w:sectPr>
      </w:pP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284"/>
        <w:gridCol w:w="1308"/>
        <w:gridCol w:w="720"/>
        <w:gridCol w:w="1381"/>
        <w:gridCol w:w="1224"/>
        <w:gridCol w:w="1099"/>
        <w:gridCol w:w="1107"/>
        <w:gridCol w:w="1222"/>
        <w:gridCol w:w="1207"/>
        <w:gridCol w:w="1177"/>
        <w:gridCol w:w="1524"/>
        <w:gridCol w:w="823"/>
      </w:tblGrid>
      <w:tr>
        <w:trPr>
          <w:trHeight w:val="245" w:hRule="exact"/>
        </w:trPr>
        <w:tc>
          <w:tcPr>
            <w:tcW w:w="12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458" w:right="365"/>
              <w:jc w:val="left"/>
              <w:rPr>
                <w:rFonts w:ascii="宋体" w:hAnsi="宋体" w:cs="宋体" w:eastAsia="宋体" w:hint="default"/>
                <w:sz w:val="18"/>
                <w:szCs w:val="18"/>
              </w:rPr>
            </w:pPr>
            <w:r>
              <w:rPr>
                <w:rFonts w:ascii="宋体" w:hAnsi="宋体" w:cs="宋体" w:eastAsia="宋体" w:hint="default"/>
                <w:sz w:val="18"/>
                <w:szCs w:val="18"/>
              </w:rPr>
              <w:t>投资</w:t>
            </w:r>
            <w:r>
              <w:rPr>
                <w:rFonts w:ascii="宋体" w:hAnsi="宋体" w:cs="宋体" w:eastAsia="宋体" w:hint="default"/>
                <w:sz w:val="18"/>
                <w:szCs w:val="18"/>
              </w:rPr>
              <w:t> </w:t>
            </w:r>
            <w:r>
              <w:rPr>
                <w:rFonts w:ascii="宋体" w:hAnsi="宋体" w:cs="宋体" w:eastAsia="宋体" w:hint="default"/>
                <w:sz w:val="18"/>
                <w:szCs w:val="18"/>
              </w:rPr>
              <w:t>单位</w:t>
            </w:r>
            <w:r>
              <w:rPr>
                <w:rFonts w:ascii="宋体" w:hAnsi="宋体" w:cs="宋体" w:eastAsia="宋体" w:hint="default"/>
                <w:sz w:val="18"/>
                <w:szCs w:val="18"/>
              </w:rPr>
              <w:t> </w:t>
            </w:r>
          </w:p>
        </w:tc>
        <w:tc>
          <w:tcPr>
            <w:tcW w:w="13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470" w:right="377"/>
              <w:jc w:val="left"/>
              <w:rPr>
                <w:rFonts w:ascii="宋体" w:hAnsi="宋体" w:cs="宋体" w:eastAsia="宋体" w:hint="default"/>
                <w:sz w:val="18"/>
                <w:szCs w:val="18"/>
              </w:rPr>
            </w:pPr>
            <w:r>
              <w:rPr>
                <w:rFonts w:ascii="宋体" w:hAnsi="宋体" w:cs="宋体" w:eastAsia="宋体" w:hint="default"/>
                <w:sz w:val="18"/>
                <w:szCs w:val="18"/>
              </w:rPr>
              <w:t>期初</w:t>
            </w:r>
            <w:r>
              <w:rPr>
                <w:rFonts w:ascii="宋体" w:hAnsi="宋体" w:cs="宋体" w:eastAsia="宋体" w:hint="default"/>
                <w:sz w:val="18"/>
                <w:szCs w:val="18"/>
              </w:rPr>
              <w:t> </w:t>
            </w:r>
            <w:r>
              <w:rPr>
                <w:rFonts w:ascii="宋体" w:hAnsi="宋体" w:cs="宋体" w:eastAsia="宋体" w:hint="default"/>
                <w:sz w:val="18"/>
                <w:szCs w:val="18"/>
              </w:rPr>
              <w:t>余额</w:t>
            </w:r>
            <w:r>
              <w:rPr>
                <w:rFonts w:ascii="宋体" w:hAnsi="宋体" w:cs="宋体" w:eastAsia="宋体" w:hint="default"/>
                <w:sz w:val="18"/>
                <w:szCs w:val="18"/>
              </w:rPr>
              <w:t> </w:t>
            </w:r>
          </w:p>
        </w:tc>
        <w:tc>
          <w:tcPr>
            <w:tcW w:w="9136"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hAnsi="宋体" w:cs="宋体" w:eastAsia="宋体" w:hint="default"/>
                <w:sz w:val="18"/>
                <w:szCs w:val="18"/>
              </w:rPr>
              <w:t>本期增减变动</w:t>
            </w:r>
            <w:r>
              <w:rPr>
                <w:rFonts w:ascii="宋体" w:hAnsi="宋体" w:cs="宋体" w:eastAsia="宋体" w:hint="default"/>
                <w:sz w:val="18"/>
                <w:szCs w:val="18"/>
              </w:rPr>
              <w:t> </w:t>
            </w:r>
          </w:p>
        </w:tc>
        <w:tc>
          <w:tcPr>
            <w:tcW w:w="15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576" w:right="486"/>
              <w:jc w:val="left"/>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z w:val="18"/>
                <w:szCs w:val="18"/>
              </w:rPr>
              <w:t> </w:t>
            </w:r>
            <w:r>
              <w:rPr>
                <w:rFonts w:ascii="宋体" w:hAnsi="宋体" w:cs="宋体" w:eastAsia="宋体" w:hint="default"/>
                <w:sz w:val="18"/>
                <w:szCs w:val="18"/>
              </w:rPr>
              <w:t>余额</w:t>
            </w:r>
            <w:r>
              <w:rPr>
                <w:rFonts w:ascii="宋体" w:hAnsi="宋体" w:cs="宋体" w:eastAsia="宋体" w:hint="default"/>
                <w:sz w:val="18"/>
                <w:szCs w:val="18"/>
              </w:rPr>
              <w:t> </w:t>
            </w:r>
          </w:p>
        </w:tc>
        <w:tc>
          <w:tcPr>
            <w:tcW w:w="823" w:type="dxa"/>
            <w:vMerge w:val="restart"/>
            <w:tcBorders>
              <w:top w:val="single" w:sz="4" w:space="0" w:color="000000"/>
              <w:left w:val="single" w:sz="4" w:space="0" w:color="000000"/>
              <w:right w:val="single" w:sz="4" w:space="0" w:color="000000"/>
            </w:tcBorders>
          </w:tcPr>
          <w:p>
            <w:pPr>
              <w:pStyle w:val="TableParagraph"/>
              <w:spacing w:line="237" w:lineRule="auto" w:before="94"/>
              <w:ind w:left="139" w:right="132"/>
              <w:jc w:val="both"/>
              <w:rPr>
                <w:rFonts w:ascii="宋体" w:hAnsi="宋体" w:cs="宋体" w:eastAsia="宋体" w:hint="default"/>
                <w:sz w:val="18"/>
                <w:szCs w:val="18"/>
              </w:rPr>
            </w:pPr>
            <w:r>
              <w:rPr>
                <w:rFonts w:ascii="宋体" w:hAnsi="宋体" w:cs="宋体" w:eastAsia="宋体" w:hint="default"/>
                <w:sz w:val="18"/>
                <w:szCs w:val="18"/>
              </w:rPr>
              <w:t>减值准 备期末 余额</w:t>
            </w:r>
            <w:r>
              <w:rPr>
                <w:rFonts w:ascii="宋体" w:hAnsi="宋体" w:cs="宋体" w:eastAsia="宋体" w:hint="default"/>
                <w:sz w:val="18"/>
                <w:szCs w:val="18"/>
              </w:rPr>
              <w:t> </w:t>
            </w:r>
          </w:p>
        </w:tc>
      </w:tr>
      <w:tr>
        <w:trPr>
          <w:trHeight w:val="710" w:hRule="exact"/>
        </w:trPr>
        <w:tc>
          <w:tcPr>
            <w:tcW w:w="1284" w:type="dxa"/>
            <w:vMerge/>
            <w:tcBorders>
              <w:left w:val="single" w:sz="4" w:space="0" w:color="000000"/>
              <w:bottom w:val="single" w:sz="4" w:space="0" w:color="000000"/>
              <w:right w:val="single" w:sz="4" w:space="0" w:color="000000"/>
            </w:tcBorders>
          </w:tcPr>
          <w:p>
            <w:pPr/>
          </w:p>
        </w:tc>
        <w:tc>
          <w:tcPr>
            <w:tcW w:w="1308" w:type="dxa"/>
            <w:vMerge/>
            <w:tcBorders>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75" w:right="83"/>
              <w:jc w:val="left"/>
              <w:rPr>
                <w:rFonts w:ascii="宋体" w:hAnsi="宋体" w:cs="宋体" w:eastAsia="宋体" w:hint="default"/>
                <w:sz w:val="18"/>
                <w:szCs w:val="18"/>
              </w:rPr>
            </w:pPr>
            <w:r>
              <w:rPr>
                <w:rFonts w:ascii="宋体" w:hAnsi="宋体" w:cs="宋体" w:eastAsia="宋体" w:hint="default"/>
                <w:sz w:val="18"/>
                <w:szCs w:val="18"/>
              </w:rPr>
              <w:t>追加 投资</w:t>
            </w:r>
            <w:r>
              <w:rPr>
                <w:rFonts w:ascii="宋体" w:hAnsi="宋体" w:cs="宋体" w:eastAsia="宋体" w:hint="default"/>
                <w:sz w:val="18"/>
                <w:szCs w:val="18"/>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减少投资</w:t>
            </w:r>
            <w:r>
              <w:rPr>
                <w:rFonts w:ascii="宋体" w:hAnsi="宋体" w:cs="宋体" w:eastAsia="宋体" w:hint="default"/>
                <w:sz w:val="18"/>
                <w:szCs w:val="18"/>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5" w:right="0"/>
              <w:jc w:val="left"/>
              <w:rPr>
                <w:rFonts w:ascii="宋体" w:hAnsi="宋体" w:cs="宋体" w:eastAsia="宋体" w:hint="default"/>
                <w:sz w:val="18"/>
                <w:szCs w:val="18"/>
              </w:rPr>
            </w:pPr>
            <w:r>
              <w:rPr>
                <w:rFonts w:ascii="宋体" w:hAnsi="宋体" w:cs="宋体" w:eastAsia="宋体" w:hint="default"/>
                <w:sz w:val="18"/>
                <w:szCs w:val="18"/>
              </w:rPr>
              <w:t>权益法下确</w:t>
            </w:r>
          </w:p>
          <w:p>
            <w:pPr>
              <w:pStyle w:val="TableParagraph"/>
              <w:spacing w:line="232" w:lineRule="exact" w:before="23"/>
              <w:ind w:left="515" w:right="156" w:hanging="360"/>
              <w:jc w:val="left"/>
              <w:rPr>
                <w:rFonts w:ascii="宋体" w:hAnsi="宋体" w:cs="宋体" w:eastAsia="宋体" w:hint="default"/>
                <w:sz w:val="18"/>
                <w:szCs w:val="18"/>
              </w:rPr>
            </w:pPr>
            <w:r>
              <w:rPr>
                <w:rFonts w:ascii="宋体" w:hAnsi="宋体" w:cs="宋体" w:eastAsia="宋体" w:hint="default"/>
                <w:sz w:val="18"/>
                <w:szCs w:val="18"/>
              </w:rPr>
              <w:t>认的投资损 益</w:t>
            </w:r>
            <w:r>
              <w:rPr>
                <w:rFonts w:ascii="宋体" w:hAnsi="宋体" w:cs="宋体" w:eastAsia="宋体" w:hint="default"/>
                <w:sz w:val="18"/>
                <w:szCs w:val="18"/>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84" w:right="92"/>
              <w:jc w:val="left"/>
              <w:rPr>
                <w:rFonts w:ascii="宋体" w:hAnsi="宋体" w:cs="宋体" w:eastAsia="宋体" w:hint="default"/>
                <w:sz w:val="18"/>
                <w:szCs w:val="18"/>
              </w:rPr>
            </w:pPr>
            <w:r>
              <w:rPr>
                <w:rFonts w:ascii="宋体" w:hAnsi="宋体" w:cs="宋体" w:eastAsia="宋体" w:hint="default"/>
                <w:sz w:val="18"/>
                <w:szCs w:val="18"/>
              </w:rPr>
              <w:t>其他综合 收益调整</w:t>
            </w:r>
            <w:r>
              <w:rPr>
                <w:rFonts w:ascii="宋体" w:hAnsi="宋体" w:cs="宋体" w:eastAsia="宋体" w:hint="default"/>
                <w:sz w:val="18"/>
                <w:szCs w:val="18"/>
              </w:rPr>
              <w:t> </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69" w:right="185" w:hanging="181"/>
              <w:jc w:val="left"/>
              <w:rPr>
                <w:rFonts w:ascii="宋体" w:hAnsi="宋体" w:cs="宋体" w:eastAsia="宋体" w:hint="default"/>
                <w:sz w:val="18"/>
                <w:szCs w:val="18"/>
              </w:rPr>
            </w:pPr>
            <w:r>
              <w:rPr>
                <w:rFonts w:ascii="宋体" w:hAnsi="宋体" w:cs="宋体" w:eastAsia="宋体" w:hint="default"/>
                <w:sz w:val="18"/>
                <w:szCs w:val="18"/>
              </w:rPr>
              <w:t>其他权益 变动</w:t>
            </w:r>
            <w:r>
              <w:rPr>
                <w:rFonts w:ascii="宋体" w:hAnsi="宋体" w:cs="宋体" w:eastAsia="宋体" w:hint="default"/>
                <w:sz w:val="18"/>
                <w:szCs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5" w:right="0"/>
              <w:jc w:val="left"/>
              <w:rPr>
                <w:rFonts w:ascii="宋体" w:hAnsi="宋体" w:cs="宋体" w:eastAsia="宋体" w:hint="default"/>
                <w:sz w:val="18"/>
                <w:szCs w:val="18"/>
              </w:rPr>
            </w:pPr>
            <w:r>
              <w:rPr>
                <w:rFonts w:ascii="宋体" w:hAnsi="宋体" w:cs="宋体" w:eastAsia="宋体" w:hint="default"/>
                <w:sz w:val="18"/>
                <w:szCs w:val="18"/>
              </w:rPr>
              <w:t>宣告发放现</w:t>
            </w:r>
          </w:p>
          <w:p>
            <w:pPr>
              <w:pStyle w:val="TableParagraph"/>
              <w:spacing w:line="232" w:lineRule="exact" w:before="23"/>
              <w:ind w:left="515" w:right="155" w:hanging="360"/>
              <w:jc w:val="left"/>
              <w:rPr>
                <w:rFonts w:ascii="宋体" w:hAnsi="宋体" w:cs="宋体" w:eastAsia="宋体" w:hint="default"/>
                <w:sz w:val="18"/>
                <w:szCs w:val="18"/>
              </w:rPr>
            </w:pPr>
            <w:r>
              <w:rPr>
                <w:rFonts w:ascii="宋体" w:hAnsi="宋体" w:cs="宋体" w:eastAsia="宋体" w:hint="default"/>
                <w:sz w:val="18"/>
                <w:szCs w:val="18"/>
              </w:rPr>
              <w:t>金股利或利 润</w:t>
            </w:r>
            <w:r>
              <w:rPr>
                <w:rFonts w:ascii="宋体" w:hAnsi="宋体" w:cs="宋体" w:eastAsia="宋体" w:hint="default"/>
                <w:sz w:val="18"/>
                <w:szCs w:val="18"/>
              </w:rPr>
              <w:t> </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508" w:right="146" w:hanging="360"/>
              <w:jc w:val="left"/>
              <w:rPr>
                <w:rFonts w:ascii="宋体" w:hAnsi="宋体" w:cs="宋体" w:eastAsia="宋体" w:hint="default"/>
                <w:sz w:val="18"/>
                <w:szCs w:val="18"/>
              </w:rPr>
            </w:pPr>
            <w:r>
              <w:rPr>
                <w:rFonts w:ascii="宋体" w:hAnsi="宋体" w:cs="宋体" w:eastAsia="宋体" w:hint="default"/>
                <w:sz w:val="18"/>
                <w:szCs w:val="18"/>
              </w:rPr>
              <w:t>计提减值准 备</w:t>
            </w:r>
            <w:r>
              <w:rPr>
                <w:rFonts w:ascii="宋体" w:hAnsi="宋体" w:cs="宋体" w:eastAsia="宋体" w:hint="default"/>
                <w:sz w:val="18"/>
                <w:szCs w:val="18"/>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5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r>
      <w:tr>
        <w:trPr>
          <w:trHeight w:val="322" w:hRule="exact"/>
        </w:trPr>
        <w:tc>
          <w:tcPr>
            <w:tcW w:w="1407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一、合营企业</w:t>
            </w:r>
            <w:r>
              <w:rPr>
                <w:rFonts w:ascii="宋体" w:hAnsi="宋体" w:cs="宋体" w:eastAsia="宋体" w:hint="default"/>
                <w:sz w:val="24"/>
                <w:szCs w:val="24"/>
              </w:rPr>
              <w:t> </w:t>
            </w:r>
          </w:p>
        </w:tc>
      </w:tr>
      <w:tr>
        <w:trPr>
          <w:trHeight w:val="319"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sz w:val="24"/>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322"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5" w:right="0"/>
              <w:jc w:val="left"/>
              <w:rPr>
                <w:rFonts w:ascii="宋体" w:hAnsi="宋体" w:cs="宋体" w:eastAsia="宋体" w:hint="default"/>
                <w:sz w:val="24"/>
                <w:szCs w:val="24"/>
              </w:rPr>
            </w:pPr>
            <w:r>
              <w:rPr>
                <w:rFonts w:ascii="宋体"/>
                <w:sz w:val="24"/>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20"/>
              <w:jc w:val="right"/>
              <w:rPr>
                <w:rFonts w:ascii="宋体" w:hAnsi="宋体" w:cs="宋体" w:eastAsia="宋体" w:hint="default"/>
                <w:sz w:val="24"/>
                <w:szCs w:val="24"/>
              </w:rPr>
            </w:pPr>
            <w:r>
              <w:rPr>
                <w:rFonts w:ascii="宋体"/>
                <w:sz w:val="24"/>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20"/>
              <w:jc w:val="right"/>
              <w:rPr>
                <w:rFonts w:ascii="宋体" w:hAnsi="宋体" w:cs="宋体" w:eastAsia="宋体" w:hint="default"/>
                <w:sz w:val="24"/>
                <w:szCs w:val="24"/>
              </w:rPr>
            </w:pPr>
            <w:r>
              <w:rPr>
                <w:rFonts w:ascii="宋体"/>
                <w:sz w:val="24"/>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 </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20"/>
              <w:jc w:val="right"/>
              <w:rPr>
                <w:rFonts w:ascii="宋体" w:hAnsi="宋体" w:cs="宋体" w:eastAsia="宋体" w:hint="default"/>
                <w:sz w:val="24"/>
                <w:szCs w:val="24"/>
              </w:rPr>
            </w:pPr>
            <w:r>
              <w:rPr>
                <w:rFonts w:ascii="宋体"/>
                <w:sz w:val="24"/>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 </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17"/>
              <w:jc w:val="right"/>
              <w:rPr>
                <w:rFonts w:ascii="宋体" w:hAnsi="宋体" w:cs="宋体" w:eastAsia="宋体" w:hint="default"/>
                <w:sz w:val="24"/>
                <w:szCs w:val="24"/>
              </w:rPr>
            </w:pPr>
            <w:r>
              <w:rPr>
                <w:rFonts w:ascii="宋体"/>
                <w:sz w:val="24"/>
              </w:rPr>
              <w:t>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20"/>
              <w:jc w:val="right"/>
              <w:rPr>
                <w:rFonts w:ascii="宋体" w:hAnsi="宋体" w:cs="宋体" w:eastAsia="宋体" w:hint="default"/>
                <w:sz w:val="24"/>
                <w:szCs w:val="24"/>
              </w:rPr>
            </w:pPr>
            <w:r>
              <w:rPr>
                <w:rFonts w:ascii="宋体"/>
                <w:sz w:val="24"/>
              </w:rPr>
              <w:t> </w:t>
            </w:r>
          </w:p>
        </w:tc>
      </w:tr>
      <w:tr>
        <w:trPr>
          <w:trHeight w:val="322"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小计</w:t>
            </w:r>
            <w:r>
              <w:rPr>
                <w:rFonts w:ascii="宋体" w:hAnsi="宋体" w:cs="宋体" w:eastAsia="宋体" w:hint="default"/>
                <w:sz w:val="24"/>
                <w:szCs w:val="24"/>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4"/>
                <w:szCs w:val="24"/>
              </w:rPr>
            </w:pPr>
            <w:r>
              <w:rPr>
                <w:rFonts w:ascii="宋体"/>
                <w:sz w:val="24"/>
              </w:rPr>
              <w:t> </w:t>
            </w:r>
          </w:p>
        </w:tc>
      </w:tr>
      <w:tr>
        <w:trPr>
          <w:trHeight w:val="322" w:hRule="exact"/>
        </w:trPr>
        <w:tc>
          <w:tcPr>
            <w:tcW w:w="1407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left"/>
              <w:rPr>
                <w:rFonts w:ascii="宋体" w:hAnsi="宋体" w:cs="宋体" w:eastAsia="宋体" w:hint="default"/>
                <w:sz w:val="24"/>
                <w:szCs w:val="24"/>
              </w:rPr>
            </w:pPr>
            <w:r>
              <w:rPr>
                <w:rFonts w:ascii="宋体" w:hAnsi="宋体" w:cs="宋体" w:eastAsia="宋体" w:hint="default"/>
                <w:sz w:val="24"/>
                <w:szCs w:val="24"/>
              </w:rPr>
              <w:t>二、联营企业</w:t>
            </w:r>
            <w:r>
              <w:rPr>
                <w:rFonts w:ascii="宋体" w:hAnsi="宋体" w:cs="宋体" w:eastAsia="宋体" w:hint="default"/>
                <w:sz w:val="24"/>
                <w:szCs w:val="24"/>
              </w:rPr>
              <w:t> </w:t>
            </w:r>
          </w:p>
        </w:tc>
      </w:tr>
      <w:tr>
        <w:trPr>
          <w:trHeight w:val="71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江西国科军</w:t>
            </w:r>
          </w:p>
          <w:p>
            <w:pPr>
              <w:pStyle w:val="TableParagraph"/>
              <w:spacing w:line="240" w:lineRule="auto"/>
              <w:ind w:left="105" w:right="267"/>
              <w:jc w:val="left"/>
              <w:rPr>
                <w:rFonts w:ascii="宋体" w:hAnsi="宋体" w:cs="宋体" w:eastAsia="宋体" w:hint="default"/>
                <w:sz w:val="18"/>
                <w:szCs w:val="18"/>
              </w:rPr>
            </w:pPr>
            <w:r>
              <w:rPr>
                <w:rFonts w:ascii="宋体" w:hAnsi="宋体" w:cs="宋体" w:eastAsia="宋体" w:hint="default"/>
                <w:sz w:val="18"/>
                <w:szCs w:val="18"/>
              </w:rPr>
              <w:t>工集团股份 有限公司</w:t>
            </w:r>
            <w:r>
              <w:rPr>
                <w:rFonts w:ascii="宋体" w:hAnsi="宋体" w:cs="宋体" w:eastAsia="宋体" w:hint="default"/>
                <w:sz w:val="18"/>
                <w:szCs w:val="18"/>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96" w:right="0"/>
              <w:jc w:val="left"/>
              <w:rPr>
                <w:rFonts w:ascii="Times New Roman" w:hAnsi="Times New Roman" w:cs="Times New Roman" w:eastAsia="Times New Roman" w:hint="default"/>
                <w:sz w:val="16"/>
                <w:szCs w:val="16"/>
              </w:rPr>
            </w:pPr>
            <w:r>
              <w:rPr>
                <w:rFonts w:ascii="Times New Roman"/>
                <w:sz w:val="16"/>
              </w:rPr>
              <w:t>109,662,536.15</w:t>
            </w:r>
          </w:p>
        </w:tc>
        <w:tc>
          <w:tcPr>
            <w:tcW w:w="720"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50" w:right="0"/>
              <w:jc w:val="left"/>
              <w:rPr>
                <w:rFonts w:ascii="Times New Roman" w:hAnsi="Times New Roman" w:cs="Times New Roman" w:eastAsia="Times New Roman" w:hint="default"/>
                <w:sz w:val="16"/>
                <w:szCs w:val="16"/>
              </w:rPr>
            </w:pPr>
            <w:r>
              <w:rPr>
                <w:rFonts w:ascii="Times New Roman"/>
                <w:sz w:val="16"/>
              </w:rPr>
              <w:t>59,576,846.04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91" w:right="0"/>
              <w:jc w:val="left"/>
              <w:rPr>
                <w:rFonts w:ascii="Times New Roman" w:hAnsi="Times New Roman" w:cs="Times New Roman" w:eastAsia="Times New Roman" w:hint="default"/>
                <w:sz w:val="16"/>
                <w:szCs w:val="16"/>
              </w:rPr>
            </w:pPr>
            <w:r>
              <w:rPr>
                <w:rFonts w:ascii="Times New Roman"/>
                <w:sz w:val="16"/>
              </w:rPr>
              <w:t>12,473,199.02</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02" w:right="0"/>
              <w:jc w:val="left"/>
              <w:rPr>
                <w:rFonts w:ascii="Times New Roman" w:hAnsi="Times New Roman" w:cs="Times New Roman" w:eastAsia="Times New Roman" w:hint="default"/>
                <w:sz w:val="16"/>
                <w:szCs w:val="16"/>
              </w:rPr>
            </w:pPr>
            <w:r>
              <w:rPr>
                <w:rFonts w:ascii="Times New Roman"/>
                <w:sz w:val="16"/>
              </w:rPr>
              <w:t>-66,263.82</w:t>
            </w:r>
          </w:p>
        </w:tc>
        <w:tc>
          <w:tcPr>
            <w:tcW w:w="1222"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92" w:right="0"/>
              <w:jc w:val="left"/>
              <w:rPr>
                <w:rFonts w:ascii="Times New Roman" w:hAnsi="Times New Roman" w:cs="Times New Roman" w:eastAsia="Times New Roman" w:hint="default"/>
                <w:sz w:val="16"/>
                <w:szCs w:val="16"/>
              </w:rPr>
            </w:pPr>
            <w:r>
              <w:rPr>
                <w:rFonts w:ascii="Times New Roman"/>
                <w:sz w:val="16"/>
              </w:rPr>
              <w:t>62,492,625.31</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r>
      <w:tr>
        <w:trPr>
          <w:trHeight w:val="47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南昌创业投</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资有限公司</w:t>
            </w:r>
            <w:r>
              <w:rPr>
                <w:rFonts w:ascii="宋体" w:hAnsi="宋体" w:cs="宋体" w:eastAsia="宋体" w:hint="default"/>
                <w:sz w:val="18"/>
                <w:szCs w:val="18"/>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78" w:right="0"/>
              <w:jc w:val="left"/>
              <w:rPr>
                <w:rFonts w:ascii="Times New Roman" w:hAnsi="Times New Roman" w:cs="Times New Roman" w:eastAsia="Times New Roman" w:hint="default"/>
                <w:sz w:val="16"/>
                <w:szCs w:val="16"/>
              </w:rPr>
            </w:pPr>
            <w:r>
              <w:rPr>
                <w:rFonts w:ascii="Times New Roman"/>
                <w:sz w:val="16"/>
              </w:rPr>
              <w:t>64,356,112.99</w:t>
            </w:r>
          </w:p>
        </w:tc>
        <w:tc>
          <w:tcPr>
            <w:tcW w:w="720"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18" w:right="0"/>
              <w:jc w:val="left"/>
              <w:rPr>
                <w:rFonts w:ascii="Times New Roman" w:hAnsi="Times New Roman" w:cs="Times New Roman" w:eastAsia="Times New Roman" w:hint="default"/>
                <w:sz w:val="16"/>
                <w:szCs w:val="16"/>
              </w:rPr>
            </w:pPr>
            <w:r>
              <w:rPr>
                <w:rFonts w:ascii="Times New Roman"/>
                <w:sz w:val="16"/>
              </w:rPr>
              <w:t>-3,051,095.20</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23" w:right="0"/>
              <w:jc w:val="left"/>
              <w:rPr>
                <w:rFonts w:ascii="Times New Roman" w:hAnsi="Times New Roman" w:cs="Times New Roman" w:eastAsia="Times New Roman" w:hint="default"/>
                <w:sz w:val="16"/>
                <w:szCs w:val="16"/>
              </w:rPr>
            </w:pPr>
            <w:r>
              <w:rPr>
                <w:rFonts w:ascii="Times New Roman"/>
                <w:sz w:val="16"/>
              </w:rPr>
              <w:t>-431,771.62</w:t>
            </w:r>
          </w:p>
        </w:tc>
        <w:tc>
          <w:tcPr>
            <w:tcW w:w="1222"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92" w:right="0"/>
              <w:jc w:val="left"/>
              <w:rPr>
                <w:rFonts w:ascii="Times New Roman" w:hAnsi="Times New Roman" w:cs="Times New Roman" w:eastAsia="Times New Roman" w:hint="default"/>
                <w:sz w:val="16"/>
                <w:szCs w:val="16"/>
              </w:rPr>
            </w:pPr>
            <w:r>
              <w:rPr>
                <w:rFonts w:ascii="Times New Roman"/>
                <w:sz w:val="16"/>
              </w:rPr>
              <w:t>60,873,246.17</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71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成都华太航</w:t>
            </w:r>
          </w:p>
          <w:p>
            <w:pPr>
              <w:pStyle w:val="TableParagraph"/>
              <w:spacing w:line="234" w:lineRule="exact" w:before="21"/>
              <w:ind w:left="105" w:right="267"/>
              <w:jc w:val="left"/>
              <w:rPr>
                <w:rFonts w:ascii="宋体" w:hAnsi="宋体" w:cs="宋体" w:eastAsia="宋体" w:hint="default"/>
                <w:sz w:val="18"/>
                <w:szCs w:val="18"/>
              </w:rPr>
            </w:pPr>
            <w:r>
              <w:rPr>
                <w:rFonts w:ascii="宋体" w:hAnsi="宋体" w:cs="宋体" w:eastAsia="宋体" w:hint="default"/>
                <w:sz w:val="18"/>
                <w:szCs w:val="18"/>
              </w:rPr>
              <w:t>空科技股份 有限公司</w:t>
            </w:r>
            <w:r>
              <w:rPr>
                <w:rFonts w:ascii="宋体" w:hAnsi="宋体" w:cs="宋体" w:eastAsia="宋体" w:hint="default"/>
                <w:sz w:val="18"/>
                <w:szCs w:val="18"/>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78" w:right="0"/>
              <w:jc w:val="left"/>
              <w:rPr>
                <w:rFonts w:ascii="Times New Roman" w:hAnsi="Times New Roman" w:cs="Times New Roman" w:eastAsia="Times New Roman" w:hint="default"/>
                <w:sz w:val="16"/>
                <w:szCs w:val="16"/>
              </w:rPr>
            </w:pPr>
            <w:r>
              <w:rPr>
                <w:rFonts w:ascii="Times New Roman"/>
                <w:sz w:val="16"/>
              </w:rPr>
              <w:t>45,413,517.19</w:t>
            </w:r>
          </w:p>
        </w:tc>
        <w:tc>
          <w:tcPr>
            <w:tcW w:w="720"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71" w:right="0"/>
              <w:jc w:val="left"/>
              <w:rPr>
                <w:rFonts w:ascii="Times New Roman" w:hAnsi="Times New Roman" w:cs="Times New Roman" w:eastAsia="Times New Roman" w:hint="default"/>
                <w:sz w:val="16"/>
                <w:szCs w:val="16"/>
              </w:rPr>
            </w:pPr>
            <w:r>
              <w:rPr>
                <w:rFonts w:ascii="Times New Roman"/>
                <w:sz w:val="16"/>
              </w:rPr>
              <w:t>8,385,132.95</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68" w:right="0"/>
              <w:jc w:val="left"/>
              <w:rPr>
                <w:rFonts w:ascii="Times New Roman" w:hAnsi="Times New Roman" w:cs="Times New Roman" w:eastAsia="Times New Roman" w:hint="default"/>
                <w:sz w:val="16"/>
                <w:szCs w:val="16"/>
              </w:rPr>
            </w:pPr>
            <w:r>
              <w:rPr>
                <w:rFonts w:ascii="Times New Roman"/>
                <w:sz w:val="16"/>
              </w:rPr>
              <w:t>1,684,800.00</w:t>
            </w:r>
          </w:p>
        </w:tc>
        <w:tc>
          <w:tcPr>
            <w:tcW w:w="120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92" w:right="0"/>
              <w:jc w:val="left"/>
              <w:rPr>
                <w:rFonts w:ascii="Times New Roman" w:hAnsi="Times New Roman" w:cs="Times New Roman" w:eastAsia="Times New Roman" w:hint="default"/>
                <w:sz w:val="16"/>
                <w:szCs w:val="16"/>
              </w:rPr>
            </w:pPr>
            <w:r>
              <w:rPr>
                <w:rFonts w:ascii="Times New Roman"/>
                <w:sz w:val="16"/>
              </w:rPr>
              <w:t>52,113,850.14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r>
      <w:tr>
        <w:trPr>
          <w:trHeight w:val="71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上海朋迈能</w:t>
            </w:r>
          </w:p>
          <w:p>
            <w:pPr>
              <w:pStyle w:val="TableParagraph"/>
              <w:spacing w:line="232" w:lineRule="exact" w:before="23"/>
              <w:ind w:left="105" w:right="267"/>
              <w:jc w:val="left"/>
              <w:rPr>
                <w:rFonts w:ascii="宋体" w:hAnsi="宋体" w:cs="宋体" w:eastAsia="宋体" w:hint="default"/>
                <w:sz w:val="18"/>
                <w:szCs w:val="18"/>
              </w:rPr>
            </w:pPr>
            <w:r>
              <w:rPr>
                <w:rFonts w:ascii="宋体" w:hAnsi="宋体" w:cs="宋体" w:eastAsia="宋体" w:hint="default"/>
                <w:sz w:val="18"/>
                <w:szCs w:val="18"/>
              </w:rPr>
              <w:t>源科技有限 公司</w:t>
            </w:r>
            <w:r>
              <w:rPr>
                <w:rFonts w:ascii="宋体" w:hAnsi="宋体" w:cs="宋体" w:eastAsia="宋体" w:hint="default"/>
                <w:sz w:val="18"/>
                <w:szCs w:val="18"/>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57" w:right="0"/>
              <w:jc w:val="left"/>
              <w:rPr>
                <w:rFonts w:ascii="Times New Roman" w:hAnsi="Times New Roman" w:cs="Times New Roman" w:eastAsia="Times New Roman" w:hint="default"/>
                <w:sz w:val="16"/>
                <w:szCs w:val="16"/>
              </w:rPr>
            </w:pPr>
            <w:r>
              <w:rPr>
                <w:rFonts w:ascii="Times New Roman"/>
                <w:sz w:val="16"/>
              </w:rPr>
              <w:t>1,797,011.96</w:t>
            </w:r>
          </w:p>
        </w:tc>
        <w:tc>
          <w:tcPr>
            <w:tcW w:w="720"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29" w:right="0"/>
              <w:jc w:val="left"/>
              <w:rPr>
                <w:rFonts w:ascii="Times New Roman" w:hAnsi="Times New Roman" w:cs="Times New Roman" w:eastAsia="Times New Roman" w:hint="default"/>
                <w:sz w:val="16"/>
                <w:szCs w:val="16"/>
              </w:rPr>
            </w:pPr>
            <w:r>
              <w:rPr>
                <w:rFonts w:ascii="Times New Roman"/>
                <w:sz w:val="16"/>
              </w:rPr>
              <w:t>1,797,011.96</w:t>
            </w:r>
          </w:p>
        </w:tc>
        <w:tc>
          <w:tcPr>
            <w:tcW w:w="1224"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r>
      <w:tr>
        <w:trPr>
          <w:trHeight w:val="242"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96" w:right="0"/>
              <w:jc w:val="left"/>
              <w:rPr>
                <w:rFonts w:ascii="Times New Roman" w:hAnsi="Times New Roman" w:cs="Times New Roman" w:eastAsia="Times New Roman" w:hint="default"/>
                <w:sz w:val="16"/>
                <w:szCs w:val="16"/>
              </w:rPr>
            </w:pPr>
            <w:r>
              <w:rPr>
                <w:rFonts w:ascii="Times New Roman"/>
                <w:sz w:val="16"/>
              </w:rPr>
              <w:t>221,229,178.29</w:t>
            </w:r>
          </w:p>
        </w:tc>
        <w:tc>
          <w:tcPr>
            <w:tcW w:w="720"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50" w:right="0"/>
              <w:jc w:val="left"/>
              <w:rPr>
                <w:rFonts w:ascii="Times New Roman" w:hAnsi="Times New Roman" w:cs="Times New Roman" w:eastAsia="Times New Roman" w:hint="default"/>
                <w:sz w:val="16"/>
                <w:szCs w:val="16"/>
              </w:rPr>
            </w:pPr>
            <w:r>
              <w:rPr>
                <w:rFonts w:ascii="Times New Roman"/>
                <w:sz w:val="16"/>
              </w:rPr>
              <w:t>61,373,858.00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91" w:right="0"/>
              <w:jc w:val="left"/>
              <w:rPr>
                <w:rFonts w:ascii="Times New Roman" w:hAnsi="Times New Roman" w:cs="Times New Roman" w:eastAsia="Times New Roman" w:hint="default"/>
                <w:sz w:val="16"/>
                <w:szCs w:val="16"/>
              </w:rPr>
            </w:pPr>
            <w:r>
              <w:rPr>
                <w:rFonts w:ascii="Times New Roman"/>
                <w:sz w:val="16"/>
              </w:rPr>
              <w:t>17,807,236.77</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23" w:right="0"/>
              <w:jc w:val="left"/>
              <w:rPr>
                <w:rFonts w:ascii="Times New Roman" w:hAnsi="Times New Roman" w:cs="Times New Roman" w:eastAsia="Times New Roman" w:hint="default"/>
                <w:sz w:val="16"/>
                <w:szCs w:val="16"/>
              </w:rPr>
            </w:pPr>
            <w:r>
              <w:rPr>
                <w:rFonts w:ascii="Times New Roman"/>
                <w:sz w:val="16"/>
              </w:rPr>
              <w:t>-498,035.44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68" w:right="0"/>
              <w:jc w:val="left"/>
              <w:rPr>
                <w:rFonts w:ascii="Times New Roman" w:hAnsi="Times New Roman" w:cs="Times New Roman" w:eastAsia="Times New Roman" w:hint="default"/>
                <w:sz w:val="16"/>
                <w:szCs w:val="16"/>
              </w:rPr>
            </w:pPr>
            <w:r>
              <w:rPr>
                <w:rFonts w:ascii="Times New Roman"/>
                <w:sz w:val="16"/>
              </w:rPr>
              <w:t>1,684,800.00</w:t>
            </w:r>
          </w:p>
        </w:tc>
        <w:tc>
          <w:tcPr>
            <w:tcW w:w="120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10" w:right="0"/>
              <w:jc w:val="left"/>
              <w:rPr>
                <w:rFonts w:ascii="Times New Roman" w:hAnsi="Times New Roman" w:cs="Times New Roman" w:eastAsia="Times New Roman" w:hint="default"/>
                <w:sz w:val="16"/>
                <w:szCs w:val="16"/>
              </w:rPr>
            </w:pPr>
            <w:r>
              <w:rPr>
                <w:rFonts w:ascii="Times New Roman"/>
                <w:sz w:val="16"/>
              </w:rPr>
              <w:t>175,479,721.62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8"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96" w:right="0"/>
              <w:jc w:val="left"/>
              <w:rPr>
                <w:rFonts w:ascii="Times New Roman" w:hAnsi="Times New Roman" w:cs="Times New Roman" w:eastAsia="Times New Roman" w:hint="default"/>
                <w:sz w:val="16"/>
                <w:szCs w:val="16"/>
              </w:rPr>
            </w:pPr>
            <w:r>
              <w:rPr>
                <w:rFonts w:ascii="Times New Roman"/>
                <w:sz w:val="16"/>
              </w:rPr>
              <w:t>221,229,178.29</w:t>
            </w:r>
          </w:p>
        </w:tc>
        <w:tc>
          <w:tcPr>
            <w:tcW w:w="720"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50" w:right="0"/>
              <w:jc w:val="left"/>
              <w:rPr>
                <w:rFonts w:ascii="Times New Roman" w:hAnsi="Times New Roman" w:cs="Times New Roman" w:eastAsia="Times New Roman" w:hint="default"/>
                <w:sz w:val="16"/>
                <w:szCs w:val="16"/>
              </w:rPr>
            </w:pPr>
            <w:r>
              <w:rPr>
                <w:rFonts w:ascii="Times New Roman"/>
                <w:sz w:val="16"/>
              </w:rPr>
              <w:t>61,373,858.00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91" w:right="0"/>
              <w:jc w:val="left"/>
              <w:rPr>
                <w:rFonts w:ascii="Times New Roman" w:hAnsi="Times New Roman" w:cs="Times New Roman" w:eastAsia="Times New Roman" w:hint="default"/>
                <w:sz w:val="16"/>
                <w:szCs w:val="16"/>
              </w:rPr>
            </w:pPr>
            <w:r>
              <w:rPr>
                <w:rFonts w:ascii="Times New Roman"/>
                <w:sz w:val="16"/>
              </w:rPr>
              <w:t>17,807,236.77</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23" w:right="0"/>
              <w:jc w:val="left"/>
              <w:rPr>
                <w:rFonts w:ascii="Times New Roman" w:hAnsi="Times New Roman" w:cs="Times New Roman" w:eastAsia="Times New Roman" w:hint="default"/>
                <w:sz w:val="16"/>
                <w:szCs w:val="16"/>
              </w:rPr>
            </w:pPr>
            <w:r>
              <w:rPr>
                <w:rFonts w:ascii="Times New Roman"/>
                <w:sz w:val="16"/>
              </w:rPr>
              <w:t>-498,035.44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68" w:right="0"/>
              <w:jc w:val="left"/>
              <w:rPr>
                <w:rFonts w:ascii="Times New Roman" w:hAnsi="Times New Roman" w:cs="Times New Roman" w:eastAsia="Times New Roman" w:hint="default"/>
                <w:sz w:val="16"/>
                <w:szCs w:val="16"/>
              </w:rPr>
            </w:pPr>
            <w:r>
              <w:rPr>
                <w:rFonts w:ascii="Times New Roman"/>
                <w:sz w:val="16"/>
              </w:rPr>
              <w:t>1,684,800.00</w:t>
            </w:r>
          </w:p>
        </w:tc>
        <w:tc>
          <w:tcPr>
            <w:tcW w:w="120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10" w:right="0"/>
              <w:jc w:val="left"/>
              <w:rPr>
                <w:rFonts w:ascii="Times New Roman" w:hAnsi="Times New Roman" w:cs="Times New Roman" w:eastAsia="Times New Roman" w:hint="default"/>
                <w:sz w:val="16"/>
                <w:szCs w:val="16"/>
              </w:rPr>
            </w:pPr>
            <w:r>
              <w:rPr>
                <w:rFonts w:ascii="Times New Roman"/>
                <w:sz w:val="16"/>
              </w:rPr>
              <w:t>175,479,721.62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bl>
    <w:p>
      <w:pPr>
        <w:pStyle w:val="Heading3"/>
        <w:spacing w:line="274" w:lineRule="exact"/>
        <w:ind w:left="224" w:right="0"/>
        <w:jc w:val="left"/>
        <w:rPr>
          <w:rFonts w:ascii="宋体" w:hAnsi="宋体" w:cs="宋体" w:eastAsia="宋体" w:hint="default"/>
        </w:rPr>
      </w:pPr>
      <w:r>
        <w:rPr>
          <w:rFonts w:ascii="宋体"/>
        </w:rPr>
        <w:t> </w:t>
      </w:r>
    </w:p>
    <w:p>
      <w:pPr>
        <w:spacing w:line="230" w:lineRule="exact" w:before="5"/>
        <w:ind w:left="224" w:right="0" w:firstLine="0"/>
        <w:jc w:val="left"/>
        <w:rPr>
          <w:rFonts w:ascii="宋体" w:hAnsi="宋体" w:cs="宋体" w:eastAsia="宋体" w:hint="default"/>
          <w:sz w:val="18"/>
          <w:szCs w:val="18"/>
        </w:rPr>
      </w:pPr>
      <w:r>
        <w:rPr>
          <w:rFonts w:ascii="宋体" w:hAnsi="宋体" w:cs="宋体" w:eastAsia="宋体" w:hint="default"/>
          <w:sz w:val="18"/>
          <w:szCs w:val="18"/>
        </w:rPr>
        <w:t>注：上海朋迈能源科技有限公司减少投资系母公司将其持有股权转让给子公司广东泰豪能源科技有限公司，由母公司联营企业变更为子公司联营企业。</w:t>
      </w:r>
    </w:p>
    <w:p>
      <w:pPr>
        <w:pStyle w:val="Heading3"/>
        <w:spacing w:line="310" w:lineRule="exact" w:before="27"/>
        <w:ind w:left="224" w:right="0"/>
        <w:jc w:val="left"/>
        <w:rPr>
          <w:rFonts w:ascii="宋体" w:hAnsi="宋体" w:cs="宋体" w:eastAsia="宋体" w:hint="default"/>
        </w:rPr>
      </w:pPr>
      <w:r>
        <w:rPr>
          <w:rFonts w:ascii="宋体" w:hAnsi="宋体" w:cs="宋体" w:eastAsia="宋体" w:hint="default"/>
        </w:rPr>
        <w:t>  </w:t>
      </w:r>
      <w:r>
        <w:rPr/>
        <w:t>其他说明：</w:t>
      </w:r>
      <w:r>
        <w:rPr>
          <w:rFonts w:ascii="宋体" w:hAnsi="宋体" w:cs="宋体" w:eastAsia="宋体" w:hint="default"/>
        </w:rPr>
        <w:t> </w:t>
      </w:r>
    </w:p>
    <w:p>
      <w:pPr>
        <w:pStyle w:val="Heading3"/>
        <w:spacing w:line="283" w:lineRule="exact"/>
        <w:ind w:left="224" w:right="0"/>
        <w:jc w:val="left"/>
        <w:rPr>
          <w:rFonts w:ascii="宋体" w:hAnsi="宋体" w:cs="宋体" w:eastAsia="宋体" w:hint="default"/>
        </w:rPr>
      </w:pPr>
      <w:r>
        <w:rPr>
          <w:rFonts w:ascii="宋体"/>
        </w:rPr>
        <w:t> </w:t>
      </w:r>
    </w:p>
    <w:p>
      <w:pPr>
        <w:pStyle w:val="Heading3"/>
        <w:spacing w:line="313" w:lineRule="exact"/>
        <w:ind w:left="224" w:right="0"/>
        <w:jc w:val="left"/>
        <w:rPr>
          <w:rFonts w:ascii="宋体" w:hAnsi="宋体" w:cs="宋体" w:eastAsia="宋体" w:hint="default"/>
        </w:rPr>
      </w:pPr>
      <w:r>
        <w:rPr>
          <w:rFonts w:ascii="宋体"/>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63"/>
        <w:ind w:left="6476" w:right="6475" w:firstLine="0"/>
        <w:jc w:val="center"/>
        <w:rPr>
          <w:rFonts w:ascii="Calibri" w:hAnsi="Calibri" w:cs="Calibri" w:eastAsia="Calibri" w:hint="default"/>
          <w:sz w:val="18"/>
          <w:szCs w:val="18"/>
        </w:rPr>
      </w:pPr>
      <w:r>
        <w:rPr>
          <w:rFonts w:ascii="Calibri"/>
          <w:b/>
          <w:sz w:val="18"/>
        </w:rPr>
        <w:t>202 </w:t>
      </w:r>
      <w:r>
        <w:rPr>
          <w:rFonts w:ascii="Calibri"/>
          <w:sz w:val="18"/>
        </w:rPr>
        <w:t>/</w:t>
      </w:r>
      <w:r>
        <w:rPr>
          <w:rFonts w:ascii="Calibri"/>
          <w:spacing w:val="-5"/>
          <w:sz w:val="18"/>
        </w:rPr>
        <w:t> </w:t>
      </w:r>
      <w:r>
        <w:rPr>
          <w:rFonts w:ascii="Calibri"/>
          <w:b/>
          <w:sz w:val="18"/>
        </w:rPr>
        <w:t>205</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220"/>
        </w:sectPr>
      </w:pPr>
    </w:p>
    <w:p>
      <w:pPr>
        <w:spacing w:line="240" w:lineRule="auto" w:before="11"/>
        <w:rPr>
          <w:rFonts w:ascii="Calibri" w:hAnsi="Calibri" w:cs="Calibri" w:eastAsia="Calibri" w:hint="default"/>
          <w:b/>
          <w:bCs/>
          <w:sz w:val="24"/>
          <w:szCs w:val="24"/>
        </w:rPr>
      </w:pPr>
    </w:p>
    <w:p>
      <w:pPr>
        <w:spacing w:after="0" w:line="240" w:lineRule="auto"/>
        <w:rPr>
          <w:rFonts w:ascii="Calibri" w:hAnsi="Calibri" w:cs="Calibri" w:eastAsia="Calibri" w:hint="default"/>
          <w:sz w:val="24"/>
          <w:szCs w:val="24"/>
        </w:rPr>
        <w:sectPr>
          <w:footerReference w:type="default" r:id="rId89"/>
          <w:pgSz w:w="11910" w:h="16840"/>
          <w:pgMar w:footer="1195" w:header="0" w:top="1120" w:bottom="1380" w:left="1020" w:right="1540"/>
          <w:pgNumType w:start="203"/>
        </w:sectPr>
      </w:pPr>
    </w:p>
    <w:p>
      <w:pPr>
        <w:pStyle w:val="Heading5"/>
        <w:spacing w:line="240" w:lineRule="auto" w:before="36"/>
        <w:ind w:left="256" w:right="0"/>
        <w:jc w:val="left"/>
        <w:rPr>
          <w:b w:val="0"/>
          <w:bCs w:val="0"/>
        </w:rPr>
      </w:pPr>
      <w:r>
        <w:rPr>
          <w:rFonts w:ascii="宋体" w:hAnsi="宋体" w:cs="宋体" w:eastAsia="宋体" w:hint="default"/>
        </w:rPr>
        <w:t>4</w:t>
      </w:r>
      <w:r>
        <w:rPr/>
        <w:t>、 营业收入和营业成本</w:t>
      </w:r>
      <w:r>
        <w:rPr>
          <w:b w:val="0"/>
          <w:bCs w:val="0"/>
        </w:rPr>
      </w:r>
    </w:p>
    <w:p>
      <w:pPr>
        <w:pStyle w:val="Heading5"/>
        <w:spacing w:line="240" w:lineRule="auto" w:before="56"/>
        <w:ind w:left="25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5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5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20" w:right="1540"/>
          <w:cols w:num="2" w:equalWidth="0">
            <w:col w:w="3210" w:space="3312"/>
            <w:col w:w="2828"/>
          </w:cols>
        </w:sectPr>
      </w:pPr>
    </w:p>
    <w:p>
      <w:pPr>
        <w:spacing w:line="240" w:lineRule="auto" w:before="7"/>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2585"/>
        <w:gridCol w:w="1616"/>
        <w:gridCol w:w="1618"/>
        <w:gridCol w:w="1615"/>
        <w:gridCol w:w="1616"/>
      </w:tblGrid>
      <w:tr>
        <w:trPr>
          <w:trHeight w:val="322" w:hRule="exact"/>
        </w:trPr>
        <w:tc>
          <w:tcPr>
            <w:tcW w:w="2585" w:type="dxa"/>
            <w:vMerge w:val="restart"/>
            <w:tcBorders>
              <w:top w:val="single" w:sz="4" w:space="0" w:color="000000"/>
              <w:left w:val="single" w:sz="4" w:space="0" w:color="000000"/>
              <w:right w:val="single" w:sz="4" w:space="0" w:color="000000"/>
            </w:tcBorders>
          </w:tcPr>
          <w:p>
            <w:pPr>
              <w:pStyle w:val="TableParagraph"/>
              <w:spacing w:line="240" w:lineRule="auto" w:before="120"/>
              <w:ind w:left="118"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3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11" w:right="0"/>
              <w:jc w:val="left"/>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c>
          <w:tcPr>
            <w:tcW w:w="32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8" w:right="0"/>
              <w:jc w:val="left"/>
              <w:rPr>
                <w:rFonts w:ascii="宋体" w:hAnsi="宋体" w:cs="宋体" w:eastAsia="宋体" w:hint="default"/>
                <w:sz w:val="24"/>
                <w:szCs w:val="24"/>
              </w:rPr>
            </w:pPr>
            <w:r>
              <w:rPr>
                <w:rFonts w:ascii="宋体" w:hAnsi="宋体" w:cs="宋体" w:eastAsia="宋体" w:hint="default"/>
                <w:sz w:val="24"/>
                <w:szCs w:val="24"/>
              </w:rPr>
              <w:t>上期发生额</w:t>
            </w:r>
            <w:r>
              <w:rPr>
                <w:rFonts w:ascii="宋体" w:hAnsi="宋体" w:cs="宋体" w:eastAsia="宋体" w:hint="default"/>
                <w:sz w:val="24"/>
                <w:szCs w:val="24"/>
              </w:rPr>
              <w:t> </w:t>
            </w:r>
          </w:p>
        </w:tc>
      </w:tr>
      <w:tr>
        <w:trPr>
          <w:trHeight w:val="322" w:hRule="exact"/>
        </w:trPr>
        <w:tc>
          <w:tcPr>
            <w:tcW w:w="2585" w:type="dxa"/>
            <w:vMerge/>
            <w:tcBorders>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62" w:right="0"/>
              <w:jc w:val="left"/>
              <w:rPr>
                <w:rFonts w:ascii="宋体" w:hAnsi="宋体" w:cs="宋体" w:eastAsia="宋体" w:hint="default"/>
                <w:sz w:val="24"/>
                <w:szCs w:val="24"/>
              </w:rPr>
            </w:pPr>
            <w:r>
              <w:rPr>
                <w:rFonts w:ascii="宋体" w:hAnsi="宋体" w:cs="宋体" w:eastAsia="宋体" w:hint="default"/>
                <w:sz w:val="24"/>
                <w:szCs w:val="24"/>
              </w:rPr>
              <w:t>收入</w:t>
            </w:r>
            <w:r>
              <w:rPr>
                <w:rFonts w:ascii="宋体" w:hAnsi="宋体" w:cs="宋体" w:eastAsia="宋体" w:hint="default"/>
                <w:sz w:val="24"/>
                <w:szCs w:val="24"/>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61" w:right="0"/>
              <w:jc w:val="left"/>
              <w:rPr>
                <w:rFonts w:ascii="宋体" w:hAnsi="宋体" w:cs="宋体" w:eastAsia="宋体" w:hint="default"/>
                <w:sz w:val="24"/>
                <w:szCs w:val="24"/>
              </w:rPr>
            </w:pPr>
            <w:r>
              <w:rPr>
                <w:rFonts w:ascii="宋体" w:hAnsi="宋体" w:cs="宋体" w:eastAsia="宋体" w:hint="default"/>
                <w:sz w:val="24"/>
                <w:szCs w:val="24"/>
              </w:rPr>
              <w:t>成本</w:t>
            </w:r>
            <w:r>
              <w:rPr>
                <w:rFonts w:ascii="宋体" w:hAnsi="宋体" w:cs="宋体" w:eastAsia="宋体" w:hint="default"/>
                <w:sz w:val="24"/>
                <w:szCs w:val="24"/>
              </w:rPr>
              <w:t> </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59" w:right="0"/>
              <w:jc w:val="left"/>
              <w:rPr>
                <w:rFonts w:ascii="宋体" w:hAnsi="宋体" w:cs="宋体" w:eastAsia="宋体" w:hint="default"/>
                <w:sz w:val="24"/>
                <w:szCs w:val="24"/>
              </w:rPr>
            </w:pPr>
            <w:r>
              <w:rPr>
                <w:rFonts w:ascii="宋体" w:hAnsi="宋体" w:cs="宋体" w:eastAsia="宋体" w:hint="default"/>
                <w:sz w:val="24"/>
                <w:szCs w:val="24"/>
              </w:rPr>
              <w:t>收入</w:t>
            </w:r>
            <w:r>
              <w:rPr>
                <w:rFonts w:ascii="宋体" w:hAnsi="宋体" w:cs="宋体" w:eastAsia="宋体" w:hint="default"/>
                <w:sz w:val="24"/>
                <w:szCs w:val="24"/>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62" w:right="0"/>
              <w:jc w:val="left"/>
              <w:rPr>
                <w:rFonts w:ascii="宋体" w:hAnsi="宋体" w:cs="宋体" w:eastAsia="宋体" w:hint="default"/>
                <w:sz w:val="24"/>
                <w:szCs w:val="24"/>
              </w:rPr>
            </w:pPr>
            <w:r>
              <w:rPr>
                <w:rFonts w:ascii="宋体" w:hAnsi="宋体" w:cs="宋体" w:eastAsia="宋体" w:hint="default"/>
                <w:sz w:val="24"/>
                <w:szCs w:val="24"/>
              </w:rPr>
              <w:t>成本</w:t>
            </w:r>
            <w:r>
              <w:rPr>
                <w:rFonts w:ascii="宋体" w:hAnsi="宋体" w:cs="宋体" w:eastAsia="宋体" w:hint="default"/>
                <w:sz w:val="24"/>
                <w:szCs w:val="24"/>
              </w:rPr>
              <w:t> </w:t>
            </w:r>
          </w:p>
        </w:tc>
      </w:tr>
      <w:tr>
        <w:trPr>
          <w:trHeight w:val="281"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spacing w:val="-1"/>
                <w:sz w:val="20"/>
              </w:rPr>
              <w:t>1,983,310,408.87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5"/>
              <w:jc w:val="right"/>
              <w:rPr>
                <w:rFonts w:ascii="Times New Roman" w:hAnsi="Times New Roman" w:cs="Times New Roman" w:eastAsia="Times New Roman" w:hint="default"/>
                <w:sz w:val="20"/>
                <w:szCs w:val="20"/>
              </w:rPr>
            </w:pPr>
            <w:r>
              <w:rPr>
                <w:rFonts w:ascii="Times New Roman"/>
                <w:spacing w:val="-1"/>
                <w:sz w:val="20"/>
              </w:rPr>
              <w:t>1,798,317,716.81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spacing w:val="-1"/>
                <w:sz w:val="20"/>
              </w:rPr>
              <w:t>1,618,200,884.98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spacing w:val="-1"/>
                <w:sz w:val="20"/>
              </w:rPr>
              <w:t>1,334,670,758.21</w:t>
            </w:r>
          </w:p>
        </w:tc>
      </w:tr>
      <w:tr>
        <w:trPr>
          <w:trHeight w:val="28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39,549,182.33</w:t>
            </w:r>
            <w:r>
              <w:rPr>
                <w:rFonts w:ascii="Times New Roman"/>
                <w:sz w:val="20"/>
              </w:rPr>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628,679.63</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38,719,408.00</w:t>
            </w:r>
            <w:r>
              <w:rPr>
                <w:rFonts w:ascii="Times New Roman"/>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1,148,318.20</w:t>
            </w:r>
            <w:r>
              <w:rPr>
                <w:rFonts w:ascii="Times New Roman"/>
                <w:sz w:val="20"/>
              </w:rPr>
            </w:r>
          </w:p>
        </w:tc>
      </w:tr>
      <w:tr>
        <w:trPr>
          <w:trHeight w:val="322"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8"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spacing w:val="-1"/>
                <w:sz w:val="20"/>
              </w:rPr>
              <w:t>2,022,859,591.20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5"/>
              <w:jc w:val="right"/>
              <w:rPr>
                <w:rFonts w:ascii="Times New Roman" w:hAnsi="Times New Roman" w:cs="Times New Roman" w:eastAsia="Times New Roman" w:hint="default"/>
                <w:sz w:val="20"/>
                <w:szCs w:val="20"/>
              </w:rPr>
            </w:pPr>
            <w:r>
              <w:rPr>
                <w:rFonts w:ascii="Times New Roman"/>
                <w:spacing w:val="-1"/>
                <w:sz w:val="20"/>
              </w:rPr>
              <w:t>1,798,946,396.44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spacing w:val="-1"/>
                <w:sz w:val="20"/>
              </w:rPr>
              <w:t>1,656,920,292.98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spacing w:val="-1"/>
                <w:sz w:val="20"/>
              </w:rPr>
              <w:t>1,335,819,076.41</w:t>
            </w:r>
          </w:p>
        </w:tc>
      </w:tr>
    </w:tbl>
    <w:p>
      <w:pPr>
        <w:spacing w:line="240" w:lineRule="auto" w:before="6"/>
        <w:rPr>
          <w:rFonts w:ascii="宋体" w:hAnsi="宋体" w:cs="宋体" w:eastAsia="宋体" w:hint="default"/>
          <w:sz w:val="13"/>
          <w:szCs w:val="13"/>
        </w:rPr>
      </w:pPr>
    </w:p>
    <w:p>
      <w:pPr>
        <w:pStyle w:val="Heading3"/>
        <w:spacing w:line="283" w:lineRule="auto" w:before="26"/>
        <w:ind w:left="256" w:right="0"/>
        <w:jc w:val="left"/>
        <w:rPr>
          <w:rFonts w:ascii="宋体" w:hAnsi="宋体" w:cs="宋体" w:eastAsia="宋体" w:hint="default"/>
        </w:rPr>
      </w:pPr>
      <w:r>
        <w:rPr>
          <w:rFonts w:ascii="宋体" w:hAnsi="宋体" w:cs="宋体" w:eastAsia="宋体" w:hint="default"/>
        </w:rPr>
        <w:t>  </w:t>
      </w:r>
      <w:r>
        <w:rPr/>
        <w:t>其他说明：</w:t>
      </w:r>
      <w:r>
        <w:rPr>
          <w:rFonts w:ascii="宋体" w:hAnsi="宋体" w:cs="宋体" w:eastAsia="宋体" w:hint="default"/>
        </w:rPr>
        <w:t> </w:t>
      </w:r>
    </w:p>
    <w:p>
      <w:pPr>
        <w:spacing w:line="240" w:lineRule="auto" w:before="3"/>
        <w:rPr>
          <w:rFonts w:ascii="宋体" w:hAnsi="宋体" w:cs="宋体" w:eastAsia="宋体" w:hint="default"/>
          <w:sz w:val="4"/>
          <w:szCs w:val="4"/>
        </w:rPr>
      </w:pPr>
    </w:p>
    <w:tbl>
      <w:tblPr>
        <w:tblW w:w="0" w:type="auto"/>
        <w:jc w:val="left"/>
        <w:tblInd w:w="119" w:type="dxa"/>
        <w:tblLayout w:type="fixed"/>
        <w:tblCellMar>
          <w:top w:w="0" w:type="dxa"/>
          <w:left w:w="0" w:type="dxa"/>
          <w:bottom w:w="0" w:type="dxa"/>
          <w:right w:w="0" w:type="dxa"/>
        </w:tblCellMar>
        <w:tblLook w:val="01E0"/>
      </w:tblPr>
      <w:tblGrid>
        <w:gridCol w:w="2105"/>
        <w:gridCol w:w="1822"/>
        <w:gridCol w:w="1680"/>
        <w:gridCol w:w="1709"/>
        <w:gridCol w:w="1748"/>
      </w:tblGrid>
      <w:tr>
        <w:trPr>
          <w:trHeight w:val="363" w:hRule="exact"/>
        </w:trPr>
        <w:tc>
          <w:tcPr>
            <w:tcW w:w="2105"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7"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503" w:type="dxa"/>
            <w:gridSpan w:val="2"/>
            <w:tcBorders>
              <w:top w:val="single" w:sz="12" w:space="0" w:color="000000"/>
              <w:left w:val="single" w:sz="4" w:space="0" w:color="000000"/>
              <w:bottom w:val="single" w:sz="6" w:space="0" w:color="000000"/>
              <w:right w:val="single" w:sz="4" w:space="0" w:color="000000"/>
            </w:tcBorders>
          </w:tcPr>
          <w:p>
            <w:pPr>
              <w:pStyle w:val="TableParagraph"/>
              <w:spacing w:line="240" w:lineRule="auto" w:before="25"/>
              <w:ind w:left="85" w:right="0"/>
              <w:jc w:val="center"/>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3456" w:type="dxa"/>
            <w:gridSpan w:val="2"/>
            <w:tcBorders>
              <w:top w:val="single" w:sz="12" w:space="0" w:color="000000"/>
              <w:left w:val="single" w:sz="4" w:space="0" w:color="000000"/>
              <w:bottom w:val="single" w:sz="6" w:space="0" w:color="000000"/>
              <w:right w:val="nil" w:sz="6" w:space="0" w:color="auto"/>
            </w:tcBorders>
          </w:tcPr>
          <w:p>
            <w:pPr>
              <w:pStyle w:val="TableParagraph"/>
              <w:spacing w:line="240" w:lineRule="auto" w:before="25"/>
              <w:ind w:left="82" w:right="0"/>
              <w:jc w:val="center"/>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r>
      <w:tr>
        <w:trPr>
          <w:trHeight w:val="353" w:hRule="exact"/>
        </w:trPr>
        <w:tc>
          <w:tcPr>
            <w:tcW w:w="2105" w:type="dxa"/>
            <w:vMerge/>
            <w:tcBorders>
              <w:left w:val="nil" w:sz="6" w:space="0" w:color="auto"/>
              <w:bottom w:val="single" w:sz="4" w:space="0" w:color="000000"/>
              <w:right w:val="single" w:sz="4" w:space="0" w:color="000000"/>
            </w:tcBorders>
          </w:tcPr>
          <w:p>
            <w:pPr/>
          </w:p>
        </w:tc>
        <w:tc>
          <w:tcPr>
            <w:tcW w:w="1822"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25"/>
              <w:ind w:left="90" w:right="0"/>
              <w:jc w:val="center"/>
              <w:rPr>
                <w:rFonts w:ascii="宋体" w:hAnsi="宋体" w:cs="宋体" w:eastAsia="宋体" w:hint="default"/>
                <w:sz w:val="18"/>
                <w:szCs w:val="18"/>
              </w:rPr>
            </w:pPr>
            <w:r>
              <w:rPr>
                <w:rFonts w:ascii="宋体" w:hAnsi="宋体" w:cs="宋体" w:eastAsia="宋体" w:hint="default"/>
                <w:sz w:val="18"/>
                <w:szCs w:val="18"/>
              </w:rPr>
              <w:t>收入</w:t>
            </w:r>
            <w:r>
              <w:rPr>
                <w:rFonts w:ascii="宋体" w:hAnsi="宋体" w:cs="宋体" w:eastAsia="宋体" w:hint="default"/>
                <w:sz w:val="18"/>
                <w:szCs w:val="18"/>
              </w:rPr>
              <w:t> </w:t>
            </w:r>
          </w:p>
        </w:tc>
        <w:tc>
          <w:tcPr>
            <w:tcW w:w="1680"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25"/>
              <w:ind w:left="82" w:right="0"/>
              <w:jc w:val="center"/>
              <w:rPr>
                <w:rFonts w:ascii="宋体" w:hAnsi="宋体" w:cs="宋体" w:eastAsia="宋体" w:hint="default"/>
                <w:sz w:val="18"/>
                <w:szCs w:val="18"/>
              </w:rPr>
            </w:pPr>
            <w:r>
              <w:rPr>
                <w:rFonts w:ascii="宋体" w:hAnsi="宋体" w:cs="宋体" w:eastAsia="宋体" w:hint="default"/>
                <w:sz w:val="18"/>
                <w:szCs w:val="18"/>
              </w:rPr>
              <w:t>成本</w:t>
            </w:r>
            <w:r>
              <w:rPr>
                <w:rFonts w:ascii="宋体" w:hAnsi="宋体" w:cs="宋体" w:eastAsia="宋体" w:hint="default"/>
                <w:sz w:val="18"/>
                <w:szCs w:val="18"/>
              </w:rPr>
              <w:t> </w:t>
            </w:r>
          </w:p>
        </w:tc>
        <w:tc>
          <w:tcPr>
            <w:tcW w:w="1709"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z w:val="18"/>
                <w:szCs w:val="18"/>
              </w:rPr>
              <w:t>收入</w:t>
            </w:r>
            <w:r>
              <w:rPr>
                <w:rFonts w:ascii="宋体" w:hAnsi="宋体" w:cs="宋体" w:eastAsia="宋体" w:hint="default"/>
                <w:sz w:val="18"/>
                <w:szCs w:val="18"/>
              </w:rPr>
              <w:t> </w:t>
            </w:r>
          </w:p>
        </w:tc>
        <w:tc>
          <w:tcPr>
            <w:tcW w:w="1748"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25"/>
              <w:ind w:left="83" w:right="0"/>
              <w:jc w:val="center"/>
              <w:rPr>
                <w:rFonts w:ascii="宋体" w:hAnsi="宋体" w:cs="宋体" w:eastAsia="宋体" w:hint="default"/>
                <w:sz w:val="18"/>
                <w:szCs w:val="18"/>
              </w:rPr>
            </w:pPr>
            <w:r>
              <w:rPr>
                <w:rFonts w:ascii="宋体" w:hAnsi="宋体" w:cs="宋体" w:eastAsia="宋体" w:hint="default"/>
                <w:sz w:val="18"/>
                <w:szCs w:val="18"/>
              </w:rPr>
              <w:t>成本</w:t>
            </w:r>
            <w:r>
              <w:rPr>
                <w:rFonts w:ascii="宋体" w:hAnsi="宋体" w:cs="宋体" w:eastAsia="宋体" w:hint="default"/>
                <w:sz w:val="18"/>
                <w:szCs w:val="18"/>
              </w:rPr>
              <w:t> </w:t>
            </w:r>
          </w:p>
        </w:tc>
      </w:tr>
      <w:tr>
        <w:trPr>
          <w:trHeight w:val="350" w:hRule="exact"/>
        </w:trPr>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一、主营业务小计</w:t>
            </w:r>
            <w:r>
              <w:rPr>
                <w:rFonts w:ascii="宋体" w:hAnsi="宋体" w:cs="宋体" w:eastAsia="宋体" w:hint="default"/>
                <w:sz w:val="18"/>
                <w:szCs w:val="18"/>
              </w:rPr>
              <w:t> </w:t>
            </w:r>
          </w:p>
        </w:tc>
        <w:tc>
          <w:tcPr>
            <w:tcW w:w="1822"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48"/>
              <w:ind w:right="100"/>
              <w:jc w:val="right"/>
              <w:rPr>
                <w:rFonts w:ascii="Times New Roman" w:hAnsi="Times New Roman" w:cs="Times New Roman" w:eastAsia="Times New Roman" w:hint="default"/>
                <w:sz w:val="20"/>
                <w:szCs w:val="20"/>
              </w:rPr>
            </w:pPr>
            <w:r>
              <w:rPr>
                <w:rFonts w:ascii="Times New Roman"/>
                <w:spacing w:val="-1"/>
                <w:sz w:val="20"/>
              </w:rPr>
              <w:t>1,983,310,408.87</w:t>
            </w:r>
          </w:p>
        </w:tc>
        <w:tc>
          <w:tcPr>
            <w:tcW w:w="168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8"/>
              <w:ind w:right="105"/>
              <w:jc w:val="right"/>
              <w:rPr>
                <w:rFonts w:ascii="Times New Roman" w:hAnsi="Times New Roman" w:cs="Times New Roman" w:eastAsia="Times New Roman" w:hint="default"/>
                <w:sz w:val="20"/>
                <w:szCs w:val="20"/>
              </w:rPr>
            </w:pPr>
            <w:r>
              <w:rPr>
                <w:rFonts w:ascii="Times New Roman"/>
                <w:spacing w:val="-1"/>
                <w:sz w:val="20"/>
              </w:rPr>
              <w:t>1,798,317,716.81</w:t>
            </w:r>
          </w:p>
        </w:tc>
        <w:tc>
          <w:tcPr>
            <w:tcW w:w="1709"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48"/>
              <w:ind w:right="102"/>
              <w:jc w:val="right"/>
              <w:rPr>
                <w:rFonts w:ascii="Times New Roman" w:hAnsi="Times New Roman" w:cs="Times New Roman" w:eastAsia="Times New Roman" w:hint="default"/>
                <w:sz w:val="20"/>
                <w:szCs w:val="20"/>
              </w:rPr>
            </w:pPr>
            <w:r>
              <w:rPr>
                <w:rFonts w:ascii="Times New Roman"/>
                <w:spacing w:val="-1"/>
                <w:sz w:val="20"/>
              </w:rPr>
              <w:t>1,618,200,884.98</w:t>
            </w:r>
          </w:p>
        </w:tc>
        <w:tc>
          <w:tcPr>
            <w:tcW w:w="1748"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20"/>
                <w:szCs w:val="20"/>
              </w:rPr>
            </w:pPr>
            <w:r>
              <w:rPr>
                <w:rFonts w:ascii="Times New Roman"/>
                <w:spacing w:val="-1"/>
                <w:sz w:val="20"/>
              </w:rPr>
              <w:t>1,334,670,758.21</w:t>
            </w:r>
          </w:p>
        </w:tc>
      </w:tr>
      <w:tr>
        <w:trPr>
          <w:trHeight w:val="350" w:hRule="exact"/>
        </w:trPr>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智能电源业务</w:t>
            </w:r>
          </w:p>
        </w:tc>
        <w:tc>
          <w:tcPr>
            <w:tcW w:w="1822"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48"/>
              <w:ind w:right="100"/>
              <w:jc w:val="right"/>
              <w:rPr>
                <w:rFonts w:ascii="Times New Roman" w:hAnsi="Times New Roman" w:cs="Times New Roman" w:eastAsia="Times New Roman" w:hint="default"/>
                <w:sz w:val="20"/>
                <w:szCs w:val="20"/>
              </w:rPr>
            </w:pPr>
            <w:r>
              <w:rPr>
                <w:rFonts w:ascii="Times New Roman"/>
                <w:spacing w:val="-1"/>
                <w:sz w:val="20"/>
              </w:rPr>
              <w:t>1,983,310,408.87</w:t>
            </w:r>
          </w:p>
        </w:tc>
        <w:tc>
          <w:tcPr>
            <w:tcW w:w="168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8"/>
              <w:ind w:right="105"/>
              <w:jc w:val="right"/>
              <w:rPr>
                <w:rFonts w:ascii="Times New Roman" w:hAnsi="Times New Roman" w:cs="Times New Roman" w:eastAsia="Times New Roman" w:hint="default"/>
                <w:sz w:val="20"/>
                <w:szCs w:val="20"/>
              </w:rPr>
            </w:pPr>
            <w:r>
              <w:rPr>
                <w:rFonts w:ascii="Times New Roman"/>
                <w:spacing w:val="-1"/>
                <w:sz w:val="20"/>
              </w:rPr>
              <w:t>1,798,317,716.81</w:t>
            </w:r>
          </w:p>
        </w:tc>
        <w:tc>
          <w:tcPr>
            <w:tcW w:w="1709"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48"/>
              <w:ind w:right="102"/>
              <w:jc w:val="right"/>
              <w:rPr>
                <w:rFonts w:ascii="Times New Roman" w:hAnsi="Times New Roman" w:cs="Times New Roman" w:eastAsia="Times New Roman" w:hint="default"/>
                <w:sz w:val="20"/>
                <w:szCs w:val="20"/>
              </w:rPr>
            </w:pPr>
            <w:r>
              <w:rPr>
                <w:rFonts w:ascii="Times New Roman"/>
                <w:spacing w:val="-1"/>
                <w:sz w:val="20"/>
              </w:rPr>
              <w:t>1,618,200,884.98</w:t>
            </w:r>
          </w:p>
        </w:tc>
        <w:tc>
          <w:tcPr>
            <w:tcW w:w="1748"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20"/>
                <w:szCs w:val="20"/>
              </w:rPr>
            </w:pPr>
            <w:r>
              <w:rPr>
                <w:rFonts w:ascii="Times New Roman"/>
                <w:spacing w:val="-1"/>
                <w:sz w:val="20"/>
              </w:rPr>
              <w:t>1,334,670,758.21</w:t>
            </w:r>
          </w:p>
        </w:tc>
      </w:tr>
      <w:tr>
        <w:trPr>
          <w:trHeight w:val="348" w:hRule="exact"/>
        </w:trPr>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二、其他业务小计</w:t>
            </w:r>
            <w:r>
              <w:rPr>
                <w:rFonts w:ascii="宋体" w:hAnsi="宋体" w:cs="宋体" w:eastAsia="宋体" w:hint="default"/>
                <w:sz w:val="18"/>
                <w:szCs w:val="18"/>
              </w:rPr>
              <w:t> </w:t>
            </w:r>
          </w:p>
        </w:tc>
        <w:tc>
          <w:tcPr>
            <w:tcW w:w="1822"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48"/>
              <w:ind w:right="100"/>
              <w:jc w:val="right"/>
              <w:rPr>
                <w:rFonts w:ascii="Times New Roman" w:hAnsi="Times New Roman" w:cs="Times New Roman" w:eastAsia="Times New Roman" w:hint="default"/>
                <w:sz w:val="20"/>
                <w:szCs w:val="20"/>
              </w:rPr>
            </w:pPr>
            <w:r>
              <w:rPr>
                <w:rFonts w:ascii="Times New Roman"/>
                <w:w w:val="95"/>
                <w:sz w:val="20"/>
              </w:rPr>
              <w:t>39,549,182.33</w:t>
            </w:r>
            <w:r>
              <w:rPr>
                <w:rFonts w:ascii="Times New Roman"/>
                <w:sz w:val="20"/>
              </w:rPr>
            </w:r>
          </w:p>
        </w:tc>
        <w:tc>
          <w:tcPr>
            <w:tcW w:w="168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628,679.63</w:t>
            </w:r>
            <w:r>
              <w:rPr>
                <w:rFonts w:ascii="Times New Roman"/>
                <w:sz w:val="20"/>
              </w:rPr>
            </w:r>
          </w:p>
        </w:tc>
        <w:tc>
          <w:tcPr>
            <w:tcW w:w="1709"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48"/>
              <w:ind w:right="101"/>
              <w:jc w:val="right"/>
              <w:rPr>
                <w:rFonts w:ascii="Times New Roman" w:hAnsi="Times New Roman" w:cs="Times New Roman" w:eastAsia="Times New Roman" w:hint="default"/>
                <w:sz w:val="20"/>
                <w:szCs w:val="20"/>
              </w:rPr>
            </w:pPr>
            <w:r>
              <w:rPr>
                <w:rFonts w:ascii="Times New Roman"/>
                <w:w w:val="95"/>
                <w:sz w:val="20"/>
              </w:rPr>
              <w:t>38,719,408.00</w:t>
            </w:r>
            <w:r>
              <w:rPr>
                <w:rFonts w:ascii="Times New Roman"/>
                <w:sz w:val="20"/>
              </w:rPr>
            </w:r>
          </w:p>
        </w:tc>
        <w:tc>
          <w:tcPr>
            <w:tcW w:w="1748"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20"/>
                <w:szCs w:val="20"/>
              </w:rPr>
            </w:pPr>
            <w:r>
              <w:rPr>
                <w:rFonts w:ascii="Times New Roman"/>
                <w:w w:val="95"/>
                <w:sz w:val="20"/>
              </w:rPr>
              <w:t>1,148,318.20</w:t>
            </w:r>
            <w:r>
              <w:rPr>
                <w:rFonts w:ascii="Times New Roman"/>
                <w:sz w:val="20"/>
              </w:rPr>
            </w:r>
          </w:p>
        </w:tc>
      </w:tr>
      <w:tr>
        <w:trPr>
          <w:trHeight w:val="350" w:hRule="exact"/>
        </w:trPr>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房租及物业管理</w:t>
            </w:r>
          </w:p>
        </w:tc>
        <w:tc>
          <w:tcPr>
            <w:tcW w:w="1822"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51"/>
              <w:ind w:right="100"/>
              <w:jc w:val="right"/>
              <w:rPr>
                <w:rFonts w:ascii="Times New Roman" w:hAnsi="Times New Roman" w:cs="Times New Roman" w:eastAsia="Times New Roman" w:hint="default"/>
                <w:sz w:val="20"/>
                <w:szCs w:val="20"/>
              </w:rPr>
            </w:pPr>
            <w:r>
              <w:rPr>
                <w:rFonts w:ascii="Times New Roman"/>
                <w:w w:val="95"/>
                <w:sz w:val="20"/>
              </w:rPr>
              <w:t>21,585,870.42</w:t>
            </w:r>
            <w:r>
              <w:rPr>
                <w:rFonts w:ascii="Times New Roman"/>
                <w:sz w:val="20"/>
              </w:rPr>
            </w:r>
          </w:p>
        </w:tc>
        <w:tc>
          <w:tcPr>
            <w:tcW w:w="168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1"/>
              <w:ind w:right="104"/>
              <w:jc w:val="right"/>
              <w:rPr>
                <w:rFonts w:ascii="Times New Roman" w:hAnsi="Times New Roman" w:cs="Times New Roman" w:eastAsia="Times New Roman" w:hint="default"/>
                <w:sz w:val="20"/>
                <w:szCs w:val="20"/>
              </w:rPr>
            </w:pPr>
            <w:r>
              <w:rPr>
                <w:rFonts w:ascii="Times New Roman"/>
                <w:w w:val="95"/>
                <w:sz w:val="20"/>
              </w:rPr>
              <w:t>628,679.63</w:t>
            </w:r>
            <w:r>
              <w:rPr>
                <w:rFonts w:ascii="Times New Roman"/>
                <w:sz w:val="20"/>
              </w:rPr>
            </w:r>
          </w:p>
        </w:tc>
        <w:tc>
          <w:tcPr>
            <w:tcW w:w="1709"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51"/>
              <w:ind w:right="101"/>
              <w:jc w:val="right"/>
              <w:rPr>
                <w:rFonts w:ascii="Times New Roman" w:hAnsi="Times New Roman" w:cs="Times New Roman" w:eastAsia="Times New Roman" w:hint="default"/>
                <w:sz w:val="20"/>
                <w:szCs w:val="20"/>
              </w:rPr>
            </w:pPr>
            <w:r>
              <w:rPr>
                <w:rFonts w:ascii="Times New Roman"/>
                <w:w w:val="95"/>
                <w:sz w:val="20"/>
              </w:rPr>
              <w:t>22,159,656.70</w:t>
            </w:r>
            <w:r>
              <w:rPr>
                <w:rFonts w:ascii="Times New Roman"/>
                <w:sz w:val="20"/>
              </w:rPr>
            </w:r>
          </w:p>
        </w:tc>
        <w:tc>
          <w:tcPr>
            <w:tcW w:w="1748" w:type="dxa"/>
            <w:tcBorders>
              <w:top w:val="single" w:sz="4" w:space="0" w:color="000000"/>
              <w:left w:val="single" w:sz="6" w:space="0" w:color="000000"/>
              <w:bottom w:val="single" w:sz="4" w:space="0" w:color="000000"/>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20"/>
                <w:szCs w:val="20"/>
              </w:rPr>
            </w:pPr>
            <w:r>
              <w:rPr>
                <w:rFonts w:ascii="Times New Roman"/>
                <w:w w:val="95"/>
                <w:sz w:val="20"/>
              </w:rPr>
              <w:t>1,148,318.20</w:t>
            </w:r>
            <w:r>
              <w:rPr>
                <w:rFonts w:ascii="Times New Roman"/>
                <w:sz w:val="20"/>
              </w:rPr>
            </w:r>
          </w:p>
        </w:tc>
      </w:tr>
      <w:tr>
        <w:trPr>
          <w:trHeight w:val="350" w:hRule="exact"/>
        </w:trPr>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委托贷款利息收入</w:t>
            </w:r>
          </w:p>
        </w:tc>
        <w:tc>
          <w:tcPr>
            <w:tcW w:w="1822"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48"/>
              <w:ind w:right="100"/>
              <w:jc w:val="right"/>
              <w:rPr>
                <w:rFonts w:ascii="Times New Roman" w:hAnsi="Times New Roman" w:cs="Times New Roman" w:eastAsia="Times New Roman" w:hint="default"/>
                <w:sz w:val="20"/>
                <w:szCs w:val="20"/>
              </w:rPr>
            </w:pPr>
            <w:r>
              <w:rPr>
                <w:rFonts w:ascii="Times New Roman"/>
                <w:w w:val="95"/>
                <w:sz w:val="20"/>
              </w:rPr>
              <w:t>17,913,294.93</w:t>
            </w:r>
            <w:r>
              <w:rPr>
                <w:rFonts w:ascii="Times New Roman"/>
                <w:sz w:val="20"/>
              </w:rPr>
            </w:r>
          </w:p>
        </w:tc>
        <w:tc>
          <w:tcPr>
            <w:tcW w:w="1680" w:type="dxa"/>
            <w:tcBorders>
              <w:top w:val="single" w:sz="4" w:space="0" w:color="000000"/>
              <w:left w:val="single" w:sz="6"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48"/>
              <w:ind w:right="101"/>
              <w:jc w:val="right"/>
              <w:rPr>
                <w:rFonts w:ascii="Times New Roman" w:hAnsi="Times New Roman" w:cs="Times New Roman" w:eastAsia="Times New Roman" w:hint="default"/>
                <w:sz w:val="20"/>
                <w:szCs w:val="20"/>
              </w:rPr>
            </w:pPr>
            <w:r>
              <w:rPr>
                <w:rFonts w:ascii="Times New Roman"/>
                <w:w w:val="95"/>
                <w:sz w:val="20"/>
              </w:rPr>
              <w:t>14,584,378.91</w:t>
            </w:r>
            <w:r>
              <w:rPr>
                <w:rFonts w:ascii="Times New Roman"/>
                <w:sz w:val="20"/>
              </w:rPr>
            </w:r>
          </w:p>
        </w:tc>
        <w:tc>
          <w:tcPr>
            <w:tcW w:w="1748" w:type="dxa"/>
            <w:tcBorders>
              <w:top w:val="single" w:sz="4" w:space="0" w:color="000000"/>
              <w:left w:val="single" w:sz="6" w:space="0" w:color="000000"/>
              <w:bottom w:val="single" w:sz="4" w:space="0" w:color="000000"/>
              <w:right w:val="nil" w:sz="6" w:space="0" w:color="auto"/>
            </w:tcBorders>
          </w:tcPr>
          <w:p>
            <w:pPr/>
          </w:p>
        </w:tc>
      </w:tr>
      <w:tr>
        <w:trPr>
          <w:trHeight w:val="350" w:hRule="exact"/>
        </w:trPr>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售后服务</w:t>
            </w:r>
          </w:p>
        </w:tc>
        <w:tc>
          <w:tcPr>
            <w:tcW w:w="1822" w:type="dxa"/>
            <w:tcBorders>
              <w:top w:val="single" w:sz="4" w:space="0" w:color="000000"/>
              <w:left w:val="single" w:sz="4" w:space="0" w:color="000000"/>
              <w:bottom w:val="single" w:sz="4" w:space="0" w:color="000000"/>
              <w:right w:val="single" w:sz="6" w:space="0" w:color="000000"/>
            </w:tcBorders>
          </w:tcPr>
          <w:p>
            <w:pPr/>
          </w:p>
        </w:tc>
        <w:tc>
          <w:tcPr>
            <w:tcW w:w="1680" w:type="dxa"/>
            <w:tcBorders>
              <w:top w:val="single" w:sz="4" w:space="0" w:color="000000"/>
              <w:left w:val="single" w:sz="6"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48"/>
              <w:ind w:right="101"/>
              <w:jc w:val="right"/>
              <w:rPr>
                <w:rFonts w:ascii="Times New Roman" w:hAnsi="Times New Roman" w:cs="Times New Roman" w:eastAsia="Times New Roman" w:hint="default"/>
                <w:sz w:val="20"/>
                <w:szCs w:val="20"/>
              </w:rPr>
            </w:pPr>
            <w:r>
              <w:rPr>
                <w:rFonts w:ascii="Times New Roman"/>
                <w:w w:val="95"/>
                <w:sz w:val="20"/>
              </w:rPr>
              <w:t>1,108,597.24</w:t>
            </w:r>
            <w:r>
              <w:rPr>
                <w:rFonts w:ascii="Times New Roman"/>
                <w:sz w:val="20"/>
              </w:rPr>
            </w:r>
          </w:p>
        </w:tc>
        <w:tc>
          <w:tcPr>
            <w:tcW w:w="1748" w:type="dxa"/>
            <w:tcBorders>
              <w:top w:val="single" w:sz="4" w:space="0" w:color="000000"/>
              <w:left w:val="single" w:sz="6" w:space="0" w:color="000000"/>
              <w:bottom w:val="single" w:sz="4" w:space="0" w:color="000000"/>
              <w:right w:val="nil" w:sz="6" w:space="0" w:color="auto"/>
            </w:tcBorders>
          </w:tcPr>
          <w:p>
            <w:pPr/>
          </w:p>
        </w:tc>
      </w:tr>
      <w:tr>
        <w:trPr>
          <w:trHeight w:val="350" w:hRule="exact"/>
        </w:trPr>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22"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48"/>
              <w:ind w:right="98"/>
              <w:jc w:val="right"/>
              <w:rPr>
                <w:rFonts w:ascii="Times New Roman" w:hAnsi="Times New Roman" w:cs="Times New Roman" w:eastAsia="Times New Roman" w:hint="default"/>
                <w:sz w:val="20"/>
                <w:szCs w:val="20"/>
              </w:rPr>
            </w:pPr>
            <w:r>
              <w:rPr>
                <w:rFonts w:ascii="Times New Roman"/>
                <w:w w:val="95"/>
                <w:sz w:val="20"/>
              </w:rPr>
              <w:t>50,016.98</w:t>
            </w:r>
            <w:r>
              <w:rPr>
                <w:rFonts w:ascii="Times New Roman"/>
                <w:sz w:val="20"/>
              </w:rPr>
            </w:r>
          </w:p>
        </w:tc>
        <w:tc>
          <w:tcPr>
            <w:tcW w:w="1680" w:type="dxa"/>
            <w:tcBorders>
              <w:top w:val="single" w:sz="4" w:space="0" w:color="000000"/>
              <w:left w:val="single" w:sz="6"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48"/>
              <w:ind w:right="101"/>
              <w:jc w:val="right"/>
              <w:rPr>
                <w:rFonts w:ascii="Times New Roman" w:hAnsi="Times New Roman" w:cs="Times New Roman" w:eastAsia="Times New Roman" w:hint="default"/>
                <w:sz w:val="20"/>
                <w:szCs w:val="20"/>
              </w:rPr>
            </w:pPr>
            <w:r>
              <w:rPr>
                <w:rFonts w:ascii="Times New Roman"/>
                <w:w w:val="95"/>
                <w:sz w:val="20"/>
              </w:rPr>
              <w:t>866,775.15</w:t>
            </w:r>
            <w:r>
              <w:rPr>
                <w:rFonts w:ascii="Times New Roman"/>
                <w:sz w:val="20"/>
              </w:rPr>
            </w:r>
          </w:p>
        </w:tc>
        <w:tc>
          <w:tcPr>
            <w:tcW w:w="1748" w:type="dxa"/>
            <w:tcBorders>
              <w:top w:val="single" w:sz="4" w:space="0" w:color="000000"/>
              <w:left w:val="single" w:sz="6" w:space="0" w:color="000000"/>
              <w:bottom w:val="single" w:sz="4" w:space="0" w:color="000000"/>
              <w:right w:val="nil" w:sz="6" w:space="0" w:color="auto"/>
            </w:tcBorders>
          </w:tcPr>
          <w:p>
            <w:pPr/>
          </w:p>
        </w:tc>
      </w:tr>
      <w:tr>
        <w:trPr>
          <w:trHeight w:val="360" w:hRule="exact"/>
        </w:trPr>
        <w:tc>
          <w:tcPr>
            <w:tcW w:w="210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07"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822" w:type="dxa"/>
            <w:tcBorders>
              <w:top w:val="single" w:sz="4" w:space="0" w:color="000000"/>
              <w:left w:val="single" w:sz="4" w:space="0" w:color="000000"/>
              <w:bottom w:val="single" w:sz="12" w:space="0" w:color="000000"/>
              <w:right w:val="single" w:sz="6" w:space="0" w:color="000000"/>
            </w:tcBorders>
          </w:tcPr>
          <w:p>
            <w:pPr>
              <w:pStyle w:val="TableParagraph"/>
              <w:spacing w:line="240" w:lineRule="auto" w:before="48"/>
              <w:ind w:right="100"/>
              <w:jc w:val="right"/>
              <w:rPr>
                <w:rFonts w:ascii="Times New Roman" w:hAnsi="Times New Roman" w:cs="Times New Roman" w:eastAsia="Times New Roman" w:hint="default"/>
                <w:sz w:val="20"/>
                <w:szCs w:val="20"/>
              </w:rPr>
            </w:pPr>
            <w:r>
              <w:rPr>
                <w:rFonts w:ascii="Times New Roman"/>
                <w:spacing w:val="-1"/>
                <w:sz w:val="20"/>
              </w:rPr>
              <w:t>2,022,859,591.20</w:t>
            </w:r>
          </w:p>
        </w:tc>
        <w:tc>
          <w:tcPr>
            <w:tcW w:w="1680" w:type="dxa"/>
            <w:tcBorders>
              <w:top w:val="single" w:sz="4" w:space="0" w:color="000000"/>
              <w:left w:val="single" w:sz="6" w:space="0" w:color="000000"/>
              <w:bottom w:val="single" w:sz="12" w:space="0" w:color="000000"/>
              <w:right w:val="single" w:sz="4" w:space="0" w:color="000000"/>
            </w:tcBorders>
          </w:tcPr>
          <w:p>
            <w:pPr>
              <w:pStyle w:val="TableParagraph"/>
              <w:spacing w:line="240" w:lineRule="auto" w:before="48"/>
              <w:ind w:right="105"/>
              <w:jc w:val="right"/>
              <w:rPr>
                <w:rFonts w:ascii="Times New Roman" w:hAnsi="Times New Roman" w:cs="Times New Roman" w:eastAsia="Times New Roman" w:hint="default"/>
                <w:sz w:val="20"/>
                <w:szCs w:val="20"/>
              </w:rPr>
            </w:pPr>
            <w:r>
              <w:rPr>
                <w:rFonts w:ascii="Times New Roman"/>
                <w:spacing w:val="-1"/>
                <w:sz w:val="20"/>
              </w:rPr>
              <w:t>1,798,946,396.44</w:t>
            </w:r>
          </w:p>
        </w:tc>
        <w:tc>
          <w:tcPr>
            <w:tcW w:w="1709" w:type="dxa"/>
            <w:tcBorders>
              <w:top w:val="single" w:sz="4" w:space="0" w:color="000000"/>
              <w:left w:val="single" w:sz="4" w:space="0" w:color="000000"/>
              <w:bottom w:val="single" w:sz="12" w:space="0" w:color="000000"/>
              <w:right w:val="single" w:sz="6" w:space="0" w:color="000000"/>
            </w:tcBorders>
          </w:tcPr>
          <w:p>
            <w:pPr>
              <w:pStyle w:val="TableParagraph"/>
              <w:spacing w:line="240" w:lineRule="auto" w:before="48"/>
              <w:ind w:right="102"/>
              <w:jc w:val="right"/>
              <w:rPr>
                <w:rFonts w:ascii="Times New Roman" w:hAnsi="Times New Roman" w:cs="Times New Roman" w:eastAsia="Times New Roman" w:hint="default"/>
                <w:sz w:val="20"/>
                <w:szCs w:val="20"/>
              </w:rPr>
            </w:pPr>
            <w:r>
              <w:rPr>
                <w:rFonts w:ascii="Times New Roman"/>
                <w:spacing w:val="-1"/>
                <w:sz w:val="20"/>
              </w:rPr>
              <w:t>1,656,920,292.98</w:t>
            </w:r>
          </w:p>
        </w:tc>
        <w:tc>
          <w:tcPr>
            <w:tcW w:w="1748"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20"/>
                <w:szCs w:val="20"/>
              </w:rPr>
            </w:pPr>
            <w:r>
              <w:rPr>
                <w:rFonts w:ascii="Times New Roman"/>
                <w:spacing w:val="-1"/>
                <w:sz w:val="20"/>
              </w:rPr>
              <w:t>1,335,819,076.41</w:t>
            </w:r>
          </w:p>
        </w:tc>
      </w:tr>
    </w:tbl>
    <w:p>
      <w:pPr>
        <w:spacing w:after="0" w:line="240" w:lineRule="auto"/>
        <w:jc w:val="right"/>
        <w:rPr>
          <w:rFonts w:ascii="Times New Roman" w:hAnsi="Times New Roman" w:cs="Times New Roman" w:eastAsia="Times New Roman" w:hint="default"/>
          <w:sz w:val="20"/>
          <w:szCs w:val="20"/>
        </w:rPr>
        <w:sectPr>
          <w:type w:val="continuous"/>
          <w:pgSz w:w="11910" w:h="16840"/>
          <w:pgMar w:top="1120" w:bottom="1380" w:left="1020" w:right="1540"/>
        </w:sectPr>
      </w:pPr>
    </w:p>
    <w:p>
      <w:pPr>
        <w:pStyle w:val="Heading3"/>
        <w:spacing w:line="273" w:lineRule="exact"/>
        <w:ind w:left="256" w:right="0"/>
        <w:jc w:val="left"/>
        <w:rPr>
          <w:rFonts w:ascii="宋体" w:hAnsi="宋体" w:cs="宋体" w:eastAsia="宋体" w:hint="default"/>
        </w:rPr>
      </w:pPr>
      <w:r>
        <w:rPr>
          <w:rFonts w:ascii="宋体"/>
        </w:rPr>
        <w:t> </w:t>
      </w:r>
    </w:p>
    <w:p>
      <w:pPr>
        <w:pStyle w:val="Heading3"/>
        <w:spacing w:line="313" w:lineRule="exact"/>
        <w:ind w:left="256" w:right="0"/>
        <w:jc w:val="left"/>
        <w:rPr>
          <w:rFonts w:ascii="宋体" w:hAnsi="宋体" w:cs="宋体" w:eastAsia="宋体" w:hint="default"/>
        </w:rPr>
      </w:pPr>
      <w:r>
        <w:rPr>
          <w:rFonts w:ascii="宋体"/>
        </w:rPr>
        <w:t> </w:t>
      </w:r>
    </w:p>
    <w:p>
      <w:pPr>
        <w:pStyle w:val="Heading5"/>
        <w:spacing w:line="240" w:lineRule="auto"/>
        <w:ind w:left="256" w:right="0"/>
        <w:jc w:val="left"/>
        <w:rPr>
          <w:rFonts w:ascii="宋体" w:hAnsi="宋体" w:cs="宋体" w:eastAsia="宋体" w:hint="default"/>
          <w:b w:val="0"/>
          <w:bCs w:val="0"/>
        </w:rPr>
      </w:pPr>
      <w:bookmarkStart w:name="OLE_LINK6" w:id="18"/>
      <w:bookmarkEnd w:id="18"/>
      <w:r>
        <w:rPr>
          <w:b w:val="0"/>
          <w:bCs w:val="0"/>
        </w:rPr>
      </w:r>
      <w:r>
        <w:rPr>
          <w:rFonts w:ascii="宋体" w:hAnsi="宋体" w:cs="宋体" w:eastAsia="宋体" w:hint="default"/>
        </w:rPr>
        <w:t>5</w:t>
      </w:r>
      <w:r>
        <w:rPr/>
        <w:t>、</w:t>
      </w:r>
      <w:r>
        <w:rPr>
          <w:spacing w:val="-5"/>
        </w:rPr>
        <w:t> </w:t>
      </w:r>
      <w:r>
        <w:rPr/>
        <w:t>投资收益</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0"/>
        <w:ind w:left="25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spacing w:line="240" w:lineRule="auto"/>
        <w:ind w:left="256"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color w:val="FF0000"/>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020" w:right="1540"/>
          <w:cols w:num="2" w:equalWidth="0">
            <w:col w:w="2298" w:space="4224"/>
            <w:col w:w="2828"/>
          </w:cols>
        </w:sectPr>
      </w:pPr>
    </w:p>
    <w:p>
      <w:pPr>
        <w:spacing w:line="240" w:lineRule="auto" w:before="4"/>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5812"/>
        <w:gridCol w:w="1598"/>
        <w:gridCol w:w="1640"/>
      </w:tblGrid>
      <w:tr>
        <w:trPr>
          <w:trHeight w:val="322"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2"/>
              <w:jc w:val="right"/>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5"/>
              <w:jc w:val="right"/>
              <w:rPr>
                <w:rFonts w:ascii="宋体" w:hAnsi="宋体" w:cs="宋体" w:eastAsia="宋体" w:hint="default"/>
                <w:sz w:val="24"/>
                <w:szCs w:val="24"/>
              </w:rPr>
            </w:pPr>
            <w:r>
              <w:rPr>
                <w:rFonts w:ascii="宋体" w:hAnsi="宋体" w:cs="宋体" w:eastAsia="宋体" w:hint="default"/>
                <w:sz w:val="24"/>
                <w:szCs w:val="24"/>
              </w:rPr>
              <w:t>上期发生额</w:t>
            </w:r>
            <w:r>
              <w:rPr>
                <w:rFonts w:ascii="宋体" w:hAnsi="宋体" w:cs="宋体" w:eastAsia="宋体" w:hint="default"/>
                <w:sz w:val="24"/>
                <w:szCs w:val="24"/>
              </w:rPr>
              <w:t> </w:t>
            </w:r>
          </w:p>
        </w:tc>
      </w:tr>
      <w:tr>
        <w:trPr>
          <w:trHeight w:val="283"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470,000,000.00</w:t>
            </w:r>
            <w:r>
              <w:rPr>
                <w:rFonts w:ascii="Times New Roman"/>
                <w:sz w:val="20"/>
              </w:rPr>
            </w: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17,807,236.77</w:t>
            </w:r>
            <w:r>
              <w:rPr>
                <w:rFonts w:ascii="Times New Roman"/>
                <w:sz w:val="20"/>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15,044,766.25</w:t>
            </w:r>
            <w:r>
              <w:rPr>
                <w:rFonts w:ascii="Times New Roman"/>
                <w:sz w:val="20"/>
              </w:rPr>
            </w:r>
          </w:p>
        </w:tc>
      </w:tr>
      <w:tr>
        <w:trPr>
          <w:trHeight w:val="283"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59,838,243.00</w:t>
            </w:r>
            <w:r>
              <w:rPr>
                <w:rFonts w:ascii="Times New Roman"/>
                <w:sz w:val="20"/>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-4,990,938.02</w:t>
            </w:r>
            <w:r>
              <w:rPr>
                <w:rFonts w:ascii="Times New Roman"/>
                <w:sz w:val="20"/>
              </w:rPr>
            </w:r>
          </w:p>
        </w:tc>
      </w:tr>
      <w:tr>
        <w:trPr>
          <w:trHeight w:val="554"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以公允价值计量且其变动计入当期损益的金融资产在持有期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间的投资收益</w:t>
            </w:r>
          </w:p>
        </w:tc>
        <w:tc>
          <w:tcPr>
            <w:tcW w:w="159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处置以公允价值计量且其变动计入当期损益的金融资产取得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159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159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p>
        </w:tc>
        <w:tc>
          <w:tcPr>
            <w:tcW w:w="159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可供出售金融资产在持有期间取得的投资收益</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2,645,465.33</w:t>
            </w:r>
            <w:r>
              <w:rPr>
                <w:rFonts w:ascii="Times New Roman"/>
                <w:sz w:val="20"/>
              </w:rPr>
            </w: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159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交易性金融资产在持有期间的投资收益</w:t>
            </w:r>
          </w:p>
        </w:tc>
        <w:tc>
          <w:tcPr>
            <w:tcW w:w="159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其他权益工具投资在持有期间取得的股利收入</w:t>
            </w:r>
          </w:p>
        </w:tc>
        <w:tc>
          <w:tcPr>
            <w:tcW w:w="159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债权投资在持有期间取得的利息收入</w:t>
            </w:r>
          </w:p>
        </w:tc>
        <w:tc>
          <w:tcPr>
            <w:tcW w:w="159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其他债权投资在持有期间取得的利息收入</w:t>
            </w:r>
          </w:p>
        </w:tc>
        <w:tc>
          <w:tcPr>
            <w:tcW w:w="159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159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20" w:right="154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5812"/>
        <w:gridCol w:w="1598"/>
        <w:gridCol w:w="1640"/>
      </w:tblGrid>
      <w:tr>
        <w:trPr>
          <w:trHeight w:val="283"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处置其他权益工具投资取得的投资收益</w:t>
            </w:r>
          </w:p>
        </w:tc>
        <w:tc>
          <w:tcPr>
            <w:tcW w:w="159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处置债权投资取得的投资收益</w:t>
            </w:r>
          </w:p>
        </w:tc>
        <w:tc>
          <w:tcPr>
            <w:tcW w:w="159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处置其他债权投资取得的投资收益</w:t>
            </w:r>
          </w:p>
        </w:tc>
        <w:tc>
          <w:tcPr>
            <w:tcW w:w="159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以摊余成本计量的金融资产终止确认收益</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-92,937,789.98</w:t>
            </w:r>
            <w:r>
              <w:rPr>
                <w:rFonts w:ascii="Times New Roman"/>
                <w:sz w:val="20"/>
              </w:rPr>
            </w:r>
          </w:p>
        </w:tc>
        <w:tc>
          <w:tcPr>
            <w:tcW w:w="164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-14,416,265.55</w:t>
            </w:r>
            <w:r>
              <w:rPr>
                <w:rFonts w:ascii="Times New Roman"/>
                <w:sz w:val="20"/>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11,851,511.65</w:t>
            </w:r>
            <w:r>
              <w:rPr>
                <w:rFonts w:ascii="Times New Roman"/>
                <w:sz w:val="20"/>
              </w:rPr>
            </w:r>
          </w:p>
        </w:tc>
      </w:tr>
      <w:tr>
        <w:trPr>
          <w:trHeight w:val="322" w:hRule="exact"/>
        </w:trPr>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0"/>
                <w:szCs w:val="20"/>
              </w:rPr>
            </w:pPr>
            <w:r>
              <w:rPr>
                <w:rFonts w:ascii="Times New Roman"/>
                <w:w w:val="95"/>
                <w:sz w:val="20"/>
              </w:rPr>
              <w:t>442,936,889.57</w:t>
            </w:r>
            <w:r>
              <w:rPr>
                <w:rFonts w:ascii="Times New Roman"/>
                <w:sz w:val="20"/>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0"/>
                <w:szCs w:val="20"/>
              </w:rPr>
            </w:pPr>
            <w:r>
              <w:rPr>
                <w:rFonts w:ascii="Times New Roman"/>
                <w:w w:val="95"/>
                <w:sz w:val="20"/>
              </w:rPr>
              <w:t>21,905,339.88</w:t>
            </w:r>
            <w:r>
              <w:rPr>
                <w:rFonts w:ascii="Times New Roman"/>
                <w:sz w:val="20"/>
              </w:rPr>
            </w:r>
          </w:p>
        </w:tc>
      </w:tr>
    </w:tbl>
    <w:p>
      <w:pPr>
        <w:spacing w:line="207" w:lineRule="exact" w:before="0"/>
        <w:ind w:left="216" w:right="0" w:firstLine="0"/>
        <w:jc w:val="left"/>
        <w:rPr>
          <w:rFonts w:ascii="宋体" w:hAnsi="宋体" w:cs="宋体" w:eastAsia="宋体" w:hint="default"/>
          <w:sz w:val="18"/>
          <w:szCs w:val="18"/>
        </w:rPr>
      </w:pPr>
      <w:r>
        <w:rPr>
          <w:rFonts w:ascii="宋体" w:hAnsi="宋体" w:cs="宋体" w:eastAsia="宋体" w:hint="default"/>
          <w:sz w:val="18"/>
          <w:szCs w:val="18"/>
        </w:rPr>
        <w:t>注：本科目其他项发生额主要系取得委贷收益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8,638,041.45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元及应收票据贴现款利息</w:t>
      </w:r>
      <w:r>
        <w:rPr>
          <w:rFonts w:ascii="Times New Roman" w:hAnsi="Times New Roman" w:cs="Times New Roman" w:eastAsia="Times New Roman" w:hint="default"/>
          <w:sz w:val="18"/>
          <w:szCs w:val="18"/>
        </w:rPr>
        <w:t>-22,968,181.10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Heading3"/>
        <w:spacing w:line="300" w:lineRule="exact"/>
        <w:ind w:right="0"/>
        <w:jc w:val="left"/>
        <w:rPr>
          <w:rFonts w:ascii="宋体" w:hAnsi="宋体" w:cs="宋体" w:eastAsia="宋体" w:hint="default"/>
        </w:rPr>
      </w:pPr>
      <w:r>
        <w:rPr>
          <w:rFonts w:ascii="宋体"/>
        </w:rPr>
        <w:t> </w:t>
      </w:r>
    </w:p>
    <w:p>
      <w:pPr>
        <w:pStyle w:val="Heading3"/>
        <w:spacing w:line="312" w:lineRule="exact"/>
        <w:ind w:right="0"/>
        <w:jc w:val="left"/>
        <w:rPr>
          <w:rFonts w:ascii="宋体" w:hAnsi="宋体" w:cs="宋体" w:eastAsia="宋体" w:hint="default"/>
        </w:rPr>
      </w:pPr>
      <w:r>
        <w:rPr>
          <w:rFonts w:ascii="宋体"/>
        </w:rPr>
        <w:t> </w:t>
      </w:r>
    </w:p>
    <w:p>
      <w:pPr>
        <w:pStyle w:val="Heading5"/>
        <w:spacing w:line="240" w:lineRule="auto"/>
        <w:ind w:right="0"/>
        <w:jc w:val="left"/>
        <w:rPr>
          <w:b w:val="0"/>
          <w:bCs w:val="0"/>
        </w:rPr>
      </w:pPr>
      <w:r>
        <w:rPr>
          <w:rFonts w:ascii="宋体" w:hAnsi="宋体" w:cs="宋体" w:eastAsia="宋体" w:hint="default"/>
        </w:rPr>
        <w:t>6</w:t>
      </w:r>
      <w:r>
        <w:rPr/>
        <w:t>、</w:t>
      </w:r>
      <w:r>
        <w:rPr>
          <w:spacing w:val="-3"/>
        </w:rPr>
        <w:t> </w:t>
      </w:r>
      <w:r>
        <w:rPr/>
        <w:t>其他</w:t>
      </w:r>
      <w:r>
        <w:rPr>
          <w:b w:val="0"/>
          <w:bCs w:val="0"/>
        </w:rPr>
      </w:r>
    </w:p>
    <w:p>
      <w:pPr>
        <w:pStyle w:val="Heading3"/>
        <w:spacing w:line="313" w:lineRule="exact"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40" w:lineRule="auto"/>
        <w:ind w:right="0"/>
        <w:jc w:val="left"/>
        <w:rPr>
          <w:rFonts w:ascii="宋体" w:hAnsi="宋体" w:cs="宋体" w:eastAsia="宋体" w:hint="default"/>
          <w:b w:val="0"/>
          <w:bCs w:val="0"/>
        </w:rPr>
      </w:pPr>
      <w:r>
        <w:rPr/>
        <w:t>十八、</w:t>
      </w:r>
      <w:r>
        <w:rPr>
          <w:spacing w:val="99"/>
        </w:rPr>
        <w:t> </w:t>
      </w:r>
      <w:r>
        <w:rPr>
          <w:rFonts w:ascii="宋体" w:hAnsi="宋体" w:cs="宋体" w:eastAsia="宋体" w:hint="default"/>
          <w:spacing w:val="99"/>
        </w:rPr>
      </w:r>
      <w:r>
        <w:rPr/>
        <w:t>补充资料</w:t>
      </w:r>
      <w:r>
        <w:rPr>
          <w:rFonts w:ascii="宋体" w:hAnsi="宋体" w:cs="宋体" w:eastAsia="宋体" w:hint="default"/>
          <w:w w:val="99"/>
        </w:rPr>
        <w:t> </w:t>
      </w:r>
      <w:r>
        <w:rPr>
          <w:rFonts w:ascii="宋体" w:hAnsi="宋体" w:cs="宋体" w:eastAsia="宋体" w:hint="default"/>
          <w:b w:val="0"/>
          <w:bCs w:val="0"/>
        </w:rPr>
      </w:r>
    </w:p>
    <w:p>
      <w:pPr>
        <w:pStyle w:val="Heading5"/>
        <w:spacing w:line="240" w:lineRule="auto" w:before="56"/>
        <w:ind w:right="0"/>
        <w:jc w:val="left"/>
        <w:rPr>
          <w:rFonts w:ascii="宋体" w:hAnsi="宋体" w:cs="宋体" w:eastAsia="宋体" w:hint="default"/>
          <w:b w:val="0"/>
          <w:bCs w:val="0"/>
        </w:rPr>
      </w:pPr>
      <w:r>
        <w:rPr>
          <w:rFonts w:ascii="宋体" w:hAnsi="宋体" w:cs="宋体" w:eastAsia="宋体" w:hint="default"/>
        </w:rPr>
        <w:t>1</w:t>
      </w:r>
      <w:r>
        <w:rPr/>
        <w:t>、</w:t>
      </w:r>
      <w:r>
        <w:rPr>
          <w:spacing w:val="-1"/>
        </w:rPr>
        <w:t> </w:t>
      </w:r>
      <w:r>
        <w:rPr>
          <w:rFonts w:ascii="宋体" w:hAnsi="宋体" w:cs="宋体" w:eastAsia="宋体" w:hint="default"/>
          <w:spacing w:val="-1"/>
        </w:rPr>
      </w:r>
      <w:r>
        <w:rPr/>
        <w:t>当期非经常性损益明细表</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1"/>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6388"/>
        <w:gridCol w:w="1466"/>
        <w:gridCol w:w="1196"/>
      </w:tblGrid>
      <w:tr>
        <w:trPr>
          <w:trHeight w:val="281" w:hRule="exact"/>
        </w:trPr>
        <w:tc>
          <w:tcPr>
            <w:tcW w:w="6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2" w:right="0"/>
              <w:jc w:val="left"/>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288" w:hRule="exact"/>
        </w:trPr>
        <w:tc>
          <w:tcPr>
            <w:tcW w:w="63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r>
              <w:rPr>
                <w:rFonts w:ascii="宋体" w:hAnsi="宋体" w:cs="宋体" w:eastAsia="宋体" w:hint="default"/>
                <w:sz w:val="21"/>
                <w:szCs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center"/>
              <w:rPr>
                <w:rFonts w:ascii="Times New Roman" w:hAnsi="Times New Roman" w:cs="Times New Roman" w:eastAsia="Times New Roman" w:hint="default"/>
                <w:sz w:val="20"/>
                <w:szCs w:val="20"/>
              </w:rPr>
            </w:pPr>
            <w:r>
              <w:rPr>
                <w:rFonts w:ascii="Times New Roman"/>
                <w:sz w:val="20"/>
              </w:rPr>
              <w:t>130,707,677.46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1" w:right="0"/>
              <w:jc w:val="left"/>
              <w:rPr>
                <w:rFonts w:ascii="宋体" w:hAnsi="宋体" w:cs="宋体" w:eastAsia="宋体" w:hint="default"/>
                <w:sz w:val="24"/>
                <w:szCs w:val="24"/>
              </w:rPr>
            </w:pPr>
            <w:r>
              <w:rPr>
                <w:rFonts w:ascii="宋体"/>
                <w:color w:val="0000FF"/>
                <w:sz w:val="24"/>
              </w:rPr>
              <w:t> </w:t>
            </w:r>
            <w:r>
              <w:rPr>
                <w:rFonts w:ascii="宋体"/>
                <w:sz w:val="24"/>
              </w:rPr>
            </w:r>
          </w:p>
        </w:tc>
      </w:tr>
      <w:tr>
        <w:trPr>
          <w:trHeight w:val="286" w:hRule="exact"/>
        </w:trPr>
        <w:tc>
          <w:tcPr>
            <w:tcW w:w="63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r>
              <w:rPr>
                <w:rFonts w:ascii="宋体" w:hAnsi="宋体" w:cs="宋体" w:eastAsia="宋体" w:hint="default"/>
                <w:sz w:val="21"/>
                <w:szCs w:val="21"/>
              </w:rPr>
              <w:t> </w:t>
            </w:r>
          </w:p>
        </w:tc>
        <w:tc>
          <w:tcPr>
            <w:tcW w:w="146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1" w:right="0"/>
              <w:jc w:val="left"/>
              <w:rPr>
                <w:rFonts w:ascii="宋体" w:hAnsi="宋体" w:cs="宋体" w:eastAsia="宋体" w:hint="default"/>
                <w:sz w:val="24"/>
                <w:szCs w:val="24"/>
              </w:rPr>
            </w:pPr>
            <w:r>
              <w:rPr>
                <w:rFonts w:ascii="宋体"/>
                <w:color w:val="0000FF"/>
                <w:sz w:val="24"/>
              </w:rPr>
              <w:t> </w:t>
            </w:r>
            <w:r>
              <w:rPr>
                <w:rFonts w:ascii="宋体"/>
                <w:sz w:val="24"/>
              </w:rPr>
            </w:r>
          </w:p>
        </w:tc>
      </w:tr>
      <w:tr>
        <w:trPr>
          <w:trHeight w:val="554" w:hRule="exact"/>
        </w:trPr>
        <w:tc>
          <w:tcPr>
            <w:tcW w:w="63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计入当期损益的政府补助（与企业业务密切相关，按照国家统一标</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准定额或定量享受的政府补助除外）</w:t>
            </w:r>
            <w:r>
              <w:rPr>
                <w:rFonts w:ascii="宋体" w:hAnsi="宋体" w:cs="宋体" w:eastAsia="宋体" w:hint="default"/>
                <w:sz w:val="21"/>
                <w:szCs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95" w:right="0"/>
              <w:jc w:val="center"/>
              <w:rPr>
                <w:rFonts w:ascii="Times New Roman" w:hAnsi="Times New Roman" w:cs="Times New Roman" w:eastAsia="Times New Roman" w:hint="default"/>
                <w:sz w:val="20"/>
                <w:szCs w:val="20"/>
              </w:rPr>
            </w:pPr>
            <w:r>
              <w:rPr>
                <w:rFonts w:ascii="Times New Roman"/>
                <w:sz w:val="20"/>
              </w:rPr>
              <w:t>44,133,735.74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1" w:right="0"/>
              <w:jc w:val="left"/>
              <w:rPr>
                <w:rFonts w:ascii="宋体" w:hAnsi="宋体" w:cs="宋体" w:eastAsia="宋体" w:hint="default"/>
                <w:sz w:val="24"/>
                <w:szCs w:val="24"/>
              </w:rPr>
            </w:pPr>
            <w:r>
              <w:rPr>
                <w:rFonts w:ascii="宋体"/>
                <w:color w:val="0000FF"/>
                <w:sz w:val="24"/>
              </w:rPr>
              <w:t> </w:t>
            </w:r>
            <w:r>
              <w:rPr>
                <w:rFonts w:ascii="宋体"/>
                <w:sz w:val="24"/>
              </w:rPr>
            </w:r>
          </w:p>
        </w:tc>
      </w:tr>
      <w:tr>
        <w:trPr>
          <w:trHeight w:val="286" w:hRule="exact"/>
        </w:trPr>
        <w:tc>
          <w:tcPr>
            <w:tcW w:w="63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r>
              <w:rPr>
                <w:rFonts w:ascii="宋体" w:hAnsi="宋体" w:cs="宋体" w:eastAsia="宋体" w:hint="default"/>
                <w:sz w:val="21"/>
                <w:szCs w:val="21"/>
              </w:rPr>
              <w:t> </w:t>
            </w:r>
          </w:p>
        </w:tc>
        <w:tc>
          <w:tcPr>
            <w:tcW w:w="146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1" w:right="0"/>
              <w:jc w:val="left"/>
              <w:rPr>
                <w:rFonts w:ascii="宋体" w:hAnsi="宋体" w:cs="宋体" w:eastAsia="宋体" w:hint="default"/>
                <w:sz w:val="24"/>
                <w:szCs w:val="24"/>
              </w:rPr>
            </w:pPr>
            <w:r>
              <w:rPr>
                <w:rFonts w:ascii="宋体"/>
                <w:color w:val="0000FF"/>
                <w:sz w:val="24"/>
              </w:rPr>
              <w:t> </w:t>
            </w:r>
            <w:r>
              <w:rPr>
                <w:rFonts w:ascii="宋体"/>
                <w:sz w:val="24"/>
              </w:rPr>
            </w:r>
          </w:p>
        </w:tc>
      </w:tr>
      <w:tr>
        <w:trPr>
          <w:trHeight w:val="554" w:hRule="exact"/>
        </w:trPr>
        <w:tc>
          <w:tcPr>
            <w:tcW w:w="63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企业取得子公司、联营企业及合营企业的投资成本小于取得投资时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应享有被投资单位可辨认净资产公允价值产生的收益</w:t>
            </w:r>
            <w:r>
              <w:rPr>
                <w:rFonts w:ascii="宋体" w:hAnsi="宋体" w:cs="宋体" w:eastAsia="宋体" w:hint="default"/>
                <w:sz w:val="21"/>
                <w:szCs w:val="21"/>
              </w:rPr>
              <w:t> </w:t>
            </w:r>
          </w:p>
        </w:tc>
        <w:tc>
          <w:tcPr>
            <w:tcW w:w="146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1" w:right="0"/>
              <w:jc w:val="left"/>
              <w:rPr>
                <w:rFonts w:ascii="宋体" w:hAnsi="宋体" w:cs="宋体" w:eastAsia="宋体" w:hint="default"/>
                <w:sz w:val="24"/>
                <w:szCs w:val="24"/>
              </w:rPr>
            </w:pPr>
            <w:r>
              <w:rPr>
                <w:rFonts w:ascii="宋体"/>
                <w:color w:val="0000FF"/>
                <w:sz w:val="24"/>
              </w:rPr>
              <w:t> </w:t>
            </w:r>
            <w:r>
              <w:rPr>
                <w:rFonts w:ascii="宋体"/>
                <w:sz w:val="24"/>
              </w:rPr>
            </w:r>
          </w:p>
        </w:tc>
      </w:tr>
      <w:tr>
        <w:trPr>
          <w:trHeight w:val="286" w:hRule="exact"/>
        </w:trPr>
        <w:tc>
          <w:tcPr>
            <w:tcW w:w="63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r>
              <w:rPr>
                <w:rFonts w:ascii="宋体" w:hAnsi="宋体" w:cs="宋体" w:eastAsia="宋体" w:hint="default"/>
                <w:sz w:val="21"/>
                <w:szCs w:val="21"/>
              </w:rPr>
              <w:t> </w:t>
            </w:r>
          </w:p>
        </w:tc>
        <w:tc>
          <w:tcPr>
            <w:tcW w:w="146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1" w:right="0"/>
              <w:jc w:val="left"/>
              <w:rPr>
                <w:rFonts w:ascii="宋体" w:hAnsi="宋体" w:cs="宋体" w:eastAsia="宋体" w:hint="default"/>
                <w:sz w:val="24"/>
                <w:szCs w:val="24"/>
              </w:rPr>
            </w:pPr>
            <w:r>
              <w:rPr>
                <w:rFonts w:ascii="宋体"/>
                <w:color w:val="0000FF"/>
                <w:sz w:val="24"/>
              </w:rPr>
              <w:t> </w:t>
            </w:r>
            <w:r>
              <w:rPr>
                <w:rFonts w:ascii="宋体"/>
                <w:sz w:val="24"/>
              </w:rPr>
            </w:r>
          </w:p>
        </w:tc>
      </w:tr>
      <w:tr>
        <w:trPr>
          <w:trHeight w:val="288" w:hRule="exact"/>
        </w:trPr>
        <w:tc>
          <w:tcPr>
            <w:tcW w:w="63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r>
              <w:rPr>
                <w:rFonts w:ascii="宋体" w:hAnsi="宋体" w:cs="宋体" w:eastAsia="宋体" w:hint="default"/>
                <w:sz w:val="21"/>
                <w:szCs w:val="21"/>
              </w:rPr>
              <w:t> </w:t>
            </w:r>
          </w:p>
        </w:tc>
        <w:tc>
          <w:tcPr>
            <w:tcW w:w="146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1" w:right="0"/>
              <w:jc w:val="left"/>
              <w:rPr>
                <w:rFonts w:ascii="宋体" w:hAnsi="宋体" w:cs="宋体" w:eastAsia="宋体" w:hint="default"/>
                <w:sz w:val="24"/>
                <w:szCs w:val="24"/>
              </w:rPr>
            </w:pPr>
            <w:r>
              <w:rPr>
                <w:rFonts w:ascii="宋体"/>
                <w:color w:val="0000FF"/>
                <w:sz w:val="24"/>
              </w:rPr>
              <w:t> </w:t>
            </w:r>
            <w:r>
              <w:rPr>
                <w:rFonts w:ascii="宋体"/>
                <w:sz w:val="24"/>
              </w:rPr>
            </w:r>
          </w:p>
        </w:tc>
      </w:tr>
      <w:tr>
        <w:trPr>
          <w:trHeight w:val="286" w:hRule="exact"/>
        </w:trPr>
        <w:tc>
          <w:tcPr>
            <w:tcW w:w="6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因不可抗力因素，如遭受自然灾害而计提的各项资产减值准备</w:t>
            </w:r>
            <w:r>
              <w:rPr>
                <w:rFonts w:ascii="宋体" w:hAnsi="宋体" w:cs="宋体" w:eastAsia="宋体" w:hint="default"/>
                <w:sz w:val="21"/>
                <w:szCs w:val="21"/>
              </w:rPr>
              <w:t> </w:t>
            </w:r>
          </w:p>
        </w:tc>
        <w:tc>
          <w:tcPr>
            <w:tcW w:w="146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1" w:right="0"/>
              <w:jc w:val="left"/>
              <w:rPr>
                <w:rFonts w:ascii="宋体" w:hAnsi="宋体" w:cs="宋体" w:eastAsia="宋体" w:hint="default"/>
                <w:sz w:val="24"/>
                <w:szCs w:val="24"/>
              </w:rPr>
            </w:pPr>
            <w:r>
              <w:rPr>
                <w:rFonts w:ascii="宋体"/>
                <w:color w:val="0000FF"/>
                <w:sz w:val="24"/>
              </w:rPr>
              <w:t> </w:t>
            </w:r>
            <w:r>
              <w:rPr>
                <w:rFonts w:ascii="宋体"/>
                <w:sz w:val="24"/>
              </w:rPr>
            </w:r>
          </w:p>
        </w:tc>
      </w:tr>
      <w:tr>
        <w:trPr>
          <w:trHeight w:val="286" w:hRule="exact"/>
        </w:trPr>
        <w:tc>
          <w:tcPr>
            <w:tcW w:w="63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r>
              <w:rPr>
                <w:rFonts w:ascii="宋体" w:hAnsi="宋体" w:cs="宋体" w:eastAsia="宋体" w:hint="default"/>
                <w:sz w:val="21"/>
                <w:szCs w:val="21"/>
              </w:rPr>
              <w:t> </w:t>
            </w:r>
          </w:p>
        </w:tc>
        <w:tc>
          <w:tcPr>
            <w:tcW w:w="146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1" w:right="0"/>
              <w:jc w:val="left"/>
              <w:rPr>
                <w:rFonts w:ascii="宋体" w:hAnsi="宋体" w:cs="宋体" w:eastAsia="宋体" w:hint="default"/>
                <w:sz w:val="24"/>
                <w:szCs w:val="24"/>
              </w:rPr>
            </w:pPr>
            <w:r>
              <w:rPr>
                <w:rFonts w:ascii="宋体"/>
                <w:color w:val="0000FF"/>
                <w:sz w:val="24"/>
              </w:rPr>
              <w:t> </w:t>
            </w:r>
            <w:r>
              <w:rPr>
                <w:rFonts w:ascii="宋体"/>
                <w:sz w:val="24"/>
              </w:rPr>
            </w:r>
          </w:p>
        </w:tc>
      </w:tr>
      <w:tr>
        <w:trPr>
          <w:trHeight w:val="286" w:hRule="exact"/>
        </w:trPr>
        <w:tc>
          <w:tcPr>
            <w:tcW w:w="63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r>
              <w:rPr>
                <w:rFonts w:ascii="宋体" w:hAnsi="宋体" w:cs="宋体" w:eastAsia="宋体" w:hint="default"/>
                <w:sz w:val="21"/>
                <w:szCs w:val="21"/>
              </w:rPr>
              <w:t> </w:t>
            </w:r>
          </w:p>
        </w:tc>
        <w:tc>
          <w:tcPr>
            <w:tcW w:w="146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1" w:right="0"/>
              <w:jc w:val="left"/>
              <w:rPr>
                <w:rFonts w:ascii="宋体" w:hAnsi="宋体" w:cs="宋体" w:eastAsia="宋体" w:hint="default"/>
                <w:sz w:val="24"/>
                <w:szCs w:val="24"/>
              </w:rPr>
            </w:pPr>
            <w:r>
              <w:rPr>
                <w:rFonts w:ascii="宋体"/>
                <w:color w:val="0000FF"/>
                <w:sz w:val="24"/>
              </w:rPr>
              <w:t> </w:t>
            </w:r>
            <w:r>
              <w:rPr>
                <w:rFonts w:ascii="宋体"/>
                <w:sz w:val="24"/>
              </w:rPr>
            </w:r>
          </w:p>
        </w:tc>
      </w:tr>
      <w:tr>
        <w:trPr>
          <w:trHeight w:val="286" w:hRule="exact"/>
        </w:trPr>
        <w:tc>
          <w:tcPr>
            <w:tcW w:w="63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交易价格显失公允的交易产生的超过公允价值部分的损益</w:t>
            </w:r>
            <w:r>
              <w:rPr>
                <w:rFonts w:ascii="宋体" w:hAnsi="宋体" w:cs="宋体" w:eastAsia="宋体" w:hint="default"/>
                <w:sz w:val="21"/>
                <w:szCs w:val="21"/>
              </w:rPr>
              <w:t> </w:t>
            </w:r>
          </w:p>
        </w:tc>
        <w:tc>
          <w:tcPr>
            <w:tcW w:w="146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1" w:right="0"/>
              <w:jc w:val="left"/>
              <w:rPr>
                <w:rFonts w:ascii="宋体" w:hAnsi="宋体" w:cs="宋体" w:eastAsia="宋体" w:hint="default"/>
                <w:sz w:val="24"/>
                <w:szCs w:val="24"/>
              </w:rPr>
            </w:pPr>
            <w:r>
              <w:rPr>
                <w:rFonts w:ascii="宋体"/>
                <w:color w:val="0000FF"/>
                <w:sz w:val="24"/>
              </w:rPr>
              <w:t> </w:t>
            </w:r>
            <w:r>
              <w:rPr>
                <w:rFonts w:ascii="宋体"/>
                <w:sz w:val="24"/>
              </w:rPr>
            </w:r>
          </w:p>
        </w:tc>
      </w:tr>
      <w:tr>
        <w:trPr>
          <w:trHeight w:val="286" w:hRule="exact"/>
        </w:trPr>
        <w:tc>
          <w:tcPr>
            <w:tcW w:w="63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同一控制下企业合并产生的子公司期初至合并日的当期净损益</w:t>
            </w:r>
            <w:r>
              <w:rPr>
                <w:rFonts w:ascii="宋体" w:hAnsi="宋体" w:cs="宋体" w:eastAsia="宋体" w:hint="default"/>
                <w:sz w:val="21"/>
                <w:szCs w:val="21"/>
              </w:rPr>
              <w:t> </w:t>
            </w:r>
          </w:p>
        </w:tc>
        <w:tc>
          <w:tcPr>
            <w:tcW w:w="146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1" w:right="0"/>
              <w:jc w:val="left"/>
              <w:rPr>
                <w:rFonts w:ascii="宋体" w:hAnsi="宋体" w:cs="宋体" w:eastAsia="宋体" w:hint="default"/>
                <w:sz w:val="24"/>
                <w:szCs w:val="24"/>
              </w:rPr>
            </w:pPr>
            <w:r>
              <w:rPr>
                <w:rFonts w:ascii="宋体"/>
                <w:color w:val="0000FF"/>
                <w:sz w:val="24"/>
              </w:rPr>
              <w:t> </w:t>
            </w:r>
            <w:r>
              <w:rPr>
                <w:rFonts w:ascii="宋体"/>
                <w:sz w:val="24"/>
              </w:rPr>
            </w:r>
          </w:p>
        </w:tc>
      </w:tr>
      <w:tr>
        <w:trPr>
          <w:trHeight w:val="286" w:hRule="exact"/>
        </w:trPr>
        <w:tc>
          <w:tcPr>
            <w:tcW w:w="63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r>
              <w:rPr>
                <w:rFonts w:ascii="宋体" w:hAnsi="宋体" w:cs="宋体" w:eastAsia="宋体" w:hint="default"/>
                <w:sz w:val="21"/>
                <w:szCs w:val="21"/>
              </w:rPr>
              <w:t> </w:t>
            </w:r>
          </w:p>
        </w:tc>
        <w:tc>
          <w:tcPr>
            <w:tcW w:w="146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1" w:right="0"/>
              <w:jc w:val="left"/>
              <w:rPr>
                <w:rFonts w:ascii="宋体" w:hAnsi="宋体" w:cs="宋体" w:eastAsia="宋体" w:hint="default"/>
                <w:sz w:val="24"/>
                <w:szCs w:val="24"/>
              </w:rPr>
            </w:pPr>
            <w:r>
              <w:rPr>
                <w:rFonts w:ascii="宋体"/>
                <w:color w:val="0000FF"/>
                <w:sz w:val="24"/>
              </w:rPr>
              <w:t> </w:t>
            </w:r>
            <w:r>
              <w:rPr>
                <w:rFonts w:ascii="宋体"/>
                <w:sz w:val="24"/>
              </w:rPr>
            </w:r>
          </w:p>
        </w:tc>
      </w:tr>
      <w:tr>
        <w:trPr>
          <w:trHeight w:val="1102" w:hRule="exact"/>
        </w:trPr>
        <w:tc>
          <w:tcPr>
            <w:tcW w:w="6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除同公司正常经营业务相关的有效套期保值业务外，持有交易性金</w:t>
            </w:r>
          </w:p>
          <w:p>
            <w:pPr>
              <w:pStyle w:val="TableParagraph"/>
              <w:spacing w:line="237" w:lineRule="auto"/>
              <w:ind w:left="103" w:right="176"/>
              <w:jc w:val="both"/>
              <w:rPr>
                <w:rFonts w:ascii="宋体" w:hAnsi="宋体" w:cs="宋体" w:eastAsia="宋体" w:hint="default"/>
                <w:sz w:val="21"/>
                <w:szCs w:val="21"/>
              </w:rPr>
            </w:pPr>
            <w:r>
              <w:rPr>
                <w:rFonts w:ascii="宋体" w:hAnsi="宋体" w:cs="宋体" w:eastAsia="宋体" w:hint="default"/>
                <w:spacing w:val="-2"/>
                <w:sz w:val="21"/>
                <w:szCs w:val="21"/>
              </w:rPr>
              <w:t>融资产、衍生金融资产、交易性金融负债、衍生金融负债产生的公</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2"/>
                <w:sz w:val="21"/>
                <w:szCs w:val="21"/>
              </w:rPr>
              <w:t>允价值变动损益，以及处置交易性金融资产、衍生金融资产、交易</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性金融负债、衍生金融负债和其他债权投资取得的投资收益</w:t>
            </w:r>
            <w:r>
              <w:rPr>
                <w:rFonts w:ascii="宋体" w:hAnsi="宋体" w:cs="宋体" w:eastAsia="宋体" w:hint="default"/>
                <w:sz w:val="21"/>
                <w:szCs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3"/>
              <w:ind w:left="27" w:right="0"/>
              <w:jc w:val="center"/>
              <w:rPr>
                <w:rFonts w:ascii="Times New Roman" w:hAnsi="Times New Roman" w:cs="Times New Roman" w:eastAsia="Times New Roman" w:hint="default"/>
                <w:sz w:val="20"/>
                <w:szCs w:val="20"/>
              </w:rPr>
            </w:pPr>
            <w:r>
              <w:rPr>
                <w:rFonts w:ascii="Times New Roman"/>
                <w:sz w:val="20"/>
              </w:rPr>
              <w:t>-12,657,937.44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01" w:right="0"/>
              <w:jc w:val="left"/>
              <w:rPr>
                <w:rFonts w:ascii="宋体" w:hAnsi="宋体" w:cs="宋体" w:eastAsia="宋体" w:hint="default"/>
                <w:sz w:val="24"/>
                <w:szCs w:val="24"/>
              </w:rPr>
            </w:pPr>
            <w:r>
              <w:rPr>
                <w:rFonts w:ascii="宋体"/>
                <w:sz w:val="24"/>
              </w:rPr>
              <w:t> </w:t>
            </w:r>
          </w:p>
        </w:tc>
      </w:tr>
      <w:tr>
        <w:trPr>
          <w:trHeight w:val="286" w:hRule="exact"/>
        </w:trPr>
        <w:tc>
          <w:tcPr>
            <w:tcW w:w="6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r>
              <w:rPr>
                <w:rFonts w:ascii="宋体" w:hAnsi="宋体" w:cs="宋体" w:eastAsia="宋体" w:hint="default"/>
                <w:sz w:val="21"/>
                <w:szCs w:val="21"/>
              </w:rPr>
              <w:t> </w:t>
            </w:r>
          </w:p>
        </w:tc>
        <w:tc>
          <w:tcPr>
            <w:tcW w:w="146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1" w:right="0"/>
              <w:jc w:val="left"/>
              <w:rPr>
                <w:rFonts w:ascii="宋体" w:hAnsi="宋体" w:cs="宋体" w:eastAsia="宋体" w:hint="default"/>
                <w:sz w:val="24"/>
                <w:szCs w:val="24"/>
              </w:rPr>
            </w:pPr>
            <w:r>
              <w:rPr>
                <w:rFonts w:ascii="宋体"/>
                <w:color w:val="0000FF"/>
                <w:sz w:val="24"/>
              </w:rPr>
              <w:t> </w:t>
            </w:r>
            <w:r>
              <w:rPr>
                <w:rFonts w:ascii="宋体"/>
                <w:sz w:val="24"/>
              </w:rPr>
            </w:r>
          </w:p>
        </w:tc>
      </w:tr>
      <w:tr>
        <w:trPr>
          <w:trHeight w:val="286" w:hRule="exact"/>
        </w:trPr>
        <w:tc>
          <w:tcPr>
            <w:tcW w:w="63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r>
              <w:rPr>
                <w:rFonts w:ascii="宋体" w:hAnsi="宋体" w:cs="宋体" w:eastAsia="宋体" w:hint="default"/>
                <w:sz w:val="21"/>
                <w:szCs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93" w:right="0"/>
              <w:jc w:val="center"/>
              <w:rPr>
                <w:rFonts w:ascii="Times New Roman" w:hAnsi="Times New Roman" w:cs="Times New Roman" w:eastAsia="Times New Roman" w:hint="default"/>
                <w:sz w:val="20"/>
                <w:szCs w:val="20"/>
              </w:rPr>
            </w:pPr>
            <w:r>
              <w:rPr>
                <w:rFonts w:ascii="Times New Roman"/>
                <w:sz w:val="20"/>
              </w:rPr>
              <w:t>9,756,289.32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1" w:right="0"/>
              <w:jc w:val="left"/>
              <w:rPr>
                <w:rFonts w:ascii="宋体" w:hAnsi="宋体" w:cs="宋体" w:eastAsia="宋体" w:hint="default"/>
                <w:sz w:val="24"/>
                <w:szCs w:val="24"/>
              </w:rPr>
            </w:pPr>
            <w:r>
              <w:rPr>
                <w:rFonts w:ascii="宋体"/>
                <w:color w:val="0000FF"/>
                <w:sz w:val="24"/>
              </w:rPr>
              <w:t> </w:t>
            </w:r>
            <w:r>
              <w:rPr>
                <w:rFonts w:ascii="宋体"/>
                <w:sz w:val="24"/>
              </w:rPr>
            </w:r>
          </w:p>
        </w:tc>
      </w:tr>
      <w:tr>
        <w:trPr>
          <w:trHeight w:val="554" w:hRule="exact"/>
        </w:trPr>
        <w:tc>
          <w:tcPr>
            <w:tcW w:w="63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采用公允价值模式进行后续计量的投资性房地产公允价值变动产生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r>
              <w:rPr>
                <w:rFonts w:ascii="宋体" w:hAnsi="宋体" w:cs="宋体" w:eastAsia="宋体" w:hint="default"/>
                <w:sz w:val="21"/>
                <w:szCs w:val="21"/>
              </w:rPr>
              <w:t> </w:t>
            </w:r>
          </w:p>
        </w:tc>
        <w:tc>
          <w:tcPr>
            <w:tcW w:w="146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1" w:right="0"/>
              <w:jc w:val="left"/>
              <w:rPr>
                <w:rFonts w:ascii="宋体" w:hAnsi="宋体" w:cs="宋体" w:eastAsia="宋体" w:hint="default"/>
                <w:sz w:val="24"/>
                <w:szCs w:val="24"/>
              </w:rPr>
            </w:pPr>
            <w:r>
              <w:rPr>
                <w:rFonts w:ascii="宋体"/>
                <w:color w:val="0000FF"/>
                <w:sz w:val="24"/>
              </w:rPr>
              <w:t> </w:t>
            </w:r>
            <w:r>
              <w:rPr>
                <w:rFonts w:ascii="宋体"/>
                <w:sz w:val="24"/>
              </w:rPr>
            </w:r>
          </w:p>
        </w:tc>
      </w:tr>
      <w:tr>
        <w:trPr>
          <w:trHeight w:val="554" w:hRule="exact"/>
        </w:trPr>
        <w:tc>
          <w:tcPr>
            <w:tcW w:w="63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根据税收、会计等法律、法规的要求对当期损益进行一次性调整对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当期损益的影响</w:t>
            </w:r>
            <w:r>
              <w:rPr>
                <w:rFonts w:ascii="宋体" w:hAnsi="宋体" w:cs="宋体" w:eastAsia="宋体" w:hint="default"/>
                <w:sz w:val="21"/>
                <w:szCs w:val="21"/>
              </w:rPr>
              <w:t> </w:t>
            </w:r>
          </w:p>
        </w:tc>
        <w:tc>
          <w:tcPr>
            <w:tcW w:w="146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1" w:right="0"/>
              <w:jc w:val="left"/>
              <w:rPr>
                <w:rFonts w:ascii="宋体" w:hAnsi="宋体" w:cs="宋体" w:eastAsia="宋体" w:hint="default"/>
                <w:sz w:val="24"/>
                <w:szCs w:val="24"/>
              </w:rPr>
            </w:pPr>
            <w:r>
              <w:rPr>
                <w:rFonts w:ascii="宋体"/>
                <w:color w:val="0000FF"/>
                <w:sz w:val="24"/>
              </w:rPr>
              <w:t> </w:t>
            </w:r>
            <w:r>
              <w:rPr>
                <w:rFonts w:ascii="宋体"/>
                <w:sz w:val="24"/>
              </w:rPr>
            </w:r>
          </w:p>
        </w:tc>
      </w:tr>
      <w:tr>
        <w:trPr>
          <w:trHeight w:val="286" w:hRule="exact"/>
        </w:trPr>
        <w:tc>
          <w:tcPr>
            <w:tcW w:w="63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r>
              <w:rPr>
                <w:rFonts w:ascii="宋体" w:hAnsi="宋体" w:cs="宋体" w:eastAsia="宋体" w:hint="default"/>
                <w:sz w:val="21"/>
                <w:szCs w:val="21"/>
              </w:rPr>
              <w:t> </w:t>
            </w:r>
          </w:p>
        </w:tc>
        <w:tc>
          <w:tcPr>
            <w:tcW w:w="146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1" w:right="0"/>
              <w:jc w:val="left"/>
              <w:rPr>
                <w:rFonts w:ascii="宋体" w:hAnsi="宋体" w:cs="宋体" w:eastAsia="宋体" w:hint="default"/>
                <w:sz w:val="24"/>
                <w:szCs w:val="24"/>
              </w:rPr>
            </w:pPr>
            <w:r>
              <w:rPr>
                <w:rFonts w:ascii="宋体"/>
                <w:color w:val="0000FF"/>
                <w:sz w:val="24"/>
              </w:rPr>
              <w:t> </w:t>
            </w:r>
            <w:r>
              <w:rPr>
                <w:rFonts w:ascii="宋体"/>
                <w:sz w:val="24"/>
              </w:rPr>
            </w:r>
          </w:p>
        </w:tc>
      </w:tr>
      <w:tr>
        <w:trPr>
          <w:trHeight w:val="286" w:hRule="exact"/>
        </w:trPr>
        <w:tc>
          <w:tcPr>
            <w:tcW w:w="63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r>
              <w:rPr>
                <w:rFonts w:ascii="宋体" w:hAnsi="宋体" w:cs="宋体" w:eastAsia="宋体" w:hint="default"/>
                <w:sz w:val="21"/>
                <w:szCs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8" w:right="0"/>
              <w:jc w:val="center"/>
              <w:rPr>
                <w:rFonts w:ascii="Times New Roman" w:hAnsi="Times New Roman" w:cs="Times New Roman" w:eastAsia="Times New Roman" w:hint="default"/>
                <w:sz w:val="20"/>
                <w:szCs w:val="20"/>
              </w:rPr>
            </w:pPr>
            <w:r>
              <w:rPr>
                <w:rFonts w:ascii="Times New Roman"/>
                <w:sz w:val="20"/>
              </w:rPr>
              <w:t>-3,447,792.28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1" w:right="0"/>
              <w:jc w:val="left"/>
              <w:rPr>
                <w:rFonts w:ascii="宋体" w:hAnsi="宋体" w:cs="宋体" w:eastAsia="宋体" w:hint="default"/>
                <w:sz w:val="24"/>
                <w:szCs w:val="24"/>
              </w:rPr>
            </w:pPr>
            <w:r>
              <w:rPr>
                <w:rFonts w:ascii="宋体"/>
                <w:color w:val="0000FF"/>
                <w:sz w:val="24"/>
              </w:rPr>
              <w:t> </w:t>
            </w:r>
            <w:r>
              <w:rPr>
                <w:rFonts w:ascii="宋体"/>
                <w:sz w:val="24"/>
              </w:rPr>
            </w:r>
          </w:p>
        </w:tc>
      </w:tr>
      <w:tr>
        <w:trPr>
          <w:trHeight w:val="288" w:hRule="exact"/>
        </w:trPr>
        <w:tc>
          <w:tcPr>
            <w:tcW w:w="63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r>
              <w:rPr>
                <w:rFonts w:ascii="宋体" w:hAnsi="宋体" w:cs="宋体" w:eastAsia="宋体" w:hint="default"/>
                <w:sz w:val="21"/>
                <w:szCs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7" w:right="0"/>
              <w:jc w:val="center"/>
              <w:rPr>
                <w:rFonts w:ascii="Times New Roman" w:hAnsi="Times New Roman" w:cs="Times New Roman" w:eastAsia="Times New Roman" w:hint="default"/>
                <w:sz w:val="20"/>
                <w:szCs w:val="20"/>
              </w:rPr>
            </w:pPr>
            <w:r>
              <w:rPr>
                <w:rFonts w:ascii="Times New Roman"/>
                <w:sz w:val="20"/>
              </w:rPr>
              <w:t>-92,937,789.98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1" w:right="0"/>
              <w:jc w:val="left"/>
              <w:rPr>
                <w:rFonts w:ascii="宋体" w:hAnsi="宋体" w:cs="宋体" w:eastAsia="宋体" w:hint="default"/>
                <w:sz w:val="24"/>
                <w:szCs w:val="24"/>
              </w:rPr>
            </w:pPr>
            <w:r>
              <w:rPr>
                <w:rFonts w:ascii="宋体"/>
                <w:color w:val="0000FF"/>
                <w:sz w:val="24"/>
              </w:rPr>
              <w:t> </w:t>
            </w:r>
            <w:r>
              <w:rPr>
                <w:rFonts w:ascii="宋体"/>
                <w:sz w:val="24"/>
              </w:rPr>
            </w:r>
          </w:p>
        </w:tc>
      </w:tr>
      <w:tr>
        <w:trPr>
          <w:trHeight w:val="286" w:hRule="exact"/>
        </w:trPr>
        <w:tc>
          <w:tcPr>
            <w:tcW w:w="6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r>
              <w:rPr>
                <w:rFonts w:ascii="宋体" w:hAnsi="宋体" w:cs="宋体" w:eastAsia="宋体" w:hint="default"/>
                <w:sz w:val="21"/>
                <w:szCs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7" w:right="0"/>
              <w:jc w:val="center"/>
              <w:rPr>
                <w:rFonts w:ascii="Times New Roman" w:hAnsi="Times New Roman" w:cs="Times New Roman" w:eastAsia="Times New Roman" w:hint="default"/>
                <w:sz w:val="20"/>
                <w:szCs w:val="20"/>
              </w:rPr>
            </w:pPr>
            <w:r>
              <w:rPr>
                <w:rFonts w:ascii="Times New Roman"/>
                <w:sz w:val="20"/>
              </w:rPr>
              <w:t>-11,095,801.79</w:t>
            </w: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63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r>
              <w:rPr>
                <w:rFonts w:ascii="宋体" w:hAnsi="宋体" w:cs="宋体" w:eastAsia="宋体" w:hint="default"/>
                <w:sz w:val="21"/>
                <w:szCs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28" w:right="0"/>
              <w:jc w:val="center"/>
              <w:rPr>
                <w:rFonts w:ascii="Times New Roman" w:hAnsi="Times New Roman" w:cs="Times New Roman" w:eastAsia="Times New Roman" w:hint="default"/>
                <w:sz w:val="20"/>
                <w:szCs w:val="20"/>
              </w:rPr>
            </w:pPr>
            <w:r>
              <w:rPr>
                <w:rFonts w:ascii="Times New Roman"/>
                <w:sz w:val="20"/>
              </w:rPr>
              <w:t>-1,223,717.09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1" w:right="0"/>
              <w:jc w:val="left"/>
              <w:rPr>
                <w:rFonts w:ascii="宋体" w:hAnsi="宋体" w:cs="宋体" w:eastAsia="宋体" w:hint="default"/>
                <w:sz w:val="24"/>
                <w:szCs w:val="24"/>
              </w:rPr>
            </w:pPr>
            <w:r>
              <w:rPr>
                <w:rFonts w:ascii="宋体"/>
                <w:color w:val="0000FF"/>
                <w:sz w:val="24"/>
              </w:rPr>
              <w:t> </w:t>
            </w:r>
            <w:r>
              <w:rPr>
                <w:rFonts w:ascii="宋体"/>
                <w:sz w:val="24"/>
              </w:rPr>
            </w:r>
          </w:p>
        </w:tc>
      </w:tr>
    </w:tbl>
    <w:p>
      <w:pPr>
        <w:spacing w:after="0" w:line="250" w:lineRule="exact"/>
        <w:jc w:val="left"/>
        <w:rPr>
          <w:rFonts w:ascii="宋体" w:hAnsi="宋体" w:cs="宋体" w:eastAsia="宋体" w:hint="default"/>
          <w:sz w:val="24"/>
          <w:szCs w:val="24"/>
        </w:rPr>
        <w:sectPr>
          <w:pgSz w:w="11910" w:h="16840"/>
          <w:pgMar w:header="0" w:footer="1195"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6388"/>
        <w:gridCol w:w="1466"/>
        <w:gridCol w:w="1196"/>
      </w:tblGrid>
      <w:tr>
        <w:trPr>
          <w:trHeight w:val="286" w:hRule="exact"/>
        </w:trPr>
        <w:tc>
          <w:tcPr>
            <w:tcW w:w="63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01" w:right="0"/>
              <w:jc w:val="left"/>
              <w:rPr>
                <w:rFonts w:ascii="Times New Roman" w:hAnsi="Times New Roman" w:cs="Times New Roman" w:eastAsia="Times New Roman" w:hint="default"/>
                <w:sz w:val="20"/>
                <w:szCs w:val="20"/>
              </w:rPr>
            </w:pPr>
            <w:r>
              <w:rPr>
                <w:rFonts w:ascii="Times New Roman"/>
                <w:sz w:val="20"/>
              </w:rPr>
              <w:t>63,234,663.94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1" w:right="0"/>
              <w:jc w:val="left"/>
              <w:rPr>
                <w:rFonts w:ascii="宋体" w:hAnsi="宋体" w:cs="宋体" w:eastAsia="宋体" w:hint="default"/>
                <w:sz w:val="24"/>
                <w:szCs w:val="24"/>
              </w:rPr>
            </w:pPr>
            <w:r>
              <w:rPr>
                <w:rFonts w:ascii="宋体"/>
                <w:color w:val="0000FF"/>
                <w:sz w:val="24"/>
              </w:rPr>
              <w:t> </w:t>
            </w:r>
            <w:r>
              <w:rPr>
                <w:rFonts w:ascii="宋体"/>
                <w:sz w:val="24"/>
              </w:rPr>
            </w:r>
          </w:p>
        </w:tc>
      </w:tr>
    </w:tbl>
    <w:p>
      <w:pPr>
        <w:pStyle w:val="Heading3"/>
        <w:spacing w:line="274" w:lineRule="exact"/>
        <w:ind w:right="0"/>
        <w:jc w:val="left"/>
        <w:rPr>
          <w:rFonts w:ascii="宋体" w:hAnsi="宋体" w:cs="宋体" w:eastAsia="宋体" w:hint="default"/>
        </w:rPr>
      </w:pPr>
      <w:r>
        <w:rPr>
          <w:rFonts w:ascii="宋体"/>
        </w:rPr>
        <w:t> </w:t>
      </w:r>
    </w:p>
    <w:p>
      <w:pPr>
        <w:pStyle w:val="BodyText"/>
        <w:spacing w:line="273" w:lineRule="exact" w:before="4"/>
        <w:ind w:left="216" w:right="0"/>
        <w:jc w:val="left"/>
      </w:pPr>
      <w:r>
        <w:rPr/>
        <w:t>对公司根据《公开发行证券的公司信息披露解释性公告第</w:t>
      </w:r>
      <w:r>
        <w:rPr>
          <w:spacing w:val="-51"/>
        </w:rPr>
        <w:t> </w:t>
      </w:r>
      <w:r>
        <w:rPr>
          <w:rFonts w:ascii="宋体" w:hAnsi="宋体" w:cs="宋体" w:eastAsia="宋体" w:hint="default"/>
        </w:rPr>
        <w:t>1</w:t>
      </w:r>
      <w:r>
        <w:rPr>
          <w:rFonts w:ascii="宋体" w:hAnsi="宋体" w:cs="宋体" w:eastAsia="宋体" w:hint="default"/>
          <w:spacing w:val="-49"/>
        </w:rPr>
        <w:t> </w:t>
      </w:r>
      <w:r>
        <w:rPr/>
        <w:t>号——非经常性损益》定义界定的非</w:t>
      </w:r>
    </w:p>
    <w:p>
      <w:pPr>
        <w:pStyle w:val="BodyText"/>
        <w:spacing w:line="240" w:lineRule="auto"/>
        <w:ind w:left="216" w:right="325"/>
        <w:jc w:val="left"/>
        <w:rPr>
          <w:rFonts w:ascii="宋体" w:hAnsi="宋体" w:cs="宋体" w:eastAsia="宋体" w:hint="default"/>
        </w:rPr>
      </w:pPr>
      <w:r>
        <w:rPr/>
        <w:t>经常性损益项目，以及把《公开发行证券的公司信息披露解释性公告第</w:t>
      </w:r>
      <w:r>
        <w:rPr>
          <w:spacing w:val="-51"/>
        </w:rPr>
        <w:t> </w:t>
      </w:r>
      <w:r>
        <w:rPr>
          <w:rFonts w:ascii="宋体" w:hAnsi="宋体" w:cs="宋体" w:eastAsia="宋体" w:hint="default"/>
        </w:rPr>
        <w:t>1</w:t>
      </w:r>
      <w:r>
        <w:rPr>
          <w:rFonts w:ascii="宋体" w:hAnsi="宋体" w:cs="宋体" w:eastAsia="宋体" w:hint="default"/>
          <w:spacing w:val="-49"/>
        </w:rPr>
        <w:t> </w:t>
      </w:r>
      <w:r>
        <w:rPr/>
        <w:t>号——非经常性损益》</w:t>
      </w:r>
      <w:r>
        <w:rPr>
          <w:w w:val="100"/>
        </w:rPr>
        <w:t> </w:t>
      </w:r>
      <w:r>
        <w:rPr/>
        <w:t>中列举的非经常性损益项目界定为经常性损益的项目，应说明原因。</w:t>
      </w:r>
      <w:r>
        <w:rPr>
          <w:rFonts w:ascii="宋体" w:hAnsi="宋体" w:cs="宋体" w:eastAsia="宋体" w:hint="default"/>
        </w:rPr>
        <w:t> </w:t>
      </w:r>
    </w:p>
    <w:p>
      <w:pPr>
        <w:pStyle w:val="Heading3"/>
        <w:spacing w:line="304"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left="0" w:right="213"/>
        <w:jc w:val="right"/>
        <w:rPr>
          <w:rFonts w:ascii="宋体" w:hAnsi="宋体" w:cs="宋体" w:eastAsia="宋体" w:hint="default"/>
          <w:sz w:val="24"/>
          <w:szCs w:val="24"/>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24"/>
          <w:szCs w:val="24"/>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60"/>
        <w:gridCol w:w="1850"/>
        <w:gridCol w:w="4239"/>
      </w:tblGrid>
      <w:tr>
        <w:trPr>
          <w:trHeight w:val="319"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7"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36" w:right="0"/>
              <w:jc w:val="left"/>
              <w:rPr>
                <w:rFonts w:ascii="宋体" w:hAnsi="宋体" w:cs="宋体" w:eastAsia="宋体" w:hint="default"/>
                <w:sz w:val="24"/>
                <w:szCs w:val="24"/>
              </w:rPr>
            </w:pPr>
            <w:r>
              <w:rPr>
                <w:rFonts w:ascii="宋体" w:hAnsi="宋体" w:cs="宋体" w:eastAsia="宋体" w:hint="default"/>
                <w:sz w:val="24"/>
                <w:szCs w:val="24"/>
              </w:rPr>
              <w:t>涉及金额</w:t>
            </w:r>
            <w:r>
              <w:rPr>
                <w:rFonts w:ascii="宋体" w:hAnsi="宋体" w:cs="宋体" w:eastAsia="宋体" w:hint="default"/>
                <w:sz w:val="24"/>
                <w:szCs w:val="24"/>
              </w:rPr>
              <w:t> </w:t>
            </w:r>
          </w:p>
        </w:tc>
        <w:tc>
          <w:tcPr>
            <w:tcW w:w="42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4" w:right="0"/>
              <w:jc w:val="center"/>
              <w:rPr>
                <w:rFonts w:ascii="宋体" w:hAnsi="宋体" w:cs="宋体" w:eastAsia="宋体" w:hint="default"/>
                <w:sz w:val="24"/>
                <w:szCs w:val="24"/>
              </w:rPr>
            </w:pPr>
            <w:r>
              <w:rPr>
                <w:rFonts w:ascii="宋体" w:hAnsi="宋体" w:cs="宋体" w:eastAsia="宋体" w:hint="default"/>
                <w:sz w:val="24"/>
                <w:szCs w:val="24"/>
              </w:rPr>
              <w:t>原因</w:t>
            </w:r>
            <w:r>
              <w:rPr>
                <w:rFonts w:ascii="宋体" w:hAnsi="宋体" w:cs="宋体" w:eastAsia="宋体" w:hint="default"/>
                <w:sz w:val="24"/>
                <w:szCs w:val="24"/>
              </w:rPr>
              <w:t> </w:t>
            </w:r>
          </w:p>
        </w:tc>
      </w:tr>
      <w:tr>
        <w:trPr>
          <w:trHeight w:val="828"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软件收入流转即征即退</w:t>
            </w:r>
            <w:r>
              <w:rPr>
                <w:rFonts w:ascii="宋体" w:hAnsi="宋体" w:cs="宋体" w:eastAsia="宋体" w:hint="default"/>
                <w:sz w:val="21"/>
                <w:szCs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683" w:right="0"/>
              <w:jc w:val="left"/>
              <w:rPr>
                <w:rFonts w:ascii="Times New Roman" w:hAnsi="Times New Roman" w:cs="Times New Roman" w:eastAsia="Times New Roman" w:hint="default"/>
                <w:sz w:val="20"/>
                <w:szCs w:val="20"/>
              </w:rPr>
            </w:pPr>
            <w:r>
              <w:rPr>
                <w:rFonts w:ascii="Times New Roman"/>
                <w:sz w:val="20"/>
              </w:rPr>
              <w:t>2,280,067.39</w:t>
            </w:r>
          </w:p>
        </w:tc>
        <w:tc>
          <w:tcPr>
            <w:tcW w:w="42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对自行开发的软件产品按</w:t>
            </w:r>
            <w:r>
              <w:rPr>
                <w:rFonts w:ascii="宋体" w:hAnsi="宋体" w:cs="宋体" w:eastAsia="宋体" w:hint="default"/>
                <w:spacing w:val="36"/>
                <w:sz w:val="21"/>
                <w:szCs w:val="21"/>
              </w:rPr>
              <w:t> </w:t>
            </w:r>
            <w:r>
              <w:rPr>
                <w:rFonts w:ascii="宋体" w:hAnsi="宋体" w:cs="宋体" w:eastAsia="宋体" w:hint="default"/>
                <w:sz w:val="21"/>
                <w:szCs w:val="21"/>
              </w:rPr>
              <w:t>17%</w:t>
            </w:r>
            <w:r>
              <w:rPr>
                <w:rFonts w:ascii="宋体" w:hAnsi="宋体" w:cs="宋体" w:eastAsia="宋体" w:hint="default"/>
                <w:sz w:val="21"/>
                <w:szCs w:val="21"/>
              </w:rPr>
              <w:t>的法定税率征</w:t>
            </w:r>
          </w:p>
          <w:p>
            <w:pPr>
              <w:pStyle w:val="TableParagraph"/>
              <w:spacing w:line="240" w:lineRule="auto"/>
              <w:ind w:left="100" w:right="98"/>
              <w:jc w:val="left"/>
              <w:rPr>
                <w:rFonts w:ascii="宋体" w:hAnsi="宋体" w:cs="宋体" w:eastAsia="宋体" w:hint="default"/>
                <w:sz w:val="21"/>
                <w:szCs w:val="21"/>
              </w:rPr>
            </w:pPr>
            <w:r>
              <w:rPr>
                <w:rFonts w:ascii="宋体" w:hAnsi="宋体" w:cs="宋体" w:eastAsia="宋体" w:hint="default"/>
                <w:spacing w:val="-3"/>
                <w:sz w:val="21"/>
                <w:szCs w:val="21"/>
              </w:rPr>
              <w:t>收增值税后，对其增值税实际税负超过</w:t>
            </w:r>
            <w:r>
              <w:rPr>
                <w:rFonts w:ascii="宋体" w:hAnsi="宋体" w:cs="宋体" w:eastAsia="宋体" w:hint="default"/>
                <w:spacing w:val="-31"/>
                <w:sz w:val="21"/>
                <w:szCs w:val="21"/>
              </w:rPr>
              <w:t> </w:t>
            </w:r>
            <w:r>
              <w:rPr>
                <w:rFonts w:ascii="宋体" w:hAnsi="宋体" w:cs="宋体" w:eastAsia="宋体" w:hint="default"/>
                <w:sz w:val="21"/>
                <w:szCs w:val="21"/>
              </w:rPr>
              <w:t>3%</w:t>
            </w:r>
            <w:r>
              <w:rPr>
                <w:rFonts w:ascii="宋体" w:hAnsi="宋体" w:cs="宋体" w:eastAsia="宋体" w:hint="default"/>
                <w:sz w:val="21"/>
                <w:szCs w:val="21"/>
              </w:rPr>
              <w:t>的</w:t>
            </w:r>
            <w:r>
              <w:rPr>
                <w:rFonts w:ascii="宋体" w:hAnsi="宋体" w:cs="宋体" w:eastAsia="宋体" w:hint="default"/>
                <w:spacing w:val="-97"/>
                <w:sz w:val="21"/>
                <w:szCs w:val="21"/>
              </w:rPr>
              <w:t> </w:t>
            </w:r>
            <w:r>
              <w:rPr>
                <w:rFonts w:ascii="宋体" w:hAnsi="宋体" w:cs="宋体" w:eastAsia="宋体" w:hint="default"/>
                <w:sz w:val="21"/>
                <w:szCs w:val="21"/>
              </w:rPr>
              <w:t>部分实行即征即退政策</w:t>
            </w:r>
            <w:r>
              <w:rPr>
                <w:rFonts w:ascii="宋体" w:hAnsi="宋体" w:cs="宋体" w:eastAsia="宋体" w:hint="default"/>
                <w:sz w:val="21"/>
                <w:szCs w:val="21"/>
              </w:rPr>
              <w:t> </w:t>
            </w:r>
          </w:p>
        </w:tc>
      </w:tr>
    </w:tbl>
    <w:p>
      <w:pPr>
        <w:spacing w:line="240" w:lineRule="auto" w:before="6"/>
        <w:rPr>
          <w:rFonts w:ascii="宋体" w:hAnsi="宋体" w:cs="宋体" w:eastAsia="宋体" w:hint="default"/>
          <w:sz w:val="13"/>
          <w:szCs w:val="13"/>
        </w:rPr>
      </w:pPr>
    </w:p>
    <w:p>
      <w:pPr>
        <w:pStyle w:val="Heading3"/>
        <w:spacing w:line="240" w:lineRule="auto" w:before="26"/>
        <w:ind w:right="0"/>
        <w:jc w:val="left"/>
        <w:rPr>
          <w:rFonts w:ascii="宋体" w:hAnsi="宋体" w:cs="宋体" w:eastAsia="宋体" w:hint="default"/>
        </w:rPr>
      </w:pPr>
      <w:r>
        <w:rPr>
          <w:rFonts w:ascii="宋体"/>
        </w:rPr>
        <w:t> </w:t>
      </w:r>
    </w:p>
    <w:p>
      <w:pPr>
        <w:pStyle w:val="Heading5"/>
        <w:spacing w:line="240" w:lineRule="auto"/>
        <w:ind w:right="0"/>
        <w:jc w:val="left"/>
        <w:rPr>
          <w:b w:val="0"/>
          <w:bCs w:val="0"/>
        </w:rPr>
      </w:pPr>
      <w:r>
        <w:rPr>
          <w:rFonts w:ascii="宋体" w:hAnsi="宋体" w:cs="宋体" w:eastAsia="宋体" w:hint="default"/>
        </w:rPr>
        <w:t>2</w:t>
      </w:r>
      <w:r>
        <w:rPr/>
        <w:t>、 </w:t>
      </w:r>
      <w:r>
        <w:rPr>
          <w:rFonts w:ascii="宋体" w:hAnsi="宋体" w:cs="宋体" w:eastAsia="宋体" w:hint="default"/>
        </w:rPr>
      </w:r>
      <w:r>
        <w:rPr/>
        <w:t>净资产收益率及每股收益</w:t>
      </w:r>
      <w:r>
        <w:rPr>
          <w:b w:val="0"/>
          <w:bCs w:val="0"/>
        </w:rPr>
      </w:r>
    </w:p>
    <w:p>
      <w:pPr>
        <w:pStyle w:val="Heading3"/>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42"/>
        <w:gridCol w:w="2326"/>
        <w:gridCol w:w="1598"/>
        <w:gridCol w:w="1784"/>
      </w:tblGrid>
      <w:tr>
        <w:trPr>
          <w:trHeight w:val="281" w:hRule="exact"/>
        </w:trPr>
        <w:tc>
          <w:tcPr>
            <w:tcW w:w="3342" w:type="dxa"/>
            <w:vMerge w:val="restart"/>
            <w:tcBorders>
              <w:top w:val="single" w:sz="4" w:space="0" w:color="000000"/>
              <w:left w:val="single" w:sz="4" w:space="0" w:color="000000"/>
              <w:right w:val="single" w:sz="4" w:space="0" w:color="000000"/>
            </w:tcBorders>
          </w:tcPr>
          <w:p>
            <w:pPr>
              <w:pStyle w:val="TableParagraph"/>
              <w:spacing w:line="240" w:lineRule="auto" w:before="150"/>
              <w:ind w:left="1140" w:right="0"/>
              <w:jc w:val="left"/>
              <w:rPr>
                <w:rFonts w:ascii="宋体" w:hAnsi="宋体" w:cs="宋体" w:eastAsia="宋体" w:hint="default"/>
                <w:sz w:val="21"/>
                <w:szCs w:val="21"/>
              </w:rPr>
            </w:pPr>
            <w:r>
              <w:rPr>
                <w:rFonts w:ascii="宋体" w:hAnsi="宋体" w:cs="宋体" w:eastAsia="宋体" w:hint="default"/>
                <w:sz w:val="21"/>
                <w:szCs w:val="21"/>
              </w:rPr>
              <w:t>报告期利润</w:t>
            </w:r>
            <w:r>
              <w:rPr>
                <w:rFonts w:ascii="宋体" w:hAnsi="宋体" w:cs="宋体" w:eastAsia="宋体" w:hint="default"/>
                <w:sz w:val="21"/>
                <w:szCs w:val="21"/>
              </w:rPr>
              <w:t> </w:t>
            </w:r>
          </w:p>
        </w:tc>
        <w:tc>
          <w:tcPr>
            <w:tcW w:w="2326" w:type="dxa"/>
            <w:vMerge w:val="restart"/>
            <w:tcBorders>
              <w:top w:val="single" w:sz="4" w:space="0" w:color="000000"/>
              <w:left w:val="single" w:sz="4" w:space="0" w:color="000000"/>
              <w:right w:val="single" w:sz="4" w:space="0" w:color="000000"/>
            </w:tcBorders>
          </w:tcPr>
          <w:p>
            <w:pPr>
              <w:pStyle w:val="TableParagraph"/>
              <w:spacing w:line="274" w:lineRule="exact" w:before="14"/>
              <w:ind w:right="0"/>
              <w:jc w:val="center"/>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3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每股收益</w:t>
            </w:r>
            <w:r>
              <w:rPr>
                <w:rFonts w:ascii="宋体" w:hAnsi="宋体" w:cs="宋体" w:eastAsia="宋体" w:hint="default"/>
                <w:sz w:val="21"/>
                <w:szCs w:val="21"/>
              </w:rPr>
              <w:t> </w:t>
            </w:r>
          </w:p>
        </w:tc>
      </w:tr>
      <w:tr>
        <w:trPr>
          <w:trHeight w:val="370" w:hRule="exact"/>
        </w:trPr>
        <w:tc>
          <w:tcPr>
            <w:tcW w:w="3342" w:type="dxa"/>
            <w:vMerge/>
            <w:tcBorders>
              <w:left w:val="single" w:sz="4" w:space="0" w:color="000000"/>
              <w:bottom w:val="single" w:sz="4" w:space="0" w:color="000000"/>
              <w:right w:val="single" w:sz="4" w:space="0" w:color="000000"/>
            </w:tcBorders>
          </w:tcPr>
          <w:p>
            <w:pPr/>
          </w:p>
        </w:tc>
        <w:tc>
          <w:tcPr>
            <w:tcW w:w="2326" w:type="dxa"/>
            <w:vMerge/>
            <w:tcBorders>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9"/>
              <w:jc w:val="right"/>
              <w:rPr>
                <w:rFonts w:ascii="宋体" w:hAnsi="宋体" w:cs="宋体" w:eastAsia="宋体" w:hint="default"/>
                <w:sz w:val="21"/>
                <w:szCs w:val="21"/>
              </w:rPr>
            </w:pPr>
            <w:r>
              <w:rPr>
                <w:rFonts w:ascii="宋体" w:hAnsi="宋体" w:cs="宋体" w:eastAsia="宋体" w:hint="default"/>
                <w:spacing w:val="-2"/>
                <w:sz w:val="21"/>
                <w:szCs w:val="21"/>
              </w:rPr>
              <w:t>基本每股收益</w:t>
            </w:r>
            <w:r>
              <w:rPr>
                <w:rFonts w:ascii="宋体" w:hAnsi="宋体" w:cs="宋体" w:eastAsia="宋体" w:hint="default"/>
                <w:sz w:val="21"/>
                <w:szCs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49"/>
              <w:jc w:val="right"/>
              <w:rPr>
                <w:rFonts w:ascii="宋体" w:hAnsi="宋体" w:cs="宋体" w:eastAsia="宋体" w:hint="default"/>
                <w:sz w:val="21"/>
                <w:szCs w:val="21"/>
              </w:rPr>
            </w:pPr>
            <w:r>
              <w:rPr>
                <w:rFonts w:ascii="宋体" w:hAnsi="宋体" w:cs="宋体" w:eastAsia="宋体" w:hint="default"/>
                <w:spacing w:val="-2"/>
                <w:sz w:val="21"/>
                <w:szCs w:val="21"/>
              </w:rPr>
              <w:t>稀释每股收益</w:t>
            </w:r>
            <w:r>
              <w:rPr>
                <w:rFonts w:ascii="宋体" w:hAnsi="宋体" w:cs="宋体" w:eastAsia="宋体" w:hint="default"/>
                <w:sz w:val="21"/>
                <w:szCs w:val="21"/>
              </w:rPr>
              <w:t> </w:t>
            </w:r>
          </w:p>
        </w:tc>
      </w:tr>
      <w:tr>
        <w:trPr>
          <w:trHeight w:val="372" w:hRule="exact"/>
        </w:trPr>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0"/>
                <w:szCs w:val="20"/>
              </w:rPr>
            </w:pPr>
            <w:r>
              <w:rPr>
                <w:rFonts w:ascii="Times New Roman"/>
                <w:sz w:val="20"/>
              </w:rPr>
              <w:t>3.72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20"/>
                <w:szCs w:val="20"/>
              </w:rPr>
            </w:pPr>
            <w:r>
              <w:rPr>
                <w:rFonts w:ascii="Times New Roman"/>
                <w:sz w:val="20"/>
              </w:rPr>
              <w:t>0.17</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20"/>
                <w:szCs w:val="20"/>
              </w:rPr>
            </w:pPr>
            <w:r>
              <w:rPr>
                <w:rFonts w:ascii="Times New Roman"/>
                <w:sz w:val="20"/>
              </w:rPr>
              <w:t>0.17</w:t>
            </w:r>
          </w:p>
        </w:tc>
      </w:tr>
      <w:tr>
        <w:trPr>
          <w:trHeight w:val="554" w:hRule="exact"/>
        </w:trPr>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普通股股东的净利润</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0"/>
                <w:szCs w:val="20"/>
              </w:rPr>
            </w:pPr>
            <w:r>
              <w:rPr>
                <w:rFonts w:ascii="Times New Roman"/>
                <w:sz w:val="20"/>
              </w:rPr>
              <w:t>2.09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0"/>
                <w:szCs w:val="20"/>
              </w:rPr>
            </w:pPr>
            <w:r>
              <w:rPr>
                <w:rFonts w:ascii="Times New Roman"/>
                <w:sz w:val="20"/>
              </w:rPr>
              <w:t>0.09</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0"/>
                <w:szCs w:val="20"/>
              </w:rPr>
            </w:pPr>
            <w:r>
              <w:rPr>
                <w:rFonts w:ascii="Times New Roman"/>
                <w:sz w:val="20"/>
              </w:rPr>
              <w:t>0.09</w:t>
            </w:r>
          </w:p>
        </w:tc>
      </w:tr>
    </w:tbl>
    <w:p>
      <w:pPr>
        <w:pStyle w:val="Heading3"/>
        <w:spacing w:line="274" w:lineRule="exact"/>
        <w:ind w:right="0"/>
        <w:jc w:val="left"/>
        <w:rPr>
          <w:rFonts w:ascii="宋体" w:hAnsi="宋体" w:cs="宋体" w:eastAsia="宋体" w:hint="default"/>
        </w:rPr>
      </w:pPr>
      <w:r>
        <w:rPr>
          <w:rFonts w:ascii="宋体"/>
        </w:rPr>
        <w:t> </w:t>
      </w:r>
    </w:p>
    <w:p>
      <w:pPr>
        <w:pStyle w:val="Heading5"/>
        <w:spacing w:line="240" w:lineRule="auto"/>
        <w:ind w:right="0"/>
        <w:jc w:val="left"/>
        <w:rPr>
          <w:rFonts w:ascii="宋体" w:hAnsi="宋体" w:cs="宋体" w:eastAsia="宋体" w:hint="default"/>
          <w:b w:val="0"/>
          <w:bCs w:val="0"/>
        </w:rPr>
      </w:pPr>
      <w:r>
        <w:rPr>
          <w:rFonts w:ascii="宋体" w:hAnsi="宋体" w:cs="宋体" w:eastAsia="宋体" w:hint="default"/>
        </w:rPr>
        <w:t>3</w:t>
      </w:r>
      <w:r>
        <w:rPr/>
        <w:t>、</w:t>
      </w:r>
      <w:r>
        <w:rPr>
          <w:spacing w:val="-1"/>
        </w:rPr>
        <w:t> </w:t>
      </w:r>
      <w:r>
        <w:rPr>
          <w:rFonts w:ascii="宋体" w:hAnsi="宋体" w:cs="宋体" w:eastAsia="宋体" w:hint="default"/>
          <w:spacing w:val="-1"/>
        </w:rPr>
      </w:r>
      <w:r>
        <w:rPr/>
        <w:t>境内外会计准则下会计数据差异</w:t>
      </w:r>
      <w:r>
        <w:rPr>
          <w:rFonts w:ascii="宋体" w:hAnsi="宋体" w:cs="宋体" w:eastAsia="宋体" w:hint="default"/>
          <w:w w:val="99"/>
        </w:rPr>
        <w:t> </w:t>
      </w:r>
      <w:r>
        <w:rPr>
          <w:rFonts w:ascii="宋体" w:hAnsi="宋体" w:cs="宋体" w:eastAsia="宋体" w:hint="default"/>
          <w:b w:val="0"/>
          <w:bCs w:val="0"/>
        </w:rPr>
      </w:r>
    </w:p>
    <w:p>
      <w:pPr>
        <w:pStyle w:val="Heading3"/>
        <w:spacing w:line="313" w:lineRule="exact"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pStyle w:val="Heading5"/>
        <w:spacing w:line="240" w:lineRule="auto" w:before="62"/>
        <w:ind w:right="0"/>
        <w:jc w:val="left"/>
        <w:rPr>
          <w:b w:val="0"/>
          <w:bCs w:val="0"/>
        </w:rPr>
      </w:pPr>
      <w:r>
        <w:rPr>
          <w:rFonts w:ascii="宋体" w:hAnsi="宋体" w:cs="宋体" w:eastAsia="宋体" w:hint="default"/>
        </w:rPr>
        <w:t>4</w:t>
      </w:r>
      <w:r>
        <w:rPr/>
        <w:t>、 </w:t>
      </w:r>
      <w:r>
        <w:rPr>
          <w:rFonts w:ascii="宋体" w:hAnsi="宋体" w:cs="宋体" w:eastAsia="宋体" w:hint="default"/>
        </w:rPr>
      </w:r>
      <w:r>
        <w:rPr/>
        <w:t>其他</w:t>
      </w:r>
      <w:r>
        <w:rPr>
          <w:b w:val="0"/>
          <w:bCs w:val="0"/>
        </w:rPr>
      </w:r>
    </w:p>
    <w:p>
      <w:pPr>
        <w:pStyle w:val="Heading3"/>
        <w:spacing w:line="313" w:lineRule="exact"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rPr>
      </w:pPr>
      <w:r>
        <w:rPr>
          <w:rFonts w:ascii="宋体"/>
        </w:rPr>
        <w:t> </w:t>
      </w:r>
    </w:p>
    <w:p>
      <w:pPr>
        <w:spacing w:before="47"/>
        <w:ind w:left="3211" w:right="3190" w:firstLine="0"/>
        <w:jc w:val="center"/>
        <w:rPr>
          <w:rFonts w:ascii="宋体" w:hAnsi="宋体" w:cs="宋体" w:eastAsia="宋体" w:hint="default"/>
          <w:sz w:val="28"/>
          <w:szCs w:val="28"/>
        </w:rPr>
      </w:pPr>
      <w:r>
        <w:rPr>
          <w:rFonts w:ascii="宋体" w:hAnsi="宋体" w:cs="宋体" w:eastAsia="宋体" w:hint="default"/>
          <w:b/>
          <w:bCs/>
          <w:sz w:val="28"/>
          <w:szCs w:val="28"/>
        </w:rPr>
        <w:t>第十二节</w:t>
      </w:r>
      <w:r>
        <w:rPr>
          <w:rFonts w:ascii="宋体" w:hAnsi="宋体" w:cs="宋体" w:eastAsia="宋体" w:hint="default"/>
          <w:b/>
          <w:bCs/>
          <w:spacing w:val="-7"/>
          <w:sz w:val="28"/>
          <w:szCs w:val="28"/>
        </w:rPr>
        <w:t> </w:t>
      </w:r>
      <w:r>
        <w:rPr>
          <w:rFonts w:ascii="宋体" w:hAnsi="宋体" w:cs="宋体" w:eastAsia="宋体" w:hint="default"/>
          <w:b/>
          <w:bCs/>
          <w:spacing w:val="-7"/>
          <w:sz w:val="28"/>
          <w:szCs w:val="28"/>
        </w:rPr>
      </w:r>
      <w:r>
        <w:rPr>
          <w:rFonts w:ascii="宋体" w:hAnsi="宋体" w:cs="宋体" w:eastAsia="宋体" w:hint="default"/>
          <w:b/>
          <w:bCs/>
          <w:sz w:val="28"/>
          <w:szCs w:val="28"/>
        </w:rPr>
        <w:t>备查文件目录</w:t>
      </w:r>
      <w:r>
        <w:rPr>
          <w:rFonts w:ascii="宋体" w:hAnsi="宋体" w:cs="宋体" w:eastAsia="宋体" w:hint="default"/>
          <w:b/>
          <w:bCs/>
          <w:w w:val="99"/>
          <w:sz w:val="28"/>
          <w:szCs w:val="28"/>
        </w:rPr>
        <w:t> </w:t>
      </w:r>
      <w:r>
        <w:rPr>
          <w:rFonts w:ascii="宋体" w:hAnsi="宋体" w:cs="宋体" w:eastAsia="宋体" w:hint="default"/>
          <w:sz w:val="28"/>
          <w:szCs w:val="28"/>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80" w:type="dxa"/>
        <w:tblLayout w:type="fixed"/>
        <w:tblCellMar>
          <w:top w:w="0" w:type="dxa"/>
          <w:left w:w="0" w:type="dxa"/>
          <w:bottom w:w="0" w:type="dxa"/>
          <w:right w:w="0" w:type="dxa"/>
        </w:tblCellMar>
        <w:tblLook w:val="01E0"/>
      </w:tblPr>
      <w:tblGrid>
        <w:gridCol w:w="1426"/>
        <w:gridCol w:w="7470"/>
      </w:tblGrid>
      <w:tr>
        <w:trPr>
          <w:trHeight w:val="28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7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载有法定代表人、主管会计工作负责人、会计机构负责人签名并盖章的会计报表</w:t>
            </w:r>
          </w:p>
        </w:tc>
      </w:tr>
      <w:tr>
        <w:trPr>
          <w:trHeight w:val="28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7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554"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9"/>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74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报告期内《上海证券报》、《中国证券报》上公开披露过的所有公司文件的正本</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及公告原件</w:t>
            </w:r>
          </w:p>
        </w:tc>
      </w:tr>
    </w:tbl>
    <w:p>
      <w:pPr>
        <w:spacing w:after="0" w:line="273" w:lineRule="exact"/>
        <w:jc w:val="left"/>
        <w:rPr>
          <w:rFonts w:ascii="宋体" w:hAnsi="宋体" w:cs="宋体" w:eastAsia="宋体" w:hint="default"/>
          <w:sz w:val="21"/>
          <w:szCs w:val="21"/>
        </w:rPr>
        <w:sectPr>
          <w:pgSz w:w="11910" w:h="16840"/>
          <w:pgMar w:header="0" w:footer="1195" w:top="1120" w:bottom="1380" w:left="1060" w:right="1460"/>
        </w:sectPr>
      </w:pPr>
    </w:p>
    <w:p>
      <w:pPr>
        <w:spacing w:line="240" w:lineRule="auto" w:before="0"/>
        <w:rPr>
          <w:rFonts w:ascii="宋体" w:hAnsi="宋体" w:cs="宋体" w:eastAsia="宋体" w:hint="default"/>
          <w:b/>
          <w:bCs/>
          <w:sz w:val="24"/>
          <w:szCs w:val="24"/>
        </w:rPr>
      </w:pPr>
    </w:p>
    <w:p>
      <w:pPr>
        <w:spacing w:line="240" w:lineRule="auto" w:before="9"/>
        <w:rPr>
          <w:rFonts w:ascii="宋体" w:hAnsi="宋体" w:cs="宋体" w:eastAsia="宋体" w:hint="default"/>
          <w:b/>
          <w:bCs/>
          <w:sz w:val="31"/>
          <w:szCs w:val="31"/>
        </w:rPr>
      </w:pPr>
    </w:p>
    <w:p>
      <w:pPr>
        <w:spacing w:line="276" w:lineRule="auto" w:before="0"/>
        <w:ind w:left="216" w:right="0"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修</w:t>
      </w:r>
      <w:r>
        <w:rPr>
          <w:rFonts w:ascii="宋体" w:hAnsi="宋体" w:cs="宋体" w:eastAsia="宋体" w:hint="default"/>
          <w:b/>
          <w:bCs/>
          <w:w w:val="99"/>
          <w:sz w:val="24"/>
          <w:szCs w:val="24"/>
        </w:rPr>
        <w:t>订</w:t>
      </w:r>
      <w:r>
        <w:rPr>
          <w:rFonts w:ascii="宋体" w:hAnsi="宋体" w:cs="宋体" w:eastAsia="宋体" w:hint="default"/>
          <w:b/>
          <w:bCs/>
          <w:spacing w:val="2"/>
          <w:w w:val="99"/>
          <w:sz w:val="24"/>
          <w:szCs w:val="24"/>
        </w:rPr>
        <w:t>信</w:t>
      </w:r>
      <w:r>
        <w:rPr>
          <w:rFonts w:ascii="宋体" w:hAnsi="宋体" w:cs="宋体" w:eastAsia="宋体" w:hint="default"/>
          <w:b/>
          <w:bCs/>
          <w:w w:val="99"/>
          <w:sz w:val="24"/>
          <w:szCs w:val="24"/>
        </w:rPr>
        <w:t>息</w:t>
      </w:r>
      <w:r>
        <w:rPr>
          <w:rFonts w:ascii="宋体" w:hAnsi="宋体" w:cs="宋体" w:eastAsia="宋体" w:hint="default"/>
          <w:b/>
          <w:bCs/>
          <w:w w:val="99"/>
          <w:sz w:val="24"/>
          <w:szCs w:val="24"/>
        </w:rPr>
        <w:t> </w:t>
      </w:r>
      <w:r>
        <w:rPr>
          <w:rFonts w:ascii="宋体" w:hAnsi="宋体" w:cs="宋体" w:eastAsia="宋体" w:hint="default"/>
          <w:sz w:val="24"/>
          <w:szCs w:val="24"/>
        </w:rPr>
      </w:r>
    </w:p>
    <w:p>
      <w:pPr>
        <w:pStyle w:val="Heading3"/>
        <w:spacing w:line="276"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4" w:lineRule="auto" w:before="42"/>
        <w:ind w:left="216" w:right="0" w:firstLine="2258"/>
        <w:jc w:val="left"/>
        <w:rPr>
          <w:rFonts w:ascii="宋体" w:hAnsi="宋体" w:cs="宋体" w:eastAsia="宋体" w:hint="default"/>
          <w:sz w:val="24"/>
          <w:szCs w:val="24"/>
        </w:rPr>
      </w:pPr>
      <w:r>
        <w:rPr/>
        <w:br w:type="column"/>
      </w:r>
      <w:r>
        <w:rPr/>
        <w:t>董事长：黄代放</w:t>
      </w:r>
      <w:r>
        <w:rPr>
          <w:rFonts w:ascii="宋体" w:hAnsi="宋体" w:cs="宋体" w:eastAsia="宋体" w:hint="default"/>
          <w:w w:val="100"/>
        </w:rPr>
        <w:t> </w:t>
      </w:r>
      <w:r>
        <w:rPr/>
        <w:t>董事会批准报送日期：</w:t>
      </w:r>
      <w:r>
        <w:rPr>
          <w:rFonts w:ascii="宋体" w:hAnsi="宋体" w:cs="宋体" w:eastAsia="宋体" w:hint="default"/>
        </w:rPr>
        <w:t>2020</w:t>
      </w:r>
      <w:r>
        <w:rPr>
          <w:rFonts w:ascii="宋体" w:hAnsi="宋体" w:cs="宋体" w:eastAsia="宋体" w:hint="default"/>
          <w:spacing w:val="-54"/>
        </w:rPr>
        <w:t> </w:t>
      </w:r>
      <w:r>
        <w:rPr/>
        <w:t>年</w:t>
      </w:r>
      <w:r>
        <w:rPr>
          <w:spacing w:val="-53"/>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24</w:t>
      </w:r>
      <w:r>
        <w:rPr>
          <w:rFonts w:ascii="宋体" w:hAnsi="宋体" w:cs="宋体" w:eastAsia="宋体" w:hint="default"/>
          <w:spacing w:val="-54"/>
        </w:rPr>
        <w:t> </w:t>
      </w:r>
      <w:r>
        <w:rPr/>
        <w:t>日</w:t>
      </w:r>
      <w:r>
        <w:rPr>
          <w:rFonts w:ascii="宋体" w:hAnsi="宋体" w:cs="宋体" w:eastAsia="宋体" w:hint="default"/>
          <w:spacing w:val="-3"/>
          <w:sz w:val="24"/>
          <w:szCs w:val="24"/>
        </w:rPr>
        <w:t> </w:t>
      </w:r>
      <w:r>
        <w:rPr>
          <w:rFonts w:ascii="宋体" w:hAnsi="宋体" w:cs="宋体" w:eastAsia="宋体" w:hint="default"/>
          <w:color w:val="008000"/>
          <w:sz w:val="24"/>
          <w:szCs w:val="24"/>
        </w:rPr>
        <w:t> </w:t>
      </w:r>
      <w:r>
        <w:rPr>
          <w:rFonts w:ascii="宋体" w:hAnsi="宋体" w:cs="宋体" w:eastAsia="宋体" w:hint="default"/>
          <w:sz w:val="24"/>
          <w:szCs w:val="24"/>
        </w:rPr>
      </w:r>
    </w:p>
    <w:sectPr>
      <w:type w:val="continuous"/>
      <w:pgSz w:w="11910" w:h="16840"/>
      <w:pgMar w:top="1120" w:bottom="1380" w:left="1060" w:right="1460"/>
      <w:cols w:num="2" w:equalWidth="0">
        <w:col w:w="2258" w:space="2841"/>
        <w:col w:w="429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 w:name="黑体">
    <w:altName w:val="黑体"/>
    <w:charset w:val="86"/>
    <w:family w:val="modern"/>
    <w:pitch w:val="fixed"/>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45996pt;width:28.8pt;height:11pt;mso-position-horizontal-relative:page;mso-position-vertical-relative:page;z-index:-12028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2023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40</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2023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45</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45996pt;width:32.4pt;height:11pt;mso-position-horizontal-relative:page;mso-position-vertical-relative:page;z-index:-12022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205</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45996pt;width:32.4pt;height:11pt;mso-position-horizontal-relative:page;mso-position-vertical-relative:page;z-index:-12022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51 </w:t>
                </w:r>
                <w:r>
                  <w:rPr>
                    <w:rFonts w:ascii="Calibri"/>
                    <w:sz w:val="18"/>
                  </w:rPr>
                  <w:t>/</w:t>
                </w:r>
                <w:r>
                  <w:rPr>
                    <w:rFonts w:ascii="Calibri"/>
                    <w:spacing w:val="-4"/>
                    <w:sz w:val="18"/>
                  </w:rPr>
                  <w:t> </w:t>
                </w:r>
                <w:r>
                  <w:rPr>
                    <w:rFonts w:ascii="Calibri"/>
                    <w:b/>
                    <w:sz w:val="18"/>
                  </w:rPr>
                  <w:t>205</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2022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52</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2021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56</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45996pt;width:32.4pt;height:11pt;mso-position-horizontal-relative:page;mso-position-vertical-relative:page;z-index:-12021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205</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2020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45996pt;width:32.4pt;height:11pt;mso-position-horizontal-relative:page;mso-position-vertical-relative:page;z-index:-12020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205</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2020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9.730011pt;margin-top:771.145996pt;width:28.8pt;height:11pt;mso-position-horizontal-relative:page;mso-position-vertical-relative:page;z-index:-12028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2019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77</w:t>
                </w:r>
                <w:r>
                  <w:rPr/>
                  <w:fldChar w:fldCharType="end"/>
                </w:r>
                <w:r>
                  <w:rPr>
                    <w:rFonts w:ascii="Calibri"/>
                    <w:b/>
                    <w:sz w:val="18"/>
                  </w:rPr>
                  <w:t> </w:t>
                </w:r>
                <w:r>
                  <w:rPr>
                    <w:rFonts w:ascii="Calibri"/>
                    <w:sz w:val="18"/>
                  </w:rPr>
                  <w:t>/</w:t>
                </w:r>
                <w:r>
                  <w:rPr>
                    <w:rFonts w:ascii="Calibri"/>
                    <w:spacing w:val="-2"/>
                    <w:sz w:val="18"/>
                  </w:rPr>
                  <w:t> </w:t>
                </w:r>
                <w:r>
                  <w:rPr>
                    <w:rFonts w:ascii="Calibri"/>
                    <w:b/>
                    <w:sz w:val="18"/>
                  </w:rPr>
                  <w:t>205</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09998pt;margin-top:524.546021pt;width:32.4pt;height:11pt;mso-position-horizontal-relative:page;mso-position-vertical-relative:page;z-index:-12019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205</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2019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2018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84</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45996pt;width:32.4pt;height:11pt;mso-position-horizontal-relative:page;mso-position-vertical-relative:page;z-index:-12018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205</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2017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017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205</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017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017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107</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016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108</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45996pt;width:32.4pt;height:11pt;mso-position-horizontal-relative:page;mso-position-vertical-relative:page;z-index:-12028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205</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016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205</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2016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015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117</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2.84pt;margin-top:748.383484pt;width:104.05pt;height:14pt;mso-position-horizontal-relative:page;mso-position-vertical-relative:page;z-index:-1201504"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txbxContent>
          </v:textbox>
          <w10:wrap type="none"/>
        </v:shape>
      </w:pict>
    </w:r>
    <w:r>
      <w:rPr/>
      <w:pict>
        <v:shape style="position:absolute;margin-left:265.170013pt;margin-top:771.145996pt;width:37.950pt;height:11pt;mso-position-horizontal-relative:page;mso-position-vertical-relative:page;z-index:-12014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120</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014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122 </w:t>
                </w:r>
                <w:r>
                  <w:rPr>
                    <w:rFonts w:ascii="Calibri"/>
                    <w:sz w:val="18"/>
                  </w:rPr>
                  <w:t>/</w:t>
                </w:r>
                <w:r>
                  <w:rPr>
                    <w:rFonts w:ascii="Calibri"/>
                    <w:spacing w:val="-5"/>
                    <w:sz w:val="18"/>
                  </w:rPr>
                  <w:t> </w:t>
                </w:r>
                <w:r>
                  <w:rPr>
                    <w:rFonts w:ascii="Calibri"/>
                    <w:b/>
                    <w:sz w:val="18"/>
                  </w:rPr>
                  <w:t>205</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2013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123</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013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w:t>
                </w:r>
                <w:r>
                  <w:rPr/>
                  <w:fldChar w:fldCharType="end"/>
                </w:r>
                <w:r>
                  <w:rPr>
                    <w:rFonts w:ascii="Calibri"/>
                    <w:b/>
                    <w:sz w:val="18"/>
                  </w:rPr>
                  <w:t>9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2012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011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140</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2010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147</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2027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529999pt;margin-top:524.546021pt;width:36.950pt;height:11pt;mso-position-horizontal-relative:page;mso-position-vertical-relative:page;z-index:-12010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205</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2010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009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157</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009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205</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009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2008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170</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007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177</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2.84pt;margin-top:726.067505pt;width:110.05pt;height:29.6pt;mso-position-horizontal-relative:page;mso-position-vertical-relative:page;z-index:-1200760" type="#_x0000_t202" filled="false" stroked="false">
          <v:textbox inset="0,0,0,0">
            <w:txbxContent>
              <w:p>
                <w:pPr>
                  <w:spacing w:line="259" w:lineRule="exact" w:before="0"/>
                  <w:ind w:left="20" w:right="0"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p>
                <w:pPr>
                  <w:spacing w:line="313" w:lineRule="exact" w:before="0"/>
                  <w:ind w:left="20" w:right="0" w:firstLine="0"/>
                  <w:jc w:val="left"/>
                  <w:rPr>
                    <w:rFonts w:ascii="宋体" w:hAnsi="宋体" w:cs="宋体" w:eastAsia="宋体" w:hint="default"/>
                    <w:sz w:val="24"/>
                    <w:szCs w:val="24"/>
                  </w:rPr>
                </w:pPr>
                <w:r>
                  <w:rPr>
                    <w:rFonts w:ascii="宋体"/>
                    <w:sz w:val="24"/>
                  </w:rPr>
                  <w:t> </w:t>
                </w:r>
              </w:p>
            </w:txbxContent>
          </v:textbox>
          <w10:wrap type="none"/>
        </v:shape>
      </w:pict>
    </w:r>
    <w:r>
      <w:rPr/>
      <w:pict>
        <v:shape style="position:absolute;margin-left:265.170013pt;margin-top:771.145996pt;width:37.950pt;height:11pt;mso-position-horizontal-relative:page;mso-position-vertical-relative:page;z-index:-12007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178</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007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205</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00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2027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006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190 </w:t>
                </w:r>
                <w:r>
                  <w:rPr>
                    <w:rFonts w:ascii="Calibri"/>
                    <w:sz w:val="18"/>
                  </w:rPr>
                  <w:t>/</w:t>
                </w:r>
                <w:r>
                  <w:rPr>
                    <w:rFonts w:ascii="Calibri"/>
                    <w:spacing w:val="-5"/>
                    <w:sz w:val="18"/>
                  </w:rPr>
                  <w:t> </w:t>
                </w:r>
                <w:r>
                  <w:rPr>
                    <w:rFonts w:ascii="Calibri"/>
                    <w:b/>
                    <w:sz w:val="18"/>
                  </w:rPr>
                  <w:t>205</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006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191 </w:t>
                </w:r>
                <w:r>
                  <w:rPr>
                    <w:rFonts w:ascii="Calibri"/>
                    <w:sz w:val="18"/>
                  </w:rPr>
                  <w:t>/</w:t>
                </w:r>
                <w:r>
                  <w:rPr>
                    <w:rFonts w:ascii="Calibri"/>
                    <w:spacing w:val="-5"/>
                    <w:sz w:val="18"/>
                  </w:rPr>
                  <w:t> </w:t>
                </w:r>
                <w:r>
                  <w:rPr>
                    <w:rFonts w:ascii="Calibri"/>
                    <w:b/>
                    <w:sz w:val="18"/>
                  </w:rPr>
                  <w:t>205</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2005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192</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004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197</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004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200 </w:t>
                </w:r>
                <w:r>
                  <w:rPr>
                    <w:rFonts w:ascii="Calibri"/>
                    <w:sz w:val="18"/>
                  </w:rPr>
                  <w:t>/</w:t>
                </w:r>
                <w:r>
                  <w:rPr>
                    <w:rFonts w:ascii="Calibri"/>
                    <w:spacing w:val="-5"/>
                    <w:sz w:val="18"/>
                  </w:rPr>
                  <w:t> </w:t>
                </w:r>
                <w:r>
                  <w:rPr>
                    <w:rFonts w:ascii="Calibri"/>
                    <w:b/>
                    <w:sz w:val="18"/>
                  </w:rPr>
                  <w:t>205</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004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201 </w:t>
                </w:r>
                <w:r>
                  <w:rPr>
                    <w:rFonts w:ascii="Calibri"/>
                    <w:sz w:val="18"/>
                  </w:rPr>
                  <w:t>/</w:t>
                </w:r>
                <w:r>
                  <w:rPr>
                    <w:rFonts w:ascii="Calibri"/>
                    <w:spacing w:val="-5"/>
                    <w:sz w:val="18"/>
                  </w:rPr>
                  <w:t> </w:t>
                </w:r>
                <w:r>
                  <w:rPr>
                    <w:rFonts w:ascii="Calibri"/>
                    <w:b/>
                    <w:sz w:val="18"/>
                  </w:rPr>
                  <w:t>205</w:t>
                </w:r>
                <w:r>
                  <w:rPr>
                    <w:rFonts w:ascii="Calibri"/>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004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203</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2026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24</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2025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w:t>
                </w:r>
                <w:r>
                  <w:rPr/>
                  <w:fldChar w:fldCharType="end"/>
                </w:r>
                <w:r>
                  <w:rPr>
                    <w:rFonts w:ascii="Calibri"/>
                    <w:b/>
                    <w:sz w:val="18"/>
                  </w:rPr>
                  <w:t>9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2025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2024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34</w:t>
                </w:r>
                <w:r>
                  <w:rPr/>
                  <w:fldChar w:fldCharType="end"/>
                </w:r>
                <w:r>
                  <w:rPr>
                    <w:rFonts w:ascii="Calibri"/>
                    <w:b/>
                    <w:sz w:val="18"/>
                  </w:rPr>
                  <w:t> </w:t>
                </w:r>
                <w:r>
                  <w:rPr>
                    <w:rFonts w:ascii="Calibri"/>
                    <w:sz w:val="18"/>
                  </w:rPr>
                  <w:t>/</w:t>
                </w:r>
                <w:r>
                  <w:rPr>
                    <w:rFonts w:ascii="Calibri"/>
                    <w:spacing w:val="-3"/>
                    <w:sz w:val="18"/>
                  </w:rPr>
                  <w:t> </w:t>
                </w:r>
                <w:r>
                  <w:rPr>
                    <w:rFonts w:ascii="Calibri"/>
                    <w:b/>
                    <w:sz w:val="18"/>
                  </w:rPr>
                  <w:t>205</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35pt;height:.1pt;mso-position-horizontal-relative:page;mso-position-vertical-relative:page;z-index:-1202944" coordorigin="1769,1116" coordsize="8867,2">
          <v:shape style="position:absolute;left:1769;top:1116;width:8867;height:2" coordorigin="1769,1116" coordsize="8867,0" path="m1769,1116l10636,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369995pt;margin-top:42.985607pt;width:67.55pt;height:12pt;mso-position-horizontal-relative:page;mso-position-vertical-relative:page;z-index:-12029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559982pt;width:443.4pt;height:.1pt;mso-position-horizontal-relative:page;mso-position-vertical-relative:page;z-index:-1202176" coordorigin="1248,1111" coordsize="8868,2">
          <v:shape style="position:absolute;left:1248;top:1111;width:8868;height:2" coordorigin="1248,1111" coordsize="8868,0" path="m1248,1111l10116,1111e" filled="false" stroked="true" strokeweight=".72pt" strokecolor="#000000">
            <v:path arrowok="t"/>
          </v:shape>
          <w10:wrap type="none"/>
        </v:group>
      </w:pict>
    </w:r>
    <w:r>
      <w:rPr/>
      <w:pict>
        <v:shape style="position:absolute;margin-left:250.330002pt;margin-top:42.865608pt;width:67.55pt;height:12pt;mso-position-horizontal-relative:page;mso-position-vertical-relative:page;z-index:-12021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4pt;height:.1pt;mso-position-horizontal-relative:page;mso-position-vertical-relative:page;z-index:-1202008" coordorigin="1495,1118" coordsize="13908,2">
          <v:shape style="position:absolute;left:1495;top:1118;width:13908;height:2" coordorigin="1495,1118" coordsize="13908,0" path="m1495,1118l15403,1118e" filled="false" stroked="true" strokeweight=".72pt" strokecolor="#000000">
            <v:path arrowok="t"/>
          </v:shape>
          <w10:wrap type="none"/>
        </v:group>
      </w:pict>
    </w:r>
    <w:r>
      <w:rPr/>
      <w:pict>
        <v:shape style="position:absolute;margin-left:388.690002pt;margin-top:43.105633pt;width:67.55pt;height:12pt;mso-position-horizontal-relative:page;mso-position-vertical-relative:page;z-index:-12019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4pt;height:.1pt;mso-position-horizontal-relative:page;mso-position-vertical-relative:page;z-index:-1201888" coordorigin="1248,1118" coordsize="8868,2">
          <v:shape style="position:absolute;left:1248;top:1118;width:8868;height:2" coordorigin="1248,1118" coordsize="8868,0" path="m1248,1118l10116,1118e" filled="false" stroked="true" strokeweight=".72pt" strokecolor="#000000">
            <v:path arrowok="t"/>
          </v:shape>
          <w10:wrap type="none"/>
        </v:group>
      </w:pict>
    </w:r>
    <w:r>
      <w:rPr/>
      <w:pict>
        <v:shape style="position:absolute;margin-left:250.330002pt;margin-top:43.105606pt;width:67.55pt;height:12pt;mso-position-horizontal-relative:page;mso-position-vertical-relative:page;z-index:-12018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4pt;height:.1pt;mso-position-horizontal-relative:page;mso-position-vertical-relative:page;z-index:-1201648" coordorigin="1495,1118" coordsize="13908,2">
          <v:shape style="position:absolute;left:1495;top:1118;width:13908;height:2" coordorigin="1495,1118" coordsize="13908,0" path="m1495,1118l15403,1118e" filled="false" stroked="true" strokeweight=".72pt" strokecolor="#000000">
            <v:path arrowok="t"/>
          </v:shape>
          <w10:wrap type="none"/>
        </v:group>
      </w:pict>
    </w:r>
    <w:r>
      <w:rPr/>
      <w:pict>
        <v:shape style="position:absolute;margin-left:388.690002pt;margin-top:43.105633pt;width:67.55pt;height:12pt;mso-position-horizontal-relative:page;mso-position-vertical-relative:page;z-index:-12016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4pt;height:.1pt;mso-position-horizontal-relative:page;mso-position-vertical-relative:page;z-index:-1201576" coordorigin="1248,1118" coordsize="8868,2">
          <v:shape style="position:absolute;left:1248;top:1118;width:8868;height:2" coordorigin="1248,1118" coordsize="8868,0" path="m1248,1118l10116,1118e" filled="false" stroked="true" strokeweight=".72pt" strokecolor="#000000">
            <v:path arrowok="t"/>
          </v:shape>
          <w10:wrap type="none"/>
        </v:group>
      </w:pict>
    </w:r>
    <w:r>
      <w:rPr/>
      <w:pict>
        <v:shape style="position:absolute;margin-left:250.330002pt;margin-top:43.105606pt;width:67.55pt;height:12pt;mso-position-horizontal-relative:page;mso-position-vertical-relative:page;z-index:-12015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4pt;height:.1pt;mso-position-horizontal-relative:page;mso-position-vertical-relative:page;z-index:-1201432" coordorigin="1495,1118" coordsize="13908,2">
          <v:shape style="position:absolute;left:1495;top:1118;width:13908;height:2" coordorigin="1495,1118" coordsize="13908,0" path="m1495,1118l15403,1118e" filled="false" stroked="true" strokeweight=".72pt" strokecolor="#000000">
            <v:path arrowok="t"/>
          </v:shape>
          <w10:wrap type="none"/>
        </v:group>
      </w:pict>
    </w:r>
    <w:r>
      <w:rPr/>
      <w:pict>
        <v:shape style="position:absolute;margin-left:388.690002pt;margin-top:43.105633pt;width:67.55pt;height:12pt;mso-position-horizontal-relative:page;mso-position-vertical-relative:page;z-index:-12014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4pt;height:.1pt;mso-position-horizontal-relative:page;mso-position-vertical-relative:page;z-index:-1201360" coordorigin="1248,1118" coordsize="8868,2">
          <v:shape style="position:absolute;left:1248;top:1118;width:8868;height:2" coordorigin="1248,1118" coordsize="8868,0" path="m1248,1118l10116,1118e" filled="false" stroked="true" strokeweight=".72pt" strokecolor="#000000">
            <v:path arrowok="t"/>
          </v:shape>
          <w10:wrap type="none"/>
        </v:group>
      </w:pict>
    </w:r>
    <w:r>
      <w:rPr/>
      <w:pict>
        <v:shape style="position:absolute;margin-left:250.330002pt;margin-top:43.105606pt;width:67.55pt;height:12pt;mso-position-horizontal-relative:page;mso-position-vertical-relative:page;z-index:-12013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4pt;height:.1pt;mso-position-horizontal-relative:page;mso-position-vertical-relative:page;z-index:-1201288" coordorigin="1495,1118" coordsize="13908,2">
          <v:shape style="position:absolute;left:1495;top:1118;width:13908;height:2" coordorigin="1495,1118" coordsize="13908,0" path="m1495,1118l15403,1118e" filled="false" stroked="true" strokeweight=".72pt" strokecolor="#000000">
            <v:path arrowok="t"/>
          </v:shape>
          <w10:wrap type="none"/>
        </v:group>
      </w:pict>
    </w:r>
    <w:r>
      <w:rPr/>
      <w:pict>
        <v:shape style="position:absolute;margin-left:388.690002pt;margin-top:43.105633pt;width:67.55pt;height:12pt;mso-position-horizontal-relative:page;mso-position-vertical-relative:page;z-index:-12012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4pt;height:.1pt;mso-position-horizontal-relative:page;mso-position-vertical-relative:page;z-index:-1201216" coordorigin="1248,1118" coordsize="8868,2">
          <v:shape style="position:absolute;left:1248;top:1118;width:8868;height:2" coordorigin="1248,1118" coordsize="8868,0" path="m1248,1118l10116,1118e" filled="false" stroked="true" strokeweight=".72pt" strokecolor="#000000">
            <v:path arrowok="t"/>
          </v:shape>
          <w10:wrap type="none"/>
        </v:group>
      </w:pict>
    </w:r>
    <w:r>
      <w:rPr/>
      <w:pict>
        <v:shape style="position:absolute;margin-left:250.330002pt;margin-top:43.105606pt;width:67.55pt;height:12pt;mso-position-horizontal-relative:page;mso-position-vertical-relative:page;z-index:-12011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4pt;height:.1pt;mso-position-horizontal-relative:page;mso-position-vertical-relative:page;z-index:-1201144" coordorigin="1495,1118" coordsize="13908,2">
          <v:shape style="position:absolute;left:1495;top:1118;width:13908;height:2" coordorigin="1495,1118" coordsize="13908,0" path="m1495,1118l15403,1118e" filled="false" stroked="true" strokeweight=".72pt" strokecolor="#000000">
            <v:path arrowok="t"/>
          </v:shape>
          <w10:wrap type="none"/>
        </v:group>
      </w:pict>
    </w:r>
    <w:r>
      <w:rPr/>
      <w:pict>
        <v:shape style="position:absolute;margin-left:388.690002pt;margin-top:43.105633pt;width:67.55pt;height:12pt;mso-position-horizontal-relative:page;mso-position-vertical-relative:page;z-index:-12011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799984pt;width:443.4pt;height:.1pt;mso-position-horizontal-relative:page;mso-position-vertical-relative:page;z-index:-1202872" coordorigin="1248,1116" coordsize="8868,2">
          <v:shape style="position:absolute;left:1248;top:1116;width:8868;height:2" coordorigin="1248,1116" coordsize="8868,0" path="m1248,1116l10116,1116e" filled="false" stroked="true" strokeweight=".72pt" strokecolor="#000000">
            <v:path arrowok="t"/>
          </v:shape>
          <w10:wrap type="none"/>
        </v:group>
      </w:pict>
    </w:r>
    <w:r>
      <w:rPr/>
      <w:pict>
        <v:shape style="position:absolute;margin-left:250.330002pt;margin-top:42.985607pt;width:67.55pt;height:12pt;mso-position-horizontal-relative:page;mso-position-vertical-relative:page;z-index:-12028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4pt;height:.1pt;mso-position-horizontal-relative:page;mso-position-vertical-relative:page;z-index:-1201024" coordorigin="1248,1118" coordsize="8868,2">
          <v:shape style="position:absolute;left:1248;top:1118;width:8868;height:2" coordorigin="1248,1118" coordsize="8868,0" path="m1248,1118l10116,1118e" filled="false" stroked="true" strokeweight=".72pt" strokecolor="#000000">
            <v:path arrowok="t"/>
          </v:shape>
          <w10:wrap type="none"/>
        </v:group>
      </w:pict>
    </w:r>
    <w:r>
      <w:rPr/>
      <w:pict>
        <v:shape style="position:absolute;margin-left:250.330002pt;margin-top:43.105606pt;width:67.55pt;height:12pt;mso-position-horizontal-relative:page;mso-position-vertical-relative:page;z-index:-12010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4pt;height:.1pt;mso-position-horizontal-relative:page;mso-position-vertical-relative:page;z-index:-1200904" coordorigin="1495,1118" coordsize="13908,2">
          <v:shape style="position:absolute;left:1495;top:1118;width:13908;height:2" coordorigin="1495,1118" coordsize="13908,0" path="m1495,1118l15403,1118e" filled="false" stroked="true" strokeweight=".72pt" strokecolor="#000000">
            <v:path arrowok="t"/>
          </v:shape>
          <w10:wrap type="none"/>
        </v:group>
      </w:pict>
    </w:r>
    <w:r>
      <w:rPr/>
      <w:pict>
        <v:shape style="position:absolute;margin-left:388.690002pt;margin-top:43.105633pt;width:67.55pt;height:12pt;mso-position-horizontal-relative:page;mso-position-vertical-relative:page;z-index:-12008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4pt;height:.1pt;mso-position-horizontal-relative:page;mso-position-vertical-relative:page;z-index:-1200832" coordorigin="1248,1118" coordsize="8868,2">
          <v:shape style="position:absolute;left:1248;top:1118;width:8868;height:2" coordorigin="1248,1118" coordsize="8868,0" path="m1248,1118l10116,1118e" filled="false" stroked="true" strokeweight=".72pt" strokecolor="#000000">
            <v:path arrowok="t"/>
          </v:shape>
          <w10:wrap type="none"/>
        </v:group>
      </w:pict>
    </w:r>
    <w:r>
      <w:rPr/>
      <w:pict>
        <v:shape style="position:absolute;margin-left:250.330002pt;margin-top:43.105606pt;width:67.55pt;height:12pt;mso-position-horizontal-relative:page;mso-position-vertical-relative:page;z-index:-12008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4pt;height:.1pt;mso-position-horizontal-relative:page;mso-position-vertical-relative:page;z-index:-1200616" coordorigin="1495,1118" coordsize="13908,2">
          <v:shape style="position:absolute;left:1495;top:1118;width:13908;height:2" coordorigin="1495,1118" coordsize="13908,0" path="m1495,1118l15403,1118e" filled="false" stroked="true" strokeweight=".72pt" strokecolor="#000000">
            <v:path arrowok="t"/>
          </v:shape>
          <w10:wrap type="none"/>
        </v:group>
      </w:pict>
    </w:r>
    <w:r>
      <w:rPr/>
      <w:pict>
        <v:shape style="position:absolute;margin-left:388.690002pt;margin-top:43.105633pt;width:67.55pt;height:12pt;mso-position-horizontal-relative:page;mso-position-vertical-relative:page;z-index:-12005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4pt;height:.1pt;mso-position-horizontal-relative:page;mso-position-vertical-relative:page;z-index:-1200544" coordorigin="1248,1118" coordsize="8868,2">
          <v:shape style="position:absolute;left:1248;top:1118;width:8868;height:2" coordorigin="1248,1118" coordsize="8868,0" path="m1248,1118l10116,1118e" filled="false" stroked="true" strokeweight=".72pt" strokecolor="#000000">
            <v:path arrowok="t"/>
          </v:shape>
          <w10:wrap type="none"/>
        </v:group>
      </w:pict>
    </w:r>
    <w:r>
      <w:rPr/>
      <w:pict>
        <v:shape style="position:absolute;margin-left:250.330002pt;margin-top:43.105606pt;width:67.55pt;height:12pt;mso-position-horizontal-relative:page;mso-position-vertical-relative:page;z-index:-12005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4pt;height:.1pt;mso-position-horizontal-relative:page;mso-position-vertical-relative:page;z-index:-1202752" coordorigin="1495,1116" coordsize="13908,2">
          <v:shape style="position:absolute;left:1495;top:1116;width:13908;height:2" coordorigin="1495,1116" coordsize="13908,0" path="m1495,1116l15403,1116e" filled="false" stroked="true" strokeweight=".72pt" strokecolor="#000000">
            <v:path arrowok="t"/>
          </v:shape>
          <w10:wrap type="none"/>
        </v:group>
      </w:pict>
    </w:r>
    <w:r>
      <w:rPr/>
      <w:pict>
        <v:shape style="position:absolute;margin-left:388.690002pt;margin-top:42.985634pt;width:67.55pt;height:12pt;mso-position-horizontal-relative:page;mso-position-vertical-relative:page;z-index:-12027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799984pt;width:443.4pt;height:.1pt;mso-position-horizontal-relative:page;mso-position-vertical-relative:page;z-index:-1202680" coordorigin="1248,1116" coordsize="8868,2">
          <v:shape style="position:absolute;left:1248;top:1116;width:8868;height:2" coordorigin="1248,1116" coordsize="8868,0" path="m1248,1116l10116,1116e" filled="false" stroked="true" strokeweight=".72pt" strokecolor="#000000">
            <v:path arrowok="t"/>
          </v:shape>
          <w10:wrap type="none"/>
        </v:group>
      </w:pict>
    </w:r>
    <w:r>
      <w:rPr/>
      <w:pict>
        <v:shape style="position:absolute;margin-left:250.330002pt;margin-top:42.985607pt;width:67.55pt;height:12pt;mso-position-horizontal-relative:page;mso-position-vertical-relative:page;z-index:-12026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4pt;height:.1pt;mso-position-horizontal-relative:page;mso-position-vertical-relative:page;z-index:-1202608" coordorigin="1495,1116" coordsize="13908,2">
          <v:shape style="position:absolute;left:1495;top:1116;width:13908;height:2" coordorigin="1495,1116" coordsize="13908,0" path="m1495,1116l15403,1116e" filled="false" stroked="true" strokeweight=".72pt" strokecolor="#000000">
            <v:path arrowok="t"/>
          </v:shape>
          <w10:wrap type="none"/>
        </v:group>
      </w:pict>
    </w:r>
    <w:r>
      <w:rPr/>
      <w:pict>
        <v:shape style="position:absolute;margin-left:388.690002pt;margin-top:42.985634pt;width:67.55pt;height:12pt;mso-position-horizontal-relative:page;mso-position-vertical-relative:page;z-index:-12025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799984pt;width:443.4pt;height:.1pt;mso-position-horizontal-relative:page;mso-position-vertical-relative:page;z-index:-1202512" coordorigin="1248,1116" coordsize="8868,2">
          <v:shape style="position:absolute;left:1248;top:1116;width:8868;height:2" coordorigin="1248,1116" coordsize="8868,0" path="m1248,1116l10116,1116e" filled="false" stroked="true" strokeweight=".72pt" strokecolor="#000000">
            <v:path arrowok="t"/>
          </v:shape>
          <w10:wrap type="none"/>
        </v:group>
      </w:pict>
    </w:r>
    <w:r>
      <w:rPr/>
      <w:pict>
        <v:shape style="position:absolute;margin-left:250.330002pt;margin-top:42.985607pt;width:67.55pt;height:12pt;mso-position-horizontal-relative:page;mso-position-vertical-relative:page;z-index:-120248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4pt;height:.1pt;mso-position-horizontal-relative:page;mso-position-vertical-relative:page;z-index:-1202440" coordorigin="1495,1116" coordsize="13908,2">
          <v:shape style="position:absolute;left:1495;top:1116;width:13908;height:2" coordorigin="1495,1116" coordsize="13908,0" path="m1495,1116l15403,1116e" filled="false" stroked="true" strokeweight=".72pt" strokecolor="#000000">
            <v:path arrowok="t"/>
          </v:shape>
          <w10:wrap type="none"/>
        </v:group>
      </w:pict>
    </w:r>
    <w:r>
      <w:rPr/>
      <w:pict>
        <v:shape style="position:absolute;margin-left:388.690002pt;margin-top:42.985634pt;width:67.55pt;height:12pt;mso-position-horizontal-relative:page;mso-position-vertical-relative:page;z-index:-12024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799984pt;width:443.4pt;height:.1pt;mso-position-horizontal-relative:page;mso-position-vertical-relative:page;z-index:-1202368" coordorigin="1248,1116" coordsize="8868,2">
          <v:shape style="position:absolute;left:1248;top:1116;width:8868;height:2" coordorigin="1248,1116" coordsize="8868,0" path="m1248,1116l10116,1116e" filled="false" stroked="true" strokeweight=".72pt" strokecolor="#000000">
            <v:path arrowok="t"/>
          </v:shape>
          <w10:wrap type="none"/>
        </v:group>
      </w:pict>
    </w:r>
    <w:r>
      <w:rPr/>
      <w:pict>
        <v:shape style="position:absolute;margin-left:250.330002pt;margin-top:42.985607pt;width:67.55pt;height:12pt;mso-position-horizontal-relative:page;mso-position-vertical-relative:page;z-index:-12023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4pt;height:.1pt;mso-position-horizontal-relative:page;mso-position-vertical-relative:page;z-index:-1202248" coordorigin="1495,1116" coordsize="13908,2">
          <v:shape style="position:absolute;left:1495;top:1116;width:13908;height:2" coordorigin="1495,1116" coordsize="13908,0" path="m1495,1116l15403,1116e" filled="false" stroked="true" strokeweight=".72pt" strokecolor="#000000">
            <v:path arrowok="t"/>
          </v:shape>
          <w10:wrap type="none"/>
        </v:group>
      </w:pict>
    </w:r>
    <w:r>
      <w:rPr/>
      <w:pict>
        <v:shape style="position:absolute;margin-left:388.690002pt;margin-top:42.985634pt;width:67.55pt;height:12pt;mso-position-horizontal-relative:page;mso-position-vertical-relative:page;z-index:-12022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136"/>
    </w:pPr>
    <w:rPr>
      <w:rFonts w:ascii="宋体" w:hAnsi="宋体" w:eastAsia="宋体"/>
      <w:sz w:val="21"/>
      <w:szCs w:val="21"/>
    </w:rPr>
  </w:style>
  <w:style w:styleId="Heading1" w:type="paragraph">
    <w:name w:val="Heading 1"/>
    <w:basedOn w:val="Normal"/>
    <w:uiPriority w:val="1"/>
    <w:qFormat/>
    <w:pPr>
      <w:outlineLvl w:val="1"/>
    </w:pPr>
    <w:rPr>
      <w:rFonts w:ascii="黑体" w:hAnsi="黑体" w:eastAsia="黑体"/>
      <w:b/>
      <w:bCs/>
      <w:sz w:val="28"/>
      <w:szCs w:val="28"/>
    </w:rPr>
  </w:style>
  <w:style w:styleId="Heading2" w:type="paragraph">
    <w:name w:val="Heading 2"/>
    <w:basedOn w:val="Normal"/>
    <w:uiPriority w:val="1"/>
    <w:qFormat/>
    <w:pPr>
      <w:ind w:left="136"/>
      <w:outlineLvl w:val="2"/>
    </w:pPr>
    <w:rPr>
      <w:rFonts w:ascii="宋体" w:hAnsi="宋体" w:eastAsia="宋体"/>
      <w:b/>
      <w:bCs/>
      <w:sz w:val="24"/>
      <w:szCs w:val="24"/>
    </w:rPr>
  </w:style>
  <w:style w:styleId="Heading3" w:type="paragraph">
    <w:name w:val="Heading 3"/>
    <w:basedOn w:val="Normal"/>
    <w:uiPriority w:val="1"/>
    <w:qFormat/>
    <w:pPr>
      <w:ind w:left="216"/>
      <w:outlineLvl w:val="3"/>
    </w:pPr>
    <w:rPr>
      <w:rFonts w:ascii="宋体" w:hAnsi="宋体" w:eastAsia="宋体"/>
      <w:sz w:val="24"/>
      <w:szCs w:val="24"/>
    </w:rPr>
  </w:style>
  <w:style w:styleId="Heading4" w:type="paragraph">
    <w:name w:val="Heading 4"/>
    <w:basedOn w:val="Normal"/>
    <w:uiPriority w:val="1"/>
    <w:qFormat/>
    <w:pPr>
      <w:ind w:left="224"/>
      <w:outlineLvl w:val="4"/>
    </w:pPr>
    <w:rPr>
      <w:rFonts w:ascii="宋体" w:hAnsi="宋体" w:eastAsia="宋体"/>
      <w:sz w:val="22"/>
      <w:szCs w:val="22"/>
    </w:rPr>
  </w:style>
  <w:style w:styleId="Heading5" w:type="paragraph">
    <w:name w:val="Heading 5"/>
    <w:basedOn w:val="Normal"/>
    <w:uiPriority w:val="1"/>
    <w:qFormat/>
    <w:pPr>
      <w:spacing w:before="64"/>
      <w:ind w:left="216"/>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yperlink" Target="mailto:stock@tellhow.com" TargetMode="External"/><Relationship Id="rId10" Type="http://schemas.openxmlformats.org/officeDocument/2006/relationships/hyperlink" Target="http://www.tellhow.com/" TargetMode="External"/><Relationship Id="rId11" Type="http://schemas.openxmlformats.org/officeDocument/2006/relationships/hyperlink" Target="http://www.sse.com.cn/"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footer" Target="footer6.xml"/><Relationship Id="rId18" Type="http://schemas.openxmlformats.org/officeDocument/2006/relationships/header" Target="header5.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header" Target="header6.xml"/><Relationship Id="rId22" Type="http://schemas.openxmlformats.org/officeDocument/2006/relationships/footer" Target="footer9.xml"/><Relationship Id="rId23" Type="http://schemas.openxmlformats.org/officeDocument/2006/relationships/header" Target="header7.xml"/><Relationship Id="rId24" Type="http://schemas.openxmlformats.org/officeDocument/2006/relationships/footer" Target="footer10.xml"/><Relationship Id="rId25" Type="http://schemas.openxmlformats.org/officeDocument/2006/relationships/header" Target="header8.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header" Target="header9.xml"/><Relationship Id="rId30" Type="http://schemas.openxmlformats.org/officeDocument/2006/relationships/footer" Target="footer14.xml"/><Relationship Id="rId31" Type="http://schemas.openxmlformats.org/officeDocument/2006/relationships/header" Target="header10.xml"/><Relationship Id="rId32" Type="http://schemas.openxmlformats.org/officeDocument/2006/relationships/footer" Target="footer15.xml"/><Relationship Id="rId33" Type="http://schemas.openxmlformats.org/officeDocument/2006/relationships/footer" Target="footer16.xml"/><Relationship Id="rId34" Type="http://schemas.openxmlformats.org/officeDocument/2006/relationships/footer" Target="footer17.xml"/><Relationship Id="rId35" Type="http://schemas.openxmlformats.org/officeDocument/2006/relationships/footer" Target="footer18.xml"/><Relationship Id="rId36" Type="http://schemas.openxmlformats.org/officeDocument/2006/relationships/footer" Target="footer19.xml"/><Relationship Id="rId37" Type="http://schemas.openxmlformats.org/officeDocument/2006/relationships/header" Target="header11.xml"/><Relationship Id="rId38" Type="http://schemas.openxmlformats.org/officeDocument/2006/relationships/footer" Target="footer20.xml"/><Relationship Id="rId39" Type="http://schemas.openxmlformats.org/officeDocument/2006/relationships/footer" Target="footer21.xml"/><Relationship Id="rId40" Type="http://schemas.openxmlformats.org/officeDocument/2006/relationships/footer" Target="footer22.xml"/><Relationship Id="rId41" Type="http://schemas.openxmlformats.org/officeDocument/2006/relationships/header" Target="header12.xml"/><Relationship Id="rId42" Type="http://schemas.openxmlformats.org/officeDocument/2006/relationships/footer" Target="footer23.xml"/><Relationship Id="rId43" Type="http://schemas.openxmlformats.org/officeDocument/2006/relationships/footer" Target="footer24.xml"/><Relationship Id="rId44" Type="http://schemas.openxmlformats.org/officeDocument/2006/relationships/footer" Target="footer25.xml"/><Relationship Id="rId45" Type="http://schemas.openxmlformats.org/officeDocument/2006/relationships/footer" Target="footer26.xml"/><Relationship Id="rId46" Type="http://schemas.openxmlformats.org/officeDocument/2006/relationships/footer" Target="footer27.xml"/><Relationship Id="rId47" Type="http://schemas.openxmlformats.org/officeDocument/2006/relationships/footer" Target="footer28.xml"/><Relationship Id="rId48" Type="http://schemas.openxmlformats.org/officeDocument/2006/relationships/footer" Target="footer29.xml"/><Relationship Id="rId49" Type="http://schemas.openxmlformats.org/officeDocument/2006/relationships/footer" Target="footer30.xml"/><Relationship Id="rId50" Type="http://schemas.openxmlformats.org/officeDocument/2006/relationships/header" Target="header13.xml"/><Relationship Id="rId51" Type="http://schemas.openxmlformats.org/officeDocument/2006/relationships/footer" Target="footer31.xml"/><Relationship Id="rId52" Type="http://schemas.openxmlformats.org/officeDocument/2006/relationships/header" Target="header14.xml"/><Relationship Id="rId53" Type="http://schemas.openxmlformats.org/officeDocument/2006/relationships/footer" Target="footer32.xml"/><Relationship Id="rId54" Type="http://schemas.openxmlformats.org/officeDocument/2006/relationships/footer" Target="footer33.xml"/><Relationship Id="rId55" Type="http://schemas.openxmlformats.org/officeDocument/2006/relationships/footer" Target="footer34.xml"/><Relationship Id="rId56" Type="http://schemas.openxmlformats.org/officeDocument/2006/relationships/header" Target="header15.xml"/><Relationship Id="rId57" Type="http://schemas.openxmlformats.org/officeDocument/2006/relationships/footer" Target="footer35.xml"/><Relationship Id="rId58" Type="http://schemas.openxmlformats.org/officeDocument/2006/relationships/header" Target="header16.xml"/><Relationship Id="rId59" Type="http://schemas.openxmlformats.org/officeDocument/2006/relationships/footer" Target="footer36.xml"/><Relationship Id="rId60" Type="http://schemas.openxmlformats.org/officeDocument/2006/relationships/header" Target="header17.xml"/><Relationship Id="rId61" Type="http://schemas.openxmlformats.org/officeDocument/2006/relationships/footer" Target="footer37.xml"/><Relationship Id="rId62" Type="http://schemas.openxmlformats.org/officeDocument/2006/relationships/header" Target="header18.xml"/><Relationship Id="rId63" Type="http://schemas.openxmlformats.org/officeDocument/2006/relationships/footer" Target="footer38.xml"/><Relationship Id="rId64" Type="http://schemas.openxmlformats.org/officeDocument/2006/relationships/header" Target="header19.xml"/><Relationship Id="rId65" Type="http://schemas.openxmlformats.org/officeDocument/2006/relationships/footer" Target="footer39.xml"/><Relationship Id="rId66" Type="http://schemas.openxmlformats.org/officeDocument/2006/relationships/footer" Target="footer40.xml"/><Relationship Id="rId67" Type="http://schemas.openxmlformats.org/officeDocument/2006/relationships/footer" Target="footer41.xml"/><Relationship Id="rId68" Type="http://schemas.openxmlformats.org/officeDocument/2006/relationships/header" Target="header20.xml"/><Relationship Id="rId69" Type="http://schemas.openxmlformats.org/officeDocument/2006/relationships/footer" Target="footer42.xml"/><Relationship Id="rId70" Type="http://schemas.openxmlformats.org/officeDocument/2006/relationships/footer" Target="footer43.xml"/><Relationship Id="rId71" Type="http://schemas.openxmlformats.org/officeDocument/2006/relationships/footer" Target="footer44.xml"/><Relationship Id="rId72" Type="http://schemas.openxmlformats.org/officeDocument/2006/relationships/header" Target="header21.xml"/><Relationship Id="rId73" Type="http://schemas.openxmlformats.org/officeDocument/2006/relationships/footer" Target="footer45.xml"/><Relationship Id="rId74" Type="http://schemas.openxmlformats.org/officeDocument/2006/relationships/header" Target="header22.xml"/><Relationship Id="rId75" Type="http://schemas.openxmlformats.org/officeDocument/2006/relationships/footer" Target="footer46.xml"/><Relationship Id="rId76" Type="http://schemas.openxmlformats.org/officeDocument/2006/relationships/footer" Target="footer47.xml"/><Relationship Id="rId77" Type="http://schemas.openxmlformats.org/officeDocument/2006/relationships/footer" Target="footer48.xml"/><Relationship Id="rId78" Type="http://schemas.openxmlformats.org/officeDocument/2006/relationships/footer" Target="footer49.xml"/><Relationship Id="rId79" Type="http://schemas.openxmlformats.org/officeDocument/2006/relationships/footer" Target="footer50.xml"/><Relationship Id="rId80" Type="http://schemas.openxmlformats.org/officeDocument/2006/relationships/footer" Target="footer51.xml"/><Relationship Id="rId81" Type="http://schemas.openxmlformats.org/officeDocument/2006/relationships/header" Target="header23.xml"/><Relationship Id="rId82" Type="http://schemas.openxmlformats.org/officeDocument/2006/relationships/footer" Target="footer52.xml"/><Relationship Id="rId83" Type="http://schemas.openxmlformats.org/officeDocument/2006/relationships/header" Target="header24.xml"/><Relationship Id="rId84" Type="http://schemas.openxmlformats.org/officeDocument/2006/relationships/footer" Target="footer53.xml"/><Relationship Id="rId85" Type="http://schemas.openxmlformats.org/officeDocument/2006/relationships/footer" Target="footer54.xml"/><Relationship Id="rId86" Type="http://schemas.openxmlformats.org/officeDocument/2006/relationships/footer" Target="footer55.xml"/><Relationship Id="rId87" Type="http://schemas.openxmlformats.org/officeDocument/2006/relationships/header" Target="header25.xml"/><Relationship Id="rId88" Type="http://schemas.openxmlformats.org/officeDocument/2006/relationships/footer" Target="footer56.xml"/><Relationship Id="rId89" Type="http://schemas.openxmlformats.org/officeDocument/2006/relationships/footer" Target="footer5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2020-05-19T07:36:43Z</dcterms:created>
  <dcterms:modified xsi:type="dcterms:W3CDTF">2020-05-19T07:36:43Z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2020-04-24T00:00:00Z</vt:filetime>
  </property>
  <property fmtid="{D5CDD505-2E9C-101B-9397-08002B2CF9AE}" pid="3" name="Creator">
    <vt:lpwstr>Microsoft® Office Word 2007</vt:lpwstr>
  </property>
  <property fmtid="{D5CDD505-2E9C-101B-9397-08002B2CF9AE}" pid="4" name="LastSaved">
    <vt:filetime>2020-05-18T00:00:00Z</vt:filetime>
  </property>
</Properties>
</file>